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B33892" w14:textId="6EDBB260" w:rsidR="00731F52" w:rsidRPr="004A1902" w:rsidRDefault="00443018" w:rsidP="00B777DD">
      <w:pPr>
        <w:pStyle w:val="Default"/>
        <w:spacing w:line="360" w:lineRule="auto"/>
        <w:jc w:val="center"/>
        <w:rPr>
          <w:sz w:val="32"/>
          <w:lang w:val="en-CA"/>
        </w:rPr>
      </w:pPr>
      <w:r w:rsidRPr="004A1902">
        <w:rPr>
          <w:b/>
          <w:bCs/>
          <w:sz w:val="32"/>
          <w:lang w:val="en-CA"/>
        </w:rPr>
        <w:t xml:space="preserve">Impact of Pre-existent </w:t>
      </w:r>
      <w:r w:rsidR="00731F52" w:rsidRPr="004A1902">
        <w:rPr>
          <w:b/>
          <w:bCs/>
          <w:sz w:val="32"/>
          <w:lang w:val="en-CA"/>
        </w:rPr>
        <w:t>Prosthesis-Patient Mismatch on Survival Following Aortic Valve-in-Valve Procedure</w:t>
      </w:r>
      <w:r w:rsidR="00B908B9">
        <w:rPr>
          <w:b/>
          <w:bCs/>
          <w:sz w:val="32"/>
          <w:lang w:val="en-CA"/>
        </w:rPr>
        <w:t>s</w:t>
      </w:r>
    </w:p>
    <w:p w14:paraId="298E0ADB" w14:textId="77777777" w:rsidR="00731F52" w:rsidRPr="004A1902" w:rsidRDefault="00731F52" w:rsidP="00F86913">
      <w:pPr>
        <w:pStyle w:val="Default"/>
        <w:spacing w:line="360" w:lineRule="auto"/>
        <w:rPr>
          <w:b/>
          <w:lang w:val="en-CA"/>
        </w:rPr>
      </w:pPr>
    </w:p>
    <w:p w14:paraId="01E32084" w14:textId="312B0A8B" w:rsidR="00731F52" w:rsidRPr="00696641" w:rsidRDefault="00CE2069" w:rsidP="00F86913">
      <w:pPr>
        <w:spacing w:line="480" w:lineRule="auto"/>
        <w:rPr>
          <w:rFonts w:ascii="Times New Roman" w:hAnsi="Times New Roman"/>
          <w:i/>
          <w:lang w:val="en-US"/>
        </w:rPr>
      </w:pPr>
      <w:r w:rsidRPr="00CE2069">
        <w:rPr>
          <w:rFonts w:ascii="Times New Roman" w:hAnsi="Times New Roman"/>
          <w:i/>
          <w:lang w:val="en-US"/>
        </w:rPr>
        <w:t>Philippe Pibarot</w:t>
      </w:r>
      <w:r w:rsidR="00645F64">
        <w:rPr>
          <w:rFonts w:ascii="Times New Roman" w:hAnsi="Times New Roman"/>
          <w:i/>
          <w:vertAlign w:val="superscript"/>
          <w:lang w:val="en-US"/>
        </w:rPr>
        <w:t>1</w:t>
      </w:r>
      <w:r w:rsidR="00090CF0">
        <w:rPr>
          <w:rFonts w:ascii="Times New Roman" w:hAnsi="Times New Roman"/>
          <w:i/>
          <w:lang w:val="en-US"/>
        </w:rPr>
        <w:t xml:space="preserve">, </w:t>
      </w:r>
      <w:r w:rsidR="00090CF0" w:rsidRPr="008A041B">
        <w:rPr>
          <w:rFonts w:ascii="Times New Roman" w:hAnsi="Times New Roman"/>
          <w:i/>
          <w:lang w:val="en-US"/>
        </w:rPr>
        <w:t>DVM, PhD</w:t>
      </w:r>
      <w:r w:rsidRPr="00CE2069">
        <w:rPr>
          <w:rFonts w:ascii="Times New Roman" w:hAnsi="Times New Roman"/>
          <w:i/>
          <w:lang w:val="en-US"/>
        </w:rPr>
        <w:t>, Matheus Simonato</w:t>
      </w:r>
      <w:r w:rsidR="00645F64">
        <w:rPr>
          <w:rFonts w:ascii="Times New Roman" w:hAnsi="Times New Roman"/>
          <w:i/>
          <w:vertAlign w:val="superscript"/>
          <w:lang w:val="en-US"/>
        </w:rPr>
        <w:t>2</w:t>
      </w:r>
      <w:r w:rsidRPr="00CE2069">
        <w:rPr>
          <w:rFonts w:ascii="Times New Roman" w:hAnsi="Times New Roman"/>
          <w:i/>
          <w:lang w:val="en-US"/>
        </w:rPr>
        <w:t>, Marco Barbanti</w:t>
      </w:r>
      <w:r w:rsidR="00645F64">
        <w:rPr>
          <w:rFonts w:ascii="Times New Roman" w:hAnsi="Times New Roman"/>
          <w:i/>
          <w:vertAlign w:val="superscript"/>
          <w:lang w:val="en-US"/>
        </w:rPr>
        <w:t>3</w:t>
      </w:r>
      <w:r w:rsidRPr="00CE2069">
        <w:rPr>
          <w:rFonts w:ascii="Times New Roman" w:hAnsi="Times New Roman"/>
          <w:i/>
          <w:lang w:val="en-US"/>
        </w:rPr>
        <w:t>,</w:t>
      </w:r>
      <w:r w:rsidR="00BF7AFB">
        <w:rPr>
          <w:rFonts w:ascii="Times New Roman" w:hAnsi="Times New Roman"/>
          <w:i/>
          <w:lang w:val="en-US"/>
        </w:rPr>
        <w:t xml:space="preserve"> MD,</w:t>
      </w:r>
      <w:r w:rsidRPr="00CE2069">
        <w:rPr>
          <w:rFonts w:ascii="Times New Roman" w:hAnsi="Times New Roman"/>
          <w:i/>
          <w:lang w:val="en-US"/>
        </w:rPr>
        <w:t xml:space="preserve"> Axel Linke</w:t>
      </w:r>
      <w:r w:rsidR="00645F64">
        <w:rPr>
          <w:rFonts w:ascii="Times New Roman" w:hAnsi="Times New Roman"/>
          <w:i/>
          <w:vertAlign w:val="superscript"/>
          <w:lang w:val="en-US"/>
        </w:rPr>
        <w:t>4</w:t>
      </w:r>
      <w:r w:rsidRPr="00CE2069">
        <w:rPr>
          <w:rFonts w:ascii="Times New Roman" w:hAnsi="Times New Roman"/>
          <w:i/>
          <w:lang w:val="en-US"/>
        </w:rPr>
        <w:t>,</w:t>
      </w:r>
      <w:r w:rsidR="00BF7AFB">
        <w:rPr>
          <w:rFonts w:ascii="Times New Roman" w:hAnsi="Times New Roman"/>
          <w:i/>
          <w:lang w:val="en-US"/>
        </w:rPr>
        <w:t xml:space="preserve"> MD,</w:t>
      </w:r>
      <w:r w:rsidRPr="00CE2069">
        <w:rPr>
          <w:rFonts w:ascii="Times New Roman" w:hAnsi="Times New Roman"/>
          <w:i/>
          <w:lang w:val="en-US"/>
        </w:rPr>
        <w:t xml:space="preserve"> Ran Kornowski</w:t>
      </w:r>
      <w:r w:rsidR="00670D23" w:rsidRPr="00670D23">
        <w:rPr>
          <w:rFonts w:ascii="Times New Roman" w:hAnsi="Times New Roman"/>
          <w:i/>
          <w:vertAlign w:val="superscript"/>
          <w:lang w:val="en-US"/>
        </w:rPr>
        <w:t>5</w:t>
      </w:r>
      <w:r w:rsidRPr="00CE2069">
        <w:rPr>
          <w:rFonts w:ascii="Times New Roman" w:hAnsi="Times New Roman"/>
          <w:i/>
          <w:lang w:val="en-US"/>
        </w:rPr>
        <w:t xml:space="preserve">, </w:t>
      </w:r>
      <w:r w:rsidR="00BF7AFB">
        <w:rPr>
          <w:rFonts w:ascii="Times New Roman" w:hAnsi="Times New Roman"/>
          <w:i/>
          <w:lang w:val="en-US"/>
        </w:rPr>
        <w:t xml:space="preserve">MD, </w:t>
      </w:r>
      <w:proofErr w:type="spellStart"/>
      <w:r w:rsidRPr="00CE2069">
        <w:rPr>
          <w:rFonts w:ascii="Times New Roman" w:hAnsi="Times New Roman"/>
          <w:i/>
          <w:lang w:val="en-US"/>
        </w:rPr>
        <w:t>Tanja</w:t>
      </w:r>
      <w:proofErr w:type="spellEnd"/>
      <w:r w:rsidRPr="00CE2069">
        <w:rPr>
          <w:rFonts w:ascii="Times New Roman" w:hAnsi="Times New Roman"/>
          <w:i/>
          <w:lang w:val="en-US"/>
        </w:rPr>
        <w:t xml:space="preserve"> Rudolph</w:t>
      </w:r>
      <w:r w:rsidR="00670D23">
        <w:rPr>
          <w:rFonts w:ascii="Times New Roman" w:hAnsi="Times New Roman"/>
          <w:i/>
          <w:vertAlign w:val="superscript"/>
          <w:lang w:val="en-US"/>
        </w:rPr>
        <w:t>6</w:t>
      </w:r>
      <w:r w:rsidRPr="00CE2069">
        <w:rPr>
          <w:rFonts w:ascii="Times New Roman" w:hAnsi="Times New Roman"/>
          <w:i/>
          <w:lang w:val="en-US"/>
        </w:rPr>
        <w:t xml:space="preserve">, </w:t>
      </w:r>
      <w:r w:rsidR="00BF7AFB">
        <w:rPr>
          <w:rFonts w:ascii="Times New Roman" w:hAnsi="Times New Roman"/>
          <w:i/>
          <w:lang w:val="en-US"/>
        </w:rPr>
        <w:t xml:space="preserve">MD, </w:t>
      </w:r>
      <w:r w:rsidRPr="00CE2069">
        <w:rPr>
          <w:rFonts w:ascii="Times New Roman" w:hAnsi="Times New Roman"/>
          <w:i/>
          <w:lang w:val="en-US"/>
        </w:rPr>
        <w:t>Mark Spence</w:t>
      </w:r>
      <w:r w:rsidR="00670D23">
        <w:rPr>
          <w:rFonts w:ascii="Times New Roman" w:hAnsi="Times New Roman"/>
          <w:i/>
          <w:vertAlign w:val="superscript"/>
          <w:lang w:val="en-US"/>
        </w:rPr>
        <w:t>7</w:t>
      </w:r>
      <w:r w:rsidRPr="00CE2069">
        <w:rPr>
          <w:rFonts w:ascii="Times New Roman" w:hAnsi="Times New Roman"/>
          <w:i/>
          <w:lang w:val="en-US"/>
        </w:rPr>
        <w:t>,</w:t>
      </w:r>
      <w:r w:rsidR="00BF7AFB">
        <w:rPr>
          <w:rFonts w:ascii="Times New Roman" w:hAnsi="Times New Roman"/>
          <w:i/>
          <w:lang w:val="en-US"/>
        </w:rPr>
        <w:t xml:space="preserve"> MB, </w:t>
      </w:r>
      <w:proofErr w:type="spellStart"/>
      <w:r w:rsidR="00BF7AFB">
        <w:rPr>
          <w:rFonts w:ascii="Times New Roman" w:hAnsi="Times New Roman"/>
          <w:i/>
          <w:lang w:val="en-US"/>
        </w:rPr>
        <w:t>BCh</w:t>
      </w:r>
      <w:proofErr w:type="spellEnd"/>
      <w:r w:rsidR="00BF7AFB">
        <w:rPr>
          <w:rFonts w:ascii="Times New Roman" w:hAnsi="Times New Roman"/>
          <w:i/>
          <w:lang w:val="en-US"/>
        </w:rPr>
        <w:t>,</w:t>
      </w:r>
      <w:r w:rsidRPr="00CE2069">
        <w:rPr>
          <w:rFonts w:ascii="Times New Roman" w:hAnsi="Times New Roman"/>
          <w:i/>
          <w:lang w:val="en-US"/>
        </w:rPr>
        <w:t xml:space="preserve"> Neil Moat</w:t>
      </w:r>
      <w:r w:rsidR="00670D23">
        <w:rPr>
          <w:rFonts w:ascii="Times New Roman" w:hAnsi="Times New Roman"/>
          <w:i/>
          <w:vertAlign w:val="superscript"/>
          <w:lang w:val="en-US"/>
        </w:rPr>
        <w:t>8</w:t>
      </w:r>
      <w:r w:rsidRPr="00CE2069">
        <w:rPr>
          <w:rFonts w:ascii="Times New Roman" w:hAnsi="Times New Roman"/>
          <w:i/>
          <w:lang w:val="en-US"/>
        </w:rPr>
        <w:t>,</w:t>
      </w:r>
      <w:r w:rsidR="00BF7AFB">
        <w:rPr>
          <w:rFonts w:ascii="Times New Roman" w:hAnsi="Times New Roman"/>
          <w:i/>
          <w:lang w:val="en-US"/>
        </w:rPr>
        <w:t xml:space="preserve"> MBBS, MS,</w:t>
      </w:r>
      <w:r w:rsidRPr="00CE2069">
        <w:rPr>
          <w:rFonts w:ascii="Times New Roman" w:hAnsi="Times New Roman"/>
          <w:i/>
          <w:lang w:val="en-US"/>
        </w:rPr>
        <w:t xml:space="preserve"> Gabriel Aldea</w:t>
      </w:r>
      <w:r w:rsidR="00670D23">
        <w:rPr>
          <w:rFonts w:ascii="Times New Roman" w:hAnsi="Times New Roman"/>
          <w:i/>
          <w:vertAlign w:val="superscript"/>
          <w:lang w:val="en-US"/>
        </w:rPr>
        <w:t>9</w:t>
      </w:r>
      <w:r w:rsidRPr="00CE2069">
        <w:rPr>
          <w:rFonts w:ascii="Times New Roman" w:hAnsi="Times New Roman"/>
          <w:i/>
          <w:lang w:val="en-US"/>
        </w:rPr>
        <w:t>,</w:t>
      </w:r>
      <w:r w:rsidR="00BF7AFB">
        <w:rPr>
          <w:rFonts w:ascii="Times New Roman" w:hAnsi="Times New Roman"/>
          <w:i/>
          <w:lang w:val="en-US"/>
        </w:rPr>
        <w:t xml:space="preserve"> MD,</w:t>
      </w:r>
      <w:r w:rsidRPr="00CE2069">
        <w:rPr>
          <w:rFonts w:ascii="Times New Roman" w:hAnsi="Times New Roman"/>
          <w:i/>
          <w:lang w:val="en-US"/>
        </w:rPr>
        <w:t xml:space="preserve"> Marco Mennuni</w:t>
      </w:r>
      <w:r w:rsidR="00670D23">
        <w:rPr>
          <w:rFonts w:ascii="Times New Roman" w:hAnsi="Times New Roman"/>
          <w:i/>
          <w:vertAlign w:val="superscript"/>
          <w:lang w:val="en-US"/>
        </w:rPr>
        <w:t>10</w:t>
      </w:r>
      <w:r w:rsidRPr="00CE2069">
        <w:rPr>
          <w:rFonts w:ascii="Times New Roman" w:hAnsi="Times New Roman"/>
          <w:i/>
          <w:lang w:val="en-US"/>
        </w:rPr>
        <w:t>,</w:t>
      </w:r>
      <w:r w:rsidR="00BF7AFB">
        <w:rPr>
          <w:rFonts w:ascii="Times New Roman" w:hAnsi="Times New Roman"/>
          <w:i/>
          <w:lang w:val="en-US"/>
        </w:rPr>
        <w:t xml:space="preserve"> MD,</w:t>
      </w:r>
      <w:r w:rsidRPr="00CE2069">
        <w:rPr>
          <w:rFonts w:ascii="Times New Roman" w:hAnsi="Times New Roman"/>
          <w:i/>
          <w:lang w:val="en-US"/>
        </w:rPr>
        <w:t xml:space="preserve"> Alessandro Iadanza</w:t>
      </w:r>
      <w:r w:rsidR="00670D23">
        <w:rPr>
          <w:rFonts w:ascii="Times New Roman" w:hAnsi="Times New Roman"/>
          <w:i/>
          <w:vertAlign w:val="superscript"/>
          <w:lang w:val="en-US"/>
        </w:rPr>
        <w:t>11</w:t>
      </w:r>
      <w:r w:rsidRPr="00CE2069">
        <w:rPr>
          <w:rFonts w:ascii="Times New Roman" w:hAnsi="Times New Roman"/>
          <w:i/>
          <w:lang w:val="en-US"/>
        </w:rPr>
        <w:t>,</w:t>
      </w:r>
      <w:r w:rsidR="004C0137">
        <w:rPr>
          <w:rFonts w:ascii="Times New Roman" w:hAnsi="Times New Roman"/>
          <w:i/>
          <w:lang w:val="en-US"/>
        </w:rPr>
        <w:t xml:space="preserve"> MD,</w:t>
      </w:r>
      <w:r w:rsidRPr="00CE2069">
        <w:rPr>
          <w:rFonts w:ascii="Times New Roman" w:hAnsi="Times New Roman"/>
          <w:i/>
          <w:lang w:val="en-US"/>
        </w:rPr>
        <w:t xml:space="preserve"> </w:t>
      </w:r>
      <w:proofErr w:type="spellStart"/>
      <w:r w:rsidRPr="00CE2069">
        <w:rPr>
          <w:rFonts w:ascii="Times New Roman" w:hAnsi="Times New Roman"/>
          <w:i/>
          <w:lang w:val="en-US"/>
        </w:rPr>
        <w:t>Hafid</w:t>
      </w:r>
      <w:proofErr w:type="spellEnd"/>
      <w:r w:rsidRPr="00CE2069">
        <w:rPr>
          <w:rFonts w:ascii="Times New Roman" w:hAnsi="Times New Roman"/>
          <w:i/>
          <w:lang w:val="en-US"/>
        </w:rPr>
        <w:t xml:space="preserve"> Amrane</w:t>
      </w:r>
      <w:r w:rsidR="00670D23">
        <w:rPr>
          <w:rFonts w:ascii="Times New Roman" w:hAnsi="Times New Roman"/>
          <w:i/>
          <w:vertAlign w:val="superscript"/>
          <w:lang w:val="en-US"/>
        </w:rPr>
        <w:t>12</w:t>
      </w:r>
      <w:r w:rsidRPr="00CE2069">
        <w:rPr>
          <w:rFonts w:ascii="Times New Roman" w:hAnsi="Times New Roman"/>
          <w:i/>
          <w:lang w:val="en-US"/>
        </w:rPr>
        <w:t>,</w:t>
      </w:r>
      <w:r w:rsidR="00317806">
        <w:rPr>
          <w:rFonts w:ascii="Times New Roman" w:hAnsi="Times New Roman"/>
          <w:i/>
          <w:lang w:val="en-US"/>
        </w:rPr>
        <w:t xml:space="preserve"> MD,</w:t>
      </w:r>
      <w:r w:rsidRPr="00CE2069">
        <w:rPr>
          <w:rFonts w:ascii="Times New Roman" w:hAnsi="Times New Roman"/>
          <w:i/>
          <w:lang w:val="en-US"/>
        </w:rPr>
        <w:t xml:space="preserve"> Diego Gaia</w:t>
      </w:r>
      <w:r w:rsidR="00670D23">
        <w:rPr>
          <w:rFonts w:ascii="Times New Roman" w:hAnsi="Times New Roman"/>
          <w:i/>
          <w:vertAlign w:val="superscript"/>
          <w:lang w:val="en-US"/>
        </w:rPr>
        <w:t>2</w:t>
      </w:r>
      <w:r w:rsidRPr="00CE2069">
        <w:rPr>
          <w:rFonts w:ascii="Times New Roman" w:hAnsi="Times New Roman"/>
          <w:i/>
          <w:lang w:val="en-US"/>
        </w:rPr>
        <w:t xml:space="preserve">, </w:t>
      </w:r>
      <w:r w:rsidR="00317806">
        <w:rPr>
          <w:rFonts w:ascii="Times New Roman" w:hAnsi="Times New Roman"/>
          <w:i/>
          <w:lang w:val="en-US"/>
        </w:rPr>
        <w:t xml:space="preserve">MD, PhD, </w:t>
      </w:r>
      <w:r w:rsidRPr="00CE2069">
        <w:rPr>
          <w:rFonts w:ascii="Times New Roman" w:hAnsi="Times New Roman"/>
          <w:i/>
          <w:lang w:val="en-US"/>
        </w:rPr>
        <w:t>Won-</w:t>
      </w:r>
      <w:proofErr w:type="spellStart"/>
      <w:r w:rsidRPr="00CE2069">
        <w:rPr>
          <w:rFonts w:ascii="Times New Roman" w:hAnsi="Times New Roman"/>
          <w:i/>
          <w:lang w:val="en-US"/>
        </w:rPr>
        <w:t>Keun</w:t>
      </w:r>
      <w:proofErr w:type="spellEnd"/>
      <w:r w:rsidRPr="00CE2069">
        <w:rPr>
          <w:rFonts w:ascii="Times New Roman" w:hAnsi="Times New Roman"/>
          <w:i/>
          <w:lang w:val="en-US"/>
        </w:rPr>
        <w:t xml:space="preserve"> Kim</w:t>
      </w:r>
      <w:r w:rsidR="00670D23">
        <w:rPr>
          <w:rFonts w:ascii="Times New Roman" w:hAnsi="Times New Roman"/>
          <w:i/>
          <w:vertAlign w:val="superscript"/>
          <w:lang w:val="en-US"/>
        </w:rPr>
        <w:t>13</w:t>
      </w:r>
      <w:r w:rsidRPr="00CE2069">
        <w:rPr>
          <w:rFonts w:ascii="Times New Roman" w:hAnsi="Times New Roman"/>
          <w:i/>
          <w:lang w:val="en-US"/>
        </w:rPr>
        <w:t xml:space="preserve">, </w:t>
      </w:r>
      <w:r w:rsidR="005F02B3">
        <w:rPr>
          <w:rFonts w:ascii="Times New Roman" w:hAnsi="Times New Roman"/>
          <w:i/>
          <w:lang w:val="en-US"/>
        </w:rPr>
        <w:t xml:space="preserve">MD, </w:t>
      </w:r>
      <w:r w:rsidRPr="00CE2069">
        <w:rPr>
          <w:rFonts w:ascii="Times New Roman" w:hAnsi="Times New Roman"/>
          <w:i/>
          <w:lang w:val="en-US"/>
        </w:rPr>
        <w:t>Massimo Napodano</w:t>
      </w:r>
      <w:r w:rsidR="00670D23">
        <w:rPr>
          <w:rFonts w:ascii="Times New Roman" w:hAnsi="Times New Roman"/>
          <w:i/>
          <w:vertAlign w:val="superscript"/>
          <w:lang w:val="en-US"/>
        </w:rPr>
        <w:t>1</w:t>
      </w:r>
      <w:r w:rsidR="00051235">
        <w:rPr>
          <w:rFonts w:ascii="Times New Roman" w:hAnsi="Times New Roman"/>
          <w:i/>
          <w:vertAlign w:val="superscript"/>
          <w:lang w:val="en-US"/>
        </w:rPr>
        <w:t>4</w:t>
      </w:r>
      <w:r w:rsidRPr="00CE2069">
        <w:rPr>
          <w:rFonts w:ascii="Times New Roman" w:hAnsi="Times New Roman"/>
          <w:i/>
          <w:lang w:val="en-US"/>
        </w:rPr>
        <w:t>,</w:t>
      </w:r>
      <w:r w:rsidR="00B503A1">
        <w:rPr>
          <w:rFonts w:ascii="Times New Roman" w:hAnsi="Times New Roman"/>
          <w:i/>
          <w:lang w:val="en-US"/>
        </w:rPr>
        <w:t xml:space="preserve"> MD,</w:t>
      </w:r>
      <w:r w:rsidRPr="00CE2069">
        <w:rPr>
          <w:rFonts w:ascii="Times New Roman" w:hAnsi="Times New Roman"/>
          <w:i/>
          <w:lang w:val="en-US"/>
        </w:rPr>
        <w:t xml:space="preserve"> Hardy Baumbach</w:t>
      </w:r>
      <w:r w:rsidR="00670D23">
        <w:rPr>
          <w:rFonts w:ascii="Times New Roman" w:hAnsi="Times New Roman"/>
          <w:i/>
          <w:vertAlign w:val="superscript"/>
          <w:lang w:val="en-US"/>
        </w:rPr>
        <w:t>1</w:t>
      </w:r>
      <w:r w:rsidR="00051235">
        <w:rPr>
          <w:rFonts w:ascii="Times New Roman" w:hAnsi="Times New Roman"/>
          <w:i/>
          <w:vertAlign w:val="superscript"/>
          <w:lang w:val="en-US"/>
        </w:rPr>
        <w:t>5</w:t>
      </w:r>
      <w:r w:rsidRPr="00CE2069">
        <w:rPr>
          <w:rFonts w:ascii="Times New Roman" w:hAnsi="Times New Roman"/>
          <w:i/>
          <w:lang w:val="en-US"/>
        </w:rPr>
        <w:t xml:space="preserve">, </w:t>
      </w:r>
      <w:r w:rsidR="00B503A1">
        <w:rPr>
          <w:rFonts w:ascii="Times New Roman" w:hAnsi="Times New Roman"/>
          <w:i/>
          <w:lang w:val="en-US"/>
        </w:rPr>
        <w:t xml:space="preserve">MD, </w:t>
      </w:r>
      <w:r w:rsidRPr="00CE2069">
        <w:rPr>
          <w:rFonts w:ascii="Times New Roman" w:hAnsi="Times New Roman"/>
          <w:i/>
          <w:lang w:val="en-US"/>
        </w:rPr>
        <w:t>Ariel Finkelstein</w:t>
      </w:r>
      <w:r w:rsidR="00051235">
        <w:rPr>
          <w:rFonts w:ascii="Times New Roman" w:hAnsi="Times New Roman"/>
          <w:i/>
          <w:vertAlign w:val="superscript"/>
          <w:lang w:val="en-US"/>
        </w:rPr>
        <w:t>16</w:t>
      </w:r>
      <w:r w:rsidRPr="00CE2069">
        <w:rPr>
          <w:rFonts w:ascii="Times New Roman" w:hAnsi="Times New Roman"/>
          <w:i/>
          <w:lang w:val="en-US"/>
        </w:rPr>
        <w:t xml:space="preserve">, </w:t>
      </w:r>
      <w:r w:rsidR="00B503A1">
        <w:rPr>
          <w:rFonts w:ascii="Times New Roman" w:hAnsi="Times New Roman"/>
          <w:i/>
          <w:lang w:val="en-US"/>
        </w:rPr>
        <w:t xml:space="preserve">MD, </w:t>
      </w:r>
      <w:proofErr w:type="spellStart"/>
      <w:r w:rsidRPr="00CE2069">
        <w:rPr>
          <w:rFonts w:ascii="Times New Roman" w:hAnsi="Times New Roman"/>
          <w:i/>
          <w:lang w:val="en-US"/>
        </w:rPr>
        <w:t>Junjiro</w:t>
      </w:r>
      <w:proofErr w:type="spellEnd"/>
      <w:r w:rsidRPr="00CE2069">
        <w:rPr>
          <w:rFonts w:ascii="Times New Roman" w:hAnsi="Times New Roman"/>
          <w:i/>
          <w:lang w:val="en-US"/>
        </w:rPr>
        <w:t xml:space="preserve"> Kobayashi</w:t>
      </w:r>
      <w:r w:rsidR="00051235">
        <w:rPr>
          <w:rFonts w:ascii="Times New Roman" w:hAnsi="Times New Roman"/>
          <w:i/>
          <w:vertAlign w:val="superscript"/>
          <w:lang w:val="en-US"/>
        </w:rPr>
        <w:t>17</w:t>
      </w:r>
      <w:r w:rsidRPr="00CE2069">
        <w:rPr>
          <w:rFonts w:ascii="Times New Roman" w:hAnsi="Times New Roman"/>
          <w:i/>
          <w:lang w:val="en-US"/>
        </w:rPr>
        <w:t>,</w:t>
      </w:r>
      <w:r w:rsidR="00AD05DB">
        <w:rPr>
          <w:rFonts w:ascii="Times New Roman" w:hAnsi="Times New Roman"/>
          <w:i/>
          <w:lang w:val="en-US"/>
        </w:rPr>
        <w:t xml:space="preserve"> MD,</w:t>
      </w:r>
      <w:r w:rsidR="00D437E7">
        <w:rPr>
          <w:rFonts w:ascii="Times New Roman" w:hAnsi="Times New Roman"/>
          <w:i/>
          <w:lang w:val="en-US"/>
        </w:rPr>
        <w:t xml:space="preserve"> PhD,</w:t>
      </w:r>
      <w:r w:rsidRPr="00CE2069">
        <w:rPr>
          <w:rFonts w:ascii="Times New Roman" w:hAnsi="Times New Roman"/>
          <w:i/>
          <w:lang w:val="en-US"/>
        </w:rPr>
        <w:t xml:space="preserve"> Stephen Brecker</w:t>
      </w:r>
      <w:r w:rsidR="00051235">
        <w:rPr>
          <w:rFonts w:ascii="Times New Roman" w:hAnsi="Times New Roman"/>
          <w:i/>
          <w:vertAlign w:val="superscript"/>
          <w:lang w:val="en-US"/>
        </w:rPr>
        <w:t>18</w:t>
      </w:r>
      <w:r w:rsidRPr="00CE2069">
        <w:rPr>
          <w:rFonts w:ascii="Times New Roman" w:hAnsi="Times New Roman"/>
          <w:i/>
          <w:lang w:val="en-US"/>
        </w:rPr>
        <w:t>,</w:t>
      </w:r>
      <w:r w:rsidR="00FE4FF2">
        <w:rPr>
          <w:rFonts w:ascii="Times New Roman" w:hAnsi="Times New Roman"/>
          <w:i/>
          <w:lang w:val="en-US"/>
        </w:rPr>
        <w:t xml:space="preserve"> MD,</w:t>
      </w:r>
      <w:r w:rsidRPr="00CE2069">
        <w:rPr>
          <w:rFonts w:ascii="Times New Roman" w:hAnsi="Times New Roman"/>
          <w:i/>
          <w:lang w:val="en-US"/>
        </w:rPr>
        <w:t xml:space="preserve"> Creighton Don</w:t>
      </w:r>
      <w:r w:rsidR="00051235">
        <w:rPr>
          <w:rFonts w:ascii="Times New Roman" w:hAnsi="Times New Roman"/>
          <w:i/>
          <w:vertAlign w:val="superscript"/>
          <w:lang w:val="en-US"/>
        </w:rPr>
        <w:t>9</w:t>
      </w:r>
      <w:r w:rsidRPr="00CE2069">
        <w:rPr>
          <w:rFonts w:ascii="Times New Roman" w:hAnsi="Times New Roman"/>
          <w:i/>
          <w:lang w:val="en-US"/>
        </w:rPr>
        <w:t xml:space="preserve">, </w:t>
      </w:r>
      <w:r w:rsidR="002277DF">
        <w:rPr>
          <w:rFonts w:ascii="Times New Roman" w:hAnsi="Times New Roman"/>
          <w:i/>
          <w:lang w:val="en-US"/>
        </w:rPr>
        <w:t xml:space="preserve">MD, PhD, </w:t>
      </w:r>
      <w:r w:rsidRPr="00CE2069">
        <w:rPr>
          <w:rFonts w:ascii="Times New Roman" w:hAnsi="Times New Roman"/>
          <w:i/>
          <w:lang w:val="en-US"/>
        </w:rPr>
        <w:t>Alfredo Cerillo</w:t>
      </w:r>
      <w:r w:rsidR="00220407">
        <w:rPr>
          <w:rFonts w:ascii="Times New Roman" w:hAnsi="Times New Roman"/>
          <w:i/>
          <w:vertAlign w:val="superscript"/>
          <w:lang w:val="en-US"/>
        </w:rPr>
        <w:t>19</w:t>
      </w:r>
      <w:r w:rsidRPr="00CE2069">
        <w:rPr>
          <w:rFonts w:ascii="Times New Roman" w:hAnsi="Times New Roman"/>
          <w:i/>
          <w:lang w:val="en-US"/>
        </w:rPr>
        <w:t>,</w:t>
      </w:r>
      <w:r w:rsidR="0039540C">
        <w:rPr>
          <w:rFonts w:ascii="Times New Roman" w:hAnsi="Times New Roman"/>
          <w:i/>
          <w:lang w:val="en-US"/>
        </w:rPr>
        <w:t xml:space="preserve"> MD,</w:t>
      </w:r>
      <w:r w:rsidRPr="00CE2069">
        <w:rPr>
          <w:rFonts w:ascii="Times New Roman" w:hAnsi="Times New Roman"/>
          <w:i/>
          <w:lang w:val="en-US"/>
        </w:rPr>
        <w:t xml:space="preserve"> Axel Unbehaun</w:t>
      </w:r>
      <w:r w:rsidR="00220407">
        <w:rPr>
          <w:rFonts w:ascii="Times New Roman" w:hAnsi="Times New Roman"/>
          <w:i/>
          <w:vertAlign w:val="superscript"/>
          <w:lang w:val="en-US"/>
        </w:rPr>
        <w:t>20</w:t>
      </w:r>
      <w:r w:rsidRPr="00CE2069">
        <w:rPr>
          <w:rFonts w:ascii="Times New Roman" w:hAnsi="Times New Roman"/>
          <w:i/>
          <w:lang w:val="en-US"/>
        </w:rPr>
        <w:t xml:space="preserve">, </w:t>
      </w:r>
      <w:r w:rsidR="00D542B0">
        <w:rPr>
          <w:rFonts w:ascii="Times New Roman" w:hAnsi="Times New Roman"/>
          <w:i/>
          <w:lang w:val="en-US"/>
        </w:rPr>
        <w:t xml:space="preserve">MD, </w:t>
      </w:r>
      <w:r w:rsidRPr="00CE2069">
        <w:rPr>
          <w:rFonts w:ascii="Times New Roman" w:hAnsi="Times New Roman"/>
          <w:i/>
          <w:lang w:val="en-US"/>
        </w:rPr>
        <w:t>David Attias</w:t>
      </w:r>
      <w:r w:rsidR="00670D23">
        <w:rPr>
          <w:rFonts w:ascii="Times New Roman" w:hAnsi="Times New Roman"/>
          <w:i/>
          <w:vertAlign w:val="superscript"/>
          <w:lang w:val="en-US"/>
        </w:rPr>
        <w:t>2</w:t>
      </w:r>
      <w:r w:rsidR="00220407">
        <w:rPr>
          <w:rFonts w:ascii="Times New Roman" w:hAnsi="Times New Roman"/>
          <w:i/>
          <w:vertAlign w:val="superscript"/>
          <w:lang w:val="en-US"/>
        </w:rPr>
        <w:t>1</w:t>
      </w:r>
      <w:r w:rsidRPr="00CE2069">
        <w:rPr>
          <w:rFonts w:ascii="Times New Roman" w:hAnsi="Times New Roman"/>
          <w:i/>
          <w:lang w:val="en-US"/>
        </w:rPr>
        <w:t>,</w:t>
      </w:r>
      <w:r w:rsidR="00BF0DA9">
        <w:rPr>
          <w:rFonts w:ascii="Times New Roman" w:hAnsi="Times New Roman"/>
          <w:i/>
          <w:lang w:val="en-US"/>
        </w:rPr>
        <w:t xml:space="preserve"> MD,</w:t>
      </w:r>
      <w:r w:rsidRPr="00CE2069">
        <w:rPr>
          <w:rFonts w:ascii="Times New Roman" w:hAnsi="Times New Roman"/>
          <w:i/>
          <w:lang w:val="en-US"/>
        </w:rPr>
        <w:t xml:space="preserve"> Mohammed Nejjari</w:t>
      </w:r>
      <w:r w:rsidR="00670D23">
        <w:rPr>
          <w:rFonts w:ascii="Times New Roman" w:hAnsi="Times New Roman"/>
          <w:i/>
          <w:vertAlign w:val="superscript"/>
          <w:lang w:val="en-US"/>
        </w:rPr>
        <w:t>2</w:t>
      </w:r>
      <w:r w:rsidR="00220407">
        <w:rPr>
          <w:rFonts w:ascii="Times New Roman" w:hAnsi="Times New Roman"/>
          <w:i/>
          <w:vertAlign w:val="superscript"/>
          <w:lang w:val="en-US"/>
        </w:rPr>
        <w:t>1</w:t>
      </w:r>
      <w:r w:rsidRPr="00CE2069">
        <w:rPr>
          <w:rFonts w:ascii="Times New Roman" w:hAnsi="Times New Roman"/>
          <w:i/>
          <w:lang w:val="en-US"/>
        </w:rPr>
        <w:t xml:space="preserve">, </w:t>
      </w:r>
      <w:r w:rsidR="00C758DB">
        <w:rPr>
          <w:rFonts w:ascii="Times New Roman" w:hAnsi="Times New Roman"/>
          <w:i/>
          <w:lang w:val="en-US"/>
        </w:rPr>
        <w:t xml:space="preserve">MD, </w:t>
      </w:r>
      <w:r w:rsidRPr="00CE2069">
        <w:rPr>
          <w:rFonts w:ascii="Times New Roman" w:hAnsi="Times New Roman"/>
          <w:i/>
          <w:lang w:val="en-US"/>
        </w:rPr>
        <w:t>Noah Jones</w:t>
      </w:r>
      <w:r w:rsidR="00051235">
        <w:rPr>
          <w:rFonts w:ascii="Times New Roman" w:hAnsi="Times New Roman"/>
          <w:i/>
          <w:vertAlign w:val="superscript"/>
          <w:lang w:val="en-US"/>
        </w:rPr>
        <w:t>2</w:t>
      </w:r>
      <w:r w:rsidR="00220407">
        <w:rPr>
          <w:rFonts w:ascii="Times New Roman" w:hAnsi="Times New Roman"/>
          <w:i/>
          <w:vertAlign w:val="superscript"/>
          <w:lang w:val="en-US"/>
        </w:rPr>
        <w:t>2</w:t>
      </w:r>
      <w:r w:rsidRPr="00CE2069">
        <w:rPr>
          <w:rFonts w:ascii="Times New Roman" w:hAnsi="Times New Roman"/>
          <w:i/>
          <w:lang w:val="en-US"/>
        </w:rPr>
        <w:t xml:space="preserve">, </w:t>
      </w:r>
      <w:r w:rsidR="00810419">
        <w:rPr>
          <w:rFonts w:ascii="Times New Roman" w:hAnsi="Times New Roman"/>
          <w:i/>
          <w:lang w:val="en-US"/>
        </w:rPr>
        <w:t xml:space="preserve">MD, </w:t>
      </w:r>
      <w:r w:rsidRPr="00CE2069">
        <w:rPr>
          <w:rFonts w:ascii="Times New Roman" w:hAnsi="Times New Roman"/>
          <w:i/>
          <w:lang w:val="en-US"/>
        </w:rPr>
        <w:t>Claudia Fiorina</w:t>
      </w:r>
      <w:r w:rsidR="00220407">
        <w:rPr>
          <w:rFonts w:ascii="Times New Roman" w:hAnsi="Times New Roman"/>
          <w:i/>
          <w:vertAlign w:val="superscript"/>
          <w:lang w:val="en-US"/>
        </w:rPr>
        <w:t>23</w:t>
      </w:r>
      <w:r w:rsidRPr="00CE2069">
        <w:rPr>
          <w:rFonts w:ascii="Times New Roman" w:hAnsi="Times New Roman"/>
          <w:i/>
          <w:lang w:val="en-US"/>
        </w:rPr>
        <w:t xml:space="preserve">, </w:t>
      </w:r>
      <w:r w:rsidR="006C33D4">
        <w:rPr>
          <w:rFonts w:ascii="Times New Roman" w:hAnsi="Times New Roman"/>
          <w:i/>
          <w:lang w:val="en-US"/>
        </w:rPr>
        <w:t xml:space="preserve">MD, </w:t>
      </w:r>
      <w:r w:rsidRPr="00CE2069">
        <w:rPr>
          <w:rFonts w:ascii="Times New Roman" w:hAnsi="Times New Roman"/>
          <w:i/>
          <w:lang w:val="en-US"/>
        </w:rPr>
        <w:t>Didier Tchetche</w:t>
      </w:r>
      <w:r w:rsidR="00220407">
        <w:rPr>
          <w:rFonts w:ascii="Times New Roman" w:hAnsi="Times New Roman"/>
          <w:i/>
          <w:vertAlign w:val="superscript"/>
          <w:lang w:val="en-US"/>
        </w:rPr>
        <w:t>24</w:t>
      </w:r>
      <w:r w:rsidRPr="00CE2069">
        <w:rPr>
          <w:rFonts w:ascii="Times New Roman" w:hAnsi="Times New Roman"/>
          <w:i/>
          <w:lang w:val="en-US"/>
        </w:rPr>
        <w:t>,</w:t>
      </w:r>
      <w:r w:rsidR="006C33D4">
        <w:rPr>
          <w:rFonts w:ascii="Times New Roman" w:hAnsi="Times New Roman"/>
          <w:i/>
          <w:lang w:val="en-US"/>
        </w:rPr>
        <w:t xml:space="preserve"> MD,</w:t>
      </w:r>
      <w:r w:rsidRPr="00CE2069">
        <w:rPr>
          <w:rFonts w:ascii="Times New Roman" w:hAnsi="Times New Roman"/>
          <w:i/>
          <w:lang w:val="en-US"/>
        </w:rPr>
        <w:t xml:space="preserve"> Raphael Philippart</w:t>
      </w:r>
      <w:r w:rsidR="00051235">
        <w:rPr>
          <w:rFonts w:ascii="Times New Roman" w:hAnsi="Times New Roman"/>
          <w:i/>
          <w:vertAlign w:val="superscript"/>
          <w:lang w:val="en-US"/>
        </w:rPr>
        <w:t>2</w:t>
      </w:r>
      <w:r w:rsidR="00220407">
        <w:rPr>
          <w:rFonts w:ascii="Times New Roman" w:hAnsi="Times New Roman"/>
          <w:i/>
          <w:vertAlign w:val="superscript"/>
          <w:lang w:val="en-US"/>
        </w:rPr>
        <w:t>4</w:t>
      </w:r>
      <w:r w:rsidRPr="00CE2069">
        <w:rPr>
          <w:rFonts w:ascii="Times New Roman" w:hAnsi="Times New Roman"/>
          <w:i/>
          <w:lang w:val="en-US"/>
        </w:rPr>
        <w:t>,</w:t>
      </w:r>
      <w:r w:rsidR="006C33D4">
        <w:rPr>
          <w:rFonts w:ascii="Times New Roman" w:hAnsi="Times New Roman"/>
          <w:i/>
          <w:lang w:val="en-US"/>
        </w:rPr>
        <w:t xml:space="preserve"> MD,</w:t>
      </w:r>
      <w:r w:rsidRPr="00CE2069">
        <w:rPr>
          <w:rFonts w:ascii="Times New Roman" w:hAnsi="Times New Roman"/>
          <w:i/>
          <w:lang w:val="en-US"/>
        </w:rPr>
        <w:t xml:space="preserve"> Konstantinos Spargias</w:t>
      </w:r>
      <w:r w:rsidR="00051235">
        <w:rPr>
          <w:rFonts w:ascii="Times New Roman" w:hAnsi="Times New Roman"/>
          <w:i/>
          <w:vertAlign w:val="superscript"/>
          <w:lang w:val="en-US"/>
        </w:rPr>
        <w:t>2</w:t>
      </w:r>
      <w:r w:rsidR="00220407">
        <w:rPr>
          <w:rFonts w:ascii="Times New Roman" w:hAnsi="Times New Roman"/>
          <w:i/>
          <w:vertAlign w:val="superscript"/>
          <w:lang w:val="en-US"/>
        </w:rPr>
        <w:t>5</w:t>
      </w:r>
      <w:r w:rsidRPr="00CE2069">
        <w:rPr>
          <w:rFonts w:ascii="Times New Roman" w:hAnsi="Times New Roman"/>
          <w:i/>
          <w:lang w:val="en-US"/>
        </w:rPr>
        <w:t>,</w:t>
      </w:r>
      <w:r w:rsidR="0098319E">
        <w:rPr>
          <w:rFonts w:ascii="Times New Roman" w:hAnsi="Times New Roman"/>
          <w:i/>
          <w:lang w:val="en-US"/>
        </w:rPr>
        <w:t xml:space="preserve"> MD,</w:t>
      </w:r>
      <w:r w:rsidRPr="00CE2069">
        <w:rPr>
          <w:rFonts w:ascii="Times New Roman" w:hAnsi="Times New Roman"/>
          <w:i/>
          <w:lang w:val="en-US"/>
        </w:rPr>
        <w:t xml:space="preserve"> Jose-Maria Hernandez</w:t>
      </w:r>
      <w:r w:rsidR="00220407">
        <w:rPr>
          <w:rFonts w:ascii="Times New Roman" w:hAnsi="Times New Roman"/>
          <w:i/>
          <w:vertAlign w:val="superscript"/>
          <w:lang w:val="en-US"/>
        </w:rPr>
        <w:t>26</w:t>
      </w:r>
      <w:r w:rsidRPr="00CE2069">
        <w:rPr>
          <w:rFonts w:ascii="Times New Roman" w:hAnsi="Times New Roman"/>
          <w:i/>
          <w:lang w:val="en-US"/>
        </w:rPr>
        <w:t>,</w:t>
      </w:r>
      <w:r w:rsidR="0098319E">
        <w:rPr>
          <w:rFonts w:ascii="Times New Roman" w:hAnsi="Times New Roman"/>
          <w:i/>
          <w:lang w:val="en-US"/>
        </w:rPr>
        <w:t xml:space="preserve"> MD, PhD,</w:t>
      </w:r>
      <w:r w:rsidRPr="00CE2069">
        <w:rPr>
          <w:rFonts w:ascii="Times New Roman" w:hAnsi="Times New Roman"/>
          <w:i/>
          <w:lang w:val="en-US"/>
        </w:rPr>
        <w:t xml:space="preserve"> Azeem Latib</w:t>
      </w:r>
      <w:r w:rsidR="00220407">
        <w:rPr>
          <w:rFonts w:ascii="Times New Roman" w:hAnsi="Times New Roman"/>
          <w:i/>
          <w:vertAlign w:val="superscript"/>
          <w:lang w:val="en-US"/>
        </w:rPr>
        <w:t>27</w:t>
      </w:r>
      <w:r w:rsidRPr="00CE2069">
        <w:rPr>
          <w:rFonts w:ascii="Times New Roman" w:hAnsi="Times New Roman"/>
          <w:i/>
          <w:lang w:val="en-US"/>
        </w:rPr>
        <w:t>,</w:t>
      </w:r>
      <w:r w:rsidR="0098319E">
        <w:rPr>
          <w:rFonts w:ascii="Times New Roman" w:hAnsi="Times New Roman"/>
          <w:i/>
          <w:lang w:val="en-US"/>
        </w:rPr>
        <w:t xml:space="preserve"> MD,</w:t>
      </w:r>
      <w:r w:rsidRPr="00CE2069">
        <w:rPr>
          <w:rFonts w:ascii="Times New Roman" w:hAnsi="Times New Roman"/>
          <w:i/>
          <w:lang w:val="en-US"/>
        </w:rPr>
        <w:t xml:space="preserve"> Danny Dvir</w:t>
      </w:r>
      <w:r w:rsidR="00051235">
        <w:rPr>
          <w:rFonts w:ascii="Times New Roman" w:hAnsi="Times New Roman"/>
          <w:i/>
          <w:vertAlign w:val="superscript"/>
          <w:lang w:val="en-US"/>
        </w:rPr>
        <w:t>9</w:t>
      </w:r>
      <w:r w:rsidR="00696641">
        <w:rPr>
          <w:rFonts w:ascii="Times New Roman" w:hAnsi="Times New Roman"/>
          <w:i/>
          <w:lang w:val="en-US"/>
        </w:rPr>
        <w:t>, MD.</w:t>
      </w:r>
    </w:p>
    <w:p w14:paraId="1E5328A4" w14:textId="7196E1C0" w:rsidR="004874AB" w:rsidRPr="00B777DD" w:rsidRDefault="00670D23" w:rsidP="00F86913">
      <w:pPr>
        <w:spacing w:line="480" w:lineRule="auto"/>
        <w:rPr>
          <w:rFonts w:ascii="Times New Roman" w:hAnsi="Times New Roman"/>
          <w:i/>
          <w:sz w:val="15"/>
          <w:szCs w:val="14"/>
          <w:lang w:val="en-CA"/>
        </w:rPr>
      </w:pPr>
      <w:r w:rsidRPr="00B777DD">
        <w:rPr>
          <w:rFonts w:ascii="Times New Roman" w:hAnsi="Times New Roman"/>
          <w:i/>
          <w:sz w:val="15"/>
          <w:szCs w:val="14"/>
          <w:vertAlign w:val="superscript"/>
          <w:lang w:val="en-CA"/>
        </w:rPr>
        <w:t>1</w:t>
      </w:r>
      <w:r w:rsidRPr="00B777DD">
        <w:rPr>
          <w:rFonts w:ascii="Times New Roman" w:hAnsi="Times New Roman"/>
          <w:i/>
          <w:sz w:val="15"/>
          <w:szCs w:val="14"/>
          <w:lang w:val="en-CA"/>
        </w:rPr>
        <w:t xml:space="preserve">Institut </w:t>
      </w:r>
      <w:proofErr w:type="spellStart"/>
      <w:r w:rsidRPr="00B777DD">
        <w:rPr>
          <w:rFonts w:ascii="Times New Roman" w:hAnsi="Times New Roman"/>
          <w:i/>
          <w:sz w:val="15"/>
          <w:szCs w:val="14"/>
          <w:lang w:val="en-CA"/>
        </w:rPr>
        <w:t>Universitaire</w:t>
      </w:r>
      <w:proofErr w:type="spellEnd"/>
      <w:r w:rsidRPr="00B777DD">
        <w:rPr>
          <w:rFonts w:ascii="Times New Roman" w:hAnsi="Times New Roman"/>
          <w:i/>
          <w:sz w:val="15"/>
          <w:szCs w:val="14"/>
          <w:lang w:val="en-CA"/>
        </w:rPr>
        <w:t xml:space="preserve"> de </w:t>
      </w:r>
      <w:proofErr w:type="spellStart"/>
      <w:r w:rsidRPr="00B777DD">
        <w:rPr>
          <w:rFonts w:ascii="Times New Roman" w:hAnsi="Times New Roman"/>
          <w:i/>
          <w:sz w:val="15"/>
          <w:szCs w:val="14"/>
          <w:lang w:val="en-CA"/>
        </w:rPr>
        <w:t>Cardiologie</w:t>
      </w:r>
      <w:proofErr w:type="spellEnd"/>
      <w:r w:rsidRPr="00B777DD">
        <w:rPr>
          <w:rFonts w:ascii="Times New Roman" w:hAnsi="Times New Roman"/>
          <w:i/>
          <w:sz w:val="15"/>
          <w:szCs w:val="14"/>
          <w:lang w:val="en-CA"/>
        </w:rPr>
        <w:t xml:space="preserve"> et de </w:t>
      </w:r>
      <w:proofErr w:type="spellStart"/>
      <w:r w:rsidRPr="00B777DD">
        <w:rPr>
          <w:rFonts w:ascii="Times New Roman" w:hAnsi="Times New Roman"/>
          <w:i/>
          <w:sz w:val="15"/>
          <w:szCs w:val="14"/>
          <w:lang w:val="en-CA"/>
        </w:rPr>
        <w:t>Pneumologie</w:t>
      </w:r>
      <w:proofErr w:type="spellEnd"/>
      <w:r w:rsidRPr="00B777DD">
        <w:rPr>
          <w:rFonts w:ascii="Times New Roman" w:hAnsi="Times New Roman"/>
          <w:i/>
          <w:sz w:val="15"/>
          <w:szCs w:val="14"/>
          <w:lang w:val="en-CA"/>
        </w:rPr>
        <w:t xml:space="preserve"> de Québec, Quebec City, Canada; </w:t>
      </w:r>
      <w:r w:rsidRPr="00B777DD">
        <w:rPr>
          <w:rFonts w:ascii="Times New Roman" w:hAnsi="Times New Roman"/>
          <w:i/>
          <w:sz w:val="15"/>
          <w:szCs w:val="14"/>
          <w:vertAlign w:val="superscript"/>
          <w:lang w:val="en-CA"/>
        </w:rPr>
        <w:t>2</w:t>
      </w:r>
      <w:r w:rsidRPr="00B777DD">
        <w:rPr>
          <w:rFonts w:ascii="Times New Roman" w:hAnsi="Times New Roman"/>
          <w:i/>
          <w:sz w:val="15"/>
          <w:szCs w:val="14"/>
          <w:lang w:val="en-CA"/>
        </w:rPr>
        <w:t xml:space="preserve">Escola Paulista de Medicina – UNIFESP, São Paulo, Brazil; </w:t>
      </w:r>
      <w:r w:rsidR="00051235" w:rsidRPr="00B777DD">
        <w:rPr>
          <w:rFonts w:ascii="Times New Roman" w:hAnsi="Times New Roman"/>
          <w:i/>
          <w:sz w:val="15"/>
          <w:szCs w:val="14"/>
          <w:vertAlign w:val="superscript"/>
          <w:lang w:val="en-CA"/>
        </w:rPr>
        <w:t>3</w:t>
      </w:r>
      <w:r w:rsidR="00051235" w:rsidRPr="00B777DD">
        <w:rPr>
          <w:rFonts w:ascii="Times New Roman" w:hAnsi="Times New Roman"/>
          <w:i/>
          <w:sz w:val="15"/>
          <w:szCs w:val="14"/>
          <w:lang w:val="en-CA"/>
        </w:rPr>
        <w:t xml:space="preserve">Ferraroto Hospital, Catania, Italy; </w:t>
      </w:r>
      <w:r w:rsidR="00051235" w:rsidRPr="00B777DD">
        <w:rPr>
          <w:rFonts w:ascii="Times New Roman" w:hAnsi="Times New Roman"/>
          <w:i/>
          <w:sz w:val="15"/>
          <w:szCs w:val="14"/>
          <w:vertAlign w:val="superscript"/>
          <w:lang w:val="en-CA"/>
        </w:rPr>
        <w:t>4</w:t>
      </w:r>
      <w:r w:rsidR="00051235" w:rsidRPr="00B777DD">
        <w:rPr>
          <w:rFonts w:ascii="Times New Roman" w:hAnsi="Times New Roman"/>
          <w:i/>
          <w:sz w:val="15"/>
          <w:szCs w:val="14"/>
          <w:lang w:val="en-CA"/>
        </w:rPr>
        <w:t>Uni</w:t>
      </w:r>
      <w:r w:rsidR="007036F6" w:rsidRPr="00B777DD">
        <w:rPr>
          <w:rFonts w:ascii="Times New Roman" w:hAnsi="Times New Roman"/>
          <w:i/>
          <w:sz w:val="15"/>
          <w:szCs w:val="14"/>
          <w:lang w:val="en-CA"/>
        </w:rPr>
        <w:t>versität Leipzig</w:t>
      </w:r>
      <w:r w:rsidR="00051235" w:rsidRPr="00B777DD">
        <w:rPr>
          <w:rFonts w:ascii="Times New Roman" w:hAnsi="Times New Roman"/>
          <w:i/>
          <w:sz w:val="15"/>
          <w:szCs w:val="14"/>
          <w:lang w:val="en-CA"/>
        </w:rPr>
        <w:t xml:space="preserve">, Leipzig, Germany; </w:t>
      </w:r>
      <w:r w:rsidR="00051235" w:rsidRPr="00B777DD">
        <w:rPr>
          <w:rFonts w:ascii="Times New Roman" w:hAnsi="Times New Roman"/>
          <w:i/>
          <w:sz w:val="15"/>
          <w:szCs w:val="14"/>
          <w:vertAlign w:val="superscript"/>
          <w:lang w:val="en-CA"/>
        </w:rPr>
        <w:t>5</w:t>
      </w:r>
      <w:r w:rsidR="00051235" w:rsidRPr="00B777DD">
        <w:rPr>
          <w:rFonts w:ascii="Times New Roman" w:hAnsi="Times New Roman"/>
          <w:i/>
          <w:sz w:val="15"/>
          <w:szCs w:val="14"/>
          <w:lang w:val="en-CA"/>
        </w:rPr>
        <w:t xml:space="preserve">Rabin Medical Center, Petah </w:t>
      </w:r>
      <w:proofErr w:type="spellStart"/>
      <w:r w:rsidR="00051235" w:rsidRPr="00B777DD">
        <w:rPr>
          <w:rFonts w:ascii="Times New Roman" w:hAnsi="Times New Roman"/>
          <w:i/>
          <w:sz w:val="15"/>
          <w:szCs w:val="14"/>
          <w:lang w:val="en-CA"/>
        </w:rPr>
        <w:t>Tikva</w:t>
      </w:r>
      <w:proofErr w:type="spellEnd"/>
      <w:r w:rsidR="00051235" w:rsidRPr="00B777DD">
        <w:rPr>
          <w:rFonts w:ascii="Times New Roman" w:hAnsi="Times New Roman"/>
          <w:i/>
          <w:sz w:val="15"/>
          <w:szCs w:val="14"/>
          <w:lang w:val="en-CA"/>
        </w:rPr>
        <w:t xml:space="preserve">, Israel; </w:t>
      </w:r>
      <w:r w:rsidR="00051235" w:rsidRPr="00B777DD">
        <w:rPr>
          <w:rFonts w:ascii="Times New Roman" w:hAnsi="Times New Roman"/>
          <w:i/>
          <w:sz w:val="15"/>
          <w:szCs w:val="14"/>
          <w:vertAlign w:val="superscript"/>
          <w:lang w:val="en-CA"/>
        </w:rPr>
        <w:t>6</w:t>
      </w:r>
      <w:r w:rsidR="007036F6" w:rsidRPr="00B777DD">
        <w:rPr>
          <w:rFonts w:ascii="Times New Roman" w:hAnsi="Times New Roman"/>
          <w:i/>
          <w:sz w:val="15"/>
          <w:szCs w:val="14"/>
          <w:lang w:val="en-CA"/>
        </w:rPr>
        <w:t>Uniklinik Köln Herzzentrum</w:t>
      </w:r>
      <w:r w:rsidR="00051235" w:rsidRPr="00B777DD">
        <w:rPr>
          <w:rFonts w:ascii="Times New Roman" w:hAnsi="Times New Roman"/>
          <w:i/>
          <w:sz w:val="15"/>
          <w:szCs w:val="14"/>
          <w:lang w:val="en-CA"/>
        </w:rPr>
        <w:t xml:space="preserve">, Cologne, Germany; </w:t>
      </w:r>
      <w:r w:rsidR="007036F6" w:rsidRPr="00B777DD">
        <w:rPr>
          <w:rFonts w:ascii="Times New Roman" w:hAnsi="Times New Roman"/>
          <w:i/>
          <w:sz w:val="15"/>
          <w:szCs w:val="14"/>
          <w:vertAlign w:val="superscript"/>
          <w:lang w:val="en-CA"/>
        </w:rPr>
        <w:t>7</w:t>
      </w:r>
      <w:r w:rsidR="007036F6" w:rsidRPr="00B777DD">
        <w:rPr>
          <w:rFonts w:ascii="Times New Roman" w:hAnsi="Times New Roman"/>
          <w:i/>
          <w:sz w:val="15"/>
          <w:szCs w:val="14"/>
          <w:lang w:val="en-CA"/>
        </w:rPr>
        <w:t xml:space="preserve">Belfast Health and Social Care Trust, Belfast, Northern Ireland, United Kingdom; </w:t>
      </w:r>
      <w:r w:rsidR="007036F6" w:rsidRPr="00B777DD">
        <w:rPr>
          <w:rFonts w:ascii="Times New Roman" w:hAnsi="Times New Roman"/>
          <w:i/>
          <w:sz w:val="15"/>
          <w:szCs w:val="14"/>
          <w:vertAlign w:val="superscript"/>
          <w:lang w:val="en-CA"/>
        </w:rPr>
        <w:t>8</w:t>
      </w:r>
      <w:r w:rsidR="007036F6" w:rsidRPr="00B777DD">
        <w:rPr>
          <w:rFonts w:ascii="Times New Roman" w:hAnsi="Times New Roman"/>
          <w:i/>
          <w:sz w:val="15"/>
          <w:szCs w:val="14"/>
          <w:lang w:val="en-CA"/>
        </w:rPr>
        <w:t xml:space="preserve">Royal Brompton &amp; Harefield NHS Foundation Trust, London, England, United Kingdom; </w:t>
      </w:r>
      <w:r w:rsidR="00220407" w:rsidRPr="00B777DD">
        <w:rPr>
          <w:rFonts w:ascii="Times New Roman" w:hAnsi="Times New Roman"/>
          <w:i/>
          <w:sz w:val="15"/>
          <w:szCs w:val="14"/>
          <w:vertAlign w:val="superscript"/>
          <w:lang w:val="en-CA"/>
        </w:rPr>
        <w:t>9</w:t>
      </w:r>
      <w:r w:rsidR="00220407" w:rsidRPr="00B777DD">
        <w:rPr>
          <w:rFonts w:ascii="Times New Roman" w:hAnsi="Times New Roman"/>
          <w:i/>
          <w:sz w:val="15"/>
          <w:szCs w:val="14"/>
          <w:lang w:val="en-CA"/>
        </w:rPr>
        <w:t xml:space="preserve">University of Washington, Seattle, </w:t>
      </w:r>
      <w:r w:rsidR="004E7492" w:rsidRPr="00B777DD">
        <w:rPr>
          <w:rFonts w:ascii="Times New Roman" w:hAnsi="Times New Roman"/>
          <w:i/>
          <w:sz w:val="15"/>
          <w:szCs w:val="14"/>
          <w:lang w:val="en-CA"/>
        </w:rPr>
        <w:t xml:space="preserve">WA, </w:t>
      </w:r>
      <w:r w:rsidR="00220407" w:rsidRPr="00B777DD">
        <w:rPr>
          <w:rFonts w:ascii="Times New Roman" w:hAnsi="Times New Roman"/>
          <w:i/>
          <w:sz w:val="15"/>
          <w:szCs w:val="14"/>
          <w:lang w:val="en-CA"/>
        </w:rPr>
        <w:t xml:space="preserve">United States; </w:t>
      </w:r>
      <w:r w:rsidR="00220407" w:rsidRPr="00B777DD">
        <w:rPr>
          <w:rFonts w:ascii="Times New Roman" w:hAnsi="Times New Roman"/>
          <w:i/>
          <w:sz w:val="15"/>
          <w:szCs w:val="14"/>
          <w:vertAlign w:val="superscript"/>
          <w:lang w:val="en-CA"/>
        </w:rPr>
        <w:t>10</w:t>
      </w:r>
      <w:r w:rsidR="00220407" w:rsidRPr="00B777DD">
        <w:rPr>
          <w:rFonts w:ascii="Times New Roman" w:hAnsi="Times New Roman"/>
          <w:i/>
          <w:sz w:val="15"/>
          <w:szCs w:val="14"/>
          <w:lang w:val="en-CA"/>
        </w:rPr>
        <w:t xml:space="preserve">Humanitas Hospital, Milan, Italy; </w:t>
      </w:r>
      <w:r w:rsidR="00220407" w:rsidRPr="00B777DD">
        <w:rPr>
          <w:rFonts w:ascii="Times New Roman" w:hAnsi="Times New Roman"/>
          <w:i/>
          <w:sz w:val="15"/>
          <w:szCs w:val="14"/>
          <w:vertAlign w:val="superscript"/>
          <w:lang w:val="en-CA"/>
        </w:rPr>
        <w:t>11</w:t>
      </w:r>
      <w:r w:rsidR="00220407" w:rsidRPr="00B777DD">
        <w:rPr>
          <w:rFonts w:ascii="Times New Roman" w:hAnsi="Times New Roman"/>
          <w:i/>
          <w:sz w:val="15"/>
          <w:szCs w:val="14"/>
          <w:lang w:val="en-CA"/>
        </w:rPr>
        <w:t xml:space="preserve">Azienda Ospedaliera Universitaria Senese, Siena, Italy; </w:t>
      </w:r>
      <w:r w:rsidR="00220407" w:rsidRPr="00B777DD">
        <w:rPr>
          <w:rFonts w:ascii="Times New Roman" w:hAnsi="Times New Roman"/>
          <w:i/>
          <w:sz w:val="15"/>
          <w:szCs w:val="14"/>
          <w:vertAlign w:val="superscript"/>
          <w:lang w:val="en-CA"/>
        </w:rPr>
        <w:t>12</w:t>
      </w:r>
      <w:r w:rsidR="00220407" w:rsidRPr="00B777DD">
        <w:rPr>
          <w:rFonts w:ascii="Times New Roman" w:hAnsi="Times New Roman"/>
          <w:i/>
          <w:sz w:val="15"/>
          <w:szCs w:val="14"/>
          <w:lang w:val="en-CA"/>
        </w:rPr>
        <w:t xml:space="preserve">Medisch Centrum Leeuwarden, Leeuwarden, The Netherlands; </w:t>
      </w:r>
      <w:r w:rsidR="00220407" w:rsidRPr="00B777DD">
        <w:rPr>
          <w:rFonts w:ascii="Times New Roman" w:hAnsi="Times New Roman"/>
          <w:i/>
          <w:sz w:val="15"/>
          <w:szCs w:val="14"/>
          <w:vertAlign w:val="superscript"/>
          <w:lang w:val="en-CA"/>
        </w:rPr>
        <w:t>13</w:t>
      </w:r>
      <w:r w:rsidR="00220407" w:rsidRPr="00B777DD">
        <w:rPr>
          <w:rFonts w:ascii="Times New Roman" w:hAnsi="Times New Roman"/>
          <w:i/>
          <w:sz w:val="15"/>
          <w:szCs w:val="14"/>
          <w:lang w:val="en-CA"/>
        </w:rPr>
        <w:t xml:space="preserve">Kerckhoff Klinik, Bad </w:t>
      </w:r>
      <w:proofErr w:type="spellStart"/>
      <w:r w:rsidR="00220407" w:rsidRPr="00B777DD">
        <w:rPr>
          <w:rFonts w:ascii="Times New Roman" w:hAnsi="Times New Roman"/>
          <w:i/>
          <w:sz w:val="15"/>
          <w:szCs w:val="14"/>
          <w:lang w:val="en-CA"/>
        </w:rPr>
        <w:t>Nauheim</w:t>
      </w:r>
      <w:proofErr w:type="spellEnd"/>
      <w:r w:rsidR="00220407" w:rsidRPr="00B777DD">
        <w:rPr>
          <w:rFonts w:ascii="Times New Roman" w:hAnsi="Times New Roman"/>
          <w:i/>
          <w:sz w:val="15"/>
          <w:szCs w:val="14"/>
          <w:lang w:val="en-CA"/>
        </w:rPr>
        <w:t xml:space="preserve">, Germany; </w:t>
      </w:r>
      <w:r w:rsidR="00220407" w:rsidRPr="00B777DD">
        <w:rPr>
          <w:rFonts w:ascii="Times New Roman" w:hAnsi="Times New Roman"/>
          <w:i/>
          <w:sz w:val="15"/>
          <w:szCs w:val="14"/>
          <w:vertAlign w:val="superscript"/>
          <w:lang w:val="en-CA"/>
        </w:rPr>
        <w:t>14</w:t>
      </w:r>
      <w:r w:rsidR="00220407" w:rsidRPr="00B777DD">
        <w:rPr>
          <w:rFonts w:ascii="Times New Roman" w:hAnsi="Times New Roman"/>
          <w:i/>
          <w:sz w:val="15"/>
          <w:szCs w:val="14"/>
          <w:lang w:val="en-CA"/>
        </w:rPr>
        <w:t xml:space="preserve">University of Padova, Padova, Italy; </w:t>
      </w:r>
      <w:r w:rsidR="00220407" w:rsidRPr="00B777DD">
        <w:rPr>
          <w:rFonts w:ascii="Times New Roman" w:hAnsi="Times New Roman"/>
          <w:i/>
          <w:sz w:val="15"/>
          <w:szCs w:val="14"/>
          <w:vertAlign w:val="superscript"/>
          <w:lang w:val="en-CA"/>
        </w:rPr>
        <w:t>15</w:t>
      </w:r>
      <w:r w:rsidR="00220407" w:rsidRPr="00B777DD">
        <w:rPr>
          <w:rFonts w:ascii="Times New Roman" w:hAnsi="Times New Roman"/>
          <w:i/>
          <w:sz w:val="15"/>
          <w:szCs w:val="14"/>
          <w:lang w:val="en-CA"/>
        </w:rPr>
        <w:t xml:space="preserve">Robert-Bosch-Krankenhaus, Stuttgart, Germany; </w:t>
      </w:r>
      <w:r w:rsidR="004E7492" w:rsidRPr="00B777DD">
        <w:rPr>
          <w:rFonts w:ascii="Times New Roman" w:hAnsi="Times New Roman"/>
          <w:i/>
          <w:sz w:val="15"/>
          <w:szCs w:val="14"/>
          <w:vertAlign w:val="superscript"/>
          <w:lang w:val="en-CA"/>
        </w:rPr>
        <w:t>16</w:t>
      </w:r>
      <w:r w:rsidR="004E7492" w:rsidRPr="00B777DD">
        <w:rPr>
          <w:rFonts w:ascii="Times New Roman" w:hAnsi="Times New Roman"/>
          <w:i/>
          <w:sz w:val="15"/>
          <w:szCs w:val="14"/>
          <w:lang w:val="en-CA"/>
        </w:rPr>
        <w:t xml:space="preserve">Tel Aviv Sourasky Medical Center, Tel Aviv, Israel; </w:t>
      </w:r>
      <w:r w:rsidR="004E7492" w:rsidRPr="00B777DD">
        <w:rPr>
          <w:rFonts w:ascii="Times New Roman" w:hAnsi="Times New Roman"/>
          <w:i/>
          <w:sz w:val="15"/>
          <w:szCs w:val="14"/>
          <w:vertAlign w:val="superscript"/>
          <w:lang w:val="en-CA"/>
        </w:rPr>
        <w:t>17</w:t>
      </w:r>
      <w:r w:rsidR="004E7492" w:rsidRPr="00B777DD">
        <w:rPr>
          <w:rFonts w:ascii="Times New Roman" w:hAnsi="Times New Roman"/>
          <w:i/>
          <w:sz w:val="15"/>
          <w:szCs w:val="14"/>
          <w:lang w:val="en-CA"/>
        </w:rPr>
        <w:t xml:space="preserve">National Cerebral and Cardiovascular Center, Osaka, Japan; </w:t>
      </w:r>
      <w:r w:rsidR="004E7492" w:rsidRPr="00B777DD">
        <w:rPr>
          <w:rFonts w:ascii="Times New Roman" w:hAnsi="Times New Roman"/>
          <w:i/>
          <w:sz w:val="15"/>
          <w:szCs w:val="14"/>
          <w:vertAlign w:val="superscript"/>
          <w:lang w:val="en-CA"/>
        </w:rPr>
        <w:t>18</w:t>
      </w:r>
      <w:r w:rsidR="004E7492" w:rsidRPr="00B777DD">
        <w:rPr>
          <w:rFonts w:ascii="Times New Roman" w:hAnsi="Times New Roman"/>
          <w:i/>
          <w:sz w:val="15"/>
          <w:szCs w:val="14"/>
          <w:lang w:val="en-CA"/>
        </w:rPr>
        <w:t xml:space="preserve">St. George’s, University of London, London, England, United Kingdom; </w:t>
      </w:r>
      <w:r w:rsidR="004E7492" w:rsidRPr="00B777DD">
        <w:rPr>
          <w:rFonts w:ascii="Times New Roman" w:hAnsi="Times New Roman"/>
          <w:i/>
          <w:sz w:val="15"/>
          <w:szCs w:val="14"/>
          <w:vertAlign w:val="superscript"/>
          <w:lang w:val="en-CA"/>
        </w:rPr>
        <w:t>19</w:t>
      </w:r>
      <w:r w:rsidR="004E7492" w:rsidRPr="00B777DD">
        <w:rPr>
          <w:rFonts w:ascii="Times New Roman" w:hAnsi="Times New Roman"/>
          <w:i/>
          <w:sz w:val="15"/>
          <w:szCs w:val="14"/>
          <w:lang w:val="en-CA"/>
        </w:rPr>
        <w:t xml:space="preserve">Fondazione Toscana Gabriele </w:t>
      </w:r>
      <w:proofErr w:type="spellStart"/>
      <w:r w:rsidR="004E7492" w:rsidRPr="00B777DD">
        <w:rPr>
          <w:rFonts w:ascii="Times New Roman" w:hAnsi="Times New Roman"/>
          <w:i/>
          <w:sz w:val="15"/>
          <w:szCs w:val="14"/>
          <w:lang w:val="en-CA"/>
        </w:rPr>
        <w:t>Monasterio</w:t>
      </w:r>
      <w:proofErr w:type="spellEnd"/>
      <w:r w:rsidR="004E7492" w:rsidRPr="00B777DD">
        <w:rPr>
          <w:rFonts w:ascii="Times New Roman" w:hAnsi="Times New Roman"/>
          <w:i/>
          <w:sz w:val="15"/>
          <w:szCs w:val="14"/>
          <w:lang w:val="en-CA"/>
        </w:rPr>
        <w:t xml:space="preserve">, Pisa, Italy; </w:t>
      </w:r>
      <w:r w:rsidR="004E7492" w:rsidRPr="00B777DD">
        <w:rPr>
          <w:rFonts w:ascii="Times New Roman" w:hAnsi="Times New Roman"/>
          <w:i/>
          <w:sz w:val="15"/>
          <w:szCs w:val="14"/>
          <w:vertAlign w:val="superscript"/>
          <w:lang w:val="en-CA"/>
        </w:rPr>
        <w:t>20</w:t>
      </w:r>
      <w:r w:rsidR="004E7492" w:rsidRPr="00B777DD">
        <w:rPr>
          <w:rFonts w:ascii="Times New Roman" w:hAnsi="Times New Roman"/>
          <w:i/>
          <w:sz w:val="15"/>
          <w:szCs w:val="14"/>
          <w:lang w:val="en-CA"/>
        </w:rPr>
        <w:t xml:space="preserve">Deutsches Herzzentrum Berlin, Berlin, Germany; </w:t>
      </w:r>
      <w:r w:rsidR="004E7492" w:rsidRPr="00B777DD">
        <w:rPr>
          <w:rFonts w:ascii="Times New Roman" w:hAnsi="Times New Roman"/>
          <w:i/>
          <w:sz w:val="15"/>
          <w:szCs w:val="14"/>
          <w:vertAlign w:val="superscript"/>
          <w:lang w:val="en-CA"/>
        </w:rPr>
        <w:t>21</w:t>
      </w:r>
      <w:r w:rsidR="004E7492" w:rsidRPr="00B777DD">
        <w:rPr>
          <w:rFonts w:ascii="Times New Roman" w:hAnsi="Times New Roman"/>
          <w:i/>
          <w:sz w:val="15"/>
          <w:szCs w:val="14"/>
          <w:lang w:val="en-CA"/>
        </w:rPr>
        <w:t xml:space="preserve">Centre </w:t>
      </w:r>
      <w:proofErr w:type="spellStart"/>
      <w:r w:rsidR="004E7492" w:rsidRPr="00B777DD">
        <w:rPr>
          <w:rFonts w:ascii="Times New Roman" w:hAnsi="Times New Roman"/>
          <w:i/>
          <w:sz w:val="15"/>
          <w:szCs w:val="14"/>
          <w:lang w:val="en-CA"/>
        </w:rPr>
        <w:t>Cardiologique</w:t>
      </w:r>
      <w:proofErr w:type="spellEnd"/>
      <w:r w:rsidR="004E7492" w:rsidRPr="00B777DD">
        <w:rPr>
          <w:rFonts w:ascii="Times New Roman" w:hAnsi="Times New Roman"/>
          <w:i/>
          <w:sz w:val="15"/>
          <w:szCs w:val="14"/>
          <w:lang w:val="en-CA"/>
        </w:rPr>
        <w:t xml:space="preserve"> du Nord, Saint Denis, France; </w:t>
      </w:r>
      <w:r w:rsidR="004E7492" w:rsidRPr="00B777DD">
        <w:rPr>
          <w:rFonts w:ascii="Times New Roman" w:hAnsi="Times New Roman"/>
          <w:i/>
          <w:sz w:val="15"/>
          <w:szCs w:val="14"/>
          <w:vertAlign w:val="superscript"/>
          <w:lang w:val="en-CA"/>
        </w:rPr>
        <w:t>22</w:t>
      </w:r>
      <w:r w:rsidR="004E7492" w:rsidRPr="00B777DD">
        <w:rPr>
          <w:rFonts w:ascii="Times New Roman" w:hAnsi="Times New Roman"/>
          <w:i/>
          <w:sz w:val="15"/>
          <w:szCs w:val="14"/>
          <w:lang w:val="en-CA"/>
        </w:rPr>
        <w:t xml:space="preserve">Mount Carmel Columbus, Columbus, OH, United States; </w:t>
      </w:r>
      <w:r w:rsidR="00CC2940" w:rsidRPr="00B777DD">
        <w:rPr>
          <w:rFonts w:ascii="Times New Roman" w:hAnsi="Times New Roman"/>
          <w:i/>
          <w:sz w:val="15"/>
          <w:szCs w:val="14"/>
          <w:vertAlign w:val="superscript"/>
          <w:lang w:val="en-CA"/>
        </w:rPr>
        <w:t>23</w:t>
      </w:r>
      <w:r w:rsidR="00CC2940" w:rsidRPr="00B777DD">
        <w:rPr>
          <w:rFonts w:ascii="Times New Roman" w:hAnsi="Times New Roman"/>
          <w:i/>
          <w:sz w:val="15"/>
          <w:szCs w:val="14"/>
          <w:lang w:val="en-CA"/>
        </w:rPr>
        <w:t xml:space="preserve">Spedali Civili di Brescia, Brescia, Italy; </w:t>
      </w:r>
      <w:r w:rsidR="00CC2940" w:rsidRPr="00B777DD">
        <w:rPr>
          <w:rFonts w:ascii="Times New Roman" w:hAnsi="Times New Roman"/>
          <w:i/>
          <w:sz w:val="15"/>
          <w:szCs w:val="14"/>
          <w:vertAlign w:val="superscript"/>
          <w:lang w:val="en-CA"/>
        </w:rPr>
        <w:t>24</w:t>
      </w:r>
      <w:r w:rsidR="00CC2940" w:rsidRPr="00B777DD">
        <w:rPr>
          <w:rFonts w:ascii="Times New Roman" w:hAnsi="Times New Roman"/>
          <w:i/>
          <w:sz w:val="15"/>
          <w:szCs w:val="14"/>
          <w:lang w:val="en-CA"/>
        </w:rPr>
        <w:t xml:space="preserve">Clinique Pasteur, Toulouse, France; </w:t>
      </w:r>
      <w:r w:rsidR="00CC2940" w:rsidRPr="00B777DD">
        <w:rPr>
          <w:rFonts w:ascii="Times New Roman" w:hAnsi="Times New Roman"/>
          <w:i/>
          <w:sz w:val="15"/>
          <w:szCs w:val="14"/>
          <w:vertAlign w:val="superscript"/>
          <w:lang w:val="en-CA"/>
        </w:rPr>
        <w:t>25</w:t>
      </w:r>
      <w:r w:rsidR="004D69A3" w:rsidRPr="00B777DD">
        <w:rPr>
          <w:rFonts w:ascii="Times New Roman" w:hAnsi="Times New Roman"/>
          <w:i/>
          <w:sz w:val="15"/>
          <w:szCs w:val="14"/>
          <w:lang w:val="en-CA"/>
        </w:rPr>
        <w:t>Hygeia</w:t>
      </w:r>
      <w:r w:rsidR="007C65EF" w:rsidRPr="00B777DD">
        <w:rPr>
          <w:rFonts w:ascii="Times New Roman" w:hAnsi="Times New Roman"/>
          <w:i/>
          <w:sz w:val="15"/>
          <w:szCs w:val="14"/>
          <w:lang w:val="en-CA"/>
        </w:rPr>
        <w:t xml:space="preserve"> Hospital</w:t>
      </w:r>
      <w:r w:rsidR="004D69A3" w:rsidRPr="00B777DD">
        <w:rPr>
          <w:rFonts w:ascii="Times New Roman" w:hAnsi="Times New Roman"/>
          <w:i/>
          <w:sz w:val="15"/>
          <w:szCs w:val="14"/>
          <w:lang w:val="en-CA"/>
        </w:rPr>
        <w:t>, Athens, Greece;</w:t>
      </w:r>
      <w:r w:rsidR="007C65EF" w:rsidRPr="00B777DD">
        <w:rPr>
          <w:rFonts w:ascii="Times New Roman" w:hAnsi="Times New Roman"/>
          <w:i/>
          <w:sz w:val="15"/>
          <w:szCs w:val="14"/>
          <w:lang w:val="en-CA"/>
        </w:rPr>
        <w:t xml:space="preserve"> </w:t>
      </w:r>
      <w:r w:rsidR="007C65EF" w:rsidRPr="00B777DD">
        <w:rPr>
          <w:rFonts w:ascii="Times New Roman" w:hAnsi="Times New Roman"/>
          <w:i/>
          <w:sz w:val="15"/>
          <w:szCs w:val="14"/>
          <w:vertAlign w:val="superscript"/>
          <w:lang w:val="en-CA"/>
        </w:rPr>
        <w:t>26</w:t>
      </w:r>
      <w:r w:rsidR="007C65EF" w:rsidRPr="00B777DD">
        <w:rPr>
          <w:rFonts w:ascii="Times New Roman" w:hAnsi="Times New Roman"/>
          <w:i/>
          <w:sz w:val="15"/>
          <w:szCs w:val="14"/>
          <w:lang w:val="en-CA"/>
        </w:rPr>
        <w:t xml:space="preserve">Hospital Universitario Virgen de la Victoria, Malaga, Spain; </w:t>
      </w:r>
      <w:r w:rsidR="007C65EF" w:rsidRPr="00B777DD">
        <w:rPr>
          <w:rFonts w:ascii="Times New Roman" w:hAnsi="Times New Roman"/>
          <w:i/>
          <w:sz w:val="15"/>
          <w:szCs w:val="14"/>
          <w:vertAlign w:val="superscript"/>
          <w:lang w:val="en-CA"/>
        </w:rPr>
        <w:t>27</w:t>
      </w:r>
      <w:r w:rsidR="007C65EF" w:rsidRPr="00B777DD">
        <w:rPr>
          <w:rFonts w:ascii="Times New Roman" w:hAnsi="Times New Roman"/>
          <w:i/>
          <w:sz w:val="15"/>
          <w:szCs w:val="14"/>
          <w:lang w:val="en-CA"/>
        </w:rPr>
        <w:t xml:space="preserve">Ospedale di San Raffaele, Milan, Italy. </w:t>
      </w:r>
      <w:r w:rsidR="004D69A3" w:rsidRPr="00B777DD">
        <w:rPr>
          <w:rFonts w:ascii="Times New Roman" w:hAnsi="Times New Roman"/>
          <w:i/>
          <w:sz w:val="15"/>
          <w:szCs w:val="14"/>
          <w:lang w:val="en-CA"/>
        </w:rPr>
        <w:t xml:space="preserve"> </w:t>
      </w:r>
    </w:p>
    <w:p w14:paraId="78D0326F" w14:textId="77777777" w:rsidR="008901D8" w:rsidRDefault="008901D8" w:rsidP="008901D8">
      <w:pPr>
        <w:spacing w:line="360" w:lineRule="auto"/>
        <w:rPr>
          <w:rFonts w:ascii="Times New Roman" w:hAnsi="Times New Roman"/>
          <w:b/>
          <w:i/>
          <w:sz w:val="21"/>
          <w:lang w:val="en-US"/>
        </w:rPr>
      </w:pPr>
    </w:p>
    <w:p w14:paraId="667A8E40" w14:textId="0A0365B1" w:rsidR="00E9267B" w:rsidRPr="008901D8" w:rsidRDefault="00700987" w:rsidP="008901D8">
      <w:pPr>
        <w:spacing w:line="360" w:lineRule="auto"/>
        <w:rPr>
          <w:rFonts w:ascii="Times New Roman" w:hAnsi="Times New Roman"/>
          <w:i/>
          <w:lang w:val="en-US"/>
        </w:rPr>
      </w:pPr>
      <w:r w:rsidRPr="008901D8">
        <w:rPr>
          <w:rFonts w:ascii="Times New Roman" w:hAnsi="Times New Roman"/>
          <w:b/>
          <w:i/>
          <w:lang w:val="en-US"/>
        </w:rPr>
        <w:t>Word count:</w:t>
      </w:r>
      <w:r w:rsidRPr="008901D8">
        <w:rPr>
          <w:rFonts w:ascii="Times New Roman" w:hAnsi="Times New Roman"/>
          <w:i/>
          <w:lang w:val="en-US"/>
        </w:rPr>
        <w:t xml:space="preserve"> </w:t>
      </w:r>
      <w:r w:rsidR="0015053B" w:rsidRPr="008901D8">
        <w:rPr>
          <w:rFonts w:ascii="Times New Roman" w:hAnsi="Times New Roman"/>
          <w:i/>
          <w:lang w:val="en-US"/>
        </w:rPr>
        <w:t>5101</w:t>
      </w:r>
      <w:r w:rsidR="008C3A33" w:rsidRPr="008901D8">
        <w:rPr>
          <w:rFonts w:ascii="Times New Roman" w:hAnsi="Times New Roman"/>
          <w:i/>
          <w:lang w:val="en-US"/>
        </w:rPr>
        <w:t xml:space="preserve"> </w:t>
      </w:r>
      <w:r w:rsidRPr="008901D8">
        <w:rPr>
          <w:rFonts w:ascii="Times New Roman" w:hAnsi="Times New Roman"/>
          <w:i/>
          <w:lang w:val="en-US"/>
        </w:rPr>
        <w:t>words</w:t>
      </w:r>
    </w:p>
    <w:p w14:paraId="56A04CFA" w14:textId="3FFF3539" w:rsidR="00FA537B" w:rsidRPr="008901D8" w:rsidRDefault="00FA537B" w:rsidP="008901D8">
      <w:pPr>
        <w:spacing w:line="360" w:lineRule="auto"/>
        <w:rPr>
          <w:rFonts w:ascii="Times New Roman" w:hAnsi="Times New Roman"/>
          <w:lang w:val="en-US"/>
        </w:rPr>
      </w:pPr>
      <w:r w:rsidRPr="008901D8">
        <w:rPr>
          <w:rFonts w:ascii="Times New Roman" w:hAnsi="Times New Roman"/>
          <w:b/>
          <w:i/>
          <w:lang w:val="en-US"/>
        </w:rPr>
        <w:t>Short Title:</w:t>
      </w:r>
      <w:r w:rsidR="00731F52" w:rsidRPr="008901D8">
        <w:rPr>
          <w:rFonts w:ascii="Times New Roman" w:hAnsi="Times New Roman"/>
          <w:b/>
          <w:i/>
          <w:lang w:val="en-US"/>
        </w:rPr>
        <w:t xml:space="preserve"> </w:t>
      </w:r>
      <w:r w:rsidRPr="008901D8">
        <w:rPr>
          <w:rFonts w:ascii="Times New Roman" w:hAnsi="Times New Roman"/>
          <w:i/>
          <w:lang w:val="en-US"/>
        </w:rPr>
        <w:t xml:space="preserve"> </w:t>
      </w:r>
      <w:r w:rsidR="004A1902" w:rsidRPr="008901D8">
        <w:rPr>
          <w:rFonts w:ascii="Times New Roman" w:hAnsi="Times New Roman"/>
          <w:i/>
          <w:lang w:val="en-US"/>
        </w:rPr>
        <w:t xml:space="preserve">Impact of </w:t>
      </w:r>
      <w:r w:rsidR="00731F52" w:rsidRPr="008901D8">
        <w:rPr>
          <w:rFonts w:ascii="Times New Roman" w:hAnsi="Times New Roman"/>
          <w:i/>
          <w:lang w:val="en-US"/>
        </w:rPr>
        <w:t xml:space="preserve">PPM on </w:t>
      </w:r>
      <w:r w:rsidR="00EC5E0B" w:rsidRPr="008901D8">
        <w:rPr>
          <w:rFonts w:ascii="Times New Roman" w:hAnsi="Times New Roman"/>
          <w:i/>
          <w:lang w:val="en-US"/>
        </w:rPr>
        <w:t>Aortic Valve-in-Valve</w:t>
      </w:r>
      <w:r w:rsidR="00EC5E0B" w:rsidRPr="008901D8">
        <w:rPr>
          <w:rFonts w:ascii="Times New Roman" w:hAnsi="Times New Roman"/>
          <w:lang w:val="en-US"/>
        </w:rPr>
        <w:t xml:space="preserve"> </w:t>
      </w:r>
      <w:r w:rsidR="00731F52" w:rsidRPr="008901D8">
        <w:rPr>
          <w:rFonts w:ascii="Times New Roman" w:hAnsi="Times New Roman"/>
          <w:i/>
          <w:lang w:val="en-US"/>
        </w:rPr>
        <w:t>Outcomes</w:t>
      </w:r>
    </w:p>
    <w:p w14:paraId="464E3268" w14:textId="77777777" w:rsidR="004A1902" w:rsidRPr="008901D8" w:rsidRDefault="004A1902" w:rsidP="008901D8">
      <w:pPr>
        <w:spacing w:line="360" w:lineRule="auto"/>
        <w:contextualSpacing/>
        <w:rPr>
          <w:rFonts w:ascii="Times New Roman" w:hAnsi="Times New Roman"/>
          <w:color w:val="000000"/>
          <w:lang w:val="fr-CA"/>
        </w:rPr>
      </w:pPr>
      <w:proofErr w:type="spellStart"/>
      <w:r w:rsidRPr="008901D8">
        <w:rPr>
          <w:rFonts w:ascii="Times New Roman" w:hAnsi="Times New Roman"/>
          <w:b/>
          <w:bCs/>
          <w:color w:val="000000"/>
          <w:lang w:val="fr-CA"/>
        </w:rPr>
        <w:t>Correspondence</w:t>
      </w:r>
      <w:proofErr w:type="spellEnd"/>
      <w:r w:rsidRPr="008901D8">
        <w:rPr>
          <w:rFonts w:ascii="Times New Roman" w:hAnsi="Times New Roman"/>
          <w:b/>
          <w:bCs/>
          <w:color w:val="000000"/>
          <w:lang w:val="fr-CA"/>
        </w:rPr>
        <w:t xml:space="preserve"> to:</w:t>
      </w:r>
      <w:r w:rsidRPr="008901D8">
        <w:rPr>
          <w:rFonts w:ascii="Times New Roman" w:hAnsi="Times New Roman"/>
          <w:color w:val="000000"/>
          <w:lang w:val="fr-CA"/>
        </w:rPr>
        <w:t xml:space="preserve"> </w:t>
      </w:r>
    </w:p>
    <w:p w14:paraId="40F0A84E" w14:textId="77777777" w:rsidR="004A1902" w:rsidRPr="008901D8" w:rsidRDefault="004A1902" w:rsidP="008901D8">
      <w:pPr>
        <w:spacing w:line="360" w:lineRule="auto"/>
        <w:contextualSpacing/>
        <w:rPr>
          <w:rFonts w:ascii="Times New Roman" w:hAnsi="Times New Roman"/>
          <w:color w:val="000000"/>
          <w:lang w:val="fr-CA"/>
        </w:rPr>
      </w:pPr>
      <w:r w:rsidRPr="008901D8">
        <w:rPr>
          <w:rFonts w:ascii="Times New Roman" w:hAnsi="Times New Roman"/>
          <w:color w:val="000000"/>
          <w:lang w:val="fr-CA"/>
        </w:rPr>
        <w:t>Philippe Pibarot, Institut Universitaire de Cardiologie et de Pneumologie de Québec, 2725 Chemin Sainte-Foy, Québec, Canada, G1V-4G5</w:t>
      </w:r>
    </w:p>
    <w:p w14:paraId="662BBD77" w14:textId="371062DC" w:rsidR="008901D8" w:rsidRPr="008901D8" w:rsidRDefault="004A1902" w:rsidP="008901D8">
      <w:pPr>
        <w:spacing w:line="360" w:lineRule="auto"/>
        <w:contextualSpacing/>
        <w:rPr>
          <w:rFonts w:ascii="Times New Roman" w:hAnsi="Times New Roman"/>
          <w:color w:val="000000"/>
          <w:lang w:val="fr-CA"/>
        </w:rPr>
      </w:pPr>
      <w:r w:rsidRPr="008901D8">
        <w:rPr>
          <w:rFonts w:ascii="Times New Roman" w:hAnsi="Times New Roman"/>
          <w:color w:val="000000"/>
          <w:lang w:val="fr-CA"/>
        </w:rPr>
        <w:t xml:space="preserve">Email: </w:t>
      </w:r>
      <w:hyperlink r:id="rId8" w:history="1">
        <w:r w:rsidRPr="008901D8">
          <w:rPr>
            <w:rStyle w:val="Hyperlink"/>
            <w:rFonts w:ascii="Times New Roman" w:hAnsi="Times New Roman"/>
            <w:lang w:val="fr-CA"/>
          </w:rPr>
          <w:t>philippe.pibarot@med.ulaval.ca</w:t>
        </w:r>
      </w:hyperlink>
      <w:r w:rsidRPr="008901D8">
        <w:rPr>
          <w:rFonts w:ascii="Times New Roman" w:hAnsi="Times New Roman"/>
          <w:color w:val="000000"/>
          <w:lang w:val="fr-CA"/>
        </w:rPr>
        <w:t xml:space="preserve"> </w:t>
      </w:r>
    </w:p>
    <w:p w14:paraId="20F3B533" w14:textId="407B2298" w:rsidR="00443018" w:rsidRPr="00F86913" w:rsidRDefault="00443018" w:rsidP="00F86913">
      <w:pPr>
        <w:pStyle w:val="Default"/>
        <w:spacing w:line="360" w:lineRule="auto"/>
        <w:jc w:val="center"/>
        <w:rPr>
          <w:b/>
          <w:sz w:val="28"/>
        </w:rPr>
      </w:pPr>
      <w:r w:rsidRPr="00F86913">
        <w:rPr>
          <w:b/>
          <w:sz w:val="28"/>
        </w:rPr>
        <w:lastRenderedPageBreak/>
        <w:t>ABSTRACT</w:t>
      </w:r>
    </w:p>
    <w:p w14:paraId="671DC05F" w14:textId="7D5DAD41" w:rsidR="00B708EF" w:rsidRDefault="004874AB" w:rsidP="00E970B1">
      <w:pPr>
        <w:pStyle w:val="Default"/>
        <w:spacing w:line="360" w:lineRule="auto"/>
        <w:rPr>
          <w:lang w:val="en-CA"/>
        </w:rPr>
      </w:pPr>
      <w:r w:rsidRPr="004A1902">
        <w:rPr>
          <w:b/>
          <w:lang w:val="en-CA"/>
        </w:rPr>
        <w:t xml:space="preserve">BACKGROUND: </w:t>
      </w:r>
      <w:r w:rsidRPr="004A1902">
        <w:rPr>
          <w:lang w:val="en-CA"/>
        </w:rPr>
        <w:t xml:space="preserve">Transcatheter </w:t>
      </w:r>
      <w:r w:rsidR="00A84FE3">
        <w:rPr>
          <w:lang w:val="en-CA"/>
        </w:rPr>
        <w:t>v</w:t>
      </w:r>
      <w:r w:rsidR="00A84FE3" w:rsidRPr="004A1902">
        <w:rPr>
          <w:lang w:val="en-CA"/>
        </w:rPr>
        <w:t>alve</w:t>
      </w:r>
      <w:r w:rsidRPr="004A1902">
        <w:rPr>
          <w:lang w:val="en-CA"/>
        </w:rPr>
        <w:t>-in-</w:t>
      </w:r>
      <w:r w:rsidR="00A84FE3">
        <w:rPr>
          <w:lang w:val="en-CA"/>
        </w:rPr>
        <w:t>v</w:t>
      </w:r>
      <w:r w:rsidR="00A84FE3" w:rsidRPr="004A1902">
        <w:rPr>
          <w:lang w:val="en-CA"/>
        </w:rPr>
        <w:t xml:space="preserve">alve </w:t>
      </w:r>
      <w:r w:rsidRPr="004A1902">
        <w:rPr>
          <w:lang w:val="en-CA"/>
        </w:rPr>
        <w:t>(ViV) implantation is a</w:t>
      </w:r>
      <w:r w:rsidR="009B33B2">
        <w:rPr>
          <w:lang w:val="en-CA"/>
        </w:rPr>
        <w:t xml:space="preserve">n </w:t>
      </w:r>
      <w:r w:rsidRPr="004A1902">
        <w:rPr>
          <w:lang w:val="en-CA"/>
        </w:rPr>
        <w:t xml:space="preserve">alternative for the treatment of patients with degenerated bioprostheses. Small label size of the surgical valve </w:t>
      </w:r>
      <w:r w:rsidR="00E970B1">
        <w:rPr>
          <w:lang w:val="en-CA"/>
        </w:rPr>
        <w:t xml:space="preserve">was </w:t>
      </w:r>
      <w:r w:rsidRPr="004A1902">
        <w:rPr>
          <w:lang w:val="en-CA"/>
        </w:rPr>
        <w:t>associated with increased mortality after ViV.</w:t>
      </w:r>
    </w:p>
    <w:p w14:paraId="2764FFF4" w14:textId="77777777" w:rsidR="00B708EF" w:rsidRDefault="00B708EF" w:rsidP="00E970B1">
      <w:pPr>
        <w:pStyle w:val="Default"/>
        <w:spacing w:line="360" w:lineRule="auto"/>
        <w:rPr>
          <w:lang w:val="en-CA"/>
        </w:rPr>
      </w:pPr>
    </w:p>
    <w:p w14:paraId="02DB22E1" w14:textId="7C978389" w:rsidR="004874AB" w:rsidRPr="004A1902" w:rsidRDefault="00B708EF" w:rsidP="00E970B1">
      <w:pPr>
        <w:pStyle w:val="Default"/>
        <w:spacing w:line="360" w:lineRule="auto"/>
        <w:rPr>
          <w:lang w:val="en-CA"/>
        </w:rPr>
      </w:pPr>
      <w:r>
        <w:rPr>
          <w:b/>
          <w:lang w:val="en-CA"/>
        </w:rPr>
        <w:t xml:space="preserve">OBJECTIVES: </w:t>
      </w:r>
      <w:r>
        <w:rPr>
          <w:lang w:val="en-CA"/>
        </w:rPr>
        <w:t xml:space="preserve">To determine whether this association is, </w:t>
      </w:r>
      <w:r w:rsidRPr="004A1902">
        <w:rPr>
          <w:lang w:val="en-CA"/>
        </w:rPr>
        <w:t xml:space="preserve">at least in part, related to pre-existent prosthesis-patient mismatch (PPM), i.e. </w:t>
      </w:r>
      <w:r w:rsidRPr="00CA3875">
        <w:rPr>
          <w:lang w:val="en-CA"/>
        </w:rPr>
        <w:t xml:space="preserve">a </w:t>
      </w:r>
      <w:r>
        <w:rPr>
          <w:lang w:val="en-CA"/>
        </w:rPr>
        <w:t>bio</w:t>
      </w:r>
      <w:r w:rsidRPr="00CA3875">
        <w:rPr>
          <w:lang w:val="en-CA"/>
        </w:rPr>
        <w:t>prosthe</w:t>
      </w:r>
      <w:r>
        <w:rPr>
          <w:lang w:val="en-CA"/>
        </w:rPr>
        <w:t>sis</w:t>
      </w:r>
      <w:r w:rsidRPr="00CA3875">
        <w:rPr>
          <w:lang w:val="en-CA"/>
        </w:rPr>
        <w:t xml:space="preserve"> that is too small in relation to the body size</w:t>
      </w:r>
      <w:r w:rsidRPr="004A1902">
        <w:rPr>
          <w:lang w:val="en-CA"/>
        </w:rPr>
        <w:t>.</w:t>
      </w:r>
      <w:r>
        <w:rPr>
          <w:lang w:val="en-CA"/>
        </w:rPr>
        <w:t xml:space="preserve"> </w:t>
      </w:r>
    </w:p>
    <w:p w14:paraId="2BD5CF68" w14:textId="77777777" w:rsidR="004874AB" w:rsidRPr="004A1902" w:rsidRDefault="004874AB" w:rsidP="00F86913">
      <w:pPr>
        <w:pStyle w:val="Default"/>
        <w:spacing w:line="360" w:lineRule="auto"/>
        <w:rPr>
          <w:b/>
          <w:bCs/>
          <w:lang w:val="en-CA"/>
        </w:rPr>
      </w:pPr>
    </w:p>
    <w:p w14:paraId="44828F11" w14:textId="619675C6" w:rsidR="004874AB" w:rsidRPr="004A1902" w:rsidRDefault="004874AB" w:rsidP="007E0A45">
      <w:pPr>
        <w:autoSpaceDE w:val="0"/>
        <w:autoSpaceDN w:val="0"/>
        <w:adjustRightInd w:val="0"/>
        <w:spacing w:line="360" w:lineRule="auto"/>
        <w:rPr>
          <w:rFonts w:ascii="Times New Roman" w:hAnsi="Times New Roman"/>
        </w:rPr>
      </w:pPr>
      <w:r w:rsidRPr="004A1902">
        <w:rPr>
          <w:rFonts w:ascii="Times New Roman" w:hAnsi="Times New Roman"/>
          <w:b/>
        </w:rPr>
        <w:t xml:space="preserve">METHODS: </w:t>
      </w:r>
      <w:r w:rsidRPr="004A1902">
        <w:rPr>
          <w:rFonts w:ascii="Times New Roman" w:hAnsi="Times New Roman"/>
        </w:rPr>
        <w:t xml:space="preserve">Data of 1168 patients included in the VIVID registry were analyzed. Pre-existent PPM of the surgical valve was </w:t>
      </w:r>
      <w:r w:rsidR="004035D4" w:rsidRPr="004A1902">
        <w:rPr>
          <w:rFonts w:ascii="Times New Roman" w:hAnsi="Times New Roman"/>
        </w:rPr>
        <w:t>determined</w:t>
      </w:r>
      <w:r w:rsidRPr="004A1902">
        <w:rPr>
          <w:rFonts w:ascii="Times New Roman" w:hAnsi="Times New Roman"/>
        </w:rPr>
        <w:t xml:space="preserve"> using </w:t>
      </w:r>
      <w:r w:rsidR="007E0A45">
        <w:rPr>
          <w:rFonts w:ascii="Times New Roman" w:hAnsi="Times New Roman"/>
        </w:rPr>
        <w:t>a</w:t>
      </w:r>
      <w:r w:rsidRPr="004A1902">
        <w:rPr>
          <w:rFonts w:ascii="Times New Roman" w:hAnsi="Times New Roman"/>
        </w:rPr>
        <w:t xml:space="preserve"> reference value of EOA for each given model and size of implanted prosthetic valve indexed for body surface</w:t>
      </w:r>
      <w:r w:rsidR="004035D4" w:rsidRPr="004A1902">
        <w:rPr>
          <w:rFonts w:ascii="Times New Roman" w:hAnsi="Times New Roman"/>
        </w:rPr>
        <w:t>. Severe PPM was defined according to the</w:t>
      </w:r>
      <w:r w:rsidRPr="004A1902">
        <w:rPr>
          <w:rFonts w:ascii="Times New Roman" w:hAnsi="Times New Roman"/>
        </w:rPr>
        <w:t xml:space="preserve"> criteria proposed by VARC 2: indexed EOA &lt;0.65 cm</w:t>
      </w:r>
      <w:r w:rsidRPr="004A1902">
        <w:rPr>
          <w:rFonts w:ascii="Times New Roman" w:hAnsi="Times New Roman"/>
          <w:vertAlign w:val="superscript"/>
        </w:rPr>
        <w:t>2</w:t>
      </w:r>
      <w:r w:rsidRPr="004A1902">
        <w:rPr>
          <w:rFonts w:ascii="Times New Roman" w:hAnsi="Times New Roman"/>
        </w:rPr>
        <w:t>/m</w:t>
      </w:r>
      <w:r w:rsidRPr="004A1902">
        <w:rPr>
          <w:rFonts w:ascii="Times New Roman" w:hAnsi="Times New Roman"/>
          <w:vertAlign w:val="superscript"/>
        </w:rPr>
        <w:t>2</w:t>
      </w:r>
      <w:r w:rsidRPr="004A1902">
        <w:rPr>
          <w:rFonts w:ascii="Times New Roman" w:hAnsi="Times New Roman"/>
        </w:rPr>
        <w:t xml:space="preserve"> if body mass index</w:t>
      </w:r>
      <w:r w:rsidR="004035D4" w:rsidRPr="004A1902">
        <w:rPr>
          <w:rFonts w:ascii="Times New Roman" w:hAnsi="Times New Roman"/>
        </w:rPr>
        <w:t xml:space="preserve"> (BMI) is</w:t>
      </w:r>
      <w:r w:rsidRPr="004A1902">
        <w:rPr>
          <w:rFonts w:ascii="Times New Roman" w:hAnsi="Times New Roman"/>
        </w:rPr>
        <w:t xml:space="preserve"> &lt;30 kg/m</w:t>
      </w:r>
      <w:r w:rsidRPr="004A1902">
        <w:rPr>
          <w:rFonts w:ascii="Times New Roman" w:hAnsi="Times New Roman"/>
          <w:vertAlign w:val="superscript"/>
        </w:rPr>
        <w:t>2</w:t>
      </w:r>
      <w:r w:rsidRPr="004A1902">
        <w:rPr>
          <w:rFonts w:ascii="Times New Roman" w:hAnsi="Times New Roman"/>
        </w:rPr>
        <w:t xml:space="preserve"> or &lt;0.6 cm</w:t>
      </w:r>
      <w:r w:rsidRPr="004A1902">
        <w:rPr>
          <w:rFonts w:ascii="Times New Roman" w:hAnsi="Times New Roman"/>
          <w:vertAlign w:val="superscript"/>
        </w:rPr>
        <w:t>2</w:t>
      </w:r>
      <w:r w:rsidRPr="004A1902">
        <w:rPr>
          <w:rFonts w:ascii="Times New Roman" w:hAnsi="Times New Roman"/>
        </w:rPr>
        <w:t>/m</w:t>
      </w:r>
      <w:r w:rsidRPr="004A1902">
        <w:rPr>
          <w:rFonts w:ascii="Times New Roman" w:hAnsi="Times New Roman"/>
          <w:vertAlign w:val="superscript"/>
        </w:rPr>
        <w:t>2</w:t>
      </w:r>
      <w:r w:rsidRPr="004A1902">
        <w:rPr>
          <w:rFonts w:ascii="Times New Roman" w:hAnsi="Times New Roman"/>
        </w:rPr>
        <w:t xml:space="preserve"> if BMI </w:t>
      </w:r>
      <w:r w:rsidR="004035D4" w:rsidRPr="004A1902">
        <w:rPr>
          <w:rFonts w:ascii="Times New Roman" w:hAnsi="Times New Roman"/>
        </w:rPr>
        <w:t xml:space="preserve">is </w:t>
      </w:r>
      <w:r w:rsidRPr="004A1902">
        <w:rPr>
          <w:rFonts w:ascii="Times New Roman" w:hAnsi="Times New Roman"/>
        </w:rPr>
        <w:t>≥30 kg/m</w:t>
      </w:r>
      <w:r w:rsidRPr="004A1902">
        <w:rPr>
          <w:rFonts w:ascii="Times New Roman" w:hAnsi="Times New Roman"/>
          <w:vertAlign w:val="superscript"/>
        </w:rPr>
        <w:t>2</w:t>
      </w:r>
      <w:r w:rsidRPr="004A1902">
        <w:rPr>
          <w:rFonts w:ascii="Times New Roman" w:hAnsi="Times New Roman"/>
        </w:rPr>
        <w:t>. The primary study endpoint was 1-year mortality.</w:t>
      </w:r>
    </w:p>
    <w:p w14:paraId="5FB75830" w14:textId="77777777" w:rsidR="004874AB" w:rsidRPr="004A1902" w:rsidRDefault="004874AB" w:rsidP="00F86913">
      <w:pPr>
        <w:pStyle w:val="Default"/>
        <w:spacing w:line="360" w:lineRule="auto"/>
        <w:rPr>
          <w:b/>
          <w:bCs/>
          <w:lang w:val="en-CA"/>
        </w:rPr>
      </w:pPr>
    </w:p>
    <w:p w14:paraId="17BF218D" w14:textId="7D231377" w:rsidR="004874AB" w:rsidRPr="004A1902" w:rsidRDefault="004874AB" w:rsidP="00F86913">
      <w:pPr>
        <w:autoSpaceDE w:val="0"/>
        <w:autoSpaceDN w:val="0"/>
        <w:adjustRightInd w:val="0"/>
        <w:spacing w:line="360" w:lineRule="auto"/>
        <w:rPr>
          <w:rFonts w:ascii="Times New Roman" w:hAnsi="Times New Roman"/>
          <w:lang w:val="en-CA"/>
        </w:rPr>
      </w:pPr>
      <w:r w:rsidRPr="004A1902">
        <w:rPr>
          <w:rFonts w:ascii="Times New Roman" w:hAnsi="Times New Roman"/>
          <w:b/>
          <w:bCs/>
          <w:lang w:val="en-CA"/>
        </w:rPr>
        <w:t xml:space="preserve">RESULTS: </w:t>
      </w:r>
      <w:r w:rsidRPr="004A1902">
        <w:rPr>
          <w:rFonts w:ascii="Times New Roman" w:hAnsi="Times New Roman"/>
          <w:bCs/>
          <w:lang w:val="en-CA"/>
        </w:rPr>
        <w:t xml:space="preserve">Among the 1168 patients included in the registry, 89 (7.6%) patients had </w:t>
      </w:r>
      <w:r w:rsidR="000830CD" w:rsidRPr="004A1902">
        <w:rPr>
          <w:rFonts w:ascii="Times New Roman" w:hAnsi="Times New Roman"/>
          <w:bCs/>
          <w:lang w:val="en-CA"/>
        </w:rPr>
        <w:t>pre-existent severe</w:t>
      </w:r>
      <w:r w:rsidRPr="004A1902">
        <w:rPr>
          <w:rFonts w:ascii="Times New Roman" w:hAnsi="Times New Roman"/>
          <w:bCs/>
          <w:lang w:val="en-CA"/>
        </w:rPr>
        <w:t xml:space="preserve"> PPM.  Patients with severe PPM had higher </w:t>
      </w:r>
      <w:r w:rsidR="00973BC9" w:rsidRPr="004A1902">
        <w:rPr>
          <w:rFonts w:ascii="Times New Roman" w:hAnsi="Times New Roman"/>
          <w:bCs/>
          <w:lang w:val="en-CA"/>
        </w:rPr>
        <w:t>30-</w:t>
      </w:r>
      <w:r w:rsidR="00737900" w:rsidRPr="004A1902">
        <w:rPr>
          <w:rFonts w:ascii="Times New Roman" w:hAnsi="Times New Roman"/>
          <w:bCs/>
          <w:lang w:val="en-CA"/>
        </w:rPr>
        <w:t>day (10.3</w:t>
      </w:r>
      <w:r w:rsidR="00973BC9" w:rsidRPr="004A1902">
        <w:rPr>
          <w:rFonts w:ascii="Times New Roman" w:hAnsi="Times New Roman"/>
          <w:bCs/>
          <w:lang w:val="en-CA"/>
        </w:rPr>
        <w:t>%</w:t>
      </w:r>
      <w:r w:rsidR="007D0D55">
        <w:rPr>
          <w:rFonts w:ascii="Times New Roman" w:hAnsi="Times New Roman"/>
          <w:bCs/>
          <w:lang w:val="en-CA"/>
        </w:rPr>
        <w:t>; p=0.01</w:t>
      </w:r>
      <w:r w:rsidR="00973BC9" w:rsidRPr="004A1902">
        <w:rPr>
          <w:rFonts w:ascii="Times New Roman" w:hAnsi="Times New Roman"/>
          <w:bCs/>
          <w:lang w:val="en-CA"/>
        </w:rPr>
        <w:t xml:space="preserve">) and </w:t>
      </w:r>
      <w:r w:rsidRPr="004A1902">
        <w:rPr>
          <w:rFonts w:ascii="Times New Roman" w:hAnsi="Times New Roman"/>
          <w:bCs/>
          <w:lang w:val="en-CA"/>
        </w:rPr>
        <w:t xml:space="preserve">1-year </w:t>
      </w:r>
      <w:r w:rsidR="00973BC9" w:rsidRPr="004A1902">
        <w:rPr>
          <w:rFonts w:ascii="Times New Roman" w:hAnsi="Times New Roman"/>
          <w:bCs/>
          <w:lang w:val="en-CA"/>
        </w:rPr>
        <w:t>(</w:t>
      </w:r>
      <w:r w:rsidR="007D0D55">
        <w:rPr>
          <w:rFonts w:ascii="Times New Roman" w:hAnsi="Times New Roman"/>
          <w:bCs/>
          <w:lang w:val="en-CA"/>
        </w:rPr>
        <w:t xml:space="preserve">unadjusted: </w:t>
      </w:r>
      <w:r w:rsidR="00973BC9" w:rsidRPr="004A1902">
        <w:rPr>
          <w:rFonts w:ascii="Times New Roman" w:hAnsi="Times New Roman"/>
          <w:bCs/>
          <w:lang w:val="en-CA"/>
        </w:rPr>
        <w:t>28.6%</w:t>
      </w:r>
      <w:r w:rsidR="007D0D55">
        <w:rPr>
          <w:rFonts w:ascii="Times New Roman" w:hAnsi="Times New Roman"/>
          <w:bCs/>
          <w:lang w:val="en-CA"/>
        </w:rPr>
        <w:t>, p&lt;0.001; adjusted: 19.3%, p=0.03</w:t>
      </w:r>
      <w:r w:rsidR="00973BC9" w:rsidRPr="004A1902">
        <w:rPr>
          <w:rFonts w:ascii="Times New Roman" w:hAnsi="Times New Roman"/>
          <w:bCs/>
          <w:lang w:val="en-CA"/>
        </w:rPr>
        <w:t xml:space="preserve">) </w:t>
      </w:r>
      <w:r w:rsidRPr="004A1902">
        <w:rPr>
          <w:rFonts w:ascii="Times New Roman" w:hAnsi="Times New Roman"/>
          <w:bCs/>
          <w:lang w:val="en-CA"/>
        </w:rPr>
        <w:t>mortality rate</w:t>
      </w:r>
      <w:r w:rsidR="00973BC9" w:rsidRPr="004A1902">
        <w:rPr>
          <w:rFonts w:ascii="Times New Roman" w:hAnsi="Times New Roman"/>
          <w:bCs/>
          <w:lang w:val="en-CA"/>
        </w:rPr>
        <w:t>s</w:t>
      </w:r>
      <w:r w:rsidRPr="004A1902">
        <w:rPr>
          <w:rFonts w:ascii="Times New Roman" w:hAnsi="Times New Roman"/>
          <w:bCs/>
          <w:lang w:val="en-CA"/>
        </w:rPr>
        <w:t xml:space="preserve"> compared to patients with no severe PPM (</w:t>
      </w:r>
      <w:r w:rsidR="00973BC9" w:rsidRPr="004A1902">
        <w:rPr>
          <w:rFonts w:ascii="Times New Roman" w:hAnsi="Times New Roman"/>
          <w:bCs/>
          <w:lang w:val="en-CA"/>
        </w:rPr>
        <w:t xml:space="preserve">4.3% and </w:t>
      </w:r>
      <w:r w:rsidRPr="004A1902">
        <w:rPr>
          <w:rFonts w:ascii="Times New Roman" w:hAnsi="Times New Roman"/>
          <w:bCs/>
          <w:lang w:val="en-CA"/>
        </w:rPr>
        <w:t>11.9%</w:t>
      </w:r>
      <w:r w:rsidR="00973BC9" w:rsidRPr="004A1902">
        <w:rPr>
          <w:rFonts w:ascii="Times New Roman" w:hAnsi="Times New Roman"/>
          <w:bCs/>
          <w:lang w:val="en-CA"/>
        </w:rPr>
        <w:t>, respectively</w:t>
      </w:r>
      <w:r w:rsidRPr="004A1902">
        <w:rPr>
          <w:rFonts w:ascii="Times New Roman" w:hAnsi="Times New Roman"/>
          <w:bCs/>
          <w:lang w:val="en-CA"/>
        </w:rPr>
        <w:t xml:space="preserve">). </w:t>
      </w:r>
      <w:r w:rsidRPr="004A1902">
        <w:rPr>
          <w:rFonts w:ascii="Times New Roman" w:hAnsi="Times New Roman"/>
          <w:lang w:val="en-CA"/>
        </w:rPr>
        <w:t xml:space="preserve">After adjusting for surgical valve </w:t>
      </w:r>
      <w:r w:rsidR="007461A3">
        <w:rPr>
          <w:rFonts w:ascii="Times New Roman" w:hAnsi="Times New Roman"/>
          <w:lang w:val="en-CA"/>
        </w:rPr>
        <w:t xml:space="preserve">label </w:t>
      </w:r>
      <w:r w:rsidRPr="004A1902">
        <w:rPr>
          <w:rFonts w:ascii="Times New Roman" w:hAnsi="Times New Roman"/>
          <w:lang w:val="en-CA"/>
        </w:rPr>
        <w:t>siz</w:t>
      </w:r>
      <w:r w:rsidR="007461A3">
        <w:rPr>
          <w:rFonts w:ascii="Times New Roman" w:hAnsi="Times New Roman"/>
          <w:lang w:val="en-CA"/>
        </w:rPr>
        <w:t>e, STS score, renal failure,</w:t>
      </w:r>
      <w:r w:rsidRPr="004A1902">
        <w:rPr>
          <w:rFonts w:ascii="Times New Roman" w:hAnsi="Times New Roman"/>
          <w:lang w:val="en-CA"/>
        </w:rPr>
        <w:t xml:space="preserve"> diabetes,</w:t>
      </w:r>
      <w:r w:rsidR="007461A3">
        <w:rPr>
          <w:rFonts w:ascii="Times New Roman" w:hAnsi="Times New Roman"/>
          <w:lang w:val="en-CA"/>
        </w:rPr>
        <w:t xml:space="preserve"> and stentless surgical valves,</w:t>
      </w:r>
      <w:r w:rsidRPr="004A1902">
        <w:rPr>
          <w:rFonts w:ascii="Times New Roman" w:hAnsi="Times New Roman"/>
          <w:lang w:val="en-CA"/>
        </w:rPr>
        <w:t xml:space="preserve"> presence of pre-existent severe PPM was associated with increased risk of 1-year mortality </w:t>
      </w:r>
      <w:r w:rsidR="00880F4B" w:rsidRPr="00CA3875">
        <w:rPr>
          <w:rFonts w:ascii="Times New Roman" w:hAnsi="Times New Roman"/>
          <w:lang w:val="en-CA"/>
        </w:rPr>
        <w:t>(OR: 1.</w:t>
      </w:r>
      <w:r w:rsidR="00880F4B">
        <w:rPr>
          <w:rFonts w:ascii="Times New Roman" w:hAnsi="Times New Roman"/>
          <w:lang w:val="en-CA"/>
        </w:rPr>
        <w:t>88</w:t>
      </w:r>
      <w:r w:rsidR="00880F4B" w:rsidRPr="00CA3875">
        <w:rPr>
          <w:rFonts w:ascii="Times New Roman" w:hAnsi="Times New Roman"/>
          <w:lang w:val="en-CA"/>
        </w:rPr>
        <w:t>; 95% CI: 1.0</w:t>
      </w:r>
      <w:r w:rsidR="00880F4B">
        <w:rPr>
          <w:rFonts w:ascii="Times New Roman" w:hAnsi="Times New Roman"/>
          <w:lang w:val="en-CA"/>
        </w:rPr>
        <w:t>7</w:t>
      </w:r>
      <w:r w:rsidR="00880F4B" w:rsidRPr="00CA3875">
        <w:rPr>
          <w:rFonts w:ascii="Times New Roman" w:hAnsi="Times New Roman"/>
          <w:lang w:val="en-CA"/>
        </w:rPr>
        <w:t>-3.</w:t>
      </w:r>
      <w:r w:rsidR="00880F4B">
        <w:rPr>
          <w:rFonts w:ascii="Times New Roman" w:hAnsi="Times New Roman"/>
          <w:lang w:val="en-CA"/>
        </w:rPr>
        <w:t>28</w:t>
      </w:r>
      <w:r w:rsidR="00880F4B" w:rsidRPr="00CA3875">
        <w:rPr>
          <w:rFonts w:ascii="Times New Roman" w:hAnsi="Times New Roman"/>
          <w:lang w:val="en-CA"/>
        </w:rPr>
        <w:t>; p=0.0</w:t>
      </w:r>
      <w:r w:rsidR="00880F4B">
        <w:rPr>
          <w:rFonts w:ascii="Times New Roman" w:hAnsi="Times New Roman"/>
          <w:lang w:val="en-CA"/>
        </w:rPr>
        <w:t>3</w:t>
      </w:r>
      <w:r w:rsidR="00880F4B" w:rsidRPr="00CA3875">
        <w:rPr>
          <w:rFonts w:ascii="Times New Roman" w:hAnsi="Times New Roman"/>
          <w:lang w:val="en-CA"/>
        </w:rPr>
        <w:t>)</w:t>
      </w:r>
      <w:r w:rsidR="00880F4B">
        <w:rPr>
          <w:rFonts w:ascii="Times New Roman" w:hAnsi="Times New Roman"/>
          <w:lang w:val="en-CA"/>
        </w:rPr>
        <w:t xml:space="preserve">. </w:t>
      </w:r>
      <w:r w:rsidR="00096E34">
        <w:rPr>
          <w:rFonts w:ascii="Times New Roman" w:hAnsi="Times New Roman"/>
          <w:bCs/>
          <w:lang w:val="en-CA"/>
        </w:rPr>
        <w:t>Patients with severe PPM also more frequently harbored high post-procedural gradient (mean gradient ≥ 20 mmHg).</w:t>
      </w:r>
    </w:p>
    <w:p w14:paraId="1A76D838" w14:textId="77777777" w:rsidR="004874AB" w:rsidRPr="004A1902" w:rsidRDefault="004874AB" w:rsidP="00F86913">
      <w:pPr>
        <w:autoSpaceDE w:val="0"/>
        <w:autoSpaceDN w:val="0"/>
        <w:adjustRightInd w:val="0"/>
        <w:spacing w:line="360" w:lineRule="auto"/>
        <w:rPr>
          <w:rFonts w:ascii="Times New Roman" w:hAnsi="Times New Roman"/>
          <w:b/>
          <w:bCs/>
          <w:lang w:val="en-CA"/>
        </w:rPr>
      </w:pPr>
    </w:p>
    <w:p w14:paraId="5C51A672" w14:textId="4A2DAA99" w:rsidR="004874AB" w:rsidRPr="004A1902" w:rsidRDefault="004874AB" w:rsidP="009B33B2">
      <w:pPr>
        <w:pStyle w:val="Default"/>
        <w:spacing w:line="360" w:lineRule="auto"/>
        <w:rPr>
          <w:lang w:val="en-CA"/>
        </w:rPr>
      </w:pPr>
      <w:r w:rsidRPr="004A1902">
        <w:rPr>
          <w:b/>
          <w:bCs/>
          <w:lang w:val="en-CA"/>
        </w:rPr>
        <w:t xml:space="preserve">CONCLUSIONS:  </w:t>
      </w:r>
      <w:r w:rsidRPr="004A1902">
        <w:rPr>
          <w:lang w:val="en-CA"/>
        </w:rPr>
        <w:t xml:space="preserve">Pre-existent PPM of the failed surgical valve is strongly and independently associated with increased risk of mortality following ViV. </w:t>
      </w:r>
    </w:p>
    <w:p w14:paraId="5FACCF60" w14:textId="77777777" w:rsidR="001256EE" w:rsidRPr="004A1902" w:rsidRDefault="001256EE" w:rsidP="00F86913">
      <w:pPr>
        <w:spacing w:line="480" w:lineRule="auto"/>
        <w:rPr>
          <w:rFonts w:ascii="Times New Roman" w:hAnsi="Times New Roman"/>
          <w:lang w:val="en-US"/>
        </w:rPr>
      </w:pPr>
    </w:p>
    <w:p w14:paraId="07009484" w14:textId="336D382A" w:rsidR="007461A3" w:rsidRPr="007461A3" w:rsidRDefault="002D12DB" w:rsidP="00F86913">
      <w:pPr>
        <w:spacing w:line="480" w:lineRule="auto"/>
        <w:rPr>
          <w:rFonts w:ascii="Times New Roman" w:hAnsi="Times New Roman"/>
          <w:lang w:val="en-US"/>
        </w:rPr>
      </w:pPr>
      <w:r w:rsidRPr="004A1902">
        <w:rPr>
          <w:rFonts w:ascii="Times New Roman" w:hAnsi="Times New Roman"/>
          <w:b/>
          <w:lang w:val="en-US"/>
        </w:rPr>
        <w:t xml:space="preserve">Keywords: </w:t>
      </w:r>
      <w:r w:rsidR="00C858E0" w:rsidRPr="004A1902">
        <w:rPr>
          <w:rFonts w:ascii="Times New Roman" w:hAnsi="Times New Roman"/>
          <w:lang w:val="en-US"/>
        </w:rPr>
        <w:t xml:space="preserve">Valve-in-valve; </w:t>
      </w:r>
      <w:r w:rsidR="00324101" w:rsidRPr="004A1902">
        <w:rPr>
          <w:rFonts w:ascii="Times New Roman" w:hAnsi="Times New Roman"/>
          <w:lang w:val="en-US"/>
        </w:rPr>
        <w:t>Prosthesis-patient-mismatch, Transcatheter aortic valve replacement</w:t>
      </w:r>
      <w:r w:rsidR="00205538" w:rsidRPr="004A1902">
        <w:rPr>
          <w:rFonts w:ascii="Times New Roman" w:hAnsi="Times New Roman"/>
          <w:lang w:val="en-US"/>
        </w:rPr>
        <w:br w:type="page"/>
      </w:r>
    </w:p>
    <w:p w14:paraId="58D341E9" w14:textId="77777777" w:rsidR="00021658" w:rsidRDefault="00021658" w:rsidP="00021658">
      <w:pPr>
        <w:jc w:val="center"/>
        <w:rPr>
          <w:rFonts w:ascii="Times New Roman" w:hAnsi="Times New Roman"/>
          <w:b/>
          <w:lang w:val="en-US"/>
        </w:rPr>
      </w:pPr>
      <w:r>
        <w:rPr>
          <w:rFonts w:ascii="Times New Roman" w:hAnsi="Times New Roman"/>
          <w:b/>
          <w:lang w:val="en-US"/>
        </w:rPr>
        <w:lastRenderedPageBreak/>
        <w:t>CONDENSED ABSTRACT</w:t>
      </w:r>
    </w:p>
    <w:p w14:paraId="54D7F748" w14:textId="77777777" w:rsidR="00021658" w:rsidRPr="00021658" w:rsidRDefault="00021658" w:rsidP="00021658">
      <w:pPr>
        <w:rPr>
          <w:rFonts w:ascii="Times New Roman" w:hAnsi="Times New Roman"/>
          <w:b/>
          <w:lang w:val="en-US"/>
        </w:rPr>
      </w:pPr>
    </w:p>
    <w:p w14:paraId="7C366ECD" w14:textId="319D1142" w:rsidR="00021658" w:rsidRPr="00021658" w:rsidRDefault="00021658" w:rsidP="00021658">
      <w:pPr>
        <w:spacing w:line="360" w:lineRule="auto"/>
        <w:rPr>
          <w:rFonts w:ascii="Times New Roman" w:hAnsi="Times New Roman"/>
          <w:lang w:val="en-US"/>
        </w:rPr>
      </w:pPr>
      <w:r w:rsidRPr="00021658">
        <w:rPr>
          <w:rFonts w:ascii="Times New Roman" w:hAnsi="Times New Roman"/>
          <w:lang w:val="en-US"/>
        </w:rPr>
        <w:t>Transcatheter valve-in-valve (ViV) is an alternative treatment in patients with degenerated bioprostheses. Our objective was to examine the association between pre-existent prosthesis-patient mismatch (PPM) and increased ViV mortality, as well as to increased gradients. We determined pre-existent PPM based on reference surgical valve EOA values. Our 1168-patient study has found that individuals with severe pre-existent PPM had higher 30-day and 1-year mortality post-ViV, independent of label size, STS score, renal failure, diabetes</w:t>
      </w:r>
      <w:r w:rsidR="001A5B02">
        <w:rPr>
          <w:rFonts w:ascii="Times New Roman" w:hAnsi="Times New Roman"/>
          <w:lang w:val="en-US"/>
        </w:rPr>
        <w:t>,</w:t>
      </w:r>
      <w:r w:rsidRPr="00021658">
        <w:rPr>
          <w:rFonts w:ascii="Times New Roman" w:hAnsi="Times New Roman"/>
          <w:lang w:val="en-US"/>
        </w:rPr>
        <w:t xml:space="preserve"> and stentless valves. Gradients were also higher in this group. We conclude that pre-existent PPM is an important predictor of mortality and worse hemodynamics after ViV.</w:t>
      </w:r>
    </w:p>
    <w:p w14:paraId="67EB8FEE" w14:textId="3B947BA2" w:rsidR="00021658" w:rsidRDefault="00021658" w:rsidP="00021658">
      <w:pPr>
        <w:rPr>
          <w:rFonts w:ascii="Times New Roman" w:hAnsi="Times New Roman"/>
          <w:b/>
          <w:lang w:val="en-US"/>
        </w:rPr>
      </w:pPr>
      <w:r>
        <w:rPr>
          <w:rFonts w:ascii="Times New Roman" w:hAnsi="Times New Roman"/>
          <w:b/>
          <w:lang w:val="en-US"/>
        </w:rPr>
        <w:br w:type="page"/>
      </w:r>
    </w:p>
    <w:p w14:paraId="4A212E9E" w14:textId="1B24A571" w:rsidR="00BE4333" w:rsidRPr="004A1902" w:rsidRDefault="00BE4333" w:rsidP="00021658">
      <w:pPr>
        <w:spacing w:line="360" w:lineRule="auto"/>
        <w:rPr>
          <w:rFonts w:ascii="Times New Roman" w:hAnsi="Times New Roman"/>
          <w:lang w:val="en-US"/>
        </w:rPr>
      </w:pPr>
      <w:r w:rsidRPr="004A1902">
        <w:rPr>
          <w:rFonts w:ascii="Times New Roman" w:hAnsi="Times New Roman"/>
          <w:b/>
          <w:lang w:val="en-US"/>
        </w:rPr>
        <w:lastRenderedPageBreak/>
        <w:t>Acknowledgements</w:t>
      </w:r>
    </w:p>
    <w:p w14:paraId="5E29AEED" w14:textId="1033CF39" w:rsidR="00BE4333" w:rsidRPr="004A1902" w:rsidRDefault="004A1902" w:rsidP="00021658">
      <w:pPr>
        <w:spacing w:line="360" w:lineRule="auto"/>
        <w:rPr>
          <w:rFonts w:ascii="Times New Roman" w:hAnsi="Times New Roman"/>
          <w:lang w:val="en-US"/>
        </w:rPr>
      </w:pPr>
      <w:r w:rsidRPr="004A1902">
        <w:rPr>
          <w:rFonts w:ascii="Times New Roman" w:hAnsi="Times New Roman"/>
        </w:rPr>
        <w:t>Dr. Pibarot is the Canada Research Chair in Valvular Heart Disease. His research program is funded by Canadian Institutes of Health Research (FDN-143225).</w:t>
      </w:r>
    </w:p>
    <w:p w14:paraId="59024F38" w14:textId="77777777" w:rsidR="004A1902" w:rsidRPr="004A1902" w:rsidRDefault="004A1902" w:rsidP="00021658">
      <w:pPr>
        <w:spacing w:line="360" w:lineRule="auto"/>
        <w:rPr>
          <w:rFonts w:ascii="Times New Roman" w:hAnsi="Times New Roman"/>
          <w:b/>
          <w:lang w:val="en-US"/>
        </w:rPr>
      </w:pPr>
    </w:p>
    <w:p w14:paraId="3FD418B7" w14:textId="77777777" w:rsidR="00892868" w:rsidRDefault="00BE4333" w:rsidP="00892868">
      <w:pPr>
        <w:spacing w:line="360" w:lineRule="auto"/>
        <w:rPr>
          <w:rFonts w:ascii="Times New Roman" w:hAnsi="Times New Roman"/>
          <w:b/>
          <w:lang w:val="en-US"/>
        </w:rPr>
      </w:pPr>
      <w:r w:rsidRPr="004A1902">
        <w:rPr>
          <w:rFonts w:ascii="Times New Roman" w:hAnsi="Times New Roman"/>
          <w:b/>
          <w:lang w:val="en-US"/>
        </w:rPr>
        <w:t>Disclosures</w:t>
      </w:r>
    </w:p>
    <w:p w14:paraId="6CD28724" w14:textId="46C50DC1" w:rsidR="00ED06BD" w:rsidRPr="00892868" w:rsidRDefault="00A84FE3" w:rsidP="00892868">
      <w:pPr>
        <w:spacing w:line="360" w:lineRule="auto"/>
        <w:rPr>
          <w:rFonts w:ascii="Times New Roman" w:hAnsi="Times New Roman"/>
          <w:b/>
          <w:lang w:val="en-US"/>
        </w:rPr>
      </w:pPr>
      <w:r w:rsidRPr="009F7476">
        <w:rPr>
          <w:rFonts w:ascii="Times New Roman" w:hAnsi="Times New Roman"/>
        </w:rPr>
        <w:t>Dr</w:t>
      </w:r>
      <w:r w:rsidR="00B708EF" w:rsidRPr="009F7476">
        <w:rPr>
          <w:rFonts w:ascii="Times New Roman" w:hAnsi="Times New Roman"/>
        </w:rPr>
        <w:t>.</w:t>
      </w:r>
      <w:r w:rsidR="004A1902" w:rsidRPr="009F7476">
        <w:rPr>
          <w:rFonts w:ascii="Times New Roman" w:hAnsi="Times New Roman"/>
        </w:rPr>
        <w:t xml:space="preserve"> Pibarot received research grant from Edwards Lifesciences and Medtronic for echocardiography core laboratory analyses in transcatheter heart valves.</w:t>
      </w:r>
      <w:r w:rsidR="007E0A45" w:rsidRPr="009F7476">
        <w:rPr>
          <w:rFonts w:ascii="Times New Roman" w:hAnsi="Times New Roman"/>
        </w:rPr>
        <w:t xml:space="preserve"> </w:t>
      </w:r>
      <w:r w:rsidR="00B708EF" w:rsidRPr="009F7476">
        <w:rPr>
          <w:rFonts w:ascii="Times New Roman" w:hAnsi="Times New Roman"/>
        </w:rPr>
        <w:t>D</w:t>
      </w:r>
      <w:r w:rsidRPr="009F7476">
        <w:rPr>
          <w:rFonts w:ascii="Times New Roman" w:hAnsi="Times New Roman"/>
        </w:rPr>
        <w:t>r.</w:t>
      </w:r>
      <w:r w:rsidR="007E0A45" w:rsidRPr="009F7476">
        <w:rPr>
          <w:rFonts w:ascii="Times New Roman" w:hAnsi="Times New Roman"/>
        </w:rPr>
        <w:t xml:space="preserve"> Dvir is a consultant for Edwards Lifesciences, Medtronic and St. Jude Medical.</w:t>
      </w:r>
      <w:r w:rsidR="00D5007A" w:rsidRPr="009F7476">
        <w:rPr>
          <w:rFonts w:ascii="Times New Roman" w:hAnsi="Times New Roman"/>
        </w:rPr>
        <w:t xml:space="preserve"> Dr Moat has received Consulting/speakers fees from Abbott, Edwards Lifesciences, Medtronic</w:t>
      </w:r>
      <w:r w:rsidR="00A83389" w:rsidRPr="009F7476">
        <w:rPr>
          <w:rFonts w:ascii="Times New Roman" w:hAnsi="Times New Roman"/>
          <w:lang w:val="en-US"/>
        </w:rPr>
        <w:t>. Dr</w:t>
      </w:r>
      <w:r w:rsidR="00ED06BD" w:rsidRPr="009F7476">
        <w:rPr>
          <w:rFonts w:ascii="Times New Roman" w:hAnsi="Times New Roman"/>
          <w:lang w:val="en-US"/>
        </w:rPr>
        <w:t>.</w:t>
      </w:r>
      <w:r w:rsidR="00A83389" w:rsidRPr="009F7476">
        <w:rPr>
          <w:rFonts w:ascii="Times New Roman" w:hAnsi="Times New Roman"/>
          <w:lang w:val="en-US"/>
        </w:rPr>
        <w:t xml:space="preserve"> Latib is </w:t>
      </w:r>
      <w:r w:rsidR="00A83389" w:rsidRPr="009F7476">
        <w:rPr>
          <w:rFonts w:ascii="Times New Roman" w:hAnsi="Times New Roman"/>
        </w:rPr>
        <w:t>consultant for Medtronic and received speaking honoraria from Abbott Vascular and r</w:t>
      </w:r>
      <w:r w:rsidR="002641A1" w:rsidRPr="009F7476">
        <w:rPr>
          <w:rFonts w:ascii="Times New Roman" w:hAnsi="Times New Roman"/>
        </w:rPr>
        <w:t xml:space="preserve">esearch grants from Medtronic </w:t>
      </w:r>
      <w:r w:rsidR="00A83389" w:rsidRPr="009F7476">
        <w:rPr>
          <w:rFonts w:ascii="Times New Roman" w:hAnsi="Times New Roman"/>
        </w:rPr>
        <w:t>and Edwards Lifesciences.</w:t>
      </w:r>
      <w:r w:rsidR="00A83389" w:rsidRPr="009F7476">
        <w:rPr>
          <w:rFonts w:ascii="Times New Roman" w:hAnsi="Times New Roman"/>
          <w:lang w:val="en-US"/>
        </w:rPr>
        <w:t xml:space="preserve"> </w:t>
      </w:r>
      <w:r w:rsidR="002641A1" w:rsidRPr="009F7476">
        <w:rPr>
          <w:rFonts w:ascii="Times New Roman" w:hAnsi="Times New Roman"/>
          <w:lang w:val="en-US"/>
        </w:rPr>
        <w:t>Dr</w:t>
      </w:r>
      <w:r w:rsidR="00ED06BD" w:rsidRPr="009F7476">
        <w:rPr>
          <w:rFonts w:ascii="Times New Roman" w:hAnsi="Times New Roman"/>
          <w:lang w:val="en-US"/>
        </w:rPr>
        <w:t>.</w:t>
      </w:r>
      <w:r w:rsidR="002641A1" w:rsidRPr="009F7476">
        <w:rPr>
          <w:rFonts w:ascii="Times New Roman" w:hAnsi="Times New Roman"/>
          <w:lang w:val="en-US"/>
        </w:rPr>
        <w:t xml:space="preserve"> </w:t>
      </w:r>
      <w:r w:rsidR="002641A1" w:rsidRPr="009F7476">
        <w:rPr>
          <w:rFonts w:ascii="Times New Roman" w:hAnsi="Times New Roman"/>
        </w:rPr>
        <w:t>Kim is proctor for Symetis and St. Jude Medical</w:t>
      </w:r>
      <w:r w:rsidR="00ED06BD" w:rsidRPr="009F7476">
        <w:rPr>
          <w:rFonts w:ascii="Times New Roman" w:hAnsi="Times New Roman"/>
          <w:lang w:val="en-US"/>
        </w:rPr>
        <w:t xml:space="preserve">. Dr. </w:t>
      </w:r>
      <w:proofErr w:type="spellStart"/>
      <w:r w:rsidR="00ED06BD" w:rsidRPr="009F7476">
        <w:rPr>
          <w:rFonts w:ascii="Times New Roman" w:hAnsi="Times New Roman"/>
          <w:lang w:val="en-US"/>
        </w:rPr>
        <w:t>Linke</w:t>
      </w:r>
      <w:proofErr w:type="spellEnd"/>
      <w:r w:rsidR="00ED06BD" w:rsidRPr="009F7476">
        <w:rPr>
          <w:rFonts w:ascii="Times New Roman" w:hAnsi="Times New Roman"/>
          <w:lang w:val="en-US"/>
        </w:rPr>
        <w:t xml:space="preserve"> is consultant for Medtronic, St. Jude Medical., Claret Medical, Boston Scientific, Edwards Lifesciences, </w:t>
      </w:r>
      <w:proofErr w:type="spellStart"/>
      <w:r w:rsidR="00ED06BD" w:rsidRPr="009F7476">
        <w:rPr>
          <w:rFonts w:ascii="Times New Roman" w:hAnsi="Times New Roman"/>
          <w:lang w:val="en-US"/>
        </w:rPr>
        <w:t>Symetis</w:t>
      </w:r>
      <w:proofErr w:type="spellEnd"/>
      <w:r w:rsidR="00ED06BD" w:rsidRPr="009F7476">
        <w:rPr>
          <w:rFonts w:ascii="Times New Roman" w:hAnsi="Times New Roman"/>
          <w:lang w:val="en-US"/>
        </w:rPr>
        <w:t xml:space="preserve"> and Bard, and he owns stock option from Claret Medical.</w:t>
      </w:r>
      <w:r w:rsidR="007C0ACC">
        <w:rPr>
          <w:rFonts w:ascii="Times New Roman" w:hAnsi="Times New Roman"/>
          <w:lang w:val="en-US"/>
        </w:rPr>
        <w:t xml:space="preserve"> Other authors have no disclosures.</w:t>
      </w:r>
    </w:p>
    <w:p w14:paraId="3C42AF78" w14:textId="77777777" w:rsidR="00021658" w:rsidRDefault="00021658" w:rsidP="007E0A45">
      <w:pPr>
        <w:spacing w:line="480" w:lineRule="auto"/>
        <w:rPr>
          <w:rFonts w:ascii="Times New Roman" w:hAnsi="Times New Roman"/>
          <w:b/>
          <w:lang w:val="en-US"/>
        </w:rPr>
      </w:pPr>
    </w:p>
    <w:p w14:paraId="3CC4E0AB" w14:textId="67EBC85A" w:rsidR="00892868" w:rsidRDefault="0000747D" w:rsidP="00D423C4">
      <w:pPr>
        <w:spacing w:line="360" w:lineRule="auto"/>
        <w:rPr>
          <w:rFonts w:ascii="Times New Roman" w:hAnsi="Times New Roman"/>
          <w:b/>
          <w:lang w:val="en-US"/>
        </w:rPr>
      </w:pPr>
      <w:r>
        <w:rPr>
          <w:rFonts w:ascii="Times New Roman" w:hAnsi="Times New Roman"/>
          <w:b/>
          <w:lang w:val="en-US"/>
        </w:rPr>
        <w:t>Abbreviations</w:t>
      </w:r>
    </w:p>
    <w:p w14:paraId="65155913" w14:textId="77777777" w:rsidR="0000747D" w:rsidRDefault="0000747D" w:rsidP="00D423C4">
      <w:pPr>
        <w:spacing w:line="360" w:lineRule="auto"/>
        <w:rPr>
          <w:rFonts w:ascii="Times New Roman" w:hAnsi="Times New Roman"/>
          <w:lang w:val="en-US"/>
        </w:rPr>
      </w:pPr>
      <w:r>
        <w:rPr>
          <w:rFonts w:ascii="Times New Roman" w:hAnsi="Times New Roman"/>
          <w:lang w:val="en-US"/>
        </w:rPr>
        <w:t>AVR: Aortic valve replacement</w:t>
      </w:r>
    </w:p>
    <w:p w14:paraId="3A1F6360" w14:textId="77777777" w:rsidR="0000747D" w:rsidRDefault="0000747D" w:rsidP="00D423C4">
      <w:pPr>
        <w:spacing w:line="360" w:lineRule="auto"/>
        <w:rPr>
          <w:rFonts w:ascii="Times New Roman" w:hAnsi="Times New Roman"/>
          <w:lang w:val="en-US"/>
        </w:rPr>
      </w:pPr>
      <w:r>
        <w:rPr>
          <w:rFonts w:ascii="Times New Roman" w:hAnsi="Times New Roman"/>
          <w:lang w:val="en-US"/>
        </w:rPr>
        <w:t>THV: Transcatheter heart valve</w:t>
      </w:r>
    </w:p>
    <w:p w14:paraId="28779EC3" w14:textId="77777777" w:rsidR="0000747D" w:rsidRDefault="0000747D" w:rsidP="00D423C4">
      <w:pPr>
        <w:spacing w:line="360" w:lineRule="auto"/>
        <w:rPr>
          <w:rFonts w:ascii="Times New Roman" w:hAnsi="Times New Roman"/>
          <w:lang w:val="en-US"/>
        </w:rPr>
      </w:pPr>
      <w:r>
        <w:rPr>
          <w:rFonts w:ascii="Times New Roman" w:hAnsi="Times New Roman"/>
          <w:lang w:val="en-US"/>
        </w:rPr>
        <w:t>ViV: Valve-in-valve</w:t>
      </w:r>
    </w:p>
    <w:p w14:paraId="35B74598" w14:textId="77777777" w:rsidR="00DB7426" w:rsidRDefault="0000747D" w:rsidP="00D423C4">
      <w:pPr>
        <w:spacing w:line="360" w:lineRule="auto"/>
        <w:rPr>
          <w:rFonts w:ascii="Times New Roman" w:hAnsi="Times New Roman"/>
          <w:lang w:val="en-US"/>
        </w:rPr>
      </w:pPr>
      <w:r>
        <w:rPr>
          <w:rFonts w:ascii="Times New Roman" w:hAnsi="Times New Roman"/>
          <w:lang w:val="en-US"/>
        </w:rPr>
        <w:t>PPM: Prosthesis-patient mismatch</w:t>
      </w:r>
    </w:p>
    <w:p w14:paraId="2C33EEBF" w14:textId="77777777" w:rsidR="00DB7426" w:rsidRDefault="00DB7426" w:rsidP="00D423C4">
      <w:pPr>
        <w:spacing w:line="360" w:lineRule="auto"/>
        <w:rPr>
          <w:rFonts w:ascii="Times New Roman" w:hAnsi="Times New Roman"/>
          <w:lang w:val="en-US"/>
        </w:rPr>
      </w:pPr>
      <w:r>
        <w:rPr>
          <w:rFonts w:ascii="Times New Roman" w:hAnsi="Times New Roman"/>
          <w:lang w:val="en-US"/>
        </w:rPr>
        <w:t>VIVID: Valve-in-Valve International Data</w:t>
      </w:r>
    </w:p>
    <w:p w14:paraId="3D7BC28C" w14:textId="77777777" w:rsidR="00DB7426" w:rsidRDefault="00DB7426" w:rsidP="00D423C4">
      <w:pPr>
        <w:spacing w:line="360" w:lineRule="auto"/>
        <w:rPr>
          <w:rFonts w:ascii="Times New Roman" w:hAnsi="Times New Roman"/>
          <w:lang w:val="en-US"/>
        </w:rPr>
      </w:pPr>
      <w:r>
        <w:rPr>
          <w:rFonts w:ascii="Times New Roman" w:hAnsi="Times New Roman"/>
          <w:lang w:val="en-US"/>
        </w:rPr>
        <w:t>EOA: Effective orifice area</w:t>
      </w:r>
    </w:p>
    <w:p w14:paraId="426C53B6" w14:textId="77777777" w:rsidR="00DB7426" w:rsidRDefault="00DB7426" w:rsidP="00D423C4">
      <w:pPr>
        <w:spacing w:line="360" w:lineRule="auto"/>
        <w:rPr>
          <w:rFonts w:ascii="Times New Roman" w:hAnsi="Times New Roman"/>
          <w:lang w:val="en-US"/>
        </w:rPr>
      </w:pPr>
      <w:r>
        <w:rPr>
          <w:rFonts w:ascii="Times New Roman" w:hAnsi="Times New Roman"/>
          <w:lang w:val="en-US"/>
        </w:rPr>
        <w:t>VARC: Valve Academic Research Consortium</w:t>
      </w:r>
    </w:p>
    <w:p w14:paraId="7C186E89" w14:textId="7C1766A3" w:rsidR="0000747D" w:rsidRDefault="00DB7426" w:rsidP="00D423C4">
      <w:pPr>
        <w:spacing w:line="360" w:lineRule="auto"/>
        <w:rPr>
          <w:rFonts w:ascii="Times New Roman" w:hAnsi="Times New Roman"/>
          <w:lang w:val="en-US"/>
        </w:rPr>
      </w:pPr>
      <w:r>
        <w:rPr>
          <w:rFonts w:ascii="Times New Roman" w:hAnsi="Times New Roman"/>
          <w:lang w:val="en-US"/>
        </w:rPr>
        <w:t>STS: Society of Thoracic Surgeons</w:t>
      </w:r>
      <w:r w:rsidR="00E9267B" w:rsidRPr="00CA3875">
        <w:rPr>
          <w:rFonts w:ascii="Times New Roman" w:hAnsi="Times New Roman"/>
          <w:lang w:val="en-US"/>
        </w:rPr>
        <w:br w:type="page"/>
      </w:r>
    </w:p>
    <w:p w14:paraId="062297F7" w14:textId="442C8C8A" w:rsidR="00E9267B" w:rsidRPr="00CA3875" w:rsidRDefault="00033120" w:rsidP="007E0A45">
      <w:pPr>
        <w:spacing w:line="480" w:lineRule="auto"/>
        <w:rPr>
          <w:rFonts w:ascii="Times New Roman" w:hAnsi="Times New Roman"/>
          <w:lang w:val="en-US"/>
        </w:rPr>
      </w:pPr>
      <w:r w:rsidRPr="00F86913">
        <w:rPr>
          <w:rFonts w:ascii="Times New Roman" w:hAnsi="Times New Roman"/>
          <w:b/>
          <w:sz w:val="28"/>
          <w:lang w:val="en-US"/>
        </w:rPr>
        <w:lastRenderedPageBreak/>
        <w:t>INTRODUCTION</w:t>
      </w:r>
    </w:p>
    <w:p w14:paraId="782C92F4" w14:textId="7F74ACEF" w:rsidR="00E9267B" w:rsidRPr="00CA3875" w:rsidRDefault="00021658" w:rsidP="00F86913">
      <w:pPr>
        <w:spacing w:line="480" w:lineRule="auto"/>
        <w:rPr>
          <w:rFonts w:ascii="Times New Roman" w:hAnsi="Times New Roman"/>
          <w:lang w:val="en-US"/>
        </w:rPr>
      </w:pPr>
      <w:r>
        <w:rPr>
          <w:rFonts w:ascii="Times New Roman" w:hAnsi="Times New Roman"/>
          <w:lang w:val="en-US"/>
        </w:rPr>
        <w:t>Currently</w:t>
      </w:r>
      <w:r w:rsidR="00C519FE" w:rsidRPr="00CA3875">
        <w:rPr>
          <w:rFonts w:ascii="Times New Roman" w:hAnsi="Times New Roman"/>
          <w:lang w:val="en-US"/>
        </w:rPr>
        <w:t>, the vast majority of surgical aortic valve replacem</w:t>
      </w:r>
      <w:r w:rsidR="00264560" w:rsidRPr="00CA3875">
        <w:rPr>
          <w:rFonts w:ascii="Times New Roman" w:hAnsi="Times New Roman"/>
          <w:lang w:val="en-US"/>
        </w:rPr>
        <w:t xml:space="preserve">ents (AVR) are performed with </w:t>
      </w:r>
      <w:r w:rsidR="00C519FE" w:rsidRPr="00CA3875">
        <w:rPr>
          <w:rFonts w:ascii="Times New Roman" w:hAnsi="Times New Roman"/>
          <w:lang w:val="en-US"/>
        </w:rPr>
        <w:t>bioprosthetic valve</w:t>
      </w:r>
      <w:r w:rsidR="00264560" w:rsidRPr="00CA3875">
        <w:rPr>
          <w:rFonts w:ascii="Times New Roman" w:hAnsi="Times New Roman"/>
          <w:lang w:val="en-US"/>
        </w:rPr>
        <w:t>s</w:t>
      </w:r>
      <w:r w:rsidR="000F4BA2">
        <w:rPr>
          <w:rFonts w:ascii="Times New Roman" w:hAnsi="Times New Roman"/>
          <w:lang w:val="en-US"/>
        </w:rPr>
        <w:t>,</w:t>
      </w:r>
      <w:r w:rsidR="00C519FE" w:rsidRPr="00CA3875">
        <w:rPr>
          <w:rFonts w:ascii="Times New Roman" w:hAnsi="Times New Roman"/>
          <w:lang w:val="en-US"/>
        </w:rPr>
        <w:t xml:space="preserve"> </w:t>
      </w:r>
      <w:r w:rsidR="00264560" w:rsidRPr="00CA3875">
        <w:rPr>
          <w:rFonts w:ascii="Times New Roman" w:hAnsi="Times New Roman"/>
          <w:lang w:val="en-US"/>
        </w:rPr>
        <w:t xml:space="preserve">essentially </w:t>
      </w:r>
      <w:r w:rsidR="00C519FE" w:rsidRPr="00CA3875">
        <w:rPr>
          <w:rFonts w:ascii="Times New Roman" w:hAnsi="Times New Roman"/>
          <w:lang w:val="en-US"/>
        </w:rPr>
        <w:t>because th</w:t>
      </w:r>
      <w:r w:rsidR="00264560" w:rsidRPr="00CA3875">
        <w:rPr>
          <w:rFonts w:ascii="Times New Roman" w:hAnsi="Times New Roman"/>
          <w:lang w:val="en-US"/>
        </w:rPr>
        <w:t>ese valve substitutes are</w:t>
      </w:r>
      <w:r w:rsidR="00C519FE" w:rsidRPr="00CA3875">
        <w:rPr>
          <w:rFonts w:ascii="Times New Roman" w:hAnsi="Times New Roman"/>
          <w:lang w:val="en-US"/>
        </w:rPr>
        <w:t xml:space="preserve"> associated with less thrombotic and bleeding complications </w:t>
      </w:r>
      <w:r w:rsidR="000F4BA2">
        <w:rPr>
          <w:rFonts w:ascii="Times New Roman" w:hAnsi="Times New Roman"/>
          <w:lang w:val="en-US"/>
        </w:rPr>
        <w:t xml:space="preserve">when </w:t>
      </w:r>
      <w:r w:rsidR="00C519FE" w:rsidRPr="00CA3875">
        <w:rPr>
          <w:rFonts w:ascii="Times New Roman" w:hAnsi="Times New Roman"/>
          <w:lang w:val="en-US"/>
        </w:rPr>
        <w:t>compared to mechanical valves</w:t>
      </w:r>
      <w:r w:rsidR="00B33756">
        <w:rPr>
          <w:rFonts w:ascii="Times New Roman" w:hAnsi="Times New Roman"/>
          <w:lang w:val="en-US"/>
        </w:rPr>
        <w:fldChar w:fldCharType="begin" w:fldLock="1"/>
      </w:r>
      <w:r w:rsidR="00E05D9C">
        <w:rPr>
          <w:rFonts w:ascii="Times New Roman" w:hAnsi="Times New Roman"/>
          <w:lang w:val="en-US"/>
        </w:rPr>
        <w:instrText>ADDIN CSL_CITATION { "citationItems" : [ { "id" : "ITEM-1", "itemData" : { "DOI" : "10.1038/nrdp.2016.6", "ISSN" : "2056-676X", "PMID" : "27188578", "abstract" : "Calcific aortic stenosis (AS) is the most prevalent heart valve disorder in developed countries. It is characterized by progressive fibro-calcific remodelling and thickening of the aortic valve leaflets that, over years, evolve to cause severe obstruction to cardiac outflow. In developed countries, AS is the third-most frequent cardiovascular disease after coronary artery disease and systemic arterial hypertension, with a prevalence of 0.4% in the general population and 1.7% in the population &gt;65 years old. Congenital abnormality (bicuspid valve) and older age are powerful risk factors for calcific AS. Metabolic syndrome and an elevated plasma level of lipoprotein(a) have also been associated with increased risk of calcific AS. The pathobiology of calcific AS is complex and involves genetic factors, lipoprotein deposition and oxidation, chronic inflammation, osteoblastic transition of cardiac valve interstitial cells and active leaflet calcification. Although no pharmacotherapy has proved to be effective in reducing the progression of AS, promising therapeutic targets include lipoprotein(a), the renin-angiotensin system, receptor activator of NF-\u03baB ligand (RANKL; also known as TNFSF11) and ectonucleotidases. Currently, aortic valve replacement (AVR) remains the only effective treatment for severe AS. The diagnosis and staging of AS are based on the assessment of stenosis severity and left ventricular systolic function by Doppler echocardiography, and the presence of symptoms. The introduction of transcatheter AVR in the past decade has been a transformative therapeutic innovation for patients at high or prohibitive risk for surgical valve replacement, and this new technology might extend to lower-risk patients in the near future.", "author" : [ { "dropping-particle" : "", "family" : "Lindman", "given" : "Brian R.", "non-dropping-particle" : "", "parse-names" : false, "suffix" : "" }, { "dropping-particle" : "", "family" : "Clavel", "given" : "Marie-Annick", "non-dropping-particle" : "", "parse-names" : false, "suffix" : "" }, { "dropping-particle" : "", "family" : "Mathieu", "given" : "Patrick", "non-dropping-particle" : "", "parse-names" : false, "suffix" : "" }, { "dropping-particle" : "", "family" : "Iung", "given" : "Bernard", "non-dropping-particle" : "", "parse-names" : false, "suffix" : "" }, { "dropping-particle" : "", "family" : "Lancellotti", "given" : "Patrizio", "non-dropping-particle" : "", "parse-names" : false, "suffix" : "" }, { "dropping-particle" : "", "family" : "Otto", "given" : "Catherine M.", "non-dropping-particle" : "", "parse-names" : false, "suffix" : "" }, { "dropping-particle" : "", "family" : "Pibarot", "given" : "Philippe", "non-dropping-particle" : "", "parse-names" : false, "suffix" : "" } ], "container-title" : "Nature Reviews Disease Primers", "id" : "ITEM-1", "issued" : { "date-parts" : [ [ "2016", "3", "3" ] ] }, "page" : "16006", "title" : "Calcific aortic stenosis", "type" : "article-journal", "volume" : "2" }, "uris" : [ "http://www.mendeley.com/documents/?uuid=e83f2dbd-687d-3cfe-9896-71523e369672" ] } ], "mendeley" : { "formattedCitation" : "(1)", "plainTextFormattedCitation" : "(1)", "previouslyFormattedCitation" : "&lt;sup&gt;1&lt;/sup&gt;" }, "properties" : { "noteIndex" : 0 }, "schema" : "https://github.com/citation-style-language/schema/raw/master/csl-citation.json" }</w:instrText>
      </w:r>
      <w:r w:rsidR="00B33756">
        <w:rPr>
          <w:rFonts w:ascii="Times New Roman" w:hAnsi="Times New Roman"/>
          <w:lang w:val="en-US"/>
        </w:rPr>
        <w:fldChar w:fldCharType="separate"/>
      </w:r>
      <w:r w:rsidR="00E05D9C" w:rsidRPr="00E05D9C">
        <w:rPr>
          <w:rFonts w:ascii="Times New Roman" w:hAnsi="Times New Roman"/>
          <w:noProof/>
          <w:lang w:val="en-US"/>
        </w:rPr>
        <w:t>(1)</w:t>
      </w:r>
      <w:r w:rsidR="00B33756">
        <w:rPr>
          <w:rFonts w:ascii="Times New Roman" w:hAnsi="Times New Roman"/>
          <w:lang w:val="en-US"/>
        </w:rPr>
        <w:fldChar w:fldCharType="end"/>
      </w:r>
      <w:r w:rsidR="00033120" w:rsidRPr="00CA3875">
        <w:rPr>
          <w:rFonts w:ascii="Times New Roman" w:hAnsi="Times New Roman"/>
          <w:lang w:val="en-US"/>
        </w:rPr>
        <w:t>. However, the</w:t>
      </w:r>
      <w:r w:rsidR="00E9267B" w:rsidRPr="00CA3875">
        <w:rPr>
          <w:rFonts w:ascii="Times New Roman" w:hAnsi="Times New Roman"/>
          <w:lang w:val="en-US"/>
        </w:rPr>
        <w:t xml:space="preserve"> </w:t>
      </w:r>
      <w:r w:rsidR="00264560" w:rsidRPr="00CA3875">
        <w:rPr>
          <w:rFonts w:ascii="Times New Roman" w:hAnsi="Times New Roman"/>
          <w:lang w:val="en-US"/>
        </w:rPr>
        <w:t>main limitation of bioprosthetic valves is that they</w:t>
      </w:r>
      <w:r w:rsidR="00E9267B" w:rsidRPr="00CA3875">
        <w:rPr>
          <w:rFonts w:ascii="Times New Roman" w:hAnsi="Times New Roman"/>
          <w:lang w:val="en-US"/>
        </w:rPr>
        <w:t xml:space="preserve"> have limited durability and commonly fail within 10-15 years</w:t>
      </w:r>
      <w:r w:rsidR="00B33756">
        <w:rPr>
          <w:rFonts w:ascii="Times New Roman" w:hAnsi="Times New Roman"/>
          <w:lang w:val="en-US"/>
        </w:rPr>
        <w:fldChar w:fldCharType="begin" w:fldLock="1"/>
      </w:r>
      <w:r w:rsidR="00E05D9C">
        <w:rPr>
          <w:rFonts w:ascii="Times New Roman" w:hAnsi="Times New Roman"/>
          <w:lang w:val="en-US"/>
        </w:rPr>
        <w:instrText>ADDIN CSL_CITATION { "citationItems" : [ { "id" : "ITEM-1", "itemData" : { "DOI" : "10.1016/j.jtcvs.2012.08.060", "ISSN" : "1097-685X", "PMID" : "23010581", "abstract" : "OBJECTIVES To compare the probability, and modes, of explantation for Carpentier-Edwards pericardial versus porcine valves. METHODS Our porcine series began in 1974 and our pericardial series in 1991, with annual prospective follow-up. We used the Kaplan-Meier method and Cox regression for estimation and analysis of patient mortality, and the cumulative incidence function and competing risks regression for estimation and analysis of valve durability. RESULTS Through the end of 2010, we had implanted 506 porcine and 2449 pericardial aortic valves and 181 porcine and 163 pericardial mitral valves. The corresponding total and maximum follow-up years were 3471 and 24, 11,517 and 18, 864 and 22, and 645 and 9. The corresponding probabilities (cumulative incidence function) of any valve explant were 7%, 8%, 22%, and 8%, and of explant for structural valve deterioration were 4%, 5%, 16%, and 5% at 15 years for the first 3 series and at 8 years for the fourth (pericardial mitral valve) series. Using competing risks regression for structural valve deterioration explant, with age, gender, valve size, and concomitant coronary bypass surgery as covariates, a slight (subhazard ratio, 0.79), but nonsignificant, protective effect was found for the pericardial valve in the aortic position and a greater (subhazard ratio, 0.31) and almost significant (P\u00a0=\u00a0.08) protective effect of the pericardial valve in the mitral position. Leaflet tear was responsible for 61% of the structural valve deterioration explants in the porcine series and 46% in the pericardial series. CONCLUSIONS Using competing risks regression, the pericardial valve had a subhazard ratio for structural valve deterioration explant of less than 1 in both positions, approaching statistical significance in the mitral position. The mode of structural valve deterioration was predominantly leaflet tear for porcine valves and fibrosis/calcification for pericardial valves.", "author" : [ { "dropping-particle" : "", "family" : "Grunkemeier", "given" : "Gary L", "non-dropping-particle" : "", "parse-names" : false, "suffix" : "" }, { "dropping-particle" : "", "family" : "Furnary", "given" : "Anthony P", "non-dropping-particle" : "", "parse-names" : false, "suffix" : "" }, { "dropping-particle" : "", "family" : "Wu", "given" : "YingXing", "non-dropping-particle" : "", "parse-names" : false, "suffix" : "" }, { "dropping-particle" : "", "family" : "Wang", "given" : "Lian", "non-dropping-particle" : "", "parse-names" : false, "suffix" : "" }, { "dropping-particle" : "", "family" : "Starr", "given" : "Albert", "non-dropping-particle" : "", "parse-names" : false, "suffix" : "" } ], "container-title" : "The Journal of thoracic and cardiovascular surgery", "id" : "ITEM-1", "issue" : "6", "issued" : { "date-parts" : [ [ "2012", "12" ] ] }, "page" : "1381-6", "title" : "Durability of pericardial versus porcine bioprosthetic heart valves.", "type" : "article-journal", "volume" : "144" }, "uris" : [ "http://www.mendeley.com/documents/?uuid=768ff72d-4e12-3762-b9b5-95636b50b5ae" ] }, { "id" : "ITEM-2", "itemData" : { "DOI" : "10.1016/j.athoracsur.2014.09.030", "ISSN" : "00034975", "PMID" : "25583467", "abstract" : "BACKGROUND The Carpentier-Edwards Perimount pericardial bioprosthesis (Edwards Lifesciences, Irvine, CA) has demonstrated good long-term outcomes, but its durability remains unclear depending on age at implantation. We report our 20-year experience with the Perimount valve implanted in the aortic position, with particular attention to the probability and time to reoperation required due to bioprosthesis deterioration. METHODS From 1984 to 2008 at our center, 2,659 patients (mean age, 70.7 \u00b1 10.4 years) underwent aortic valve replacement using the Perimount pericardial bioprostheses. Patients were prospectively followed on an annual basis (mean 6.7 \u00b1 4.8 years, range 0 to 24.6 years) with an echocardiogram at the time of follow-up. Cumulative follow-up was 18,404 valve-years. Bioprosthesis structural valve deterioration was determined by strict echocardiographic assessment. RESULTS Overall operative mortality was 2.8%. Actuarial survival rates including early deaths averaged 52.4% \u00b1 1.2%, 31.1% \u00b1 1.4%, and 14.4% \u00b1 1.7% after 10, 15, and 20 years of follow-up, respectively. Age-stratified freedom from reoperation due to structural valve deterioration at 15 and 20 years was 70.8% \u00b1 4.1% and 38.1% \u00b1 5.6%, respectively, for the group aged 60 years or less, 82.7% \u00b1 2.9% and 59.6% \u00b1 7.6% for those 60 to 70 years, and 98.1% \u00b1 0.8% at 15 years and above for the oldest group. Expected valve durability is 19.7 years for the entire cohort. CONCLUSIONS With a low rate of valve-related events at 20 years, and particularly a low rate of structural valve deterioration, the Carpentier-Edwards Perimount pericardial bioprosthesis remains a reliable choice for a tissue valve in the aortic position, especially in patients over 60 years of age.", "author" : [ { "dropping-particle" : "", "family" : "Bourguignon", "given" : "Thierry", "non-dropping-particle" : "", "parse-names" : false, "suffix" : "" }, { "dropping-particle" : "", "family" : "Bouquiaux-Stablo", "given" : "Anne-Lorraine", "non-dropping-particle" : "", "parse-names" : false, "suffix" : "" }, { "dropping-particle" : "", "family" : "Candolfi", "given" : "Pascal", "non-dropping-particle" : "", "parse-names" : false, "suffix" : "" }, { "dropping-particle" : "", "family" : "Mirza", "given" : "Alain", "non-dropping-particle" : "", "parse-names" : false, "suffix" : "" }, { "dropping-particle" : "", "family" : "Loardi", "given" : "Claudia", "non-dropping-particle" : "", "parse-names" : false, "suffix" : "" }, { "dropping-particle" : "", "family" : "May", "given" : "Marc-Antoine", "non-dropping-particle" : "", "parse-names" : false, "suffix" : "" }, { "dropping-particle" : "", "family" : "El-Khoury", "given" : "Rym", "non-dropping-particle" : "", "parse-names" : false, "suffix" : "" }, { "dropping-particle" : "", "family" : "Marchand", "given" : "Michel", "non-dropping-particle" : "", "parse-names" : false, "suffix" : "" }, { "dropping-particle" : "", "family" : "Aupart", "given" : "Michel", "non-dropping-particle" : "", "parse-names" : false, "suffix" : "" } ], "container-title" : "The Annals of Thoracic Surgery", "id" : "ITEM-2", "issue" : "3", "issued" : { "date-parts" : [ [ "2015", "3" ] ] }, "page" : "831-837", "title" : "Very Long-Term Outcomes of the Carpentier-Edwards Perimount Valve in Aortic Position", "type" : "article-journal", "volume" : "99" }, "uris" : [ "http://www.mendeley.com/documents/?uuid=5f0107d4-e59c-38d8-9929-3f2e2c383bc6" ] } ], "mendeley" : { "formattedCitation" : "(2, 3)", "plainTextFormattedCitation" : "(2, 3)", "previouslyFormattedCitation" : "&lt;sup&gt;2,3&lt;/sup&gt;" }, "properties" : { "noteIndex" : 0 }, "schema" : "https://github.com/citation-style-language/schema/raw/master/csl-citation.json" }</w:instrText>
      </w:r>
      <w:r w:rsidR="00B33756">
        <w:rPr>
          <w:rFonts w:ascii="Times New Roman" w:hAnsi="Times New Roman"/>
          <w:lang w:val="en-US"/>
        </w:rPr>
        <w:fldChar w:fldCharType="separate"/>
      </w:r>
      <w:r w:rsidR="00E05D9C" w:rsidRPr="00E05D9C">
        <w:rPr>
          <w:rFonts w:ascii="Times New Roman" w:hAnsi="Times New Roman"/>
          <w:noProof/>
          <w:lang w:val="en-US"/>
        </w:rPr>
        <w:t>(2, 3)</w:t>
      </w:r>
      <w:r w:rsidR="00B33756">
        <w:rPr>
          <w:rFonts w:ascii="Times New Roman" w:hAnsi="Times New Roman"/>
          <w:lang w:val="en-US"/>
        </w:rPr>
        <w:fldChar w:fldCharType="end"/>
      </w:r>
      <w:r w:rsidR="00E9267B" w:rsidRPr="00CA3875">
        <w:rPr>
          <w:rFonts w:ascii="Times New Roman" w:hAnsi="Times New Roman"/>
          <w:lang w:val="en-US"/>
        </w:rPr>
        <w:t xml:space="preserve">. Patients with </w:t>
      </w:r>
      <w:r w:rsidR="009F7476">
        <w:rPr>
          <w:rFonts w:ascii="Times New Roman" w:hAnsi="Times New Roman"/>
          <w:lang w:val="en-US"/>
        </w:rPr>
        <w:t>failing</w:t>
      </w:r>
      <w:r w:rsidR="00E9267B" w:rsidRPr="00CA3875">
        <w:rPr>
          <w:rFonts w:ascii="Times New Roman" w:hAnsi="Times New Roman"/>
          <w:lang w:val="en-US"/>
        </w:rPr>
        <w:t xml:space="preserve"> surgical </w:t>
      </w:r>
      <w:r w:rsidR="00E7273F" w:rsidRPr="00CA3875">
        <w:rPr>
          <w:rFonts w:ascii="Times New Roman" w:hAnsi="Times New Roman"/>
          <w:lang w:val="en-US"/>
        </w:rPr>
        <w:t xml:space="preserve">bioprosthetic </w:t>
      </w:r>
      <w:r w:rsidR="00E9267B" w:rsidRPr="00CA3875">
        <w:rPr>
          <w:rFonts w:ascii="Times New Roman" w:hAnsi="Times New Roman"/>
          <w:lang w:val="en-US"/>
        </w:rPr>
        <w:t>valve</w:t>
      </w:r>
      <w:r w:rsidR="000C582C" w:rsidRPr="00CA3875">
        <w:rPr>
          <w:rFonts w:ascii="Times New Roman" w:hAnsi="Times New Roman"/>
          <w:lang w:val="en-US"/>
        </w:rPr>
        <w:t xml:space="preserve">s are </w:t>
      </w:r>
      <w:r w:rsidR="001C5875" w:rsidRPr="00CA3875">
        <w:rPr>
          <w:rFonts w:ascii="Times New Roman" w:hAnsi="Times New Roman"/>
          <w:lang w:val="en-US"/>
        </w:rPr>
        <w:t>frequently</w:t>
      </w:r>
      <w:r w:rsidR="00264560" w:rsidRPr="00CA3875">
        <w:rPr>
          <w:rFonts w:ascii="Times New Roman" w:hAnsi="Times New Roman"/>
          <w:lang w:val="en-US"/>
        </w:rPr>
        <w:t xml:space="preserve"> at high surgical </w:t>
      </w:r>
      <w:r w:rsidR="000C582C" w:rsidRPr="00CA3875">
        <w:rPr>
          <w:rFonts w:ascii="Times New Roman" w:hAnsi="Times New Roman"/>
          <w:lang w:val="en-US"/>
        </w:rPr>
        <w:t xml:space="preserve">risk due to old age, </w:t>
      </w:r>
      <w:r w:rsidR="00E9267B" w:rsidRPr="00CA3875">
        <w:rPr>
          <w:rFonts w:ascii="Times New Roman" w:hAnsi="Times New Roman"/>
          <w:lang w:val="en-US"/>
        </w:rPr>
        <w:t>comorbidities</w:t>
      </w:r>
      <w:r w:rsidR="000C582C" w:rsidRPr="00CA3875">
        <w:rPr>
          <w:rFonts w:ascii="Times New Roman" w:hAnsi="Times New Roman"/>
          <w:lang w:val="en-US"/>
        </w:rPr>
        <w:t xml:space="preserve"> and the need </w:t>
      </w:r>
      <w:r w:rsidR="00264560" w:rsidRPr="00CA3875">
        <w:rPr>
          <w:rFonts w:ascii="Times New Roman" w:hAnsi="Times New Roman"/>
          <w:lang w:val="en-US"/>
        </w:rPr>
        <w:t xml:space="preserve">for repeat </w:t>
      </w:r>
      <w:r w:rsidR="000C582C" w:rsidRPr="00CA3875">
        <w:rPr>
          <w:rFonts w:ascii="Times New Roman" w:hAnsi="Times New Roman"/>
          <w:lang w:val="en-US"/>
        </w:rPr>
        <w:t>cardiac surgery</w:t>
      </w:r>
      <w:r w:rsidR="00B33756">
        <w:rPr>
          <w:rFonts w:ascii="Times New Roman" w:hAnsi="Times New Roman"/>
          <w:lang w:val="en-US"/>
        </w:rPr>
        <w:fldChar w:fldCharType="begin" w:fldLock="1"/>
      </w:r>
      <w:r w:rsidR="00E05D9C">
        <w:rPr>
          <w:rFonts w:ascii="Times New Roman" w:hAnsi="Times New Roman"/>
          <w:lang w:val="en-US"/>
        </w:rPr>
        <w:instrText>ADDIN CSL_CITATION { "citationItems" : [ { "id" : "ITEM-1", "itemData" : { "DOI" : "10.1016/j.athoracsur.2012.06.045", "ISSN" : "1552-6259", "PMID" : "22858272", "abstract" : "BACKGROUND A higher operative mortality rate has been reported after redo valvular procedures than after the primary operation. METHODS Outcomes of 330 consecutive patients undergoing 433 redo valvular operations at our institute during a 20-year period (January 1990 to December 2010) were reviewed retrospectively. The mean follow-up was 6.4 years (range, 0.05 to 1.3 years). Logistic regression analysis was used to identify factors associated with hospital death. RESULTS The overall hospital mortality rate was 6.7% (29 of 433 procedures). Logistic regression analysis identified only advanced New York Heart Association (NYHA) class as an independent predictor of hospital death. Overall survival at 5, 10, and 15 years was 83.6%\u00b12.2%, 70.7%\u00b13.4%, and 61.5%\u00b14.5%, respectively. The 5-, 10-, and 15-year survivals for the first redo vs more than second redo groups were 86.5%\u00b12.4% vs 74.7%\u00b15.5%, 71.8%\u00b13.9% vs 66.8%\u00b16.6%, and 60.2%\u00b15.7% vs 63.1%\u00b17.2%, respectively (log-rank P=0.505). The 5- and 10-year survivals for NYHA class I/II vs III/IV patients were 91.5%\u00b12.1% vs 70.4%\u00b14.5% and 77.8%\u00b14.1% vs 58.5%\u00b15.6%, respectively (log-rank p&lt;0.005). CONCLUSIONS Redo valvular operation in NYHA class III/IV patients is associated with high hospital death and poor long-term survival. To achieve low hospital death and good long-term survival, redo operations, including more than third redo operations, should be performed in patients with lower NYHA class.", "author" : [ { "dropping-particle" : "", "family" : "Fukunaga", "given" : "Naoto", "non-dropping-particle" : "", "parse-names" : false, "suffix" : "" }, { "dropping-particle" : "", "family" : "Okada", "given" : "Yukikatsu", "non-dropping-particle" : "", "parse-names" : false, "suffix" : "" }, { "dropping-particle" : "", "family" : "Konishi", "given" : "Yasunobu", "non-dropping-particle" : "", "parse-names" : false, "suffix" : "" }, { "dropping-particle" : "", "family" : "Murashita", "given" : "Takashi", "non-dropping-particle" : "", "parse-names" : false, "suffix" : "" }, { "dropping-particle" : "", "family" : "Yuzaki", "given" : "Mitsuru", "non-dropping-particle" : "", "parse-names" : false, "suffix" : "" }, { "dropping-particle" : "", "family" : "Shomura", "given" : "Yu", "non-dropping-particle" : "", "parse-names" : false, "suffix" : "" }, { "dropping-particle" : "", "family" : "Fujiwara", "given" : "Hiroshi", "non-dropping-particle" : "", "parse-names" : false, "suffix" : "" }, { "dropping-particle" : "", "family" : "Koyama", "given" : "Tadaaki", "non-dropping-particle" : "", "parse-names" : false, "suffix" : "" } ], "container-title" : "The Annals of thoracic surgery", "id" : "ITEM-1", "issue" : "6", "issued" : { "date-parts" : [ [ "2012", "12" ] ] }, "page" : "2011-6", "title" : "Clinical outcomes of redo valvular operations: a 20-year experience.", "type" : "article-journal", "volume" : "94" }, "uris" : [ "http://www.mendeley.com/documents/?uuid=aac41c74-3c5d-3423-a319-70dae30ae9ca" ] }, { "id" : "ITEM-2", "itemData" : { "DOI" : "10.1016/j.athoracsur.2015.04.062", "ISSN" : "1552-6259", "PMID" : "26209480", "abstract" : "BACKGROUND Reoperative aortic valve replacement (re-AVR) after previous AVR is a complex procedure involving redo sternotomy and removal of a previous prosthesis. With increasing use of valve-in-valve transcatheter aortic valve replacement for failed aortic bioprostheses, an evaluation of contemporary outcomes of re-AVR in patients with bioprostheses is warranted. METHODS The study included 3,380 patients from The Society of Thoracic Surgeons Adult Cardiac Surgery Database (July 2011 to September 2013) who underwent elective, isolated re-AVR after a previous AVR. Outcomes in these patients were compared with those of 54,183 patients with isolated primary AVR during the same period. A subgroup analysis of explanted bioprostheses in re-AVR (previous bioprosthetic valve: n\u00a0= 2,213) was performed. RESULTS Re-AVR patients were younger (66 vs 70 years, p &lt; 0.001) compared with primary AVR patients. Re-AVR was associated with higher operative mortality (4.6% vs 2.2%, p &lt; 0.0001), composite operative mortality and major morbidity (21.6% vs 11.8%, p &lt; 0.0001), postoperative stroke (1.9% vs 1.4%, p\u00a0= 0.02), postoperative aortic insufficiency mild or greater (2.8% vs 1.7%, p &lt; 0.0001), pacemaker requirement (11.0% vs 4.3%, p &lt; 0.0001), and vascular complications (0.06% vs 0.01%, p\u00a0= 0.04). For the explanted previous bioprosthetic valve group, operative mortality was 4.7%, composite outcome was 21.9%, stroke rate was 1.8%, and pacemaker requirement was 11.5%. CONCLUSIONS Re-AVR is now performed with an acceptable operative mortality, which is higher than primary AVR. The overall incidence of stroke, vascular complication, and postoperative aortic insufficiency was low although higher than primary AVR. These results may serve as a benchmark for future analysis of valve-in-valve transcatheter aortic valve replacement and may have an effect on future choice of transcatheter aortic valve replacement vs re-AVR.", "author" : [ { "dropping-particle" : "", "family" : "Kaneko", "given" : "Tsuyoshi", "non-dropping-particle" : "", "parse-names" : false, "suffix" : "" }, { "dropping-particle" : "", "family" : "Vassileva", "given" : "Christina M", "non-dropping-particle" : "", "parse-names" : false, "suffix" : "" }, { "dropping-particle" : "", "family" : "Englum", "given" : "Brian", "non-dropping-particle" : "", "parse-names" : false, "suffix" : "" }, { "dropping-particle" : "", "family" : "Kim", "given" : "Sunghee", "non-dropping-particle" : "", "parse-names" : false, "suffix" : "" }, { "dropping-particle" : "", "family" : "Yammine", "given" : "Maroun", "non-dropping-particle" : "", "parse-names" : false, "suffix" : "" }, { "dropping-particle" : "", "family" : "Brennan", "given" : "Matthew", "non-dropping-particle" : "", "parse-names" : false, "suffix" : "" }, { "dropping-particle" : "", "family" : "Suri", "given" : "Rakesh M", "non-dropping-particle" : "", "parse-names" : false, "suffix" : "" }, { "dropping-particle" : "", "family" : "Thourani", "given" : "Vinod H", "non-dropping-particle" : "", "parse-names" : false, "suffix" : "" }, { "dropping-particle" : "", "family" : "Jacobs", "given" : "Jeffrey P", "non-dropping-particle" : "", "parse-names" : false, "suffix" : "" }, { "dropping-particle" : "", "family" : "Aranki", "given" : "Sary", "non-dropping-particle" : "", "parse-names" : false, "suffix" : "" } ], "container-title" : "The Annals of thoracic surgery", "id" : "ITEM-2", "issue" : "4", "issued" : { "date-parts" : [ [ "2015", "10" ] ] }, "page" : "1298-304; discussion 1304", "title" : "Contemporary Outcomes of Repeat Aortic Valve Replacement: A Benchmark for Transcatheter Valve-in-Valve Procedures.", "type" : "article-journal", "volume" : "100" }, "uris" : [ "http://www.mendeley.com/documents/?uuid=b512c477-0394-3ce5-9eaf-7cf107546b2b" ] } ], "mendeley" : { "formattedCitation" : "(4, 5)", "plainTextFormattedCitation" : "(4, 5)", "previouslyFormattedCitation" : "&lt;sup&gt;4,5&lt;/sup&gt;" }, "properties" : { "noteIndex" : 0 }, "schema" : "https://github.com/citation-style-language/schema/raw/master/csl-citation.json" }</w:instrText>
      </w:r>
      <w:r w:rsidR="00B33756">
        <w:rPr>
          <w:rFonts w:ascii="Times New Roman" w:hAnsi="Times New Roman"/>
          <w:lang w:val="en-US"/>
        </w:rPr>
        <w:fldChar w:fldCharType="separate"/>
      </w:r>
      <w:r w:rsidR="00E05D9C" w:rsidRPr="00E05D9C">
        <w:rPr>
          <w:rFonts w:ascii="Times New Roman" w:hAnsi="Times New Roman"/>
          <w:noProof/>
          <w:lang w:val="en-US"/>
        </w:rPr>
        <w:t>(4, 5)</w:t>
      </w:r>
      <w:r w:rsidR="00B33756">
        <w:rPr>
          <w:rFonts w:ascii="Times New Roman" w:hAnsi="Times New Roman"/>
          <w:lang w:val="en-US"/>
        </w:rPr>
        <w:fldChar w:fldCharType="end"/>
      </w:r>
      <w:r w:rsidR="00E9267B" w:rsidRPr="00CA3875">
        <w:rPr>
          <w:rFonts w:ascii="Times New Roman" w:hAnsi="Times New Roman"/>
          <w:lang w:val="en-US"/>
        </w:rPr>
        <w:t>. Transcatheter heart valve (THV) implantation</w:t>
      </w:r>
      <w:r w:rsidR="00264560" w:rsidRPr="00CA3875">
        <w:rPr>
          <w:rFonts w:ascii="Times New Roman" w:hAnsi="Times New Roman"/>
          <w:lang w:val="en-US"/>
        </w:rPr>
        <w:t xml:space="preserve"> within the</w:t>
      </w:r>
      <w:r w:rsidR="00E9267B" w:rsidRPr="00CA3875">
        <w:rPr>
          <w:rFonts w:ascii="Times New Roman" w:hAnsi="Times New Roman"/>
          <w:lang w:val="en-US"/>
        </w:rPr>
        <w:t xml:space="preserve"> failed </w:t>
      </w:r>
      <w:r w:rsidR="009E7D2E" w:rsidRPr="00CA3875">
        <w:rPr>
          <w:rFonts w:ascii="Times New Roman" w:hAnsi="Times New Roman"/>
          <w:lang w:val="en-US"/>
        </w:rPr>
        <w:t xml:space="preserve">aortic </w:t>
      </w:r>
      <w:r w:rsidR="00264560" w:rsidRPr="00CA3875">
        <w:rPr>
          <w:rFonts w:ascii="Times New Roman" w:hAnsi="Times New Roman"/>
          <w:lang w:val="en-US"/>
        </w:rPr>
        <w:t>surgical bioprostheses</w:t>
      </w:r>
      <w:r w:rsidR="00E9267B" w:rsidRPr="00CA3875">
        <w:rPr>
          <w:rFonts w:ascii="Times New Roman" w:hAnsi="Times New Roman"/>
          <w:lang w:val="en-US"/>
        </w:rPr>
        <w:t xml:space="preserve"> (valve-in-valve, ViV) represents </w:t>
      </w:r>
      <w:r w:rsidR="00A008ED" w:rsidRPr="00CA3875">
        <w:rPr>
          <w:rFonts w:ascii="Times New Roman" w:hAnsi="Times New Roman"/>
          <w:lang w:val="en-US"/>
        </w:rPr>
        <w:t>a valuable less-</w:t>
      </w:r>
      <w:r w:rsidR="00E9267B" w:rsidRPr="00CA3875">
        <w:rPr>
          <w:rFonts w:ascii="Times New Roman" w:hAnsi="Times New Roman"/>
          <w:lang w:val="en-US"/>
        </w:rPr>
        <w:t xml:space="preserve">invasive alternative to </w:t>
      </w:r>
      <w:r w:rsidR="00A008ED" w:rsidRPr="00CA3875">
        <w:rPr>
          <w:rFonts w:ascii="Times New Roman" w:hAnsi="Times New Roman"/>
          <w:lang w:val="en-US"/>
        </w:rPr>
        <w:t>surgery for patients</w:t>
      </w:r>
      <w:r w:rsidR="00311F9F" w:rsidRPr="00CA3875">
        <w:rPr>
          <w:rFonts w:ascii="Times New Roman" w:hAnsi="Times New Roman"/>
          <w:lang w:val="en-US"/>
        </w:rPr>
        <w:t xml:space="preserve"> considered to be at high risk of</w:t>
      </w:r>
      <w:r w:rsidR="00A008ED" w:rsidRPr="00CA3875">
        <w:rPr>
          <w:rFonts w:ascii="Times New Roman" w:hAnsi="Times New Roman"/>
          <w:lang w:val="en-US"/>
        </w:rPr>
        <w:t xml:space="preserve"> </w:t>
      </w:r>
      <w:r w:rsidR="00E9267B" w:rsidRPr="00CA3875">
        <w:rPr>
          <w:rFonts w:ascii="Times New Roman" w:hAnsi="Times New Roman"/>
          <w:lang w:val="en-US"/>
        </w:rPr>
        <w:t>reoperation</w:t>
      </w:r>
      <w:r w:rsidR="00B33756">
        <w:rPr>
          <w:rFonts w:ascii="Times New Roman" w:hAnsi="Times New Roman"/>
          <w:lang w:val="en-US"/>
        </w:rPr>
        <w:fldChar w:fldCharType="begin" w:fldLock="1"/>
      </w:r>
      <w:r w:rsidR="00E05D9C">
        <w:rPr>
          <w:rFonts w:ascii="Times New Roman" w:hAnsi="Times New Roman"/>
          <w:lang w:val="en-US"/>
        </w:rPr>
        <w:instrText>ADDIN CSL_CITATION { "citationItems" : [ { "id" : "ITEM-1", "itemData" : { "DOI" : "10.1016/j.jacc.2017.03.011", "ISSN" : "07351097", "PMID" : "28315732", "author" : [ { "dropping-particle" : "", "family" : "Nishimura", "given" : "Rick A.", "non-dropping-particle" : "", "parse-names" : false, "suffix" : "" }, { "dropping-particle" : "", "family" : "Otto", "given" : "Catherine M.", "non-dropping-particle" : "", "parse-names" : false, "suffix" : "" }, { "dropping-particle" : "", "family" : "Bonow", "given" : "Robert O.", "non-dropping-particle" : "", "parse-names" : false, "suffix" : "" }, { "dropping-particle" : "", "family" : "Carabello", "given" : "Blase A.", "non-dropping-particle" : "", "parse-names" : false, "suffix" : "" }, { "dropping-particle" : "", "family" : "Erwin", "given" : "John P.", "non-dropping-particle" : "", "parse-names" : false, "suffix" : "" }, { "dropping-particle" : "", "family" : "Fleisher", "given" : "Lee A.", "non-dropping-particle" : "", "parse-names" : false, "suffix" : "" }, { "dropping-particle" : "", "family" : "Jneid", "given" : "Hani", "non-dropping-particle" : "", "parse-names" : false, "suffix" : "" }, { "dropping-particle" : "", "family" : "Mack", "given" : "Michael J.", "non-dropping-particle" : "", "parse-names" : false, "suffix" : "" }, { "dropping-particle" : "", "family" : "McLeod", "given" : "Christopher J.", "non-dropping-particle" : "", "parse-names" : false, "suffix" : "" }, { "dropping-particle" : "", "family" : "O\u2019Gara", "given" : "Patrick T.", "non-dropping-particle" : "", "parse-names" : false, "suffix" : "" }, { "dropping-particle" : "", "family" : "Rigolin", "given" : "Vera H.", "non-dropping-particle" : "", "parse-names" : false, "suffix" : "" }, { "dropping-particle" : "", "family" : "Sundt", "given" : "Thoralf M.", "non-dropping-particle" : "", "parse-names" : false, "suffix" : "" }, { "dropping-particle" : "", "family" : "Thompson", "given" : "Annemarie", "non-dropping-particle" : "", "parse-names" : false, "suffix" : "" } ], "container-title" : "Journal of the American College of Cardiology", "id" : "ITEM-1", "issue" : "2", "issued" : { "date-parts" : [ [ "2017", "7", "11" ] ] }, "page" : "252-289", "title" : "2017 AHA/ACC Focused Update of the 2014 AHA/ACC Guideline for the Management of Patients With Valvular\u00a0Heart Disease", "type" : "article-journal", "volume" : "70" }, "uris" : [ "http://www.mendeley.com/documents/?uuid=85e570f8-3bae-39ef-b55a-11f1c706124f" ] } ], "mendeley" : { "formattedCitation" : "(6)", "plainTextFormattedCitation" : "(6)", "previouslyFormattedCitation" : "&lt;sup&gt;6&lt;/sup&gt;" }, "properties" : { "noteIndex" : 0 }, "schema" : "https://github.com/citation-style-language/schema/raw/master/csl-citation.json" }</w:instrText>
      </w:r>
      <w:r w:rsidR="00B33756">
        <w:rPr>
          <w:rFonts w:ascii="Times New Roman" w:hAnsi="Times New Roman"/>
          <w:lang w:val="en-US"/>
        </w:rPr>
        <w:fldChar w:fldCharType="separate"/>
      </w:r>
      <w:r w:rsidR="00E05D9C" w:rsidRPr="00E05D9C">
        <w:rPr>
          <w:rFonts w:ascii="Times New Roman" w:hAnsi="Times New Roman"/>
          <w:noProof/>
          <w:lang w:val="en-US"/>
        </w:rPr>
        <w:t>(6)</w:t>
      </w:r>
      <w:r w:rsidR="00B33756">
        <w:rPr>
          <w:rFonts w:ascii="Times New Roman" w:hAnsi="Times New Roman"/>
          <w:lang w:val="en-US"/>
        </w:rPr>
        <w:fldChar w:fldCharType="end"/>
      </w:r>
      <w:r w:rsidR="00E9267B" w:rsidRPr="00CA3875">
        <w:rPr>
          <w:rFonts w:ascii="Times New Roman" w:hAnsi="Times New Roman"/>
          <w:lang w:val="en-US"/>
        </w:rPr>
        <w:t>.</w:t>
      </w:r>
    </w:p>
    <w:p w14:paraId="4F60B63B" w14:textId="77777777" w:rsidR="00102E85" w:rsidRDefault="00102E85" w:rsidP="00EA31BA">
      <w:pPr>
        <w:autoSpaceDE w:val="0"/>
        <w:autoSpaceDN w:val="0"/>
        <w:adjustRightInd w:val="0"/>
        <w:spacing w:line="480" w:lineRule="auto"/>
        <w:rPr>
          <w:rFonts w:ascii="Times New Roman" w:hAnsi="Times New Roman"/>
          <w:lang w:val="en-US"/>
        </w:rPr>
      </w:pPr>
    </w:p>
    <w:p w14:paraId="07F4DFAB" w14:textId="00565857" w:rsidR="003E5DDE" w:rsidRPr="00CA3875" w:rsidRDefault="00C73B54" w:rsidP="00EA31BA">
      <w:pPr>
        <w:autoSpaceDE w:val="0"/>
        <w:autoSpaceDN w:val="0"/>
        <w:adjustRightInd w:val="0"/>
        <w:spacing w:line="480" w:lineRule="auto"/>
        <w:rPr>
          <w:rFonts w:ascii="Times New Roman" w:hAnsi="Times New Roman"/>
          <w:lang w:val="en-CA"/>
        </w:rPr>
      </w:pPr>
      <w:r>
        <w:rPr>
          <w:rFonts w:ascii="Times New Roman" w:hAnsi="Times New Roman"/>
          <w:lang w:val="en-US"/>
        </w:rPr>
        <w:t>S</w:t>
      </w:r>
      <w:r w:rsidR="002B5411" w:rsidRPr="00CA3875">
        <w:rPr>
          <w:rFonts w:ascii="Times New Roman" w:hAnsi="Times New Roman"/>
          <w:lang w:val="en-US"/>
        </w:rPr>
        <w:t xml:space="preserve">urgical </w:t>
      </w:r>
      <w:r w:rsidR="003E5DDE" w:rsidRPr="00CA3875">
        <w:rPr>
          <w:rFonts w:ascii="Times New Roman" w:hAnsi="Times New Roman"/>
          <w:lang w:val="en-US"/>
        </w:rPr>
        <w:t>bioprostheses</w:t>
      </w:r>
      <w:r w:rsidR="00175354" w:rsidRPr="00CA3875">
        <w:rPr>
          <w:rFonts w:ascii="Times New Roman" w:hAnsi="Times New Roman"/>
          <w:lang w:val="en-US"/>
        </w:rPr>
        <w:t xml:space="preserve"> often have</w:t>
      </w:r>
      <w:r w:rsidR="002B5411" w:rsidRPr="00CA3875">
        <w:rPr>
          <w:rFonts w:ascii="Times New Roman" w:hAnsi="Times New Roman"/>
          <w:lang w:val="en-US"/>
        </w:rPr>
        <w:t xml:space="preserve"> a small internal orifice </w:t>
      </w:r>
      <w:r w:rsidR="003E5DDE" w:rsidRPr="00CA3875">
        <w:rPr>
          <w:rFonts w:ascii="Times New Roman" w:hAnsi="Times New Roman"/>
          <w:lang w:val="en-US"/>
        </w:rPr>
        <w:t xml:space="preserve">diameter </w:t>
      </w:r>
      <w:r w:rsidR="002B5411" w:rsidRPr="00CA3875">
        <w:rPr>
          <w:rFonts w:ascii="Times New Roman" w:hAnsi="Times New Roman"/>
          <w:lang w:val="en-US"/>
        </w:rPr>
        <w:t>and</w:t>
      </w:r>
      <w:r w:rsidR="003E5DDE" w:rsidRPr="00CA3875">
        <w:rPr>
          <w:rFonts w:ascii="Times New Roman" w:hAnsi="Times New Roman"/>
          <w:lang w:val="en-US"/>
        </w:rPr>
        <w:t xml:space="preserve"> </w:t>
      </w:r>
      <w:r w:rsidR="00583F2D" w:rsidRPr="00CA3875">
        <w:rPr>
          <w:rFonts w:ascii="Times New Roman" w:hAnsi="Times New Roman"/>
          <w:lang w:val="en-US"/>
        </w:rPr>
        <w:t>a</w:t>
      </w:r>
      <w:r w:rsidR="002B5411" w:rsidRPr="00CA3875">
        <w:rPr>
          <w:rFonts w:ascii="Times New Roman" w:hAnsi="Times New Roman"/>
          <w:lang w:val="en-US"/>
        </w:rPr>
        <w:t xml:space="preserve"> non-elastic</w:t>
      </w:r>
      <w:r w:rsidR="00583F2D" w:rsidRPr="00CA3875">
        <w:rPr>
          <w:rFonts w:ascii="Times New Roman" w:hAnsi="Times New Roman"/>
          <w:lang w:val="en-US"/>
        </w:rPr>
        <w:t xml:space="preserve"> stent</w:t>
      </w:r>
      <w:r w:rsidR="003E5DDE" w:rsidRPr="00CA3875">
        <w:rPr>
          <w:rFonts w:ascii="Times New Roman" w:hAnsi="Times New Roman"/>
          <w:lang w:val="en-US"/>
        </w:rPr>
        <w:t xml:space="preserve">, </w:t>
      </w:r>
      <w:r w:rsidR="00583F2D" w:rsidRPr="00CA3875">
        <w:rPr>
          <w:rFonts w:ascii="Times New Roman" w:hAnsi="Times New Roman"/>
          <w:lang w:val="en-US"/>
        </w:rPr>
        <w:t>which predispose</w:t>
      </w:r>
      <w:r w:rsidR="003E5DDE" w:rsidRPr="00CA3875">
        <w:rPr>
          <w:rFonts w:ascii="Times New Roman" w:hAnsi="Times New Roman"/>
          <w:lang w:val="en-US"/>
        </w:rPr>
        <w:t xml:space="preserve"> to THV under-expansion</w:t>
      </w:r>
      <w:r w:rsidR="00ED0E1F" w:rsidRPr="00CA3875">
        <w:rPr>
          <w:rFonts w:ascii="Times New Roman" w:hAnsi="Times New Roman"/>
          <w:lang w:val="en-US"/>
        </w:rPr>
        <w:t xml:space="preserve"> at the time of ViV</w:t>
      </w:r>
      <w:r w:rsidR="00B33756">
        <w:rPr>
          <w:rFonts w:ascii="Times New Roman" w:hAnsi="Times New Roman"/>
          <w:lang w:val="en-US"/>
        </w:rPr>
        <w:fldChar w:fldCharType="begin" w:fldLock="1"/>
      </w:r>
      <w:r w:rsidR="00E05D9C">
        <w:rPr>
          <w:rFonts w:ascii="Times New Roman" w:hAnsi="Times New Roman"/>
          <w:lang w:val="en-US"/>
        </w:rPr>
        <w:instrText>ADDIN CSL_CITATION { "citationItems" : [ { "id" : "ITEM-1", "itemData" : { "DOI" : "10.1016/j.jcin.2013.10.012", "ISSN" : "1876-7605", "PMID" : "24440016", "abstract" : "The goal of this study was to provide a measurement of the true internal diameter (ID) of various surgical heart valves (SHV) to facilitate the valve-in-valve (VIV) procedure. During a VIV procedure, it is important to choose the right of the transcatheter heart valve (THV). Most users use the stent ID of an SHV to select the\u00a0appropriate THV size. Echocardiography and computed tomography measurements are not yet standardized for measuring the ID of a variety of SHVs. Hence, we measured the true ID of SHV to assess the effect of valve design on the stent ID. Thirteen types of stented and 3 types of stentless valves were evaluated. True ID measurements were obtained using calipers and Hegar dilators. These were compared with the stent ID measurements. Fluoroscopy was used to confirm the impact of SHV designs on the true ID. Caliper measurements were found to be inaccurate and are hence not recommended. Hegar dilator measurements revealed a trend of reduction in stent ID. Porcine valves were most affected by their design, with reduction in the stent ID by at least 2 mm; pericardial valves with leaflets sutured inside the stent had the stent ID reduced by at least 1 mm, and SHV with leaflets sutured outside the stent had no effect on stent ID. In the majority of SHV designs, there is a reduction in the stent ID as a result of leaflet tissue. This is important in borderline sizes to avoid problems associated with oversizing and also to confirm suitability for the VIV procedure in the smaller label sizes of SHV.", "author" : [ { "dropping-particle" : "", "family" : "Bapat", "given" : "Vinayak N", "non-dropping-particle" : "", "parse-names" : false, "suffix" : "" }, { "dropping-particle" : "", "family" : "Attia", "given" : "Rizwan", "non-dropping-particle" : "", "parse-names" : false, "suffix" : "" }, { "dropping-particle" : "", "family" : "Thomas", "given" : "Martyn", "non-dropping-particle" : "", "parse-names" : false, "suffix" : "" } ], "container-title" : "JACC. Cardiovascular interventions", "id" : "ITEM-1", "issue" : "2", "issued" : { "date-parts" : [ [ "2014", "2" ] ] }, "page" : "115-127", "title" : "Effect of Valve Design on the Stent Internal Diameter of a Bioprosthetic Valve: A Concept of True Internal Diameter and Its Implications for the Valve-in-Valve Procedure.", "type" : "article-journal", "volume" : "7" }, "uris" : [ "http://www.mendeley.com/documents/?uuid=635811c3-29b6-4bc9-b6a6-f5915408ba0c" ] } ], "mendeley" : { "formattedCitation" : "(7)", "plainTextFormattedCitation" : "(7)", "previouslyFormattedCitation" : "&lt;sup&gt;7&lt;/sup&gt;" }, "properties" : { "noteIndex" : 0 }, "schema" : "https://github.com/citation-style-language/schema/raw/master/csl-citation.json" }</w:instrText>
      </w:r>
      <w:r w:rsidR="00B33756">
        <w:rPr>
          <w:rFonts w:ascii="Times New Roman" w:hAnsi="Times New Roman"/>
          <w:lang w:val="en-US"/>
        </w:rPr>
        <w:fldChar w:fldCharType="separate"/>
      </w:r>
      <w:r w:rsidR="00E05D9C" w:rsidRPr="00E05D9C">
        <w:rPr>
          <w:rFonts w:ascii="Times New Roman" w:hAnsi="Times New Roman"/>
          <w:noProof/>
          <w:lang w:val="en-US"/>
        </w:rPr>
        <w:t>(7)</w:t>
      </w:r>
      <w:r w:rsidR="00B33756">
        <w:rPr>
          <w:rFonts w:ascii="Times New Roman" w:hAnsi="Times New Roman"/>
          <w:lang w:val="en-US"/>
        </w:rPr>
        <w:fldChar w:fldCharType="end"/>
      </w:r>
      <w:r w:rsidR="00E9267B" w:rsidRPr="00CA3875">
        <w:rPr>
          <w:rFonts w:ascii="Times New Roman" w:hAnsi="Times New Roman"/>
          <w:lang w:val="en-US"/>
        </w:rPr>
        <w:t>. As a result, elevated post</w:t>
      </w:r>
      <w:r w:rsidR="00CD2CCE" w:rsidRPr="00CA3875">
        <w:rPr>
          <w:rFonts w:ascii="Times New Roman" w:hAnsi="Times New Roman"/>
          <w:lang w:val="en-US"/>
        </w:rPr>
        <w:t>-</w:t>
      </w:r>
      <w:r w:rsidR="00E9267B" w:rsidRPr="00CA3875">
        <w:rPr>
          <w:rFonts w:ascii="Times New Roman" w:hAnsi="Times New Roman"/>
          <w:lang w:val="en-US"/>
        </w:rPr>
        <w:t xml:space="preserve">procedural gradients </w:t>
      </w:r>
      <w:r w:rsidR="003E5DDE" w:rsidRPr="00CA3875">
        <w:rPr>
          <w:rFonts w:ascii="Times New Roman" w:hAnsi="Times New Roman"/>
          <w:lang w:val="en-US"/>
        </w:rPr>
        <w:t>are</w:t>
      </w:r>
      <w:r w:rsidR="003E5DDE" w:rsidRPr="00CA3875">
        <w:rPr>
          <w:rFonts w:ascii="Times New Roman" w:hAnsi="Times New Roman"/>
          <w:lang w:val="en-CA"/>
        </w:rPr>
        <w:t xml:space="preserve"> common following aortic ViV and have been associated with increased mortality</w:t>
      </w:r>
      <w:r w:rsidR="00B33756">
        <w:rPr>
          <w:rFonts w:ascii="Times New Roman" w:hAnsi="Times New Roman"/>
          <w:lang w:val="en-CA"/>
        </w:rPr>
        <w:fldChar w:fldCharType="begin" w:fldLock="1"/>
      </w:r>
      <w:r w:rsidR="00E05D9C">
        <w:rPr>
          <w:rFonts w:ascii="Times New Roman" w:hAnsi="Times New Roman"/>
          <w:lang w:val="en-CA"/>
        </w:rPr>
        <w:instrText>ADDIN CSL_CITATION { "citationItems" : [ { "id" : "ITEM-1", "itemData" : { "DOI" : "10.1161/CIRCULATIONAHA.112.104505", "ISSN" : "1524-4539", "PMID" : "23052028", "abstract" : "BACKGROUND Transcatheter aortic valve-in-valve implantation is an emerging therapeutic alternative for patients with a failed surgical bioprosthesis and may obviate the need for reoperation. We evaluated the clinical results of this technique using a large, worldwide registry. METHODS AND RESULTS The Global Valve-in-Valve Registry included 202 patients with degenerated bioprosthetic valves (aged 77.7\u00b110.4 years; 52.5% men) from 38 cardiac centers. Bioprosthesis mode of failure was stenosis (n=85; 42%), regurgitation (n=68; 34%), or combined stenosis and regurgitation (n=49; 24%). Implanted devices included CoreValve (n=124) and Edwards SAPIEN (n=78). Procedural success was achieved in 93.1% of cases. Adverse procedural outcomes included initial device malposition in 15.3% of cases and ostial coronary obstruction in 3.5%. After the procedure, valve maximum/mean gradients were 28.4\u00b114.1/15.9\u00b18.6 mm Hg, and 95% of patients had \u2264+1 degree of aortic regurgitation. At 30-day follow-up, all-cause mortality was 8.4%, and 84.1% of patients were at New York Heart Association functional class I/II. One-year follow-up was obtained in 87 patients, with 85.8% survival of treated patients. CONCLUSIONS The valve-in-valve procedure is clinically effective in the vast majority of patients with degenerated bioprosthetic valves. Safety and efficacy concerns include device malposition, ostial coronary obstruction, and high gradients after the procedure.", "author" : [ { "dropping-particle" : "", "family" : "Dvir", "given" : "Danny", "non-dropping-particle" : "", "parse-names" : false, "suffix" : "" }, { "dropping-particle" : "", "family" : "Webb", "given" : "John", "non-dropping-particle" : "", "parse-names" : false, "suffix" : "" }, { "dropping-particle" : "", "family" : "Brecker", "given" : "Stephen", "non-dropping-particle" : "", "parse-names" : false, "suffix" : "" }, { "dropping-particle" : "", "family" : "Bleiziffer", "given" : "Sabine", "non-dropping-particle" : "", "parse-names" : false, "suffix" : "" }, { "dropping-particle" : "", "family" : "Hildick-Smith", "given" : "David", "non-dropping-particle" : "", "parse-names" : false, "suffix" : "" }, { "dropping-particle" : "", "family" : "Colombo", "given" : "Antonio", "non-dropping-particle" : "", "parse-names" : false, "suffix" : "" }, { "dropping-particle" : "", "family" : "Descoutures", "given" : "Fleur", "non-dropping-particle" : "", "parse-names" : false, "suffix" : "" }, { "dropping-particle" : "", "family" : "Hengstenberg", "given" : "Christian", "non-dropping-particle" : "", "parse-names" : false, "suffix" : "" }, { "dropping-particle" : "", "family" : "Moat", "given" : "Neil E", "non-dropping-particle" : "", "parse-names" : false, "suffix" : "" }, { "dropping-particle" : "", "family" : "Bekeredjian", "given" : "Raffi", "non-dropping-particle" : "", "parse-names" : false, "suffix" : "" }, { "dropping-particle" : "", "family" : "Napodano", "given" : "Massimo", "non-dropping-particle" : "", "parse-names" : false, "suffix" : "" }, { "dropping-particle" : "", "family" : "Testa", "given" : "Luca", "non-dropping-particle" : "", "parse-names" : false, "suffix" : "" }, { "dropping-particle" : "", "family" : "Lefevre", "given" : "Thierry", "non-dropping-particle" : "", "parse-names" : false, "suffix" : "" }, { "dropping-particle" : "", "family" : "Guetta", "given" : "Victor", "non-dropping-particle" : "", "parse-names" : false, "suffix" : "" }, { "dropping-particle" : "", "family" : "Nissen", "given" : "Henrik", "non-dropping-particle" : "", "parse-names" : false, "suffix" : "" }, { "dropping-particle" : "", "family" : "Hern\u00e1ndez", "given" : "Jos\u00e9-Mar\u00eda", "non-dropping-particle" : "", "parse-names" : false, "suffix" : "" }, { "dropping-particle" : "", "family" : "Roy", "given" : "David", "non-dropping-particle" : "", "parse-names" : false, "suffix" : "" }, { "dropping-particle" : "", "family" : "Teles", "given" : "Rui C", "non-dropping-particle" : "", "parse-names" : false, "suffix" : "" }, { "dropping-particle" : "", "family" : "Segev", "given" : "Amit", "non-dropping-particle" : "", "parse-names" : false, "suffix" : "" }, { "dropping-particle" : "", "family" : "Dumonteil", "given" : "Nicolas", "non-dropping-particle" : "", "parse-names" : false, "suffix" : "" }, { "dropping-particle" : "", "family" : "Fiorina", "given" : "Claudia", "non-dropping-particle" : "", "parse-names" : false, "suffix" : "" }, { "dropping-particle" : "", "family" : "Gotzmann", "given" : "Michael", "non-dropping-particle" : "", "parse-names" : false, "suffix" : "" }, { "dropping-particle" : "", "family" : "Tchetche", "given" : "Didier", "non-dropping-particle" : "", "parse-names" : false, "suffix" : "" }, { "dropping-particle" : "", "family" : "Abdel-Wahab", "given" : "Mohamed", "non-dropping-particle" : "", "parse-names" : false, "suffix" : "" }, { "dropping-particle" : "", "family" : "Marco", "given" : "Federico", "non-dropping-particle" : "De", "parse-names" : false, "suffix" : "" }, { "dropping-particle" : "", "family" : "Baumbach", "given" : "Andreas", "non-dropping-particle" : "", "parse-names" : false, "suffix" : "" }, { "dropping-particle" : "", "family" : "Laborde", "given" : "Jean-Claude", "non-dropping-particle" : "", "parse-names" : false, "suffix" : "" }, { "dropping-particle" : "", "family" : "Kornowski", "given" : "Ran", "non-dropping-particle" : "", "parse-names" : false, "suffix" : "" } ], "container-title" : "Circulation", "id" : "ITEM-1", "issue" : "19", "issued" : { "date-parts" : [ [ "2012", "11", "6" ] ] }, "page" : "2335-44", "title" : "Transcatheter aortic valve replacement for degenerative bioprosthetic surgical valves: results from the global valve-in-valve registry.", "type" : "article-journal", "volume" : "126" }, "uris" : [ "http://www.mendeley.com/documents/?uuid=4458f73c-6f51-3bdb-aaaa-c38160f724f5" ] }, { "id" : "ITEM-2", "itemData" : { "DOI" : "10.1001/jama.2014.7246", "ISSN" : "1538-3598", "PMID" : "25005653", "abstract" : "IMPORTANCE: Owing to a considerable shift toward bioprosthesis implantation rather than mechanical valves, it is expected that patients will increasingly present with degenerated bioprostheses in the next few years. Transcatheter aortic valve-in-valve implantation is a less invasive approach for patients with structural valve deterioration; however, a comprehensive evaluation of survival after the procedure has not yet been performed.\n\nOBJECTIVE: To determine the survival of patients after transcatheter valve-in-valve implantation inside failed surgical bioprosthetic valves.\n\nDESIGN, SETTING, AND PARTICIPANTS: Correlates for survival were evaluated using a multinational valve-in-valve registry that included 459 patients with degenerated bioprosthetic valves undergoing valve-in-valve implantation between 2007 and May 2013 in 55 centers (mean age, 77.6 [SD, 9.8] years; 56% men; median Society of Thoracic Surgeons mortality prediction score, 9.8% [interquartile range, 7.7%-16%]). Surgical valves were classified as small (\u226421 mm; 29.7%), intermediate (&gt;21 and &lt;25 mm; 39.3%), and large (\u226525 mm; 31%). Implanted devices included both balloon- and self-expandable valves.\n\nMAIN OUTCOMES AND MEASURES: Survival, stroke, and New York Heart Association functional class.\n\nRESULTS: Modes of bioprosthesis failure were stenosis (n\u2009=\u2009181 [39.4%]), regurgitation (n\u2009=\u2009139 [30.3%]), and combined (n\u2009=\u2009139 [30.3%]). The stenosis group had a higher percentage of small valves (37% vs 20.9% and 26.6% in the regurgitation and combined groups, respectively; P\u2009=\u2009.005). Within 1 month following valve-in-valve implantation, 35 (7.6%) patients died, 8 (1.7%) had major stroke, and 313 (92.6%) of surviving patients had good functional status (New York Heart Association class I/II). The overall 1-year Kaplan-Meier survival rate was 83.2% (95% CI, 80.8%-84.7%; 62 death events; 228 survivors). Patients in the stenosis group had worse 1-year survival (76.6%; 95% CI, 68.9%-83.1%; 34 deaths; 86 survivors) in comparison with the regurgitation group (91.2%; 95% CI, 85.7%-96.7%; 10 deaths; 76 survivors) and the combined group (83.9%; 95% CI, 76.8%-91%; 18 deaths; 66 survivors) (P\u2009=\u2009.01). Similarly, patients with small valves had worse 1-year survival (74.8% [95% CI, 66.2%-83.4%]; 27 deaths; 57 survivors) vs with intermediate-sized valves (81.8%; 95% CI, 75.3%-88.3%; 26 deaths; 92 survivors) and with large valves (93.3%; 95% CI, 85.7%-96.7%; 7 deaths; 73 survivors) (P\u2009=\u2009.001). Factors associated \u2026", "author" : [ { "dropping-particle" : "", "family" : "Dvir", "given" : "Danny", "non-dropping-particle" : "", "parse-names" : false, "suffix" : "" }, { "dropping-particle" : "", "family" : "Webb", "given" : "John G", "non-dropping-particle" : "", "parse-names" : false, "suffix" : "" }, { "dropping-particle" : "", "family" : "Bleiziffer", "given" : "Sabine", "non-dropping-particle" : "", "parse-names" : false, "suffix" : "" }, { "dropping-particle" : "", "family" : "Pasic", "given" : "Miralem", "non-dropping-particle" : "", "parse-names" : false, "suffix" : "" }, { "dropping-particle" : "", "family" : "Waksman", "given" : "Ron", "non-dropping-particle" : "", "parse-names" : false, "suffix" : "" }, { "dropping-particle" : "", "family" : "Kodali", "given" : "Susheel", "non-dropping-particle" : "", "parse-names" : false, "suffix" : "" }, { "dropping-particle" : "", "family" : "Barbanti", "given" : "Marco", "non-dropping-particle" : "", "parse-names" : false, "suffix" : "" }, { "dropping-particle" : "", "family" : "Latib", "given" : "Azeem", "non-dropping-particle" : "", "parse-names" : false, "suffix" : "" }, { "dropping-particle" : "", "family" : "Schaefer", "given" : "Ulrich", "non-dropping-particle" : "", "parse-names" : false, "suffix" : "" }, { "dropping-particle" : "", "family" : "Rod\u00e9s-Cabau", "given" : "Josep", "non-dropping-particle" : "", "parse-names" : false, "suffix" : "" }, { "dropping-particle" : "", "family" : "Treede", "given" : "Hendrik", "non-dropping-particle" : "", "parse-names" : false, "suffix" : "" }, { "dropping-particle" : "", "family" : "Piazza", "given" : "Nicolo", "non-dropping-particle" : "", "parse-names" : false, "suffix" : "" }, { "dropping-particle" : "", "family" : "Hildick-Smith", "given" : "David", "non-dropping-particle" : "", "parse-names" : false, "suffix" : "" }, { "dropping-particle" : "", "family" : "Himbert", "given" : "Dominique", "non-dropping-particle" : "", "parse-names" : false, "suffix" : "" }, { "dropping-particle" : "", "family" : "Walther", "given" : "Thomas", "non-dropping-particle" : "", "parse-names" : false, "suffix" : "" }, { "dropping-particle" : "", "family" : "Hengstenberg", "given" : "Christian", "non-dropping-particle" : "", "parse-names" : false, "suffix" : "" }, { "dropping-particle" : "", "family" : "Nissen", "given" : "Henrik", "non-dropping-particle" : "", "parse-names" : false, "suffix" : "" }, { "dropping-particle" : "", "family" : "Bekeredjian", "given" : "Raffi", "non-dropping-particle" : "", "parse-names" : false, "suffix" : "" }, { "dropping-particle" : "", "family" : "Presbitero", "given" : "Patrizia", "non-dropping-particle" : "", "parse-names" : false, "suffix" : "" }, { "dropping-particle" : "", "family" : "Ferrari", "given" : "Enrico", "non-dropping-particle" : "", "parse-names" : false, "suffix" : "" }, { "dropping-particle" : "", "family" : "Segev", "given" : "Amit", "non-dropping-particle" : "", "parse-names" : false, "suffix" : "" }, { "dropping-particle" : "", "family" : "Weger", "given" : "Arend", "non-dropping-particle" : "de", "parse-names" : false, "suffix" : "" }, { "dropping-particle" : "", "family" : "Windecker", "given" : "Stephan", "non-dropping-particle" : "", "parse-names" : false, "suffix" : "" }, { "dropping-particle" : "", "family" : "Moat", "given" : "Neil E", "non-dropping-particle" : "", "parse-names" : false, "suffix" : "" }, { "dropping-particle" : "", "family" : "Napodano", "given" : "Massimo", "non-dropping-particle" : "", "parse-names" : false, "suffix" : "" }, { "dropping-particle" : "", "family" : "Wilbring", "given" : "Manuel", "non-dropping-particle" : "", "parse-names" : false, "suffix" : "" }, { "dropping-particle" : "", "family" : "Cerillo", "given" : "Alfredo G", "non-dropping-particle" : "", "parse-names" : false, "suffix" : "" }, { "dropping-particle" : "", "family" : "Brecker", "given" : "Stephen", "non-dropping-particle" : "", "parse-names" : false, "suffix" : "" }, { "dropping-particle" : "", "family" : "Tchetche", "given" : "Didier", "non-dropping-particle" : "", "parse-names" : false, "suffix" : "" }, { "dropping-particle" : "", "family" : "Lef\u00e8vre", "given" : "Thierry", "non-dropping-particle" : "", "parse-names" : false, "suffix" : "" }, { "dropping-particle" : "", "family" : "Marco", "given" : "Federico", "non-dropping-particle" : "De", "parse-names" : false, "suffix" : "" }, { "dropping-particle" : "", "family" : "Fiorina", "given" : "Claudia", "non-dropping-particle" : "", "parse-names" : false, "suffix" : "" }, { "dropping-particle" : "", "family" : "Petronio", "given" : "Anna Sonia", "non-dropping-particle" : "", "parse-names" : false, "suffix" : "" }, { "dropping-particle" : "", "family" : "Teles", "given" : "Rui C", "non-dropping-particle" : "", "parse-names" : false, "suffix" : "" }, { "dropping-particle" : "", "family" : "Testa", "given" : "Luca", "non-dropping-particle" : "", "parse-names" : false, "suffix" : "" }, { "dropping-particle" : "", "family" : "Laborde", "given" : "Jean-Claude", "non-dropping-particle" : "", "parse-names" : false, "suffix" : "" }, { "dropping-particle" : "", "family" : "Leon", "given" : "Martin B", "non-dropping-particle" : "", "parse-names" : false, "suffix" : "" }, { "dropping-particle" : "", "family" : "Kornowski", "given" : "Ran", "non-dropping-particle" : "", "parse-names" : false, "suffix" : "" } ], "container-title" : "JAMA", "id" : "ITEM-2", "issue" : "2", "issued" : { "date-parts" : [ [ "2014", "7" ] ] }, "page" : "162-70", "title" : "Transcatheter aortic valve implantation in failed bioprosthetic surgical valves.", "type" : "article-journal", "volume" : "312" }, "uris" : [ "http://www.mendeley.com/documents/?uuid=ec6beffa-08e3-4ba9-9a2b-7b3e772d08bf" ] } ], "mendeley" : { "formattedCitation" : "(8, 9)", "plainTextFormattedCitation" : "(8, 9)", "previouslyFormattedCitation" : "&lt;sup&gt;8,9&lt;/sup&gt;" }, "properties" : { "noteIndex" : 0 }, "schema" : "https://github.com/citation-style-language/schema/raw/master/csl-citation.json" }</w:instrText>
      </w:r>
      <w:r w:rsidR="00B33756">
        <w:rPr>
          <w:rFonts w:ascii="Times New Roman" w:hAnsi="Times New Roman"/>
          <w:lang w:val="en-CA"/>
        </w:rPr>
        <w:fldChar w:fldCharType="separate"/>
      </w:r>
      <w:r w:rsidR="00E05D9C" w:rsidRPr="00E05D9C">
        <w:rPr>
          <w:rFonts w:ascii="Times New Roman" w:hAnsi="Times New Roman"/>
          <w:noProof/>
          <w:lang w:val="en-CA"/>
        </w:rPr>
        <w:t>(8, 9)</w:t>
      </w:r>
      <w:r w:rsidR="00B33756">
        <w:rPr>
          <w:rFonts w:ascii="Times New Roman" w:hAnsi="Times New Roman"/>
          <w:lang w:val="en-CA"/>
        </w:rPr>
        <w:fldChar w:fldCharType="end"/>
      </w:r>
      <w:r w:rsidR="003E5DDE" w:rsidRPr="00CA3875">
        <w:rPr>
          <w:rFonts w:ascii="Times New Roman" w:hAnsi="Times New Roman"/>
          <w:lang w:val="en-CA"/>
        </w:rPr>
        <w:t>. In the VIVID registry, small label size of the surgical valve was found to be associated with increased mortality after ViV</w:t>
      </w:r>
      <w:r w:rsidR="00B33756">
        <w:rPr>
          <w:rFonts w:ascii="Times New Roman" w:hAnsi="Times New Roman"/>
          <w:lang w:val="en-CA"/>
        </w:rPr>
        <w:fldChar w:fldCharType="begin" w:fldLock="1"/>
      </w:r>
      <w:r w:rsidR="00E05D9C">
        <w:rPr>
          <w:rFonts w:ascii="Times New Roman" w:hAnsi="Times New Roman"/>
          <w:lang w:val="en-CA"/>
        </w:rPr>
        <w:instrText>ADDIN CSL_CITATION { "citationItems" : [ { "id" : "ITEM-1", "itemData" : { "DOI" : "10.1001/jama.2014.7246", "ISSN" : "1538-3598", "PMID" : "25005653", "abstract" : "IMPORTANCE: Owing to a considerable shift toward bioprosthesis implantation rather than mechanical valves, it is expected that patients will increasingly present with degenerated bioprostheses in the next few years. Transcatheter aortic valve-in-valve implantation is a less invasive approach for patients with structural valve deterioration; however, a comprehensive evaluation of survival after the procedure has not yet been performed.\n\nOBJECTIVE: To determine the survival of patients after transcatheter valve-in-valve implantation inside failed surgical bioprosthetic valves.\n\nDESIGN, SETTING, AND PARTICIPANTS: Correlates for survival were evaluated using a multinational valve-in-valve registry that included 459 patients with degenerated bioprosthetic valves undergoing valve-in-valve implantation between 2007 and May 2013 in 55 centers (mean age, 77.6 [SD, 9.8] years; 56% men; median Society of Thoracic Surgeons mortality prediction score, 9.8% [interquartile range, 7.7%-16%]). Surgical valves were classified as small (\u226421 mm; 29.7%), intermediate (&gt;21 and &lt;25 mm; 39.3%), and large (\u226525 mm; 31%). Implanted devices included both balloon- and self-expandable valves.\n\nMAIN OUTCOMES AND MEASURES: Survival, stroke, and New York Heart Association functional class.\n\nRESULTS: Modes of bioprosthesis failure were stenosis (n\u2009=\u2009181 [39.4%]), regurgitation (n\u2009=\u2009139 [30.3%]), and combined (n\u2009=\u2009139 [30.3%]). The stenosis group had a higher percentage of small valves (37% vs 20.9% and 26.6% in the regurgitation and combined groups, respectively; P\u2009=\u2009.005). Within 1 month following valve-in-valve implantation, 35 (7.6%) patients died, 8 (1.7%) had major stroke, and 313 (92.6%) of surviving patients had good functional status (New York Heart Association class I/II). The overall 1-year Kaplan-Meier survival rate was 83.2% (95% CI, 80.8%-84.7%; 62 death events; 228 survivors). Patients in the stenosis group had worse 1-year survival (76.6%; 95% CI, 68.9%-83.1%; 34 deaths; 86 survivors) in comparison with the regurgitation group (91.2%; 95% CI, 85.7%-96.7%; 10 deaths; 76 survivors) and the combined group (83.9%; 95% CI, 76.8%-91%; 18 deaths; 66 survivors) (P\u2009=\u2009.01). Similarly, patients with small valves had worse 1-year survival (74.8% [95% CI, 66.2%-83.4%]; 27 deaths; 57 survivors) vs with intermediate-sized valves (81.8%; 95% CI, 75.3%-88.3%; 26 deaths; 92 survivors) and with large valves (93.3%; 95% CI, 85.7%-96.7%; 7 deaths; 73 survivors) (P\u2009=\u2009.001). Factors associated \u2026", "author" : [ { "dropping-particle" : "", "family" : "Dvir", "given" : "Danny", "non-dropping-particle" : "", "parse-names" : false, "suffix" : "" }, { "dropping-particle" : "", "family" : "Webb", "given" : "John G", "non-dropping-particle" : "", "parse-names" : false, "suffix" : "" }, { "dropping-particle" : "", "family" : "Bleiziffer", "given" : "Sabine", "non-dropping-particle" : "", "parse-names" : false, "suffix" : "" }, { "dropping-particle" : "", "family" : "Pasic", "given" : "Miralem", "non-dropping-particle" : "", "parse-names" : false, "suffix" : "" }, { "dropping-particle" : "", "family" : "Waksman", "given" : "Ron", "non-dropping-particle" : "", "parse-names" : false, "suffix" : "" }, { "dropping-particle" : "", "family" : "Kodali", "given" : "Susheel", "non-dropping-particle" : "", "parse-names" : false, "suffix" : "" }, { "dropping-particle" : "", "family" : "Barbanti", "given" : "Marco", "non-dropping-particle" : "", "parse-names" : false, "suffix" : "" }, { "dropping-particle" : "", "family" : "Latib", "given" : "Azeem", "non-dropping-particle" : "", "parse-names" : false, "suffix" : "" }, { "dropping-particle" : "", "family" : "Schaefer", "given" : "Ulrich", "non-dropping-particle" : "", "parse-names" : false, "suffix" : "" }, { "dropping-particle" : "", "family" : "Rod\u00e9s-Cabau", "given" : "Josep", "non-dropping-particle" : "", "parse-names" : false, "suffix" : "" }, { "dropping-particle" : "", "family" : "Treede", "given" : "Hendrik", "non-dropping-particle" : "", "parse-names" : false, "suffix" : "" }, { "dropping-particle" : "", "family" : "Piazza", "given" : "Nicolo", "non-dropping-particle" : "", "parse-names" : false, "suffix" : "" }, { "dropping-particle" : "", "family" : "Hildick-Smith", "given" : "David", "non-dropping-particle" : "", "parse-names" : false, "suffix" : "" }, { "dropping-particle" : "", "family" : "Himbert", "given" : "Dominique", "non-dropping-particle" : "", "parse-names" : false, "suffix" : "" }, { "dropping-particle" : "", "family" : "Walther", "given" : "Thomas", "non-dropping-particle" : "", "parse-names" : false, "suffix" : "" }, { "dropping-particle" : "", "family" : "Hengstenberg", "given" : "Christian", "non-dropping-particle" : "", "parse-names" : false, "suffix" : "" }, { "dropping-particle" : "", "family" : "Nissen", "given" : "Henrik", "non-dropping-particle" : "", "parse-names" : false, "suffix" : "" }, { "dropping-particle" : "", "family" : "Bekeredjian", "given" : "Raffi", "non-dropping-particle" : "", "parse-names" : false, "suffix" : "" }, { "dropping-particle" : "", "family" : "Presbitero", "given" : "Patrizia", "non-dropping-particle" : "", "parse-names" : false, "suffix" : "" }, { "dropping-particle" : "", "family" : "Ferrari", "given" : "Enrico", "non-dropping-particle" : "", "parse-names" : false, "suffix" : "" }, { "dropping-particle" : "", "family" : "Segev", "given" : "Amit", "non-dropping-particle" : "", "parse-names" : false, "suffix" : "" }, { "dropping-particle" : "", "family" : "Weger", "given" : "Arend", "non-dropping-particle" : "de", "parse-names" : false, "suffix" : "" }, { "dropping-particle" : "", "family" : "Windecker", "given" : "Stephan", "non-dropping-particle" : "", "parse-names" : false, "suffix" : "" }, { "dropping-particle" : "", "family" : "Moat", "given" : "Neil E", "non-dropping-particle" : "", "parse-names" : false, "suffix" : "" }, { "dropping-particle" : "", "family" : "Napodano", "given" : "Massimo", "non-dropping-particle" : "", "parse-names" : false, "suffix" : "" }, { "dropping-particle" : "", "family" : "Wilbring", "given" : "Manuel", "non-dropping-particle" : "", "parse-names" : false, "suffix" : "" }, { "dropping-particle" : "", "family" : "Cerillo", "given" : "Alfredo G", "non-dropping-particle" : "", "parse-names" : false, "suffix" : "" }, { "dropping-particle" : "", "family" : "Brecker", "given" : "Stephen", "non-dropping-particle" : "", "parse-names" : false, "suffix" : "" }, { "dropping-particle" : "", "family" : "Tchetche", "given" : "Didier", "non-dropping-particle" : "", "parse-names" : false, "suffix" : "" }, { "dropping-particle" : "", "family" : "Lef\u00e8vre", "given" : "Thierry", "non-dropping-particle" : "", "parse-names" : false, "suffix" : "" }, { "dropping-particle" : "", "family" : "Marco", "given" : "Federico", "non-dropping-particle" : "De", "parse-names" : false, "suffix" : "" }, { "dropping-particle" : "", "family" : "Fiorina", "given" : "Claudia", "non-dropping-particle" : "", "parse-names" : false, "suffix" : "" }, { "dropping-particle" : "", "family" : "Petronio", "given" : "Anna Sonia", "non-dropping-particle" : "", "parse-names" : false, "suffix" : "" }, { "dropping-particle" : "", "family" : "Teles", "given" : "Rui C", "non-dropping-particle" : "", "parse-names" : false, "suffix" : "" }, { "dropping-particle" : "", "family" : "Testa", "given" : "Luca", "non-dropping-particle" : "", "parse-names" : false, "suffix" : "" }, { "dropping-particle" : "", "family" : "Laborde", "given" : "Jean-Claude", "non-dropping-particle" : "", "parse-names" : false, "suffix" : "" }, { "dropping-particle" : "", "family" : "Leon", "given" : "Martin B", "non-dropping-particle" : "", "parse-names" : false, "suffix" : "" }, { "dropping-particle" : "", "family" : "Kornowski", "given" : "Ran", "non-dropping-particle" : "", "parse-names" : false, "suffix" : "" } ], "container-title" : "JAMA", "id" : "ITEM-1", "issue" : "2", "issued" : { "date-parts" : [ [ "2014", "7" ] ] }, "page" : "162-70", "title" : "Transcatheter aortic valve implantation in failed bioprosthetic surgical valves.", "type" : "article-journal", "volume" : "312" }, "uris" : [ "http://www.mendeley.com/documents/?uuid=ec6beffa-08e3-4ba9-9a2b-7b3e772d08bf" ] } ], "mendeley" : { "formattedCitation" : "(9)", "plainTextFormattedCitation" : "(9)", "previouslyFormattedCitation" : "&lt;sup&gt;9&lt;/sup&gt;" }, "properties" : { "noteIndex" : 0 }, "schema" : "https://github.com/citation-style-language/schema/raw/master/csl-citation.json" }</w:instrText>
      </w:r>
      <w:r w:rsidR="00B33756">
        <w:rPr>
          <w:rFonts w:ascii="Times New Roman" w:hAnsi="Times New Roman"/>
          <w:lang w:val="en-CA"/>
        </w:rPr>
        <w:fldChar w:fldCharType="separate"/>
      </w:r>
      <w:r w:rsidR="00E05D9C" w:rsidRPr="00E05D9C">
        <w:rPr>
          <w:rFonts w:ascii="Times New Roman" w:hAnsi="Times New Roman"/>
          <w:noProof/>
          <w:lang w:val="en-CA"/>
        </w:rPr>
        <w:t>(9)</w:t>
      </w:r>
      <w:r w:rsidR="00B33756">
        <w:rPr>
          <w:rFonts w:ascii="Times New Roman" w:hAnsi="Times New Roman"/>
          <w:lang w:val="en-CA"/>
        </w:rPr>
        <w:fldChar w:fldCharType="end"/>
      </w:r>
      <w:r w:rsidR="003E5DDE" w:rsidRPr="00CA3875">
        <w:rPr>
          <w:rFonts w:ascii="Times New Roman" w:hAnsi="Times New Roman"/>
          <w:lang w:val="en-CA"/>
        </w:rPr>
        <w:t>. However, it is unknown whether th</w:t>
      </w:r>
      <w:r w:rsidR="00EA31BA">
        <w:rPr>
          <w:rFonts w:ascii="Times New Roman" w:hAnsi="Times New Roman"/>
          <w:lang w:val="en-CA"/>
        </w:rPr>
        <w:t>at</w:t>
      </w:r>
      <w:r w:rsidR="003E5DDE" w:rsidRPr="00CA3875">
        <w:rPr>
          <w:rFonts w:ascii="Times New Roman" w:hAnsi="Times New Roman"/>
          <w:lang w:val="en-CA"/>
        </w:rPr>
        <w:t xml:space="preserve"> association </w:t>
      </w:r>
      <w:r w:rsidR="00EA31BA">
        <w:rPr>
          <w:rFonts w:ascii="Times New Roman" w:hAnsi="Times New Roman"/>
          <w:lang w:val="en-CA"/>
        </w:rPr>
        <w:t>is</w:t>
      </w:r>
      <w:r w:rsidR="003E5DDE" w:rsidRPr="00CA3875">
        <w:rPr>
          <w:rFonts w:ascii="Times New Roman" w:hAnsi="Times New Roman"/>
          <w:lang w:val="en-CA"/>
        </w:rPr>
        <w:t>, at least in part, related to pre-existent prosthesis-patient mismatch (PPM), i.e. PPM of the surgical</w:t>
      </w:r>
      <w:r w:rsidR="00583F2D" w:rsidRPr="00CA3875">
        <w:rPr>
          <w:rFonts w:ascii="Times New Roman" w:hAnsi="Times New Roman"/>
          <w:lang w:val="en-CA"/>
        </w:rPr>
        <w:t xml:space="preserve"> bioprosthetic</w:t>
      </w:r>
      <w:r w:rsidR="003E5DDE" w:rsidRPr="00CA3875">
        <w:rPr>
          <w:rFonts w:ascii="Times New Roman" w:hAnsi="Times New Roman"/>
          <w:lang w:val="en-CA"/>
        </w:rPr>
        <w:t xml:space="preserve"> valve. </w:t>
      </w:r>
      <w:r w:rsidR="00F82C26" w:rsidRPr="00CA3875">
        <w:rPr>
          <w:rFonts w:ascii="Times New Roman" w:hAnsi="Times New Roman"/>
          <w:lang w:val="en-CA"/>
        </w:rPr>
        <w:t>PPM refers to a prosthetic valve with normal function that is too small in relation to the body size and thus</w:t>
      </w:r>
      <w:r w:rsidR="00103900">
        <w:rPr>
          <w:rFonts w:ascii="Times New Roman" w:hAnsi="Times New Roman"/>
          <w:lang w:val="en-CA"/>
        </w:rPr>
        <w:t xml:space="preserve"> for</w:t>
      </w:r>
      <w:r w:rsidR="00F82C26" w:rsidRPr="00CA3875">
        <w:rPr>
          <w:rFonts w:ascii="Times New Roman" w:hAnsi="Times New Roman"/>
          <w:lang w:val="en-CA"/>
        </w:rPr>
        <w:t xml:space="preserve"> the cardiac output requirements of the patient. PPM is </w:t>
      </w:r>
      <w:r w:rsidR="009F7476">
        <w:rPr>
          <w:rFonts w:ascii="Times New Roman" w:hAnsi="Times New Roman"/>
          <w:lang w:val="en-CA"/>
        </w:rPr>
        <w:t xml:space="preserve">therefore </w:t>
      </w:r>
      <w:r w:rsidR="00F82C26" w:rsidRPr="00CA3875">
        <w:rPr>
          <w:rFonts w:ascii="Times New Roman" w:hAnsi="Times New Roman"/>
          <w:lang w:val="en-CA"/>
        </w:rPr>
        <w:t xml:space="preserve">defined with the use of the prosthetic valve EOA divided by the patient’s body surface area. </w:t>
      </w:r>
      <w:r w:rsidR="003E5DDE" w:rsidRPr="00CA3875">
        <w:rPr>
          <w:rFonts w:ascii="Times New Roman" w:hAnsi="Times New Roman"/>
          <w:lang w:val="en-CA"/>
        </w:rPr>
        <w:t xml:space="preserve">The objective of this study was thus to examine the association between pre-existent PPM and </w:t>
      </w:r>
      <w:r w:rsidR="009F7476">
        <w:rPr>
          <w:rFonts w:ascii="Times New Roman" w:hAnsi="Times New Roman"/>
          <w:lang w:val="en-CA"/>
        </w:rPr>
        <w:t xml:space="preserve">the occurrence of high residual gradients and </w:t>
      </w:r>
      <w:r w:rsidR="003E5DDE" w:rsidRPr="00CA3875">
        <w:rPr>
          <w:rFonts w:ascii="Times New Roman" w:hAnsi="Times New Roman"/>
          <w:lang w:val="en-CA"/>
        </w:rPr>
        <w:t xml:space="preserve">mortality after ViV. </w:t>
      </w:r>
    </w:p>
    <w:p w14:paraId="51BF8EDC" w14:textId="77777777" w:rsidR="004A1902" w:rsidRDefault="004A1902" w:rsidP="00F86913">
      <w:pPr>
        <w:spacing w:line="480" w:lineRule="auto"/>
        <w:outlineLvl w:val="0"/>
        <w:rPr>
          <w:rFonts w:ascii="Times New Roman" w:hAnsi="Times New Roman"/>
          <w:b/>
          <w:lang w:val="en-US"/>
        </w:rPr>
      </w:pPr>
    </w:p>
    <w:p w14:paraId="0302D924" w14:textId="52BBB9E3" w:rsidR="00E9267B" w:rsidRPr="00F86913" w:rsidRDefault="00A53B56" w:rsidP="00F86913">
      <w:pPr>
        <w:spacing w:line="480" w:lineRule="auto"/>
        <w:outlineLvl w:val="0"/>
        <w:rPr>
          <w:rFonts w:ascii="Times New Roman" w:hAnsi="Times New Roman"/>
          <w:b/>
          <w:sz w:val="28"/>
          <w:lang w:val="en-US"/>
        </w:rPr>
      </w:pPr>
      <w:r w:rsidRPr="00F86913">
        <w:rPr>
          <w:rFonts w:ascii="Times New Roman" w:hAnsi="Times New Roman"/>
          <w:b/>
          <w:sz w:val="28"/>
          <w:lang w:val="en-US"/>
        </w:rPr>
        <w:lastRenderedPageBreak/>
        <w:t>METHODS</w:t>
      </w:r>
    </w:p>
    <w:p w14:paraId="1F50E0F8" w14:textId="77777777" w:rsidR="00E9267B" w:rsidRPr="00CA3875" w:rsidRDefault="00E9267B" w:rsidP="00F86913">
      <w:pPr>
        <w:spacing w:line="480" w:lineRule="auto"/>
        <w:outlineLvl w:val="0"/>
        <w:rPr>
          <w:rFonts w:ascii="Times New Roman" w:hAnsi="Times New Roman"/>
          <w:lang w:val="en-US"/>
        </w:rPr>
      </w:pPr>
      <w:r w:rsidRPr="00CA3875">
        <w:rPr>
          <w:rFonts w:ascii="Times New Roman" w:hAnsi="Times New Roman"/>
          <w:b/>
          <w:lang w:val="en-US"/>
        </w:rPr>
        <w:t>Registry Design</w:t>
      </w:r>
    </w:p>
    <w:p w14:paraId="7CD347FC" w14:textId="20C080F0" w:rsidR="00E9267B" w:rsidRPr="00CA3875" w:rsidRDefault="00E9267B" w:rsidP="00F86913">
      <w:pPr>
        <w:spacing w:line="480" w:lineRule="auto"/>
        <w:rPr>
          <w:rFonts w:ascii="Times New Roman" w:hAnsi="Times New Roman"/>
          <w:lang w:val="en-US"/>
        </w:rPr>
      </w:pPr>
      <w:r w:rsidRPr="00CA3875">
        <w:rPr>
          <w:rFonts w:ascii="Times New Roman" w:hAnsi="Times New Roman"/>
          <w:lang w:val="en-US"/>
        </w:rPr>
        <w:t xml:space="preserve">The Valve-in-Valve International Data (VIVID) registry is a </w:t>
      </w:r>
      <w:r w:rsidR="00A53B56" w:rsidRPr="00CA3875">
        <w:rPr>
          <w:rFonts w:ascii="Times New Roman" w:hAnsi="Times New Roman"/>
          <w:lang w:val="en-US"/>
        </w:rPr>
        <w:t xml:space="preserve">multi-center international </w:t>
      </w:r>
      <w:r w:rsidRPr="00CA3875">
        <w:rPr>
          <w:rFonts w:ascii="Times New Roman" w:hAnsi="Times New Roman"/>
          <w:lang w:val="en-US"/>
        </w:rPr>
        <w:t xml:space="preserve">registry of ViV procedures, which </w:t>
      </w:r>
      <w:r w:rsidR="00737900" w:rsidRPr="00CA3875">
        <w:rPr>
          <w:rFonts w:ascii="Times New Roman" w:hAnsi="Times New Roman"/>
          <w:lang w:val="en-US"/>
        </w:rPr>
        <w:t>includes</w:t>
      </w:r>
      <w:r w:rsidRPr="00CA3875">
        <w:rPr>
          <w:rFonts w:ascii="Times New Roman" w:hAnsi="Times New Roman"/>
          <w:lang w:val="en-US"/>
        </w:rPr>
        <w:t xml:space="preserve"> different THV devices and valve positions</w:t>
      </w:r>
      <w:r w:rsidR="00B33756">
        <w:rPr>
          <w:rFonts w:ascii="Times New Roman" w:hAnsi="Times New Roman"/>
          <w:lang w:val="en-US"/>
        </w:rPr>
        <w:fldChar w:fldCharType="begin" w:fldLock="1"/>
      </w:r>
      <w:r w:rsidR="00E05D9C">
        <w:rPr>
          <w:rFonts w:ascii="Times New Roman" w:hAnsi="Times New Roman"/>
          <w:lang w:val="en-US"/>
        </w:rPr>
        <w:instrText>ADDIN CSL_CITATION { "citationItems" : [ { "id" : "ITEM-1", "itemData" : { "DOI" : "10.1161/CIRCINTERVENTIONS.115.003651", "ISSN" : "1941-7640", "author" : [ { "dropping-particle" : "", "family" : "Simonato", "given" : "Matheus", "non-dropping-particle" : "", "parse-names" : false, "suffix" : "" }, { "dropping-particle" : "", "family" : "Webb", "given" : "John", "non-dropping-particle" : "", "parse-names" : false, "suffix" : "" }, { "dropping-particle" : "", "family" : "Kornowski", "given" : "Ran", "non-dropping-particle" : "", "parse-names" : false, "suffix" : "" }, { "dropping-particle" : "", "family" : "Vahanian", "given" : "Alec", "non-dropping-particle" : "", "parse-names" : false, "suffix" : "" }, { "dropping-particle" : "", "family" : "Frerker", "given" : "Christian", "non-dropping-particle" : "", "parse-names" : false, "suffix" : "" }, { "dropping-particle" : "", "family" : "Nissen", "given" : "Henrik", "non-dropping-particle" : "", "parse-names" : false, "suffix" : "" }, { "dropping-particle" : "", "family" : "Bleiziffer", "given" : "Sabine", "non-dropping-particle" : "", "parse-names" : false, "suffix" : "" }, { "dropping-particle" : "", "family" : "Duncan", "given" : "Alison", "non-dropping-particle" : "", "parse-names" : false, "suffix" : "" }, { "dropping-particle" : "", "family" : "Rod\u00e9s-Cabau", "given" : "Josep", "non-dropping-particle" : "", "parse-names" : false, "suffix" : "" }, { "dropping-particle" : "", "family" : "Attizzani", "given" : "Guilherme F.", "non-dropping-particle" : "", "parse-names" : false, "suffix" : "" }, { "dropping-particle" : "", "family" : "Horlick", "given" : "Eric", "non-dropping-particle" : "", "parse-names" : false, "suffix" : "" }, { "dropping-particle" : "", "family" : "Latib", "given" : "Azeem", "non-dropping-particle" : "", "parse-names" : false, "suffix" : "" }, { "dropping-particle" : "", "family" : "Bekeredjian", "given" : "Raffi", "non-dropping-particle" : "", "parse-names" : false, "suffix" : "" }, { "dropping-particle" : "", "family" : "Barbanti", "given" : "Marco", "non-dropping-particle" : "", "parse-names" : false, "suffix" : "" }, { "dropping-particle" : "", "family" : "Lefevre", "given" : "Thierry", "non-dropping-particle" : "", "parse-names" : false, "suffix" : "" }, { "dropping-particle" : "", "family" : "Cerillo", "given" : "Alfredo", "non-dropping-particle" : "", "parse-names" : false, "suffix" : "" }, { "dropping-particle" : "", "family" : "Hern\u00e1ndez", "given" : "Jos\u00e9 Mar\u00eda", "non-dropping-particle" : "", "parse-names" : false, "suffix" : "" }, { "dropping-particle" : "", "family" : "Bruschi", "given" : "Giuseppe", "non-dropping-particle" : "", "parse-names" : false, "suffix" : "" }, { "dropping-particle" : "", "family" : "Spargias", "given" : "Konstantinos", "non-dropping-particle" : "", "parse-names" : false, "suffix" : "" }, { "dropping-particle" : "", "family" : "Iadanza", "given" : "Alessandro", "non-dropping-particle" : "", "parse-names" : false, "suffix" : "" }, { "dropping-particle" : "", "family" : "Brecker", "given" : "Stephen", "non-dropping-particle" : "", "parse-names" : false, "suffix" : "" }, { "dropping-particle" : "", "family" : "Palma", "given" : "Jos\u00e9 Hon\u00f3rio", "non-dropping-particle" : "", "parse-names" : false, "suffix" : "" }, { "dropping-particle" : "", "family" : "Finkelstein", "given" : "Ariel", "non-dropping-particle" : "", "parse-names" : false, "suffix" : "" }, { "dropping-particle" : "", "family" : "Abdel-Wahab", "given" : "Mohamed", "non-dropping-particle" : "", "parse-names" : false, "suffix" : "" }, { "dropping-particle" : "", "family" : "Lemos", "given" : "Pedro", "non-dropping-particle" : "", "parse-names" : false, "suffix" : "" }, { "dropping-particle" : "", "family" : "Petronio", "given" : "Anna Sonia", "non-dropping-particle" : "", "parse-names" : false, "suffix" : "" }, { "dropping-particle" : "", "family" : "Champagnac", "given" : "Didier", "non-dropping-particle" : "", "parse-names" : false, "suffix" : "" }, { "dropping-particle" : "", "family" : "Sinning", "given" : "Jan-Malte", "non-dropping-particle" : "", "parse-names" : false, "suffix" : "" }, { "dropping-particle" : "", "family" : "Salizzoni", "given" : "Stefano", "non-dropping-particle" : "", "parse-names" : false, "suffix" : "" }, { "dropping-particle" : "", "family" : "Napodano", "given" : "Massimo", "non-dropping-particle" : "", "parse-names" : false, "suffix" : "" }, { "dropping-particle" : "", "family" : "Fiorina", "given" : "Claudia", "non-dropping-particle" : "", "parse-names" : false, "suffix" : "" }, { "dropping-particle" : "", "family" : "Marzocchi", "given" : "Antonio", "non-dropping-particle" : "", "parse-names" : false, "suffix" : "" }, { "dropping-particle" : "", "family" : "Leon", "given" : "Martin", "non-dropping-particle" : "", "parse-names" : false, "suffix" : "" }, { "dropping-particle" : "", "family" : "Dvir", "given" : "Danny", "non-dropping-particle" : "", "parse-names" : false, "suffix" : "" } ], "container-title" : "Circulation: Cardiovascular Interventions", "id" : "ITEM-1", "issue" : "6", "issued" : { "date-parts" : [ [ "2016", "6", "14" ] ] }, "page" : "e003651", "title" : "Transcatheter Replacement of Failed Bioprosthetic Valves: Large Multicenter Assessment of the Effect of Implantation Depth on Hemodynamics After Aortic Valve-in-Valve", "type" : "article-journal", "volume" : "9" }, "uris" : [ "http://www.mendeley.com/documents/?uuid=0661a24c-2410-38e3-b2e2-61ceacdbd6ba" ] } ], "mendeley" : { "formattedCitation" : "(10)", "plainTextFormattedCitation" : "(10)", "previouslyFormattedCitation" : "&lt;sup&gt;10&lt;/sup&gt;" }, "properties" : { "noteIndex" : 0 }, "schema" : "https://github.com/citation-style-language/schema/raw/master/csl-citation.json" }</w:instrText>
      </w:r>
      <w:r w:rsidR="00B33756">
        <w:rPr>
          <w:rFonts w:ascii="Times New Roman" w:hAnsi="Times New Roman"/>
          <w:lang w:val="en-US"/>
        </w:rPr>
        <w:fldChar w:fldCharType="separate"/>
      </w:r>
      <w:r w:rsidR="00E05D9C" w:rsidRPr="00E05D9C">
        <w:rPr>
          <w:rFonts w:ascii="Times New Roman" w:hAnsi="Times New Roman"/>
          <w:noProof/>
          <w:lang w:val="en-US"/>
        </w:rPr>
        <w:t>(10)</w:t>
      </w:r>
      <w:r w:rsidR="00B33756">
        <w:rPr>
          <w:rFonts w:ascii="Times New Roman" w:hAnsi="Times New Roman"/>
          <w:lang w:val="en-US"/>
        </w:rPr>
        <w:fldChar w:fldCharType="end"/>
      </w:r>
      <w:r w:rsidR="00B33756">
        <w:rPr>
          <w:rFonts w:ascii="Times New Roman" w:hAnsi="Times New Roman"/>
          <w:lang w:val="en-US"/>
        </w:rPr>
        <w:t>.</w:t>
      </w:r>
      <w:r w:rsidRPr="00CA3875">
        <w:rPr>
          <w:rFonts w:ascii="Times New Roman" w:hAnsi="Times New Roman"/>
          <w:lang w:val="en-US"/>
        </w:rPr>
        <w:t xml:space="preserve"> Since 2010, the registry prospectively collected data </w:t>
      </w:r>
      <w:r w:rsidR="00B77763" w:rsidRPr="00CA3875">
        <w:rPr>
          <w:rFonts w:ascii="Times New Roman" w:hAnsi="Times New Roman"/>
          <w:lang w:val="en-US"/>
        </w:rPr>
        <w:t xml:space="preserve">using a dedicated case report form </w:t>
      </w:r>
      <w:r w:rsidRPr="00CA3875">
        <w:rPr>
          <w:rFonts w:ascii="Times New Roman" w:hAnsi="Times New Roman"/>
          <w:lang w:val="en-US"/>
        </w:rPr>
        <w:t>from centers in Europe, North America, South America, Africa</w:t>
      </w:r>
      <w:r w:rsidR="001D20E1" w:rsidRPr="00CA3875">
        <w:rPr>
          <w:rFonts w:ascii="Times New Roman" w:hAnsi="Times New Roman"/>
          <w:lang w:val="en-US"/>
        </w:rPr>
        <w:t>, Oceania</w:t>
      </w:r>
      <w:r w:rsidRPr="00CA3875">
        <w:rPr>
          <w:rFonts w:ascii="Times New Roman" w:hAnsi="Times New Roman"/>
          <w:lang w:val="en-US"/>
        </w:rPr>
        <w:t xml:space="preserve"> and the Middle East. </w:t>
      </w:r>
      <w:r w:rsidR="00583F2D" w:rsidRPr="00CA3875">
        <w:rPr>
          <w:rFonts w:ascii="Times New Roman" w:hAnsi="Times New Roman"/>
          <w:lang w:val="en-US"/>
        </w:rPr>
        <w:t>Inconsistencies were resolved directly with local investigators and on-site data monitoring.</w:t>
      </w:r>
      <w:r w:rsidR="00033120" w:rsidRPr="00CA3875">
        <w:rPr>
          <w:rFonts w:ascii="Times New Roman" w:hAnsi="Times New Roman"/>
          <w:lang w:val="en-US"/>
        </w:rPr>
        <w:t xml:space="preserve"> </w:t>
      </w:r>
      <w:r w:rsidRPr="00CA3875">
        <w:rPr>
          <w:rFonts w:ascii="Times New Roman" w:hAnsi="Times New Roman"/>
          <w:lang w:val="en-US"/>
        </w:rPr>
        <w:t xml:space="preserve">All patients gave written informed consent to a transcatheter ViV procedure. A local ethics committee approved the inclusion of patients in each center. </w:t>
      </w:r>
      <w:r w:rsidR="00583F2D" w:rsidRPr="00CA3875">
        <w:rPr>
          <w:rFonts w:ascii="Times New Roman" w:hAnsi="Times New Roman"/>
          <w:lang w:val="en-US"/>
        </w:rPr>
        <w:t>In the present analysis, only cases performed in the aortic position were included.</w:t>
      </w:r>
    </w:p>
    <w:p w14:paraId="507D80BD" w14:textId="77777777" w:rsidR="00E9267B" w:rsidRPr="00CA3875" w:rsidRDefault="00E9267B" w:rsidP="00F86913">
      <w:pPr>
        <w:spacing w:line="480" w:lineRule="auto"/>
        <w:rPr>
          <w:rFonts w:ascii="Times New Roman" w:hAnsi="Times New Roman"/>
          <w:lang w:val="en-US"/>
        </w:rPr>
      </w:pPr>
    </w:p>
    <w:p w14:paraId="79C0A59A" w14:textId="77777777" w:rsidR="00E9267B" w:rsidRPr="00CA3875" w:rsidRDefault="00E9267B" w:rsidP="00F86913">
      <w:pPr>
        <w:spacing w:line="480" w:lineRule="auto"/>
        <w:outlineLvl w:val="0"/>
        <w:rPr>
          <w:rFonts w:ascii="Times New Roman" w:hAnsi="Times New Roman"/>
          <w:lang w:val="en-US"/>
        </w:rPr>
      </w:pPr>
      <w:r w:rsidRPr="00CA3875">
        <w:rPr>
          <w:rFonts w:ascii="Times New Roman" w:hAnsi="Times New Roman"/>
          <w:b/>
          <w:lang w:val="en-US"/>
        </w:rPr>
        <w:t>Definitions</w:t>
      </w:r>
    </w:p>
    <w:p w14:paraId="2B743B8A" w14:textId="0552641D" w:rsidR="00033120" w:rsidRPr="00CA3875" w:rsidRDefault="008658DC" w:rsidP="00F86913">
      <w:pPr>
        <w:spacing w:line="480" w:lineRule="auto"/>
        <w:rPr>
          <w:rFonts w:ascii="Times New Roman" w:hAnsi="Times New Roman"/>
          <w:lang w:val="en-US"/>
        </w:rPr>
      </w:pPr>
      <w:r w:rsidRPr="00CA3875">
        <w:rPr>
          <w:rFonts w:ascii="Times New Roman" w:hAnsi="Times New Roman"/>
          <w:lang w:val="en-US"/>
        </w:rPr>
        <w:t>Conventional scores (STS</w:t>
      </w:r>
      <w:r w:rsidR="00DB7426">
        <w:rPr>
          <w:rFonts w:ascii="Times New Roman" w:hAnsi="Times New Roman"/>
          <w:lang w:val="en-US"/>
        </w:rPr>
        <w:t xml:space="preserve"> [Society of Thoracic Surgeons]</w:t>
      </w:r>
      <w:r w:rsidRPr="00CA3875">
        <w:rPr>
          <w:rFonts w:ascii="Times New Roman" w:hAnsi="Times New Roman"/>
          <w:lang w:val="en-US"/>
        </w:rPr>
        <w:t xml:space="preserve"> and E</w:t>
      </w:r>
      <w:r w:rsidR="00737900" w:rsidRPr="00CA3875">
        <w:rPr>
          <w:rFonts w:ascii="Times New Roman" w:hAnsi="Times New Roman"/>
          <w:lang w:val="en-US"/>
        </w:rPr>
        <w:t>uro</w:t>
      </w:r>
      <w:r w:rsidRPr="00CA3875">
        <w:rPr>
          <w:rFonts w:ascii="Times New Roman" w:hAnsi="Times New Roman"/>
          <w:lang w:val="en-US"/>
        </w:rPr>
        <w:t xml:space="preserve">SCORE) were calculated to estimate </w:t>
      </w:r>
      <w:r w:rsidR="00583F2D" w:rsidRPr="00CA3875">
        <w:rPr>
          <w:rFonts w:ascii="Times New Roman" w:hAnsi="Times New Roman"/>
          <w:lang w:val="en-US"/>
        </w:rPr>
        <w:t xml:space="preserve">operative </w:t>
      </w:r>
      <w:r w:rsidR="00E9267B" w:rsidRPr="00CA3875">
        <w:rPr>
          <w:rFonts w:ascii="Times New Roman" w:hAnsi="Times New Roman"/>
          <w:lang w:val="en-US"/>
        </w:rPr>
        <w:t xml:space="preserve">mortality risk </w:t>
      </w:r>
      <w:r w:rsidR="00583F2D" w:rsidRPr="00CA3875">
        <w:rPr>
          <w:rFonts w:ascii="Times New Roman" w:hAnsi="Times New Roman"/>
          <w:lang w:val="en-US"/>
        </w:rPr>
        <w:t xml:space="preserve">for </w:t>
      </w:r>
      <w:r w:rsidR="00E9267B" w:rsidRPr="00CA3875">
        <w:rPr>
          <w:rFonts w:ascii="Times New Roman" w:hAnsi="Times New Roman"/>
          <w:lang w:val="en-US"/>
        </w:rPr>
        <w:t xml:space="preserve">surgical valve replacement. The mechanism of bioprosthetic valve failure (i.e. regurgitation, stenosis or </w:t>
      </w:r>
      <w:r w:rsidR="001062B1" w:rsidRPr="00CA3875">
        <w:rPr>
          <w:rFonts w:ascii="Times New Roman" w:hAnsi="Times New Roman"/>
          <w:lang w:val="en-US"/>
        </w:rPr>
        <w:t>mixed</w:t>
      </w:r>
      <w:r w:rsidR="00E9267B" w:rsidRPr="00CA3875">
        <w:rPr>
          <w:rFonts w:ascii="Times New Roman" w:hAnsi="Times New Roman"/>
          <w:lang w:val="en-US"/>
        </w:rPr>
        <w:t xml:space="preserve">) was </w:t>
      </w:r>
      <w:r w:rsidRPr="00CA3875">
        <w:rPr>
          <w:rFonts w:ascii="Times New Roman" w:hAnsi="Times New Roman"/>
          <w:lang w:val="en-US"/>
        </w:rPr>
        <w:t>assessed</w:t>
      </w:r>
      <w:r w:rsidR="00E9267B" w:rsidRPr="00CA3875">
        <w:rPr>
          <w:rFonts w:ascii="Times New Roman" w:hAnsi="Times New Roman"/>
          <w:lang w:val="en-US"/>
        </w:rPr>
        <w:t xml:space="preserve"> using criteria </w:t>
      </w:r>
      <w:r w:rsidR="00583F2D" w:rsidRPr="00CA3875">
        <w:rPr>
          <w:rFonts w:ascii="Times New Roman" w:hAnsi="Times New Roman"/>
          <w:lang w:val="en-US"/>
        </w:rPr>
        <w:t xml:space="preserve">proposed </w:t>
      </w:r>
      <w:r w:rsidR="00E9267B" w:rsidRPr="00CA3875">
        <w:rPr>
          <w:rFonts w:ascii="Times New Roman" w:hAnsi="Times New Roman"/>
          <w:lang w:val="en-US"/>
        </w:rPr>
        <w:t>by the American Society of Echocardiography</w:t>
      </w:r>
      <w:r w:rsidR="00B33756">
        <w:rPr>
          <w:rFonts w:ascii="Times New Roman" w:hAnsi="Times New Roman"/>
          <w:lang w:val="en-US"/>
        </w:rPr>
        <w:fldChar w:fldCharType="begin" w:fldLock="1"/>
      </w:r>
      <w:r w:rsidR="00E05D9C">
        <w:rPr>
          <w:rFonts w:ascii="Times New Roman" w:hAnsi="Times New Roman"/>
          <w:lang w:val="en-US"/>
        </w:rPr>
        <w:instrText>ADDIN CSL_CITATION { "citationItems" : [ { "id" : "ITEM-1", "itemData" : { "DOI" : "10.1016/j.echo.2009.07.013", "ISSN" : "1097-6795", "PMID" : "19733789", "author" : [ { "dropping-particle" : "", "family" : "Zoghbi", "given" : "William A", "non-dropping-particle" : "", "parse-names" : false, "suffix" : "" }, { "dropping-particle" : "", "family" : "Chambers", "given" : "John B", "non-dropping-particle" : "", "parse-names" : false, "suffix" : "" }, { "dropping-particle" : "", "family" : "Dumesnil", "given" : "Jean G", "non-dropping-particle" : "", "parse-names" : false, "suffix" : "" }, { "dropping-particle" : "", "family" : "Foster", "given" : "Elyse", "non-dropping-particle" : "", "parse-names" : false, "suffix" : "" }, { "dropping-particle" : "", "family" : "Gottdiener", "given" : "John S", "non-dropping-particle" : "", "parse-names" : false, "suffix" : "" }, { "dropping-particle" : "", "family" : "Grayburn", "given" : "Paul A", "non-dropping-particle" : "", "parse-names" : false, "suffix" : "" }, { "dropping-particle" : "", "family" : "Khandheria", "given" : "Bijoy K", "non-dropping-particle" : "", "parse-names" : false, "suffix" : "" }, { "dropping-particle" : "", "family" : "Levine", "given" : "Robert A", "non-dropping-particle" : "", "parse-names" : false, "suffix" : "" }, { "dropping-particle" : "", "family" : "Marx", "given" : "Gerald Ross", "non-dropping-particle" : "", "parse-names" : false, "suffix" : "" }, { "dropping-particle" : "", "family" : "Miller", "given" : "Fletcher A", "non-dropping-particle" : "", "parse-names" : false, "suffix" : "" }, { "dropping-particle" : "", "family" : "Nakatani", "given" : "Satoshi", "non-dropping-particle" : "", "parse-names" : false, "suffix" : "" }, { "dropping-particle" : "", "family" : "Qui\u00f1ones", "given" : "Miguel A", "non-dropping-particle" : "", "parse-names" : false, "suffix" : "" }, { "dropping-particle" : "", "family" : "Rakowski", "given" : "Harry", "non-dropping-particle" : "", "parse-names" : false, "suffix" : "" }, { "dropping-particle" : "", "family" : "Rodriguez", "given" : "L Leonardo", "non-dropping-particle" : "", "parse-names" : false, "suffix" : "" }, { "dropping-particle" : "", "family" : "Swaminathan", "given" : "Madhav", "non-dropping-particle" : "", "parse-names" : false, "suffix" : "" }, { "dropping-particle" : "", "family" : "Waggoner", "given" : "Alan D", "non-dropping-particle" : "", "parse-names" : false, "suffix" : "" }, { "dropping-particle" : "", "family" : "Weissman", "given" : "Neil J", "non-dropping-particle" : "", "parse-names" : false, "suffix" : "" }, { "dropping-particle" : "", "family" : "Zabalgoitia", "given" : "Miguel", "non-dropping-particle" : "", "parse-names" : false, "suffix" : "" } ], "container-title" : "Journal of the American Society of Echocardiography : official publication of the American Society of Echocardiography", "id" : "ITEM-1", "issue" : "9", "issued" : { "date-parts" : [ [ "2009", "9" ] ] }, "page" : "975-1014; quiz 1082-4", "title" : "Recommendations for evaluation of prosthetic valves with echocardiography and doppler ultrasound: a report From the American Society of Echocardiography's Guidelines and Standards Committee and the Task Force on Prosthetic Valves, developed in conjunction", "type" : "article-journal", "volume" : "22" }, "uris" : [ "http://www.mendeley.com/documents/?uuid=2387d807-4767-4bbe-a5d0-749e10547a3d" ] } ], "mendeley" : { "formattedCitation" : "(11)", "plainTextFormattedCitation" : "(11)", "previouslyFormattedCitation" : "&lt;sup&gt;11&lt;/sup&gt;" }, "properties" : { "noteIndex" : 0 }, "schema" : "https://github.com/citation-style-language/schema/raw/master/csl-citation.json" }</w:instrText>
      </w:r>
      <w:r w:rsidR="00B33756">
        <w:rPr>
          <w:rFonts w:ascii="Times New Roman" w:hAnsi="Times New Roman"/>
          <w:lang w:val="en-US"/>
        </w:rPr>
        <w:fldChar w:fldCharType="separate"/>
      </w:r>
      <w:r w:rsidR="00E05D9C" w:rsidRPr="00E05D9C">
        <w:rPr>
          <w:rFonts w:ascii="Times New Roman" w:hAnsi="Times New Roman"/>
          <w:noProof/>
          <w:lang w:val="en-US"/>
        </w:rPr>
        <w:t>(11)</w:t>
      </w:r>
      <w:r w:rsidR="00B33756">
        <w:rPr>
          <w:rFonts w:ascii="Times New Roman" w:hAnsi="Times New Roman"/>
          <w:lang w:val="en-US"/>
        </w:rPr>
        <w:fldChar w:fldCharType="end"/>
      </w:r>
      <w:r w:rsidR="00E9267B" w:rsidRPr="00CA3875">
        <w:rPr>
          <w:rFonts w:ascii="Times New Roman" w:hAnsi="Times New Roman"/>
          <w:lang w:val="en-US"/>
        </w:rPr>
        <w:t xml:space="preserve">. Patients with at least a moderate degree of both stenosis and regurgitation were included in the </w:t>
      </w:r>
      <w:r w:rsidR="001062B1" w:rsidRPr="00CA3875">
        <w:rPr>
          <w:rFonts w:ascii="Times New Roman" w:hAnsi="Times New Roman"/>
          <w:lang w:val="en-US"/>
        </w:rPr>
        <w:t xml:space="preserve">mixed dysfunction </w:t>
      </w:r>
      <w:r w:rsidR="00E9267B" w:rsidRPr="00CA3875">
        <w:rPr>
          <w:rFonts w:ascii="Times New Roman" w:hAnsi="Times New Roman"/>
          <w:lang w:val="en-US"/>
        </w:rPr>
        <w:t>group. Other patients were categorized according to the primary mechanism of failure, either stenosis or regurgitation. Body surface area was calculated using the Mosteller formula</w:t>
      </w:r>
      <w:r w:rsidR="00D5007A">
        <w:rPr>
          <w:rFonts w:ascii="Times New Roman" w:hAnsi="Times New Roman"/>
          <w:lang w:val="en-US"/>
        </w:rPr>
        <w:t xml:space="preserve"> using the </w:t>
      </w:r>
      <w:r w:rsidR="00B77763">
        <w:rPr>
          <w:rFonts w:ascii="Times New Roman" w:hAnsi="Times New Roman"/>
          <w:lang w:val="en-US"/>
        </w:rPr>
        <w:t xml:space="preserve">patient’s </w:t>
      </w:r>
      <w:r w:rsidR="00D5007A">
        <w:rPr>
          <w:rFonts w:ascii="Times New Roman" w:hAnsi="Times New Roman"/>
          <w:lang w:val="en-US"/>
        </w:rPr>
        <w:t>height and weight measured at the time of ViV</w:t>
      </w:r>
      <w:r w:rsidR="00E9267B" w:rsidRPr="00CA3875">
        <w:rPr>
          <w:rFonts w:ascii="Times New Roman" w:hAnsi="Times New Roman"/>
          <w:lang w:val="en-US"/>
        </w:rPr>
        <w:t>.</w:t>
      </w:r>
      <w:r w:rsidR="004E02B1" w:rsidRPr="00CA3875">
        <w:rPr>
          <w:rFonts w:ascii="Times New Roman" w:hAnsi="Times New Roman"/>
          <w:lang w:val="en-US"/>
        </w:rPr>
        <w:t xml:space="preserve"> </w:t>
      </w:r>
    </w:p>
    <w:p w14:paraId="4C3BCB27" w14:textId="77777777" w:rsidR="00102E85" w:rsidRDefault="00102E85" w:rsidP="00F86913">
      <w:pPr>
        <w:spacing w:line="480" w:lineRule="auto"/>
        <w:rPr>
          <w:rFonts w:ascii="Times New Roman" w:hAnsi="Times New Roman"/>
        </w:rPr>
      </w:pPr>
    </w:p>
    <w:p w14:paraId="4B21C8C2" w14:textId="5AD5049B" w:rsidR="001062B1" w:rsidRPr="00CA3875" w:rsidRDefault="004035D4" w:rsidP="00F86913">
      <w:pPr>
        <w:spacing w:line="480" w:lineRule="auto"/>
        <w:rPr>
          <w:rFonts w:ascii="Times New Roman" w:hAnsi="Times New Roman"/>
          <w:lang w:val="en-US"/>
        </w:rPr>
      </w:pPr>
      <w:r w:rsidRPr="00CA3875">
        <w:rPr>
          <w:rFonts w:ascii="Times New Roman" w:hAnsi="Times New Roman"/>
        </w:rPr>
        <w:t xml:space="preserve">Pre-existent PPM of the surgical valve was determined using the predicted </w:t>
      </w:r>
      <w:r w:rsidR="008C40B0" w:rsidRPr="00CA3875">
        <w:rPr>
          <w:rFonts w:ascii="Times New Roman" w:hAnsi="Times New Roman"/>
        </w:rPr>
        <w:t>effective orifice area (</w:t>
      </w:r>
      <w:r w:rsidRPr="00CA3875">
        <w:rPr>
          <w:rFonts w:ascii="Times New Roman" w:hAnsi="Times New Roman"/>
        </w:rPr>
        <w:t>EOA</w:t>
      </w:r>
      <w:r w:rsidR="008C40B0" w:rsidRPr="00CA3875">
        <w:rPr>
          <w:rFonts w:ascii="Times New Roman" w:hAnsi="Times New Roman"/>
        </w:rPr>
        <w:t>)</w:t>
      </w:r>
      <w:r w:rsidRPr="00CA3875">
        <w:rPr>
          <w:rFonts w:ascii="Times New Roman" w:hAnsi="Times New Roman"/>
        </w:rPr>
        <w:t>, i.e. the normal reference value of EOA</w:t>
      </w:r>
      <w:r w:rsidR="00D5007A">
        <w:rPr>
          <w:rFonts w:ascii="Times New Roman" w:hAnsi="Times New Roman"/>
        </w:rPr>
        <w:t xml:space="preserve"> published in the literature</w:t>
      </w:r>
      <w:r w:rsidRPr="00CA3875">
        <w:rPr>
          <w:rFonts w:ascii="Times New Roman" w:hAnsi="Times New Roman"/>
        </w:rPr>
        <w:t xml:space="preserve"> for each given model </w:t>
      </w:r>
      <w:r w:rsidRPr="00CA3875">
        <w:rPr>
          <w:rFonts w:ascii="Times New Roman" w:hAnsi="Times New Roman"/>
        </w:rPr>
        <w:lastRenderedPageBreak/>
        <w:t xml:space="preserve">and size of implanted </w:t>
      </w:r>
      <w:r w:rsidR="008658DC" w:rsidRPr="00CA3875">
        <w:rPr>
          <w:rFonts w:ascii="Times New Roman" w:hAnsi="Times New Roman"/>
        </w:rPr>
        <w:t>bioprosthesis</w:t>
      </w:r>
      <w:r w:rsidR="00737900" w:rsidRPr="00CA3875">
        <w:rPr>
          <w:rFonts w:ascii="Times New Roman" w:hAnsi="Times New Roman"/>
        </w:rPr>
        <w:t>, divided by</w:t>
      </w:r>
      <w:r w:rsidR="008658DC" w:rsidRPr="00CA3875">
        <w:rPr>
          <w:rFonts w:ascii="Times New Roman" w:hAnsi="Times New Roman"/>
        </w:rPr>
        <w:t xml:space="preserve"> the</w:t>
      </w:r>
      <w:r w:rsidRPr="00CA3875">
        <w:rPr>
          <w:rFonts w:ascii="Times New Roman" w:hAnsi="Times New Roman"/>
        </w:rPr>
        <w:t xml:space="preserve"> patient’s body surface area</w:t>
      </w:r>
      <w:r w:rsidR="00B33756">
        <w:rPr>
          <w:rFonts w:ascii="Times New Roman" w:hAnsi="Times New Roman"/>
          <w:lang w:val="en-US"/>
        </w:rPr>
        <w:fldChar w:fldCharType="begin" w:fldLock="1"/>
      </w:r>
      <w:r w:rsidR="00E05D9C">
        <w:rPr>
          <w:rFonts w:ascii="Times New Roman" w:hAnsi="Times New Roman"/>
          <w:lang w:val="en-US"/>
        </w:rPr>
        <w:instrText>ADDIN CSL_CITATION { "citationItems" : [ { "id" : "ITEM-1", "itemData" : { "DOI" : "10.1093/ehjci/jew025", "ISSN" : "2047-2412", "PMID" : "27143783", "abstract" : "Prosthetic heart valve (PHV) dysfunction is rare but potentially life-threatening. Although often challenging, establishing the exact cause of PHV dysfunction is essential to determine the appropriate treatment strategy. In clinical practice, a comprehensive approach that integrates several parameters of valve morphology and function assessed with 2D/3D transthoracic and transoesophageal echocardiography is a key to appropriately detect and quantitate PHV dysfunction. Cinefluoroscopy, multidetector computed tomography, cardiac magnetic resonance imaging, and to a lesser extent, nuclear imaging are complementary tools for the diagnosis and management of PHV complications. The present document provides recommendations for the use of multimodality imaging in the assessment of PHVs.", "author" : [ { "dropping-particle" : "", "family" : "Lancellotti", "given" : "Patrizio", "non-dropping-particle" : "", "parse-names" : false, "suffix" : "" }, { "dropping-particle" : "", "family" : "Pibarot", "given" : "Philippe", "non-dropping-particle" : "", "parse-names" : false, "suffix" : "" }, { "dropping-particle" : "", "family" : "Chambers", "given" : "John", "non-dropping-particle" : "", "parse-names" : false, "suffix" : "" }, { "dropping-particle" : "", "family" : "Edvardsen", "given" : "Thor", "non-dropping-particle" : "", "parse-names" : false, "suffix" : "" }, { "dropping-particle" : "", "family" : "Delgado", "given" : "Victoria", "non-dropping-particle" : "", "parse-names" : false, "suffix" : "" }, { "dropping-particle" : "", "family" : "Dulgheru", "given" : "Raluca", "non-dropping-particle" : "", "parse-names" : false, "suffix" : "" }, { "dropping-particle" : "", "family" : "Pepi", "given" : "Mauro", "non-dropping-particle" : "", "parse-names" : false, "suffix" : "" }, { "dropping-particle" : "", "family" : "Cosyns", "given" : "Bernard", "non-dropping-particle" : "", "parse-names" : false, "suffix" : "" }, { "dropping-particle" : "", "family" : "Dweck", "given" : "Mark R", "non-dropping-particle" : "", "parse-names" : false, "suffix" : "" }, { "dropping-particle" : "", "family" : "Garbi", "given" : "Madalina", "non-dropping-particle" : "", "parse-names" : false, "suffix" : "" }, { "dropping-particle" : "", "family" : "Magne", "given" : "Julien", "non-dropping-particle" : "", "parse-names" : false, "suffix" : "" }, { "dropping-particle" : "", "family" : "Nieman", "given" : "Koen", "non-dropping-particle" : "", "parse-names" : false, "suffix" : "" }, { "dropping-particle" : "", "family" : "Rosenhek", "given" : "Raphael", "non-dropping-particle" : "", "parse-names" : false, "suffix" : "" }, { "dropping-particle" : "", "family" : "Bernard", "given" : "Anne", "non-dropping-particle" : "", "parse-names" : false, "suffix" : "" }, { "dropping-particle" : "", "family" : "Lowenstein", "given" : "Jorge", "non-dropping-particle" : "", "parse-names" : false, "suffix" : "" }, { "dropping-particle" : "", "family" : "Vieira", "given" : "Marcelo Luiz Campos", "non-dropping-particle" : "", "parse-names" : false, "suffix" : "" }, { "dropping-particle" : "", "family" : "Rabischoffsky", "given" : "Arnaldo", "non-dropping-particle" : "", "parse-names" : false, "suffix" : "" }, { "dropping-particle" : "", "family" : "Vyhmeister", "given" : "Rodrigo Hern\u00e1ndez", "non-dropping-particle" : "", "parse-names" : false, "suffix" : "" }, { "dropping-particle" : "", "family" : "Zhou", "given" : "Xiao", "non-dropping-particle" : "", "parse-names" : false, "suffix" : "" }, { "dropping-particle" : "", "family" : "Zhang", "given" : "Yun", "non-dropping-particle" : "", "parse-names" : false, "suffix" : "" }, { "dropping-particle" : "", "family" : "Zamorano", "given" : "Jose-Luis", "non-dropping-particle" : "", "parse-names" : false, "suffix" : "" }, { "dropping-particle" : "", "family" : "Habib", "given" : "Gilbert", "non-dropping-particle" : "", "parse-names" : false, "suffix" : "" } ], "container-title" : "European heart journal cardiovascular Imaging", "id" : "ITEM-1", "issue" : "6", "issued" : { "date-parts" : [ [ "2016", "6" ] ] }, "page" : "589-90", "title" : "Recommendations for the imaging assessment of prosthetic heart valves: a report from the European Association of Cardiovascular Imaging endorsed by the Chinese Society of Echocardiography, the Inter-American Society of Echocardiography, and the Brazilian Department of Cardiovascular Imaging.", "type" : "article-journal", "volume" : "17" }, "uris" : [ "http://www.mendeley.com/documents/?uuid=26c7dcb9-9427-3854-b451-e5d1ff1bd349" ] } ], "mendeley" : { "formattedCitation" : "(12)", "plainTextFormattedCitation" : "(12)", "previouslyFormattedCitation" : "&lt;sup&gt;12&lt;/sup&gt;" }, "properties" : { "noteIndex" : 0 }, "schema" : "https://github.com/citation-style-language/schema/raw/master/csl-citation.json" }</w:instrText>
      </w:r>
      <w:r w:rsidR="00B33756">
        <w:rPr>
          <w:rFonts w:ascii="Times New Roman" w:hAnsi="Times New Roman"/>
          <w:lang w:val="en-US"/>
        </w:rPr>
        <w:fldChar w:fldCharType="separate"/>
      </w:r>
      <w:r w:rsidR="00E05D9C" w:rsidRPr="00E05D9C">
        <w:rPr>
          <w:rFonts w:ascii="Times New Roman" w:hAnsi="Times New Roman"/>
          <w:noProof/>
          <w:lang w:val="en-US"/>
        </w:rPr>
        <w:t>(12)</w:t>
      </w:r>
      <w:r w:rsidR="00B33756">
        <w:rPr>
          <w:rFonts w:ascii="Times New Roman" w:hAnsi="Times New Roman"/>
          <w:lang w:val="en-US"/>
        </w:rPr>
        <w:fldChar w:fldCharType="end"/>
      </w:r>
      <w:r w:rsidR="009244F3" w:rsidRPr="00CA3875">
        <w:rPr>
          <w:rFonts w:ascii="Times New Roman" w:hAnsi="Times New Roman"/>
          <w:lang w:val="en-US"/>
        </w:rPr>
        <w:t xml:space="preserve">. Severe PPM was defined </w:t>
      </w:r>
      <w:r w:rsidRPr="00CA3875">
        <w:rPr>
          <w:rFonts w:ascii="Times New Roman" w:hAnsi="Times New Roman"/>
          <w:lang w:val="en-US"/>
        </w:rPr>
        <w:t>according to the to the Valve Academic Research Consortium 2 (VARC 2) criteria</w:t>
      </w:r>
      <w:r w:rsidR="00B33756">
        <w:rPr>
          <w:rFonts w:ascii="Times New Roman" w:hAnsi="Times New Roman"/>
          <w:lang w:val="en-US"/>
        </w:rPr>
        <w:fldChar w:fldCharType="begin" w:fldLock="1"/>
      </w:r>
      <w:r w:rsidR="00E05D9C">
        <w:rPr>
          <w:rFonts w:ascii="Times New Roman" w:hAnsi="Times New Roman"/>
          <w:lang w:val="en-US"/>
        </w:rPr>
        <w:instrText>ADDIN CSL_CITATION { "citationItems" : [ { "id" : "ITEM-1", "itemData" : { "DOI" : "10.1093/ejcts/ezs533", "ISSN" : "1010-7940", "PMID" : "23026738", "abstract" : "OBJECTIVES The aim of the current Valve Academic Research Consortium (VARC)-2 initiative was to revisit the selection and definitions of transcatheter aortic valve implantation (TAVI) clinical endpoints to make them more suitable to the present and future needs of clinical trials. In addition, this document is intended to expand the understanding of patient risk stratification and case selection. BACKGROUND A recent study confirmed that VARC definitions have already been incorporated into clinical and research practice and represent a new standard for consistency in reporting clinical outcomes of patients with symptomatic severe aortic stenosis (AS) undergoing TAVI. However, as the clinical experience with this technology has matured and expanded, certain definitions have become unsuitable or ambiguous. METHODS AND RESULTS Two in-person meetings (held in September 2011 in Washington, DC, USA, and in February 2012 in Rotterdam, Netherlands) involving VARC study group members, independent experts (including surgeons, interventional and non-interventional cardiologists, imaging specialists, neurologists, geriatric specialists, and clinical trialists), the US Food and Drug Administration (FDA), and industry representatives, provided much of the substantive discussion from which this VARC-2 consensus manuscript was derived. This document provides an overview of risk assessment and patient stratification that need to be considered for accurate patient inclusion in studies. Working groups were assigned to define the following clinical endpoints: mortality, stroke, myocardial infarction, bleeding complications, acute kidney injury, vascular complications, conduction disturbances and arrhythmias, and a miscellaneous category including relevant complications not previously categorized. Furthermore, comprehensive echocardiographic recommendations are provided for the evaluation of prosthetic valve (dys)function. Definitions for the quality of life assessments are also reported. These endpoints formed the basis for several recommended composite endpoints. CONCLUSIONS This VARC-2 document has provided further standardization of endpoint definitions for studies evaluating the use of TAVI, which will lead to improved comparability and interpretability of the study results, supplying an increasingly growing body of evidence with respect to TAVI and/or surgical aortic valve replacement. This initiative and document can furthermore be used as a model during current endea\u2026", "author" : [ { "dropping-particle" : "", "family" : "Kappetein", "given" : "A. P.", "non-dropping-particle" : "", "parse-names" : false, "suffix" : "" }, { "dropping-particle" : "", "family" : "Head", "given" : "S. J.", "non-dropping-particle" : "", "parse-names" : false, "suffix" : "" }, { "dropping-particle" : "", "family" : "Genereux", "given" : "P.", "non-dropping-particle" : "", "parse-names" : false, "suffix" : "" }, { "dropping-particle" : "", "family" : "Piazza", "given" : "N.", "non-dropping-particle" : "", "parse-names" : false, "suffix" : "" }, { "dropping-particle" : "", "family" : "Mieghem", "given" : "N. M.", "non-dropping-particle" : "van", "parse-names" : false, "suffix" : "" }, { "dropping-particle" : "", "family" : "Blackstone", "given" : "E. H.", "non-dropping-particle" : "", "parse-names" : false, "suffix" : "" }, { "dropping-particle" : "", "family" : "Brott", "given" : "T. G.", "non-dropping-particle" : "", "parse-names" : false, "suffix" : "" }, { "dropping-particle" : "", "family" : "Cohen", "given" : "D. J.", "non-dropping-particle" : "", "parse-names" : false, "suffix" : "" }, { "dropping-particle" : "", "family" : "Cutlip", "given" : "D. E.", "non-dropping-particle" : "", "parse-names" : false, "suffix" : "" }, { "dropping-particle" : "", "family" : "Es", "given" : "G.-A.", "non-dropping-particle" : "van", "parse-names" : false, "suffix" : "" }, { "dropping-particle" : "", "family" : "Hahn", "given" : "R. T.", "non-dropping-particle" : "", "parse-names" : false, "suffix" : "" }, { "dropping-particle" : "", "family" : "Kirtane", "given" : "A. J.", "non-dropping-particle" : "", "parse-names" : false, "suffix" : "" }, { "dropping-particle" : "", "family" : "Krucoff", "given" : "M. W.", "non-dropping-particle" : "", "parse-names" : false, "suffix" : "" }, { "dropping-particle" : "", "family" : "Kodali", "given" : "S.", "non-dropping-particle" : "", "parse-names" : false, "suffix" : "" }, { "dropping-particle" : "", "family" : "Mack", "given" : "M. J.", "non-dropping-particle" : "", "parse-names" : false, "suffix" : "" }, { "dropping-particle" : "", "family" : "Mehran", "given" : "R.", "non-dropping-particle" : "", "parse-names" : false, "suffix" : "" }, { "dropping-particle" : "", "family" : "Rodes-Cabau", "given" : "J.", "non-dropping-particle" : "", "parse-names" : false, "suffix" : "" }, { "dropping-particle" : "", "family" : "Vranckx", "given" : "P.", "non-dropping-particle" : "", "parse-names" : false, "suffix" : "" }, { "dropping-particle" : "", "family" : "Webb", "given" : "J. G.", "non-dropping-particle" : "", "parse-names" : false, "suffix" : "" }, { "dropping-particle" : "", "family" : "Windecker", "given" : "S.", "non-dropping-particle" : "", "parse-names" : false, "suffix" : "" }, { "dropping-particle" : "", "family" : "Serruys", "given" : "P. W.", "non-dropping-particle" : "", "parse-names" : false, "suffix" : "" }, { "dropping-particle" : "", "family" : "Leon", "given" : "M. B.", "non-dropping-particle" : "", "parse-names" : false, "suffix" : "" }, { "dropping-particle" : "", "family" : "Valve Academic Research Consortium (VARC)-2", "given" : "", "non-dropping-particle" : "", "parse-names" : false, "suffix" : "" } ], "container-title" : "European Journal of Cardio-Thoracic Surgery", "id" : "ITEM-1", "issue" : "5", "issued" : { "date-parts" : [ [ "2012", "11", "1" ] ] }, "page" : "S45-S60", "title" : "Updated standardized endpoint definitions for transcatheter aortic valve implantation: the Valve Academic Research Consortium-2 consensus document (VARC-2)", "type" : "article-journal", "volume" : "42" }, "uris" : [ "http://www.mendeley.com/documents/?uuid=01604f96-1928-3deb-b938-bca3ec4d4f77" ] } ], "mendeley" : { "formattedCitation" : "(13)", "plainTextFormattedCitation" : "(13)", "previouslyFormattedCitation" : "&lt;sup&gt;13&lt;/sup&gt;" }, "properties" : { "noteIndex" : 0 }, "schema" : "https://github.com/citation-style-language/schema/raw/master/csl-citation.json" }</w:instrText>
      </w:r>
      <w:r w:rsidR="00B33756">
        <w:rPr>
          <w:rFonts w:ascii="Times New Roman" w:hAnsi="Times New Roman"/>
          <w:lang w:val="en-US"/>
        </w:rPr>
        <w:fldChar w:fldCharType="separate"/>
      </w:r>
      <w:r w:rsidR="00E05D9C" w:rsidRPr="00E05D9C">
        <w:rPr>
          <w:rFonts w:ascii="Times New Roman" w:hAnsi="Times New Roman"/>
          <w:noProof/>
          <w:lang w:val="en-US"/>
        </w:rPr>
        <w:t>(13)</w:t>
      </w:r>
      <w:r w:rsidR="00B33756">
        <w:rPr>
          <w:rFonts w:ascii="Times New Roman" w:hAnsi="Times New Roman"/>
          <w:lang w:val="en-US"/>
        </w:rPr>
        <w:fldChar w:fldCharType="end"/>
      </w:r>
      <w:r w:rsidRPr="00CA3875">
        <w:rPr>
          <w:rFonts w:ascii="Times New Roman" w:hAnsi="Times New Roman"/>
          <w:lang w:val="en-US"/>
        </w:rPr>
        <w:t xml:space="preserve">: </w:t>
      </w:r>
      <w:r w:rsidR="008658DC" w:rsidRPr="00CA3875">
        <w:rPr>
          <w:rFonts w:ascii="Times New Roman" w:hAnsi="Times New Roman"/>
          <w:lang w:val="en-US"/>
        </w:rPr>
        <w:t>i.e.</w:t>
      </w:r>
      <w:r w:rsidR="009244F3" w:rsidRPr="00CA3875">
        <w:rPr>
          <w:rFonts w:ascii="Times New Roman" w:hAnsi="Times New Roman"/>
          <w:lang w:val="en-US"/>
        </w:rPr>
        <w:t xml:space="preserve"> </w:t>
      </w:r>
      <w:r w:rsidR="00AC266F" w:rsidRPr="00CA3875">
        <w:rPr>
          <w:rFonts w:ascii="Times New Roman" w:hAnsi="Times New Roman"/>
          <w:lang w:val="en-US"/>
        </w:rPr>
        <w:t xml:space="preserve">indexed </w:t>
      </w:r>
      <w:r w:rsidR="008658DC" w:rsidRPr="00CA3875">
        <w:rPr>
          <w:rFonts w:ascii="Times New Roman" w:hAnsi="Times New Roman"/>
          <w:lang w:val="en-US"/>
        </w:rPr>
        <w:t>EOA</w:t>
      </w:r>
      <w:r w:rsidR="00AC266F" w:rsidRPr="00CA3875">
        <w:rPr>
          <w:rFonts w:ascii="Times New Roman" w:hAnsi="Times New Roman"/>
          <w:lang w:val="en-US"/>
        </w:rPr>
        <w:t xml:space="preserve"> </w:t>
      </w:r>
      <w:r w:rsidR="009244F3" w:rsidRPr="00CA3875">
        <w:rPr>
          <w:rFonts w:ascii="Times New Roman" w:hAnsi="Times New Roman"/>
          <w:lang w:val="en-US"/>
        </w:rPr>
        <w:t>≤ 0.65 cm</w:t>
      </w:r>
      <w:r w:rsidR="009244F3" w:rsidRPr="00CA3875">
        <w:rPr>
          <w:rFonts w:ascii="Times New Roman" w:hAnsi="Times New Roman"/>
          <w:vertAlign w:val="superscript"/>
          <w:lang w:val="en-US"/>
        </w:rPr>
        <w:t>2</w:t>
      </w:r>
      <w:r w:rsidR="009244F3" w:rsidRPr="00CA3875">
        <w:rPr>
          <w:rFonts w:ascii="Times New Roman" w:hAnsi="Times New Roman"/>
          <w:lang w:val="en-US"/>
        </w:rPr>
        <w:t>/m</w:t>
      </w:r>
      <w:r w:rsidR="009244F3" w:rsidRPr="00CA3875">
        <w:rPr>
          <w:rFonts w:ascii="Times New Roman" w:hAnsi="Times New Roman"/>
          <w:vertAlign w:val="superscript"/>
          <w:lang w:val="en-US"/>
        </w:rPr>
        <w:t>2</w:t>
      </w:r>
      <w:r w:rsidR="009244F3" w:rsidRPr="00CA3875">
        <w:rPr>
          <w:rFonts w:ascii="Times New Roman" w:hAnsi="Times New Roman"/>
          <w:lang w:val="en-US"/>
        </w:rPr>
        <w:t xml:space="preserve"> </w:t>
      </w:r>
      <w:r w:rsidRPr="00CA3875">
        <w:rPr>
          <w:rFonts w:ascii="Times New Roman" w:hAnsi="Times New Roman"/>
          <w:lang w:val="en-US"/>
        </w:rPr>
        <w:t>for non-obese patients (body mass index &lt; 30 kg/m</w:t>
      </w:r>
      <w:r w:rsidRPr="00CA3875">
        <w:rPr>
          <w:rFonts w:ascii="Times New Roman" w:hAnsi="Times New Roman"/>
          <w:vertAlign w:val="superscript"/>
          <w:lang w:val="en-US"/>
        </w:rPr>
        <w:t>2</w:t>
      </w:r>
      <w:r w:rsidRPr="00CA3875">
        <w:rPr>
          <w:rFonts w:ascii="Times New Roman" w:hAnsi="Times New Roman"/>
          <w:lang w:val="en-US"/>
        </w:rPr>
        <w:t xml:space="preserve">) </w:t>
      </w:r>
      <w:r w:rsidR="009244F3" w:rsidRPr="00CA3875">
        <w:rPr>
          <w:rFonts w:ascii="Times New Roman" w:hAnsi="Times New Roman"/>
          <w:lang w:val="en-US"/>
        </w:rPr>
        <w:t>and</w:t>
      </w:r>
      <w:r w:rsidR="00AC266F" w:rsidRPr="00CA3875">
        <w:rPr>
          <w:rFonts w:ascii="Times New Roman" w:hAnsi="Times New Roman"/>
          <w:lang w:val="en-US"/>
        </w:rPr>
        <w:t xml:space="preserve"> </w:t>
      </w:r>
      <w:r w:rsidR="00443018" w:rsidRPr="00CA3875">
        <w:rPr>
          <w:rFonts w:ascii="Times New Roman" w:hAnsi="Times New Roman"/>
          <w:lang w:val="en-US"/>
        </w:rPr>
        <w:t>≤ 0.60</w:t>
      </w:r>
      <w:r w:rsidR="009244F3" w:rsidRPr="00CA3875">
        <w:rPr>
          <w:rFonts w:ascii="Times New Roman" w:hAnsi="Times New Roman"/>
          <w:lang w:val="en-US"/>
        </w:rPr>
        <w:t xml:space="preserve"> cm</w:t>
      </w:r>
      <w:r w:rsidR="009244F3" w:rsidRPr="00CA3875">
        <w:rPr>
          <w:rFonts w:ascii="Times New Roman" w:hAnsi="Times New Roman"/>
          <w:vertAlign w:val="superscript"/>
          <w:lang w:val="en-US"/>
        </w:rPr>
        <w:t>2</w:t>
      </w:r>
      <w:r w:rsidR="009244F3" w:rsidRPr="00CA3875">
        <w:rPr>
          <w:rFonts w:ascii="Times New Roman" w:hAnsi="Times New Roman"/>
          <w:lang w:val="en-US"/>
        </w:rPr>
        <w:t>/m</w:t>
      </w:r>
      <w:r w:rsidR="009244F3" w:rsidRPr="00CA3875">
        <w:rPr>
          <w:rFonts w:ascii="Times New Roman" w:hAnsi="Times New Roman"/>
          <w:vertAlign w:val="superscript"/>
          <w:lang w:val="en-US"/>
        </w:rPr>
        <w:t>2</w:t>
      </w:r>
      <w:r w:rsidR="009244F3" w:rsidRPr="00CA3875">
        <w:rPr>
          <w:rFonts w:ascii="Times New Roman" w:hAnsi="Times New Roman"/>
          <w:lang w:val="en-US"/>
        </w:rPr>
        <w:t xml:space="preserve"> for </w:t>
      </w:r>
      <w:r w:rsidR="00A008ED" w:rsidRPr="00CA3875">
        <w:rPr>
          <w:rFonts w:ascii="Times New Roman" w:hAnsi="Times New Roman"/>
          <w:lang w:val="en-US"/>
        </w:rPr>
        <w:t>obese patients</w:t>
      </w:r>
      <w:r w:rsidR="00737900" w:rsidRPr="00CA3875">
        <w:rPr>
          <w:rFonts w:ascii="Times New Roman" w:hAnsi="Times New Roman"/>
          <w:lang w:val="en-US"/>
        </w:rPr>
        <w:t xml:space="preserve"> </w:t>
      </w:r>
      <w:r w:rsidRPr="00CA3875">
        <w:rPr>
          <w:rFonts w:ascii="Times New Roman" w:hAnsi="Times New Roman"/>
          <w:lang w:val="en-US"/>
        </w:rPr>
        <w:t>(body mass index ≥ 30 kg/m</w:t>
      </w:r>
      <w:r w:rsidRPr="00CA3875">
        <w:rPr>
          <w:rFonts w:ascii="Times New Roman" w:hAnsi="Times New Roman"/>
          <w:vertAlign w:val="superscript"/>
          <w:lang w:val="en-US"/>
        </w:rPr>
        <w:t>2</w:t>
      </w:r>
      <w:r w:rsidRPr="00CA3875">
        <w:rPr>
          <w:rFonts w:ascii="Times New Roman" w:hAnsi="Times New Roman"/>
          <w:lang w:val="en-US"/>
        </w:rPr>
        <w:t>)</w:t>
      </w:r>
      <w:r w:rsidR="009244F3" w:rsidRPr="00CA3875">
        <w:rPr>
          <w:rFonts w:ascii="Times New Roman" w:hAnsi="Times New Roman"/>
          <w:lang w:val="en-US"/>
        </w:rPr>
        <w:t xml:space="preserve">. </w:t>
      </w:r>
    </w:p>
    <w:p w14:paraId="2CED6937" w14:textId="77777777" w:rsidR="00102E85" w:rsidRDefault="00102E85" w:rsidP="00EA31BA">
      <w:pPr>
        <w:spacing w:line="480" w:lineRule="auto"/>
        <w:rPr>
          <w:rFonts w:ascii="Times New Roman" w:hAnsi="Times New Roman"/>
          <w:lang w:val="en-US"/>
        </w:rPr>
      </w:pPr>
    </w:p>
    <w:p w14:paraId="5403A6FF" w14:textId="27766330" w:rsidR="004A115B" w:rsidRPr="00CA3875" w:rsidRDefault="00033120" w:rsidP="00EA31BA">
      <w:pPr>
        <w:spacing w:line="480" w:lineRule="auto"/>
        <w:rPr>
          <w:rFonts w:ascii="Times New Roman" w:hAnsi="Times New Roman"/>
          <w:lang w:val="en-US"/>
        </w:rPr>
      </w:pPr>
      <w:r w:rsidRPr="00CA3875">
        <w:rPr>
          <w:rFonts w:ascii="Times New Roman" w:hAnsi="Times New Roman"/>
          <w:lang w:val="en-US"/>
        </w:rPr>
        <w:t>The primary end-point for this study was 1-year all-cause mortality.</w:t>
      </w:r>
      <w:r w:rsidR="00E9267B" w:rsidRPr="00CA3875">
        <w:rPr>
          <w:rFonts w:ascii="Times New Roman" w:hAnsi="Times New Roman"/>
          <w:lang w:val="en-US"/>
        </w:rPr>
        <w:t xml:space="preserve"> </w:t>
      </w:r>
      <w:r w:rsidR="004035D4" w:rsidRPr="00CA3875">
        <w:rPr>
          <w:rFonts w:ascii="Times New Roman" w:hAnsi="Times New Roman"/>
          <w:lang w:val="en-US"/>
        </w:rPr>
        <w:t>The secondary end-point</w:t>
      </w:r>
      <w:r w:rsidR="00103900">
        <w:rPr>
          <w:rFonts w:ascii="Times New Roman" w:hAnsi="Times New Roman"/>
          <w:lang w:val="en-US"/>
        </w:rPr>
        <w:t>s</w:t>
      </w:r>
      <w:r w:rsidR="004035D4" w:rsidRPr="00CA3875">
        <w:rPr>
          <w:rFonts w:ascii="Times New Roman" w:hAnsi="Times New Roman"/>
          <w:lang w:val="en-US"/>
        </w:rPr>
        <w:t xml:space="preserve"> were</w:t>
      </w:r>
      <w:r w:rsidR="008658DC" w:rsidRPr="00CA3875">
        <w:rPr>
          <w:rFonts w:ascii="Times New Roman" w:hAnsi="Times New Roman"/>
          <w:lang w:val="en-US"/>
        </w:rPr>
        <w:t xml:space="preserve">: i) </w:t>
      </w:r>
      <w:r w:rsidR="004035D4" w:rsidRPr="00CA3875">
        <w:rPr>
          <w:rFonts w:ascii="Times New Roman" w:hAnsi="Times New Roman"/>
          <w:lang w:val="en-US"/>
        </w:rPr>
        <w:t>30-day</w:t>
      </w:r>
      <w:r w:rsidR="008658DC" w:rsidRPr="00CA3875">
        <w:rPr>
          <w:rFonts w:ascii="Times New Roman" w:hAnsi="Times New Roman"/>
          <w:lang w:val="en-US"/>
        </w:rPr>
        <w:t xml:space="preserve"> </w:t>
      </w:r>
      <w:r w:rsidR="004035D4" w:rsidRPr="00CA3875">
        <w:rPr>
          <w:rFonts w:ascii="Times New Roman" w:hAnsi="Times New Roman"/>
          <w:lang w:val="en-US"/>
        </w:rPr>
        <w:t>mortality and</w:t>
      </w:r>
      <w:r w:rsidR="008658DC" w:rsidRPr="00CA3875">
        <w:rPr>
          <w:rFonts w:ascii="Times New Roman" w:hAnsi="Times New Roman"/>
          <w:lang w:val="en-US"/>
        </w:rPr>
        <w:t xml:space="preserve"> ii)</w:t>
      </w:r>
      <w:r w:rsidR="004035D4" w:rsidRPr="00CA3875">
        <w:rPr>
          <w:rFonts w:ascii="Times New Roman" w:hAnsi="Times New Roman"/>
          <w:lang w:val="en-US"/>
        </w:rPr>
        <w:t xml:space="preserve"> the </w:t>
      </w:r>
      <w:r w:rsidR="001062B1" w:rsidRPr="00CA3875">
        <w:rPr>
          <w:rFonts w:ascii="Times New Roman" w:hAnsi="Times New Roman"/>
          <w:lang w:val="en-US"/>
        </w:rPr>
        <w:t>presence of e</w:t>
      </w:r>
      <w:r w:rsidR="00E9267B" w:rsidRPr="00CA3875">
        <w:rPr>
          <w:rFonts w:ascii="Times New Roman" w:hAnsi="Times New Roman"/>
          <w:lang w:val="en-US"/>
        </w:rPr>
        <w:t xml:space="preserve">levated </w:t>
      </w:r>
      <w:r w:rsidRPr="00CA3875">
        <w:rPr>
          <w:rFonts w:ascii="Times New Roman" w:hAnsi="Times New Roman"/>
          <w:lang w:val="en-US"/>
        </w:rPr>
        <w:t xml:space="preserve">post-procedural </w:t>
      </w:r>
      <w:r w:rsidR="00A008ED" w:rsidRPr="00CA3875">
        <w:rPr>
          <w:rFonts w:ascii="Times New Roman" w:hAnsi="Times New Roman"/>
          <w:lang w:val="en-US"/>
        </w:rPr>
        <w:t>gradient</w:t>
      </w:r>
      <w:r w:rsidR="001062B1" w:rsidRPr="00CA3875">
        <w:rPr>
          <w:rFonts w:ascii="Times New Roman" w:hAnsi="Times New Roman"/>
          <w:lang w:val="en-US"/>
        </w:rPr>
        <w:t xml:space="preserve">, which </w:t>
      </w:r>
      <w:r w:rsidR="00A008ED" w:rsidRPr="00CA3875">
        <w:rPr>
          <w:rFonts w:ascii="Times New Roman" w:hAnsi="Times New Roman"/>
          <w:lang w:val="en-US"/>
        </w:rPr>
        <w:t>was</w:t>
      </w:r>
      <w:r w:rsidR="00E9267B" w:rsidRPr="00CA3875">
        <w:rPr>
          <w:rFonts w:ascii="Times New Roman" w:hAnsi="Times New Roman"/>
          <w:lang w:val="en-US"/>
        </w:rPr>
        <w:t xml:space="preserve"> defined as </w:t>
      </w:r>
      <w:r w:rsidR="00A008ED" w:rsidRPr="00CA3875">
        <w:rPr>
          <w:rFonts w:ascii="Times New Roman" w:hAnsi="Times New Roman"/>
          <w:lang w:val="en-US"/>
        </w:rPr>
        <w:t xml:space="preserve">a </w:t>
      </w:r>
      <w:r w:rsidR="00E9267B" w:rsidRPr="00CA3875">
        <w:rPr>
          <w:rFonts w:ascii="Times New Roman" w:hAnsi="Times New Roman"/>
          <w:lang w:val="en-US"/>
        </w:rPr>
        <w:t xml:space="preserve">mean </w:t>
      </w:r>
      <w:r w:rsidRPr="00CA3875">
        <w:rPr>
          <w:rFonts w:ascii="Times New Roman" w:hAnsi="Times New Roman"/>
          <w:lang w:val="en-US"/>
        </w:rPr>
        <w:t>trans</w:t>
      </w:r>
      <w:r w:rsidR="00D5007A">
        <w:rPr>
          <w:rFonts w:ascii="Times New Roman" w:hAnsi="Times New Roman"/>
          <w:lang w:val="en-US"/>
        </w:rPr>
        <w:t>valvular</w:t>
      </w:r>
      <w:r w:rsidRPr="00CA3875">
        <w:rPr>
          <w:rFonts w:ascii="Times New Roman" w:hAnsi="Times New Roman"/>
          <w:lang w:val="en-US"/>
        </w:rPr>
        <w:t xml:space="preserve"> </w:t>
      </w:r>
      <w:r w:rsidR="00E9267B" w:rsidRPr="00CA3875">
        <w:rPr>
          <w:rFonts w:ascii="Times New Roman" w:hAnsi="Times New Roman"/>
          <w:lang w:val="en-US"/>
        </w:rPr>
        <w:t xml:space="preserve">gradient </w:t>
      </w:r>
      <w:r w:rsidR="00E9267B" w:rsidRPr="00CA3875">
        <w:rPr>
          <w:rFonts w:ascii="Times New Roman" w:eastAsia="MS Gothic" w:hAnsi="Times New Roman"/>
          <w:color w:val="000000"/>
          <w:lang w:val="en-US"/>
        </w:rPr>
        <w:t>≥</w:t>
      </w:r>
      <w:r w:rsidR="00E9267B" w:rsidRPr="00CA3875">
        <w:rPr>
          <w:rFonts w:ascii="Times New Roman" w:hAnsi="Times New Roman"/>
          <w:lang w:val="en-US"/>
        </w:rPr>
        <w:t>20 mmHg</w:t>
      </w:r>
      <w:r w:rsidR="001062B1" w:rsidRPr="00CA3875">
        <w:rPr>
          <w:rFonts w:ascii="Times New Roman" w:hAnsi="Times New Roman"/>
          <w:lang w:val="en-US"/>
        </w:rPr>
        <w:t xml:space="preserve"> at either intra-procedural or first post-procedural echocardiogram</w:t>
      </w:r>
      <w:r w:rsidR="00B33756">
        <w:rPr>
          <w:rFonts w:ascii="Times New Roman" w:hAnsi="Times New Roman"/>
          <w:lang w:val="en-US"/>
        </w:rPr>
        <w:fldChar w:fldCharType="begin" w:fldLock="1"/>
      </w:r>
      <w:r w:rsidR="00E05D9C">
        <w:rPr>
          <w:rFonts w:ascii="Times New Roman" w:hAnsi="Times New Roman"/>
          <w:lang w:val="en-US"/>
        </w:rPr>
        <w:instrText>ADDIN CSL_CITATION { "citationItems" : [ { "id" : "ITEM-1", "itemData" : { "DOI" : "10.1093/ejcts/ezs533", "ISSN" : "1010-7940", "PMID" : "23026738", "abstract" : "OBJECTIVES The aim of the current Valve Academic Research Consortium (VARC)-2 initiative was to revisit the selection and definitions of transcatheter aortic valve implantation (TAVI) clinical endpoints to make them more suitable to the present and future needs of clinical trials. In addition, this document is intended to expand the understanding of patient risk stratification and case selection. BACKGROUND A recent study confirmed that VARC definitions have already been incorporated into clinical and research practice and represent a new standard for consistency in reporting clinical outcomes of patients with symptomatic severe aortic stenosis (AS) undergoing TAVI. However, as the clinical experience with this technology has matured and expanded, certain definitions have become unsuitable or ambiguous. METHODS AND RESULTS Two in-person meetings (held in September 2011 in Washington, DC, USA, and in February 2012 in Rotterdam, Netherlands) involving VARC study group members, independent experts (including surgeons, interventional and non-interventional cardiologists, imaging specialists, neurologists, geriatric specialists, and clinical trialists), the US Food and Drug Administration (FDA), and industry representatives, provided much of the substantive discussion from which this VARC-2 consensus manuscript was derived. This document provides an overview of risk assessment and patient stratification that need to be considered for accurate patient inclusion in studies. Working groups were assigned to define the following clinical endpoints: mortality, stroke, myocardial infarction, bleeding complications, acute kidney injury, vascular complications, conduction disturbances and arrhythmias, and a miscellaneous category including relevant complications not previously categorized. Furthermore, comprehensive echocardiographic recommendations are provided for the evaluation of prosthetic valve (dys)function. Definitions for the quality of life assessments are also reported. These endpoints formed the basis for several recommended composite endpoints. CONCLUSIONS This VARC-2 document has provided further standardization of endpoint definitions for studies evaluating the use of TAVI, which will lead to improved comparability and interpretability of the study results, supplying an increasingly growing body of evidence with respect to TAVI and/or surgical aortic valve replacement. This initiative and document can furthermore be used as a model during current endea\u2026", "author" : [ { "dropping-particle" : "", "family" : "Kappetein", "given" : "A. P.", "non-dropping-particle" : "", "parse-names" : false, "suffix" : "" }, { "dropping-particle" : "", "family" : "Head", "given" : "S. J.", "non-dropping-particle" : "", "parse-names" : false, "suffix" : "" }, { "dropping-particle" : "", "family" : "Genereux", "given" : "P.", "non-dropping-particle" : "", "parse-names" : false, "suffix" : "" }, { "dropping-particle" : "", "family" : "Piazza", "given" : "N.", "non-dropping-particle" : "", "parse-names" : false, "suffix" : "" }, { "dropping-particle" : "", "family" : "Mieghem", "given" : "N. M.", "non-dropping-particle" : "van", "parse-names" : false, "suffix" : "" }, { "dropping-particle" : "", "family" : "Blackstone", "given" : "E. H.", "non-dropping-particle" : "", "parse-names" : false, "suffix" : "" }, { "dropping-particle" : "", "family" : "Brott", "given" : "T. G.", "non-dropping-particle" : "", "parse-names" : false, "suffix" : "" }, { "dropping-particle" : "", "family" : "Cohen", "given" : "D. J.", "non-dropping-particle" : "", "parse-names" : false, "suffix" : "" }, { "dropping-particle" : "", "family" : "Cutlip", "given" : "D. E.", "non-dropping-particle" : "", "parse-names" : false, "suffix" : "" }, { "dropping-particle" : "", "family" : "Es", "given" : "G.-A.", "non-dropping-particle" : "van", "parse-names" : false, "suffix" : "" }, { "dropping-particle" : "", "family" : "Hahn", "given" : "R. T.", "non-dropping-particle" : "", "parse-names" : false, "suffix" : "" }, { "dropping-particle" : "", "family" : "Kirtane", "given" : "A. J.", "non-dropping-particle" : "", "parse-names" : false, "suffix" : "" }, { "dropping-particle" : "", "family" : "Krucoff", "given" : "M. W.", "non-dropping-particle" : "", "parse-names" : false, "suffix" : "" }, { "dropping-particle" : "", "family" : "Kodali", "given" : "S.", "non-dropping-particle" : "", "parse-names" : false, "suffix" : "" }, { "dropping-particle" : "", "family" : "Mack", "given" : "M. J.", "non-dropping-particle" : "", "parse-names" : false, "suffix" : "" }, { "dropping-particle" : "", "family" : "Mehran", "given" : "R.", "non-dropping-particle" : "", "parse-names" : false, "suffix" : "" }, { "dropping-particle" : "", "family" : "Rodes-Cabau", "given" : "J.", "non-dropping-particle" : "", "parse-names" : false, "suffix" : "" }, { "dropping-particle" : "", "family" : "Vranckx", "given" : "P.", "non-dropping-particle" : "", "parse-names" : false, "suffix" : "" }, { "dropping-particle" : "", "family" : "Webb", "given" : "J. G.", "non-dropping-particle" : "", "parse-names" : false, "suffix" : "" }, { "dropping-particle" : "", "family" : "Windecker", "given" : "S.", "non-dropping-particle" : "", "parse-names" : false, "suffix" : "" }, { "dropping-particle" : "", "family" : "Serruys", "given" : "P. W.", "non-dropping-particle" : "", "parse-names" : false, "suffix" : "" }, { "dropping-particle" : "", "family" : "Leon", "given" : "M. B.", "non-dropping-particle" : "", "parse-names" : false, "suffix" : "" }, { "dropping-particle" : "", "family" : "Valve Academic Research Consortium (VARC)-2", "given" : "", "non-dropping-particle" : "", "parse-names" : false, "suffix" : "" } ], "container-title" : "European Journal of Cardio-Thoracic Surgery", "id" : "ITEM-1", "issue" : "5", "issued" : { "date-parts" : [ [ "2012", "11", "1" ] ] }, "page" : "S45-S60", "title" : "Updated standardized endpoint definitions for transcatheter aortic valve implantation: the Valve Academic Research Consortium-2 consensus document (VARC-2)", "type" : "article-journal", "volume" : "42" }, "uris" : [ "http://www.mendeley.com/documents/?uuid=01604f96-1928-3deb-b938-bca3ec4d4f77" ] } ], "mendeley" : { "formattedCitation" : "(13)", "plainTextFormattedCitation" : "(13)", "previouslyFormattedCitation" : "&lt;sup&gt;13&lt;/sup&gt;" }, "properties" : { "noteIndex" : 0 }, "schema" : "https://github.com/citation-style-language/schema/raw/master/csl-citation.json" }</w:instrText>
      </w:r>
      <w:r w:rsidR="00B33756">
        <w:rPr>
          <w:rFonts w:ascii="Times New Roman" w:hAnsi="Times New Roman"/>
          <w:lang w:val="en-US"/>
        </w:rPr>
        <w:fldChar w:fldCharType="separate"/>
      </w:r>
      <w:r w:rsidR="00E05D9C" w:rsidRPr="00E05D9C">
        <w:rPr>
          <w:rFonts w:ascii="Times New Roman" w:hAnsi="Times New Roman"/>
          <w:noProof/>
          <w:lang w:val="en-US"/>
        </w:rPr>
        <w:t>(13)</w:t>
      </w:r>
      <w:r w:rsidR="00B33756">
        <w:rPr>
          <w:rFonts w:ascii="Times New Roman" w:hAnsi="Times New Roman"/>
          <w:lang w:val="en-US"/>
        </w:rPr>
        <w:fldChar w:fldCharType="end"/>
      </w:r>
      <w:r w:rsidR="00E9267B" w:rsidRPr="00CA3875">
        <w:rPr>
          <w:rFonts w:ascii="Times New Roman" w:hAnsi="Times New Roman"/>
          <w:lang w:val="en-US"/>
        </w:rPr>
        <w:t>.</w:t>
      </w:r>
      <w:r w:rsidR="004035D4" w:rsidRPr="00CA3875">
        <w:rPr>
          <w:rFonts w:ascii="Times New Roman" w:hAnsi="Times New Roman"/>
          <w:lang w:val="en-US"/>
        </w:rPr>
        <w:t xml:space="preserve"> Major clinical endpoints were assessed according to the VARC 2 criteria</w:t>
      </w:r>
      <w:r w:rsidR="00B33756">
        <w:rPr>
          <w:rFonts w:ascii="Times New Roman" w:hAnsi="Times New Roman"/>
          <w:lang w:val="en-US"/>
        </w:rPr>
        <w:fldChar w:fldCharType="begin" w:fldLock="1"/>
      </w:r>
      <w:r w:rsidR="00E05D9C">
        <w:rPr>
          <w:rFonts w:ascii="Times New Roman" w:hAnsi="Times New Roman"/>
          <w:lang w:val="en-US"/>
        </w:rPr>
        <w:instrText>ADDIN CSL_CITATION { "citationItems" : [ { "id" : "ITEM-1", "itemData" : { "DOI" : "10.1093/ejcts/ezs533", "ISSN" : "1010-7940", "PMID" : "23026738", "abstract" : "OBJECTIVES The aim of the current Valve Academic Research Consortium (VARC)-2 initiative was to revisit the selection and definitions of transcatheter aortic valve implantation (TAVI) clinical endpoints to make them more suitable to the present and future needs of clinical trials. In addition, this document is intended to expand the understanding of patient risk stratification and case selection. BACKGROUND A recent study confirmed that VARC definitions have already been incorporated into clinical and research practice and represent a new standard for consistency in reporting clinical outcomes of patients with symptomatic severe aortic stenosis (AS) undergoing TAVI. However, as the clinical experience with this technology has matured and expanded, certain definitions have become unsuitable or ambiguous. METHODS AND RESULTS Two in-person meetings (held in September 2011 in Washington, DC, USA, and in February 2012 in Rotterdam, Netherlands) involving VARC study group members, independent experts (including surgeons, interventional and non-interventional cardiologists, imaging specialists, neurologists, geriatric specialists, and clinical trialists), the US Food and Drug Administration (FDA), and industry representatives, provided much of the substantive discussion from which this VARC-2 consensus manuscript was derived. This document provides an overview of risk assessment and patient stratification that need to be considered for accurate patient inclusion in studies. Working groups were assigned to define the following clinical endpoints: mortality, stroke, myocardial infarction, bleeding complications, acute kidney injury, vascular complications, conduction disturbances and arrhythmias, and a miscellaneous category including relevant complications not previously categorized. Furthermore, comprehensive echocardiographic recommendations are provided for the evaluation of prosthetic valve (dys)function. Definitions for the quality of life assessments are also reported. These endpoints formed the basis for several recommended composite endpoints. CONCLUSIONS This VARC-2 document has provided further standardization of endpoint definitions for studies evaluating the use of TAVI, which will lead to improved comparability and interpretability of the study results, supplying an increasingly growing body of evidence with respect to TAVI and/or surgical aortic valve replacement. This initiative and document can furthermore be used as a model during current endea\u2026", "author" : [ { "dropping-particle" : "", "family" : "Kappetein", "given" : "A. P.", "non-dropping-particle" : "", "parse-names" : false, "suffix" : "" }, { "dropping-particle" : "", "family" : "Head", "given" : "S. J.", "non-dropping-particle" : "", "parse-names" : false, "suffix" : "" }, { "dropping-particle" : "", "family" : "Genereux", "given" : "P.", "non-dropping-particle" : "", "parse-names" : false, "suffix" : "" }, { "dropping-particle" : "", "family" : "Piazza", "given" : "N.", "non-dropping-particle" : "", "parse-names" : false, "suffix" : "" }, { "dropping-particle" : "", "family" : "Mieghem", "given" : "N. M.", "non-dropping-particle" : "van", "parse-names" : false, "suffix" : "" }, { "dropping-particle" : "", "family" : "Blackstone", "given" : "E. H.", "non-dropping-particle" : "", "parse-names" : false, "suffix" : "" }, { "dropping-particle" : "", "family" : "Brott", "given" : "T. G.", "non-dropping-particle" : "", "parse-names" : false, "suffix" : "" }, { "dropping-particle" : "", "family" : "Cohen", "given" : "D. J.", "non-dropping-particle" : "", "parse-names" : false, "suffix" : "" }, { "dropping-particle" : "", "family" : "Cutlip", "given" : "D. E.", "non-dropping-particle" : "", "parse-names" : false, "suffix" : "" }, { "dropping-particle" : "", "family" : "Es", "given" : "G.-A.", "non-dropping-particle" : "van", "parse-names" : false, "suffix" : "" }, { "dropping-particle" : "", "family" : "Hahn", "given" : "R. T.", "non-dropping-particle" : "", "parse-names" : false, "suffix" : "" }, { "dropping-particle" : "", "family" : "Kirtane", "given" : "A. J.", "non-dropping-particle" : "", "parse-names" : false, "suffix" : "" }, { "dropping-particle" : "", "family" : "Krucoff", "given" : "M. W.", "non-dropping-particle" : "", "parse-names" : false, "suffix" : "" }, { "dropping-particle" : "", "family" : "Kodali", "given" : "S.", "non-dropping-particle" : "", "parse-names" : false, "suffix" : "" }, { "dropping-particle" : "", "family" : "Mack", "given" : "M. J.", "non-dropping-particle" : "", "parse-names" : false, "suffix" : "" }, { "dropping-particle" : "", "family" : "Mehran", "given" : "R.", "non-dropping-particle" : "", "parse-names" : false, "suffix" : "" }, { "dropping-particle" : "", "family" : "Rodes-Cabau", "given" : "J.", "non-dropping-particle" : "", "parse-names" : false, "suffix" : "" }, { "dropping-particle" : "", "family" : "Vranckx", "given" : "P.", "non-dropping-particle" : "", "parse-names" : false, "suffix" : "" }, { "dropping-particle" : "", "family" : "Webb", "given" : "J. G.", "non-dropping-particle" : "", "parse-names" : false, "suffix" : "" }, { "dropping-particle" : "", "family" : "Windecker", "given" : "S.", "non-dropping-particle" : "", "parse-names" : false, "suffix" : "" }, { "dropping-particle" : "", "family" : "Serruys", "given" : "P. W.", "non-dropping-particle" : "", "parse-names" : false, "suffix" : "" }, { "dropping-particle" : "", "family" : "Leon", "given" : "M. B.", "non-dropping-particle" : "", "parse-names" : false, "suffix" : "" }, { "dropping-particle" : "", "family" : "Valve Academic Research Consortium (VARC)-2", "given" : "", "non-dropping-particle" : "", "parse-names" : false, "suffix" : "" } ], "container-title" : "European Journal of Cardio-Thoracic Surgery", "id" : "ITEM-1", "issue" : "5", "issued" : { "date-parts" : [ [ "2012", "11", "1" ] ] }, "page" : "S45-S60", "title" : "Updated standardized endpoint definitions for transcatheter aortic valve implantation: the Valve Academic Research Consortium-2 consensus document (VARC-2)", "type" : "article-journal", "volume" : "42" }, "uris" : [ "http://www.mendeley.com/documents/?uuid=01604f96-1928-3deb-b938-bca3ec4d4f77" ] } ], "mendeley" : { "formattedCitation" : "(13)", "plainTextFormattedCitation" : "(13)", "previouslyFormattedCitation" : "&lt;sup&gt;13&lt;/sup&gt;" }, "properties" : { "noteIndex" : 0 }, "schema" : "https://github.com/citation-style-language/schema/raw/master/csl-citation.json" }</w:instrText>
      </w:r>
      <w:r w:rsidR="00B33756">
        <w:rPr>
          <w:rFonts w:ascii="Times New Roman" w:hAnsi="Times New Roman"/>
          <w:lang w:val="en-US"/>
        </w:rPr>
        <w:fldChar w:fldCharType="separate"/>
      </w:r>
      <w:r w:rsidR="00E05D9C" w:rsidRPr="00E05D9C">
        <w:rPr>
          <w:rFonts w:ascii="Times New Roman" w:hAnsi="Times New Roman"/>
          <w:noProof/>
          <w:lang w:val="en-US"/>
        </w:rPr>
        <w:t>(13)</w:t>
      </w:r>
      <w:r w:rsidR="00B33756">
        <w:rPr>
          <w:rFonts w:ascii="Times New Roman" w:hAnsi="Times New Roman"/>
          <w:lang w:val="en-US"/>
        </w:rPr>
        <w:fldChar w:fldCharType="end"/>
      </w:r>
      <w:r w:rsidR="004035D4" w:rsidRPr="00CA3875">
        <w:rPr>
          <w:rFonts w:ascii="Times New Roman" w:hAnsi="Times New Roman"/>
          <w:lang w:val="en-US"/>
        </w:rPr>
        <w:t>.</w:t>
      </w:r>
    </w:p>
    <w:p w14:paraId="52971C3D" w14:textId="77777777" w:rsidR="001E7569" w:rsidRPr="00CA3875" w:rsidRDefault="001E7569" w:rsidP="00F86913">
      <w:pPr>
        <w:spacing w:line="480" w:lineRule="auto"/>
        <w:rPr>
          <w:rFonts w:ascii="Times New Roman" w:hAnsi="Times New Roman"/>
          <w:lang w:val="en-US"/>
        </w:rPr>
      </w:pPr>
    </w:p>
    <w:p w14:paraId="01BD074B" w14:textId="77777777" w:rsidR="00E9267B" w:rsidRPr="00CA3875" w:rsidRDefault="00E9267B" w:rsidP="00F86913">
      <w:pPr>
        <w:spacing w:line="480" w:lineRule="auto"/>
        <w:outlineLvl w:val="0"/>
        <w:rPr>
          <w:rFonts w:ascii="Times New Roman" w:hAnsi="Times New Roman"/>
          <w:lang w:val="en-US"/>
        </w:rPr>
      </w:pPr>
      <w:r w:rsidRPr="00CA3875">
        <w:rPr>
          <w:rFonts w:ascii="Times New Roman" w:hAnsi="Times New Roman"/>
          <w:b/>
          <w:lang w:val="en-US"/>
        </w:rPr>
        <w:t>Statistical analysis</w:t>
      </w:r>
    </w:p>
    <w:p w14:paraId="4BCD8769" w14:textId="200326C1" w:rsidR="00E9267B" w:rsidRPr="00CA3875" w:rsidRDefault="00E9267B" w:rsidP="00F86913">
      <w:pPr>
        <w:widowControl w:val="0"/>
        <w:autoSpaceDE w:val="0"/>
        <w:autoSpaceDN w:val="0"/>
        <w:adjustRightInd w:val="0"/>
        <w:spacing w:after="240" w:line="480" w:lineRule="auto"/>
        <w:rPr>
          <w:rFonts w:ascii="Times New Roman" w:hAnsi="Times New Roman"/>
          <w:lang w:val="en-US"/>
        </w:rPr>
      </w:pPr>
      <w:r w:rsidRPr="00CA3875">
        <w:rPr>
          <w:rFonts w:ascii="Times New Roman" w:hAnsi="Times New Roman"/>
          <w:lang w:val="en-US"/>
        </w:rPr>
        <w:t xml:space="preserve">Results are presented as mean </w:t>
      </w:r>
      <w:r w:rsidRPr="00CA3875">
        <w:rPr>
          <w:rFonts w:ascii="Times New Roman" w:eastAsia="MS Gothic" w:hAnsi="Times New Roman"/>
          <w:color w:val="000000"/>
          <w:lang w:val="en-US"/>
        </w:rPr>
        <w:t>±</w:t>
      </w:r>
      <w:r w:rsidRPr="00CA3875" w:rsidDel="00A171A7">
        <w:rPr>
          <w:rFonts w:ascii="Times New Roman" w:hAnsi="Times New Roman"/>
          <w:lang w:val="en-US"/>
        </w:rPr>
        <w:t xml:space="preserve"> </w:t>
      </w:r>
      <w:r w:rsidRPr="00CA3875">
        <w:rPr>
          <w:rFonts w:ascii="Times New Roman" w:hAnsi="Times New Roman"/>
          <w:lang w:val="en-US"/>
        </w:rPr>
        <w:t>standard deviation for continuous variables with normal distribution, median (interquartile range) for continuous variables without normal distribution, and number (perc</w:t>
      </w:r>
      <w:r w:rsidR="00A008ED" w:rsidRPr="00CA3875">
        <w:rPr>
          <w:rFonts w:ascii="Times New Roman" w:hAnsi="Times New Roman"/>
          <w:lang w:val="en-US"/>
        </w:rPr>
        <w:t xml:space="preserve">entage) for categorical data. </w:t>
      </w:r>
      <w:r w:rsidRPr="00CA3875">
        <w:rPr>
          <w:rFonts w:ascii="Times New Roman" w:hAnsi="Times New Roman"/>
          <w:lang w:val="en-US"/>
        </w:rPr>
        <w:t xml:space="preserve">Student’s </w:t>
      </w:r>
      <w:r w:rsidRPr="00CA3875">
        <w:rPr>
          <w:rFonts w:ascii="Times New Roman" w:hAnsi="Times New Roman"/>
          <w:i/>
          <w:lang w:val="en-US"/>
        </w:rPr>
        <w:t xml:space="preserve">t </w:t>
      </w:r>
      <w:r w:rsidRPr="00CA3875">
        <w:rPr>
          <w:rFonts w:ascii="Times New Roman" w:hAnsi="Times New Roman"/>
          <w:lang w:val="en-US"/>
        </w:rPr>
        <w:t xml:space="preserve">test was used to compare normally distributed continuous variables between the </w:t>
      </w:r>
      <w:r w:rsidR="000830CD" w:rsidRPr="00CA3875">
        <w:rPr>
          <w:rFonts w:ascii="Times New Roman" w:hAnsi="Times New Roman"/>
          <w:lang w:val="en-US"/>
        </w:rPr>
        <w:t>pre-existent severe</w:t>
      </w:r>
      <w:r w:rsidR="00A008ED" w:rsidRPr="00CA3875">
        <w:rPr>
          <w:rFonts w:ascii="Times New Roman" w:hAnsi="Times New Roman"/>
          <w:lang w:val="en-US"/>
        </w:rPr>
        <w:t xml:space="preserve"> PPM</w:t>
      </w:r>
      <w:r w:rsidR="001062B1" w:rsidRPr="00CA3875">
        <w:rPr>
          <w:rFonts w:ascii="Times New Roman" w:hAnsi="Times New Roman"/>
          <w:lang w:val="en-US"/>
        </w:rPr>
        <w:t xml:space="preserve"> group</w:t>
      </w:r>
      <w:r w:rsidR="00A008ED" w:rsidRPr="00CA3875">
        <w:rPr>
          <w:rFonts w:ascii="Times New Roman" w:hAnsi="Times New Roman"/>
          <w:lang w:val="en-US"/>
        </w:rPr>
        <w:t xml:space="preserve"> </w:t>
      </w:r>
      <w:r w:rsidR="008658DC" w:rsidRPr="00CA3875">
        <w:rPr>
          <w:rFonts w:ascii="Times New Roman" w:hAnsi="Times New Roman"/>
          <w:lang w:val="en-US"/>
        </w:rPr>
        <w:t>versus the</w:t>
      </w:r>
      <w:r w:rsidR="00311F9F" w:rsidRPr="00CA3875">
        <w:rPr>
          <w:rFonts w:ascii="Times New Roman" w:hAnsi="Times New Roman"/>
          <w:lang w:val="en-US"/>
        </w:rPr>
        <w:t xml:space="preserve"> </w:t>
      </w:r>
      <w:r w:rsidR="001062B1" w:rsidRPr="00CA3875">
        <w:rPr>
          <w:rFonts w:ascii="Times New Roman" w:hAnsi="Times New Roman"/>
          <w:lang w:val="en-US"/>
        </w:rPr>
        <w:t>no/moderate</w:t>
      </w:r>
      <w:r w:rsidR="00311F9F" w:rsidRPr="00CA3875">
        <w:rPr>
          <w:rFonts w:ascii="Times New Roman" w:hAnsi="Times New Roman"/>
          <w:lang w:val="en-US"/>
        </w:rPr>
        <w:t xml:space="preserve"> PPM</w:t>
      </w:r>
      <w:r w:rsidRPr="00CA3875">
        <w:rPr>
          <w:rFonts w:ascii="Times New Roman" w:hAnsi="Times New Roman"/>
          <w:lang w:val="en-US"/>
        </w:rPr>
        <w:t xml:space="preserve"> </w:t>
      </w:r>
      <w:r w:rsidR="001062B1" w:rsidRPr="00CA3875">
        <w:rPr>
          <w:rFonts w:ascii="Times New Roman" w:hAnsi="Times New Roman"/>
          <w:lang w:val="en-US"/>
        </w:rPr>
        <w:t>group</w:t>
      </w:r>
      <w:r w:rsidRPr="00CA3875">
        <w:rPr>
          <w:rFonts w:ascii="Times New Roman" w:hAnsi="Times New Roman"/>
          <w:lang w:val="en-US"/>
        </w:rPr>
        <w:t xml:space="preserve">. </w:t>
      </w:r>
      <w:r w:rsidR="009F311A" w:rsidRPr="00CA3875">
        <w:rPr>
          <w:rFonts w:ascii="Times New Roman" w:hAnsi="Times New Roman"/>
          <w:lang w:val="en-US"/>
        </w:rPr>
        <w:t>Mann-Whitney U-test was used for non-normally distributed variables.</w:t>
      </w:r>
      <w:r w:rsidR="00103900">
        <w:rPr>
          <w:rFonts w:ascii="Times New Roman" w:hAnsi="Times New Roman"/>
          <w:lang w:val="en-US"/>
        </w:rPr>
        <w:t xml:space="preserve"> </w:t>
      </w:r>
      <w:r w:rsidRPr="00CA3875">
        <w:rPr>
          <w:rFonts w:ascii="Times New Roman" w:hAnsi="Times New Roman"/>
          <w:color w:val="141215"/>
          <w:lang w:val="en-US"/>
        </w:rPr>
        <w:t>χ</w:t>
      </w:r>
      <w:r w:rsidRPr="00CA3875">
        <w:rPr>
          <w:rFonts w:ascii="Times New Roman" w:hAnsi="Times New Roman"/>
          <w:color w:val="141215"/>
          <w:vertAlign w:val="superscript"/>
          <w:lang w:val="en-US"/>
        </w:rPr>
        <w:t>2</w:t>
      </w:r>
      <w:r w:rsidRPr="00CA3875">
        <w:rPr>
          <w:rFonts w:ascii="Times New Roman" w:hAnsi="Times New Roman"/>
          <w:lang w:val="en-US"/>
        </w:rPr>
        <w:t xml:space="preserve"> and Fisher exact tests were used to compare categorical variables. </w:t>
      </w:r>
      <w:r w:rsidR="00311F9F" w:rsidRPr="00CA3875">
        <w:rPr>
          <w:rFonts w:ascii="Times New Roman" w:hAnsi="Times New Roman"/>
          <w:lang w:val="en-US"/>
        </w:rPr>
        <w:t xml:space="preserve">A </w:t>
      </w:r>
      <w:r w:rsidR="00090CF0">
        <w:rPr>
          <w:rFonts w:ascii="Times New Roman" w:hAnsi="Times New Roman"/>
          <w:lang w:val="en-US"/>
        </w:rPr>
        <w:t>Cox</w:t>
      </w:r>
      <w:r w:rsidR="00311F9F" w:rsidRPr="00CA3875">
        <w:rPr>
          <w:rFonts w:ascii="Times New Roman" w:hAnsi="Times New Roman"/>
          <w:lang w:val="en-US"/>
        </w:rPr>
        <w:t xml:space="preserve"> </w:t>
      </w:r>
      <w:r w:rsidR="00090CF0">
        <w:rPr>
          <w:rFonts w:ascii="Times New Roman" w:hAnsi="Times New Roman"/>
          <w:lang w:val="en-US"/>
        </w:rPr>
        <w:t>proportional hazards</w:t>
      </w:r>
      <w:r w:rsidR="00311F9F" w:rsidRPr="00CA3875">
        <w:rPr>
          <w:rFonts w:ascii="Times New Roman" w:hAnsi="Times New Roman"/>
          <w:lang w:val="en-US"/>
        </w:rPr>
        <w:t xml:space="preserve"> analysis was used f</w:t>
      </w:r>
      <w:r w:rsidR="00B7616B" w:rsidRPr="00CA3875">
        <w:rPr>
          <w:rFonts w:ascii="Times New Roman" w:hAnsi="Times New Roman"/>
          <w:lang w:val="en-US"/>
        </w:rPr>
        <w:t xml:space="preserve">or </w:t>
      </w:r>
      <w:r w:rsidR="00311F9F" w:rsidRPr="00CA3875">
        <w:rPr>
          <w:rFonts w:ascii="Times New Roman" w:hAnsi="Times New Roman"/>
          <w:lang w:val="en-US"/>
        </w:rPr>
        <w:t xml:space="preserve">univariable and </w:t>
      </w:r>
      <w:r w:rsidR="008658DC" w:rsidRPr="00CA3875">
        <w:rPr>
          <w:rFonts w:ascii="Times New Roman" w:hAnsi="Times New Roman"/>
          <w:lang w:val="en-US"/>
        </w:rPr>
        <w:t>multivariable analyse</w:t>
      </w:r>
      <w:r w:rsidR="00B7616B" w:rsidRPr="00CA3875">
        <w:rPr>
          <w:rFonts w:ascii="Times New Roman" w:hAnsi="Times New Roman"/>
          <w:lang w:val="en-US"/>
        </w:rPr>
        <w:t xml:space="preserve">s of </w:t>
      </w:r>
      <w:r w:rsidR="00B3351C" w:rsidRPr="00CA3875">
        <w:rPr>
          <w:rFonts w:ascii="Times New Roman" w:hAnsi="Times New Roman"/>
          <w:lang w:val="en-US"/>
        </w:rPr>
        <w:t xml:space="preserve">factors associated with </w:t>
      </w:r>
      <w:r w:rsidR="00311F9F" w:rsidRPr="00CA3875">
        <w:rPr>
          <w:rFonts w:ascii="Times New Roman" w:hAnsi="Times New Roman"/>
          <w:lang w:val="en-US"/>
        </w:rPr>
        <w:t>1-year mortality. The variables entered in the multivariable model were</w:t>
      </w:r>
      <w:r w:rsidR="00B3351C" w:rsidRPr="00CA3875">
        <w:rPr>
          <w:rFonts w:ascii="Times New Roman" w:hAnsi="Times New Roman"/>
          <w:lang w:val="en-US"/>
        </w:rPr>
        <w:t xml:space="preserve"> those with a </w:t>
      </w:r>
      <w:r w:rsidR="00B7616B" w:rsidRPr="00CA3875">
        <w:rPr>
          <w:rFonts w:ascii="Times New Roman" w:hAnsi="Times New Roman"/>
          <w:lang w:val="en-US"/>
        </w:rPr>
        <w:t>p</w:t>
      </w:r>
      <w:r w:rsidR="00B3351C" w:rsidRPr="00CA3875">
        <w:rPr>
          <w:rFonts w:ascii="Times New Roman" w:hAnsi="Times New Roman"/>
          <w:lang w:val="en-US"/>
        </w:rPr>
        <w:t xml:space="preserve"> value &lt; 0.10 in the univariable</w:t>
      </w:r>
      <w:r w:rsidR="00B7616B" w:rsidRPr="00CA3875">
        <w:rPr>
          <w:rFonts w:ascii="Times New Roman" w:hAnsi="Times New Roman"/>
          <w:lang w:val="en-US"/>
        </w:rPr>
        <w:t xml:space="preserve"> analysis</w:t>
      </w:r>
      <w:r w:rsidR="00B3351C" w:rsidRPr="00CA3875">
        <w:rPr>
          <w:rFonts w:ascii="Times New Roman" w:hAnsi="Times New Roman"/>
          <w:lang w:val="en-US"/>
        </w:rPr>
        <w:t>.</w:t>
      </w:r>
      <w:r w:rsidR="00A9293D">
        <w:rPr>
          <w:rFonts w:ascii="Times New Roman" w:hAnsi="Times New Roman"/>
          <w:lang w:val="en-US"/>
        </w:rPr>
        <w:t xml:space="preserve"> A variable could also be included in the model if it was considered important for outcomes due to prior clinical knowledge.</w:t>
      </w:r>
      <w:r w:rsidR="006F25B7">
        <w:rPr>
          <w:rFonts w:ascii="Times New Roman" w:hAnsi="Times New Roman"/>
          <w:lang w:val="en-US"/>
        </w:rPr>
        <w:t xml:space="preserve"> The results of the multivariable</w:t>
      </w:r>
      <w:r w:rsidR="00B7616B" w:rsidRPr="00CA3875">
        <w:rPr>
          <w:rFonts w:ascii="Times New Roman" w:hAnsi="Times New Roman"/>
          <w:lang w:val="en-US"/>
        </w:rPr>
        <w:t xml:space="preserve"> analysis are presented as </w:t>
      </w:r>
      <w:r w:rsidR="008A041B">
        <w:rPr>
          <w:rFonts w:ascii="Times New Roman" w:hAnsi="Times New Roman"/>
          <w:lang w:val="en-US"/>
        </w:rPr>
        <w:t>hazard</w:t>
      </w:r>
      <w:r w:rsidR="00B7616B" w:rsidRPr="00CA3875">
        <w:rPr>
          <w:rFonts w:ascii="Times New Roman" w:hAnsi="Times New Roman"/>
          <w:lang w:val="en-US"/>
        </w:rPr>
        <w:t xml:space="preserve"> ratio </w:t>
      </w:r>
      <w:r w:rsidR="00825B92" w:rsidRPr="00CA3875">
        <w:rPr>
          <w:rFonts w:ascii="Times New Roman" w:hAnsi="Times New Roman"/>
          <w:lang w:val="en-US"/>
        </w:rPr>
        <w:t>(</w:t>
      </w:r>
      <w:r w:rsidR="008A041B">
        <w:rPr>
          <w:rFonts w:ascii="Times New Roman" w:hAnsi="Times New Roman"/>
          <w:lang w:val="en-US"/>
        </w:rPr>
        <w:t>HR</w:t>
      </w:r>
      <w:r w:rsidR="00825B92" w:rsidRPr="00CA3875">
        <w:rPr>
          <w:rFonts w:ascii="Times New Roman" w:hAnsi="Times New Roman"/>
          <w:lang w:val="en-US"/>
        </w:rPr>
        <w:t xml:space="preserve">) </w:t>
      </w:r>
      <w:r w:rsidR="00B7616B" w:rsidRPr="00CA3875">
        <w:rPr>
          <w:rFonts w:ascii="Times New Roman" w:hAnsi="Times New Roman"/>
          <w:lang w:val="en-US"/>
        </w:rPr>
        <w:t xml:space="preserve">with 95% confidence interval (CI). </w:t>
      </w:r>
      <w:r w:rsidR="00090CF0">
        <w:rPr>
          <w:rFonts w:ascii="Times New Roman" w:hAnsi="Times New Roman"/>
          <w:lang w:val="en-US"/>
        </w:rPr>
        <w:t xml:space="preserve">Survival curves derived </w:t>
      </w:r>
      <w:r w:rsidR="00090CF0">
        <w:rPr>
          <w:rFonts w:ascii="Times New Roman" w:hAnsi="Times New Roman"/>
          <w:lang w:val="en-US"/>
        </w:rPr>
        <w:lastRenderedPageBreak/>
        <w:t xml:space="preserve">from the Cox proportional hazards analysis were used to display adjusted cumulative hazard of death from any cause according to the presence or absence of pre-existent severe PPM. </w:t>
      </w:r>
      <w:r w:rsidRPr="00CA3875">
        <w:rPr>
          <w:rFonts w:ascii="Times New Roman" w:hAnsi="Times New Roman"/>
          <w:lang w:val="en-US"/>
        </w:rPr>
        <w:t>A 2-tailed p &lt; 0.05 was considered statistically significant. Statistical analysis was performed using SPSS 22 statistical software (IBM SPSS Inc.</w:t>
      </w:r>
      <w:r w:rsidR="00B33756">
        <w:rPr>
          <w:rFonts w:ascii="Times New Roman" w:hAnsi="Times New Roman"/>
          <w:lang w:val="en-US"/>
        </w:rPr>
        <w:t>, Armonk, NY, United States</w:t>
      </w:r>
      <w:r w:rsidRPr="00CA3875">
        <w:rPr>
          <w:rFonts w:ascii="Times New Roman" w:hAnsi="Times New Roman"/>
          <w:lang w:val="en-US"/>
        </w:rPr>
        <w:t xml:space="preserve">). </w:t>
      </w:r>
    </w:p>
    <w:p w14:paraId="1820AA21" w14:textId="77777777" w:rsidR="001062B1" w:rsidRPr="00CA3875" w:rsidRDefault="001062B1" w:rsidP="00F86913">
      <w:pPr>
        <w:spacing w:line="480" w:lineRule="auto"/>
        <w:outlineLvl w:val="0"/>
        <w:rPr>
          <w:rFonts w:ascii="Times New Roman" w:hAnsi="Times New Roman"/>
          <w:b/>
          <w:lang w:val="en-US"/>
        </w:rPr>
      </w:pPr>
    </w:p>
    <w:p w14:paraId="26D0A5B5" w14:textId="19AFF41B" w:rsidR="00E9267B" w:rsidRPr="00F86913" w:rsidRDefault="00B3351C" w:rsidP="00F86913">
      <w:pPr>
        <w:spacing w:line="480" w:lineRule="auto"/>
        <w:outlineLvl w:val="0"/>
        <w:rPr>
          <w:rFonts w:ascii="Times New Roman" w:hAnsi="Times New Roman"/>
          <w:b/>
          <w:sz w:val="28"/>
          <w:lang w:val="en-US"/>
        </w:rPr>
      </w:pPr>
      <w:r w:rsidRPr="00F86913">
        <w:rPr>
          <w:rFonts w:ascii="Times New Roman" w:hAnsi="Times New Roman"/>
          <w:b/>
          <w:sz w:val="28"/>
          <w:lang w:val="en-US"/>
        </w:rPr>
        <w:t>RESULTS</w:t>
      </w:r>
    </w:p>
    <w:p w14:paraId="11DA3CAA" w14:textId="2B781A3F" w:rsidR="00B3351C" w:rsidRPr="00CA3875" w:rsidRDefault="00B3351C" w:rsidP="00F86913">
      <w:pPr>
        <w:spacing w:line="480" w:lineRule="auto"/>
        <w:rPr>
          <w:rFonts w:ascii="Times New Roman" w:hAnsi="Times New Roman"/>
          <w:b/>
          <w:lang w:val="en-US"/>
        </w:rPr>
      </w:pPr>
      <w:r w:rsidRPr="00CA3875">
        <w:rPr>
          <w:rFonts w:ascii="Times New Roman" w:hAnsi="Times New Roman"/>
          <w:b/>
          <w:lang w:val="en-US"/>
        </w:rPr>
        <w:t>Baseline and procedural characteristics according to pre-existent PPM</w:t>
      </w:r>
    </w:p>
    <w:p w14:paraId="1FFEC2BF" w14:textId="7C25FC3F" w:rsidR="00512C48" w:rsidRPr="00CA3875" w:rsidRDefault="00B3351C" w:rsidP="00F22D69">
      <w:pPr>
        <w:autoSpaceDE w:val="0"/>
        <w:autoSpaceDN w:val="0"/>
        <w:adjustRightInd w:val="0"/>
        <w:spacing w:line="480" w:lineRule="auto"/>
        <w:rPr>
          <w:rFonts w:ascii="Times New Roman" w:hAnsi="Times New Roman"/>
          <w:bCs/>
          <w:lang w:val="en-CA"/>
        </w:rPr>
      </w:pPr>
      <w:r w:rsidRPr="00CA3875">
        <w:rPr>
          <w:rFonts w:ascii="Times New Roman" w:hAnsi="Times New Roman"/>
          <w:bCs/>
          <w:lang w:val="en-CA"/>
        </w:rPr>
        <w:t>Among the 1</w:t>
      </w:r>
      <w:r w:rsidR="00B77763">
        <w:rPr>
          <w:rFonts w:ascii="Times New Roman" w:hAnsi="Times New Roman"/>
          <w:bCs/>
          <w:lang w:val="en-CA"/>
        </w:rPr>
        <w:t>,</w:t>
      </w:r>
      <w:r w:rsidRPr="00CA3875">
        <w:rPr>
          <w:rFonts w:ascii="Times New Roman" w:hAnsi="Times New Roman"/>
          <w:bCs/>
          <w:lang w:val="en-CA"/>
        </w:rPr>
        <w:t xml:space="preserve">168 patients included in the registry, 89 (7.6%) had </w:t>
      </w:r>
      <w:r w:rsidR="000830CD" w:rsidRPr="00CA3875">
        <w:rPr>
          <w:rFonts w:ascii="Times New Roman" w:hAnsi="Times New Roman"/>
          <w:bCs/>
          <w:lang w:val="en-CA"/>
        </w:rPr>
        <w:t>pre-existent severe</w:t>
      </w:r>
      <w:r w:rsidR="00B77763">
        <w:rPr>
          <w:rFonts w:ascii="Times New Roman" w:hAnsi="Times New Roman"/>
          <w:bCs/>
          <w:lang w:val="en-CA"/>
        </w:rPr>
        <w:t xml:space="preserve"> PPM. </w:t>
      </w:r>
      <w:r w:rsidRPr="00CA3875">
        <w:rPr>
          <w:rFonts w:ascii="Times New Roman" w:hAnsi="Times New Roman"/>
          <w:bCs/>
          <w:lang w:val="en-CA"/>
        </w:rPr>
        <w:t xml:space="preserve">Patients with severe PPM </w:t>
      </w:r>
      <w:r w:rsidR="001062B1" w:rsidRPr="00CA3875">
        <w:rPr>
          <w:rFonts w:ascii="Times New Roman" w:hAnsi="Times New Roman"/>
          <w:bCs/>
          <w:lang w:val="en-CA"/>
        </w:rPr>
        <w:t xml:space="preserve">had </w:t>
      </w:r>
      <w:r w:rsidRPr="00CA3875">
        <w:rPr>
          <w:rFonts w:ascii="Times New Roman" w:hAnsi="Times New Roman"/>
          <w:bCs/>
          <w:lang w:val="en-CA"/>
        </w:rPr>
        <w:t>significantly</w:t>
      </w:r>
      <w:r w:rsidR="001062B1" w:rsidRPr="00CA3875">
        <w:rPr>
          <w:rFonts w:ascii="Times New Roman" w:hAnsi="Times New Roman"/>
          <w:bCs/>
          <w:lang w:val="en-CA"/>
        </w:rPr>
        <w:t xml:space="preserve"> larger body surface area and body mass index and higher prevalence of </w:t>
      </w:r>
      <w:r w:rsidR="00A35C42" w:rsidRPr="00CA3875">
        <w:rPr>
          <w:rFonts w:ascii="Times New Roman" w:hAnsi="Times New Roman"/>
          <w:bCs/>
          <w:lang w:val="en-CA"/>
        </w:rPr>
        <w:t xml:space="preserve">obesity, </w:t>
      </w:r>
      <w:r w:rsidR="001062B1" w:rsidRPr="00CA3875">
        <w:rPr>
          <w:rFonts w:ascii="Times New Roman" w:hAnsi="Times New Roman"/>
          <w:bCs/>
          <w:lang w:val="en-CA"/>
        </w:rPr>
        <w:t xml:space="preserve">diabetes, renal failure, and prior cerebrovascular </w:t>
      </w:r>
      <w:r w:rsidR="00B77763">
        <w:rPr>
          <w:rFonts w:ascii="Times New Roman" w:hAnsi="Times New Roman"/>
          <w:bCs/>
          <w:lang w:val="en-CA"/>
        </w:rPr>
        <w:t>events</w:t>
      </w:r>
      <w:r w:rsidR="00E203DA">
        <w:rPr>
          <w:rFonts w:ascii="Times New Roman" w:hAnsi="Times New Roman"/>
          <w:bCs/>
          <w:lang w:val="en-CA"/>
        </w:rPr>
        <w:t>, and higher STS score</w:t>
      </w:r>
      <w:r w:rsidR="000830CD" w:rsidRPr="00CA3875">
        <w:rPr>
          <w:rFonts w:ascii="Times New Roman" w:hAnsi="Times New Roman"/>
          <w:bCs/>
          <w:lang w:val="en-CA"/>
        </w:rPr>
        <w:t xml:space="preserve"> </w:t>
      </w:r>
      <w:r w:rsidR="00F86913">
        <w:rPr>
          <w:rFonts w:ascii="Times New Roman" w:hAnsi="Times New Roman"/>
          <w:b/>
          <w:bCs/>
          <w:i/>
          <w:lang w:val="en-CA"/>
        </w:rPr>
        <w:t>(Table </w:t>
      </w:r>
      <w:r w:rsidR="000830CD" w:rsidRPr="00CA3875">
        <w:rPr>
          <w:rFonts w:ascii="Times New Roman" w:hAnsi="Times New Roman"/>
          <w:b/>
          <w:bCs/>
          <w:i/>
          <w:lang w:val="en-CA"/>
        </w:rPr>
        <w:t>1)</w:t>
      </w:r>
      <w:r w:rsidR="001062B1" w:rsidRPr="00CA3875">
        <w:rPr>
          <w:rFonts w:ascii="Times New Roman" w:hAnsi="Times New Roman"/>
          <w:bCs/>
          <w:lang w:val="en-CA"/>
        </w:rPr>
        <w:t xml:space="preserve">. </w:t>
      </w:r>
      <w:r w:rsidR="00074DAB" w:rsidRPr="00CA3875">
        <w:rPr>
          <w:rFonts w:ascii="Times New Roman" w:hAnsi="Times New Roman"/>
          <w:bCs/>
          <w:lang w:val="en-CA"/>
        </w:rPr>
        <w:t xml:space="preserve">All patients in the severe PPM group </w:t>
      </w:r>
      <w:r w:rsidR="008658DC" w:rsidRPr="00CA3875">
        <w:rPr>
          <w:rFonts w:ascii="Times New Roman" w:hAnsi="Times New Roman"/>
          <w:bCs/>
          <w:lang w:val="en-CA"/>
        </w:rPr>
        <w:t xml:space="preserve">received </w:t>
      </w:r>
      <w:r w:rsidR="00074DAB" w:rsidRPr="00CA3875">
        <w:rPr>
          <w:rFonts w:ascii="Times New Roman" w:hAnsi="Times New Roman"/>
          <w:bCs/>
          <w:lang w:val="en-CA"/>
        </w:rPr>
        <w:t>a stented bioprosthetic valve</w:t>
      </w:r>
      <w:r w:rsidR="008658DC" w:rsidRPr="00CA3875">
        <w:rPr>
          <w:rFonts w:ascii="Times New Roman" w:hAnsi="Times New Roman"/>
          <w:bCs/>
          <w:lang w:val="en-CA"/>
        </w:rPr>
        <w:t xml:space="preserve"> at the time of </w:t>
      </w:r>
      <w:r w:rsidR="00B77763">
        <w:rPr>
          <w:rFonts w:ascii="Times New Roman" w:hAnsi="Times New Roman"/>
          <w:bCs/>
          <w:lang w:val="en-CA"/>
        </w:rPr>
        <w:t xml:space="preserve">the </w:t>
      </w:r>
      <w:r w:rsidR="008658DC" w:rsidRPr="00CA3875">
        <w:rPr>
          <w:rFonts w:ascii="Times New Roman" w:hAnsi="Times New Roman"/>
          <w:bCs/>
          <w:lang w:val="en-CA"/>
        </w:rPr>
        <w:t>index surgical AVR</w:t>
      </w:r>
      <w:r w:rsidR="00074DAB" w:rsidRPr="00CA3875">
        <w:rPr>
          <w:rFonts w:ascii="Times New Roman" w:hAnsi="Times New Roman"/>
          <w:bCs/>
          <w:lang w:val="en-CA"/>
        </w:rPr>
        <w:t xml:space="preserve">, whereas in the no/moderate PPM group, 10.1% </w:t>
      </w:r>
      <w:r w:rsidR="008658DC" w:rsidRPr="00CA3875">
        <w:rPr>
          <w:rFonts w:ascii="Times New Roman" w:hAnsi="Times New Roman"/>
          <w:bCs/>
          <w:lang w:val="en-CA"/>
        </w:rPr>
        <w:t xml:space="preserve">received </w:t>
      </w:r>
      <w:r w:rsidR="00074DAB" w:rsidRPr="00CA3875">
        <w:rPr>
          <w:rFonts w:ascii="Times New Roman" w:hAnsi="Times New Roman"/>
          <w:bCs/>
          <w:lang w:val="en-CA"/>
        </w:rPr>
        <w:t>a stentless bioprosthesis. The average size of the surgical bioprosthesis was smaller</w:t>
      </w:r>
      <w:r w:rsidR="009635B0">
        <w:rPr>
          <w:rFonts w:ascii="Times New Roman" w:hAnsi="Times New Roman"/>
          <w:bCs/>
          <w:lang w:val="en-CA"/>
        </w:rPr>
        <w:t xml:space="preserve"> and the proportion of small (≤ 21 mm) valves was much larger</w:t>
      </w:r>
      <w:r w:rsidR="00074DAB" w:rsidRPr="00CA3875">
        <w:rPr>
          <w:rFonts w:ascii="Times New Roman" w:hAnsi="Times New Roman"/>
          <w:bCs/>
          <w:lang w:val="en-CA"/>
        </w:rPr>
        <w:t xml:space="preserve"> in the severe PPM group than in t</w:t>
      </w:r>
      <w:r w:rsidR="000830CD" w:rsidRPr="00CA3875">
        <w:rPr>
          <w:rFonts w:ascii="Times New Roman" w:hAnsi="Times New Roman"/>
          <w:bCs/>
          <w:lang w:val="en-CA"/>
        </w:rPr>
        <w:t xml:space="preserve">he no/moderate PPM group </w:t>
      </w:r>
      <w:r w:rsidR="000830CD" w:rsidRPr="00CA3875">
        <w:rPr>
          <w:rFonts w:ascii="Times New Roman" w:hAnsi="Times New Roman"/>
          <w:b/>
          <w:bCs/>
          <w:i/>
          <w:lang w:val="en-CA"/>
        </w:rPr>
        <w:t>(Table 1)</w:t>
      </w:r>
      <w:r w:rsidR="001062B1" w:rsidRPr="00CA3875">
        <w:rPr>
          <w:rFonts w:ascii="Times New Roman" w:hAnsi="Times New Roman"/>
          <w:bCs/>
          <w:lang w:val="en-CA"/>
        </w:rPr>
        <w:t>.</w:t>
      </w:r>
      <w:r w:rsidR="00512C48" w:rsidRPr="00CA3875">
        <w:rPr>
          <w:rFonts w:ascii="Times New Roman" w:hAnsi="Times New Roman"/>
          <w:bCs/>
          <w:lang w:val="en-CA"/>
        </w:rPr>
        <w:t xml:space="preserve"> </w:t>
      </w:r>
      <w:r w:rsidR="009635B0">
        <w:rPr>
          <w:rFonts w:ascii="Times New Roman" w:hAnsi="Times New Roman"/>
          <w:bCs/>
          <w:lang w:val="en-CA"/>
        </w:rPr>
        <w:t xml:space="preserve">As expected, the predicted EOA and indexed EOA were significantly smaller in the severe PPM group. </w:t>
      </w:r>
      <w:r w:rsidR="00512C48" w:rsidRPr="00CA3875">
        <w:rPr>
          <w:rFonts w:ascii="Times New Roman" w:hAnsi="Times New Roman"/>
          <w:bCs/>
          <w:lang w:val="en-CA"/>
        </w:rPr>
        <w:t xml:space="preserve">There was no significant difference between the 2 groups with regards to </w:t>
      </w:r>
      <w:r w:rsidR="008658DC" w:rsidRPr="00CA3875">
        <w:rPr>
          <w:rFonts w:ascii="Times New Roman" w:hAnsi="Times New Roman"/>
          <w:bCs/>
          <w:lang w:val="en-CA"/>
        </w:rPr>
        <w:t xml:space="preserve">the </w:t>
      </w:r>
      <w:r w:rsidR="00512C48" w:rsidRPr="00CA3875">
        <w:rPr>
          <w:rFonts w:ascii="Times New Roman" w:hAnsi="Times New Roman"/>
          <w:bCs/>
          <w:lang w:val="en-CA"/>
        </w:rPr>
        <w:t xml:space="preserve">distribution of </w:t>
      </w:r>
      <w:r w:rsidR="008658DC" w:rsidRPr="00CA3875">
        <w:rPr>
          <w:rFonts w:ascii="Times New Roman" w:hAnsi="Times New Roman"/>
          <w:bCs/>
          <w:lang w:val="en-CA"/>
        </w:rPr>
        <w:t xml:space="preserve">the </w:t>
      </w:r>
      <w:r w:rsidR="00512C48" w:rsidRPr="00CA3875">
        <w:rPr>
          <w:rFonts w:ascii="Times New Roman" w:hAnsi="Times New Roman"/>
          <w:bCs/>
          <w:lang w:val="en-CA"/>
        </w:rPr>
        <w:t xml:space="preserve">mode of surgical valve failure. However, patients with severe PPM had </w:t>
      </w:r>
      <w:r w:rsidR="007C0075" w:rsidRPr="00CA3875">
        <w:rPr>
          <w:rFonts w:ascii="Times New Roman" w:hAnsi="Times New Roman"/>
          <w:bCs/>
          <w:lang w:val="en-CA"/>
        </w:rPr>
        <w:t xml:space="preserve">smaller </w:t>
      </w:r>
      <w:r w:rsidR="00E203DA">
        <w:rPr>
          <w:rFonts w:ascii="Times New Roman" w:hAnsi="Times New Roman"/>
          <w:bCs/>
          <w:lang w:val="en-CA"/>
        </w:rPr>
        <w:t>aortic valve area</w:t>
      </w:r>
      <w:r w:rsidR="007C0075" w:rsidRPr="00CA3875">
        <w:rPr>
          <w:rFonts w:ascii="Times New Roman" w:hAnsi="Times New Roman"/>
          <w:bCs/>
          <w:lang w:val="en-CA"/>
        </w:rPr>
        <w:t xml:space="preserve"> and indexed </w:t>
      </w:r>
      <w:r w:rsidR="00E203DA">
        <w:rPr>
          <w:rFonts w:ascii="Times New Roman" w:hAnsi="Times New Roman"/>
          <w:bCs/>
          <w:lang w:val="en-CA"/>
        </w:rPr>
        <w:t>aortic valve area</w:t>
      </w:r>
      <w:r w:rsidR="00512C48" w:rsidRPr="00CA3875">
        <w:rPr>
          <w:rFonts w:ascii="Times New Roman" w:hAnsi="Times New Roman"/>
          <w:bCs/>
          <w:lang w:val="en-CA"/>
        </w:rPr>
        <w:t xml:space="preserve"> and lower pr</w:t>
      </w:r>
      <w:r w:rsidR="007C0075" w:rsidRPr="00CA3875">
        <w:rPr>
          <w:rFonts w:ascii="Times New Roman" w:hAnsi="Times New Roman"/>
          <w:bCs/>
          <w:lang w:val="en-CA"/>
        </w:rPr>
        <w:t xml:space="preserve">evalence of </w:t>
      </w:r>
      <w:r w:rsidR="00512C48" w:rsidRPr="00CA3875">
        <w:rPr>
          <w:rFonts w:ascii="Times New Roman" w:hAnsi="Times New Roman"/>
          <w:bCs/>
          <w:lang w:val="en-CA"/>
        </w:rPr>
        <w:t xml:space="preserve">significant aortic regurgitation prior to </w:t>
      </w:r>
      <w:r w:rsidR="00F22D69">
        <w:rPr>
          <w:rFonts w:ascii="Times New Roman" w:hAnsi="Times New Roman"/>
          <w:bCs/>
          <w:lang w:val="en-CA"/>
        </w:rPr>
        <w:t xml:space="preserve">the </w:t>
      </w:r>
      <w:r w:rsidR="00512C48" w:rsidRPr="00CA3875">
        <w:rPr>
          <w:rFonts w:ascii="Times New Roman" w:hAnsi="Times New Roman"/>
          <w:bCs/>
          <w:lang w:val="en-CA"/>
        </w:rPr>
        <w:t xml:space="preserve">ViV procedure. The time from </w:t>
      </w:r>
      <w:r w:rsidR="008658DC" w:rsidRPr="00CA3875">
        <w:rPr>
          <w:rFonts w:ascii="Times New Roman" w:hAnsi="Times New Roman"/>
          <w:bCs/>
          <w:lang w:val="en-CA"/>
        </w:rPr>
        <w:t xml:space="preserve">AVR </w:t>
      </w:r>
      <w:r w:rsidR="00512C48" w:rsidRPr="00CA3875">
        <w:rPr>
          <w:rFonts w:ascii="Times New Roman" w:hAnsi="Times New Roman"/>
          <w:bCs/>
          <w:lang w:val="en-CA"/>
        </w:rPr>
        <w:t xml:space="preserve">to </w:t>
      </w:r>
      <w:r w:rsidR="00F22D69">
        <w:rPr>
          <w:rFonts w:ascii="Times New Roman" w:hAnsi="Times New Roman"/>
          <w:bCs/>
          <w:lang w:val="en-CA"/>
        </w:rPr>
        <w:t>ViV</w:t>
      </w:r>
      <w:r w:rsidR="00512C48" w:rsidRPr="00CA3875">
        <w:rPr>
          <w:rFonts w:ascii="Times New Roman" w:hAnsi="Times New Roman"/>
          <w:bCs/>
          <w:lang w:val="en-CA"/>
        </w:rPr>
        <w:t xml:space="preserve"> was significantly shorter in the severe PPM group compared to no/moderate PPM group</w:t>
      </w:r>
      <w:r w:rsidR="008658DC" w:rsidRPr="00CA3875">
        <w:rPr>
          <w:rFonts w:ascii="Times New Roman" w:hAnsi="Times New Roman"/>
          <w:bCs/>
          <w:lang w:val="en-CA"/>
        </w:rPr>
        <w:t xml:space="preserve"> </w:t>
      </w:r>
      <w:r w:rsidR="008658DC" w:rsidRPr="00CA3875">
        <w:rPr>
          <w:rFonts w:ascii="Times New Roman" w:hAnsi="Times New Roman"/>
          <w:b/>
          <w:bCs/>
          <w:i/>
          <w:lang w:val="en-CA"/>
        </w:rPr>
        <w:t>(Table 1)</w:t>
      </w:r>
      <w:r w:rsidR="00512C48" w:rsidRPr="00CA3875">
        <w:rPr>
          <w:rFonts w:ascii="Times New Roman" w:hAnsi="Times New Roman"/>
          <w:bCs/>
          <w:lang w:val="en-CA"/>
        </w:rPr>
        <w:t>.</w:t>
      </w:r>
    </w:p>
    <w:p w14:paraId="6F3B4BE8" w14:textId="0B81E3B8" w:rsidR="00512C48" w:rsidRPr="00CA3875" w:rsidRDefault="00512C48" w:rsidP="00F86913">
      <w:pPr>
        <w:autoSpaceDE w:val="0"/>
        <w:autoSpaceDN w:val="0"/>
        <w:adjustRightInd w:val="0"/>
        <w:spacing w:line="480" w:lineRule="auto"/>
        <w:rPr>
          <w:rFonts w:ascii="Times New Roman" w:hAnsi="Times New Roman"/>
          <w:bCs/>
          <w:lang w:val="en-CA"/>
        </w:rPr>
      </w:pPr>
      <w:r w:rsidRPr="00CA3875">
        <w:rPr>
          <w:rFonts w:ascii="Times New Roman" w:hAnsi="Times New Roman"/>
          <w:bCs/>
          <w:lang w:val="en-CA"/>
        </w:rPr>
        <w:t xml:space="preserve"> </w:t>
      </w:r>
    </w:p>
    <w:p w14:paraId="0B9DDE56" w14:textId="33B5C21D" w:rsidR="001062B1" w:rsidRPr="00CA3875" w:rsidRDefault="008658DC" w:rsidP="00F86913">
      <w:pPr>
        <w:autoSpaceDE w:val="0"/>
        <w:autoSpaceDN w:val="0"/>
        <w:adjustRightInd w:val="0"/>
        <w:spacing w:line="480" w:lineRule="auto"/>
        <w:rPr>
          <w:rFonts w:ascii="Times New Roman" w:hAnsi="Times New Roman"/>
          <w:bCs/>
          <w:lang w:val="en-CA"/>
        </w:rPr>
      </w:pPr>
      <w:r w:rsidRPr="00CA3875">
        <w:rPr>
          <w:rFonts w:ascii="Times New Roman" w:hAnsi="Times New Roman"/>
          <w:bCs/>
          <w:lang w:val="en-CA"/>
        </w:rPr>
        <w:lastRenderedPageBreak/>
        <w:t xml:space="preserve">With regards to the ViV procedural characteristics </w:t>
      </w:r>
      <w:r w:rsidRPr="00CA3875">
        <w:rPr>
          <w:rFonts w:ascii="Times New Roman" w:hAnsi="Times New Roman"/>
          <w:b/>
          <w:bCs/>
          <w:i/>
          <w:lang w:val="en-CA"/>
        </w:rPr>
        <w:t>(Table 2)</w:t>
      </w:r>
      <w:r w:rsidRPr="00CA3875">
        <w:rPr>
          <w:rFonts w:ascii="Times New Roman" w:hAnsi="Times New Roman"/>
          <w:bCs/>
          <w:lang w:val="en-CA"/>
        </w:rPr>
        <w:t xml:space="preserve">, </w:t>
      </w:r>
      <w:r w:rsidR="00512C48" w:rsidRPr="00CA3875">
        <w:rPr>
          <w:rFonts w:ascii="Times New Roman" w:hAnsi="Times New Roman"/>
          <w:bCs/>
          <w:lang w:val="en-CA"/>
        </w:rPr>
        <w:t>CoreValve</w:t>
      </w:r>
      <w:r w:rsidR="00E425A9">
        <w:rPr>
          <w:rFonts w:ascii="Times New Roman" w:hAnsi="Times New Roman"/>
          <w:bCs/>
          <w:lang w:val="en-CA"/>
        </w:rPr>
        <w:t xml:space="preserve"> / Evolut</w:t>
      </w:r>
      <w:r w:rsidR="00E9798B">
        <w:rPr>
          <w:rFonts w:ascii="Times New Roman" w:hAnsi="Times New Roman"/>
          <w:bCs/>
          <w:lang w:val="en-CA"/>
        </w:rPr>
        <w:t xml:space="preserve"> THV (Medtronic Inc., </w:t>
      </w:r>
      <w:r w:rsidR="00E425A9">
        <w:rPr>
          <w:rFonts w:ascii="Times New Roman" w:hAnsi="Times New Roman"/>
          <w:bCs/>
          <w:lang w:val="en-CA"/>
        </w:rPr>
        <w:t>Fridley, MN, United States)</w:t>
      </w:r>
      <w:r w:rsidR="00E7480A" w:rsidRPr="00CA3875">
        <w:rPr>
          <w:rFonts w:ascii="Times New Roman" w:hAnsi="Times New Roman"/>
          <w:bCs/>
          <w:lang w:val="en-CA"/>
        </w:rPr>
        <w:t>, transfemoral access, and conscious sedation were</w:t>
      </w:r>
      <w:r w:rsidR="00512C48" w:rsidRPr="00CA3875">
        <w:rPr>
          <w:rFonts w:ascii="Times New Roman" w:hAnsi="Times New Roman"/>
          <w:bCs/>
          <w:lang w:val="en-CA"/>
        </w:rPr>
        <w:t xml:space="preserve"> more frequently utilized </w:t>
      </w:r>
      <w:r w:rsidR="008C40B0" w:rsidRPr="00CA3875">
        <w:rPr>
          <w:rFonts w:ascii="Times New Roman" w:hAnsi="Times New Roman"/>
          <w:bCs/>
          <w:lang w:val="en-CA"/>
        </w:rPr>
        <w:t xml:space="preserve">in the group </w:t>
      </w:r>
      <w:r w:rsidR="00512C48" w:rsidRPr="00CA3875">
        <w:rPr>
          <w:rFonts w:ascii="Times New Roman" w:hAnsi="Times New Roman"/>
          <w:bCs/>
          <w:lang w:val="en-CA"/>
        </w:rPr>
        <w:t xml:space="preserve">with pre-existent </w:t>
      </w:r>
      <w:r w:rsidR="008C40B0" w:rsidRPr="00CA3875">
        <w:rPr>
          <w:rFonts w:ascii="Times New Roman" w:hAnsi="Times New Roman"/>
          <w:bCs/>
          <w:lang w:val="en-CA"/>
        </w:rPr>
        <w:t xml:space="preserve">severe </w:t>
      </w:r>
      <w:r w:rsidR="00512C48" w:rsidRPr="00CA3875">
        <w:rPr>
          <w:rFonts w:ascii="Times New Roman" w:hAnsi="Times New Roman"/>
          <w:bCs/>
          <w:lang w:val="en-CA"/>
        </w:rPr>
        <w:t>PPM than</w:t>
      </w:r>
      <w:r w:rsidR="008C40B0" w:rsidRPr="00CA3875">
        <w:rPr>
          <w:rFonts w:ascii="Times New Roman" w:hAnsi="Times New Roman"/>
          <w:bCs/>
          <w:lang w:val="en-CA"/>
        </w:rPr>
        <w:t xml:space="preserve"> in that </w:t>
      </w:r>
      <w:r w:rsidR="00512C48" w:rsidRPr="00CA3875">
        <w:rPr>
          <w:rFonts w:ascii="Times New Roman" w:hAnsi="Times New Roman"/>
          <w:bCs/>
          <w:lang w:val="en-CA"/>
        </w:rPr>
        <w:t>with no/moderate PPM. The average size of the THV was smaller in the</w:t>
      </w:r>
      <w:r w:rsidRPr="00CA3875">
        <w:rPr>
          <w:rFonts w:ascii="Times New Roman" w:hAnsi="Times New Roman"/>
          <w:bCs/>
          <w:lang w:val="en-CA"/>
        </w:rPr>
        <w:t xml:space="preserve"> pre-existent</w:t>
      </w:r>
      <w:r w:rsidR="00512C48" w:rsidRPr="00CA3875">
        <w:rPr>
          <w:rFonts w:ascii="Times New Roman" w:hAnsi="Times New Roman"/>
          <w:bCs/>
          <w:lang w:val="en-CA"/>
        </w:rPr>
        <w:t xml:space="preserve"> severe PPM group.  </w:t>
      </w:r>
    </w:p>
    <w:p w14:paraId="1E8E9FD8" w14:textId="77777777" w:rsidR="000830CD" w:rsidRDefault="000830CD" w:rsidP="00F86913">
      <w:pPr>
        <w:autoSpaceDE w:val="0"/>
        <w:autoSpaceDN w:val="0"/>
        <w:adjustRightInd w:val="0"/>
        <w:spacing w:line="480" w:lineRule="auto"/>
        <w:rPr>
          <w:rFonts w:ascii="Times New Roman" w:hAnsi="Times New Roman"/>
          <w:bCs/>
          <w:lang w:val="en-CA"/>
        </w:rPr>
      </w:pPr>
    </w:p>
    <w:p w14:paraId="6096E86D" w14:textId="6794B303" w:rsidR="000830CD" w:rsidRPr="00CA3875" w:rsidRDefault="000830CD" w:rsidP="00F86913">
      <w:pPr>
        <w:autoSpaceDE w:val="0"/>
        <w:autoSpaceDN w:val="0"/>
        <w:adjustRightInd w:val="0"/>
        <w:spacing w:line="480" w:lineRule="auto"/>
        <w:rPr>
          <w:rFonts w:ascii="Times New Roman" w:hAnsi="Times New Roman"/>
          <w:b/>
          <w:bCs/>
          <w:lang w:val="en-CA"/>
        </w:rPr>
      </w:pPr>
      <w:r w:rsidRPr="00CA3875">
        <w:rPr>
          <w:rFonts w:ascii="Times New Roman" w:hAnsi="Times New Roman"/>
          <w:b/>
          <w:bCs/>
          <w:lang w:val="en-CA"/>
        </w:rPr>
        <w:t xml:space="preserve">Association between pre-existent PPM and </w:t>
      </w:r>
      <w:r w:rsidR="00F7715D" w:rsidRPr="00CA3875">
        <w:rPr>
          <w:rFonts w:ascii="Times New Roman" w:hAnsi="Times New Roman"/>
          <w:b/>
          <w:bCs/>
          <w:lang w:val="en-CA"/>
        </w:rPr>
        <w:t xml:space="preserve">30-day </w:t>
      </w:r>
      <w:r w:rsidRPr="00CA3875">
        <w:rPr>
          <w:rFonts w:ascii="Times New Roman" w:hAnsi="Times New Roman"/>
          <w:b/>
          <w:bCs/>
          <w:lang w:val="en-CA"/>
        </w:rPr>
        <w:t>outcomes</w:t>
      </w:r>
    </w:p>
    <w:p w14:paraId="66BD10BB" w14:textId="238390B4" w:rsidR="00E7480A" w:rsidRDefault="00E7480A" w:rsidP="00F86913">
      <w:pPr>
        <w:autoSpaceDE w:val="0"/>
        <w:autoSpaceDN w:val="0"/>
        <w:adjustRightInd w:val="0"/>
        <w:spacing w:line="480" w:lineRule="auto"/>
        <w:rPr>
          <w:rFonts w:ascii="Times New Roman" w:hAnsi="Times New Roman"/>
          <w:bCs/>
          <w:lang w:val="en-CA"/>
        </w:rPr>
      </w:pPr>
      <w:r w:rsidRPr="00CA3875">
        <w:rPr>
          <w:rFonts w:ascii="Times New Roman" w:hAnsi="Times New Roman"/>
          <w:bCs/>
          <w:lang w:val="en-CA"/>
        </w:rPr>
        <w:t xml:space="preserve">Patients </w:t>
      </w:r>
      <w:r w:rsidR="008C40B0" w:rsidRPr="00CA3875">
        <w:rPr>
          <w:rFonts w:ascii="Times New Roman" w:hAnsi="Times New Roman"/>
          <w:bCs/>
          <w:lang w:val="en-CA"/>
        </w:rPr>
        <w:t>with pre-existent severe PPM harbored</w:t>
      </w:r>
      <w:r w:rsidRPr="00CA3875">
        <w:rPr>
          <w:rFonts w:ascii="Times New Roman" w:hAnsi="Times New Roman"/>
          <w:bCs/>
          <w:lang w:val="en-CA"/>
        </w:rPr>
        <w:t xml:space="preserve"> </w:t>
      </w:r>
      <w:r w:rsidR="00B77763">
        <w:rPr>
          <w:rFonts w:ascii="Times New Roman" w:hAnsi="Times New Roman"/>
          <w:bCs/>
          <w:lang w:val="en-CA"/>
        </w:rPr>
        <w:t xml:space="preserve">significantly </w:t>
      </w:r>
      <w:r w:rsidRPr="00CA3875">
        <w:rPr>
          <w:rFonts w:ascii="Times New Roman" w:hAnsi="Times New Roman"/>
          <w:bCs/>
          <w:lang w:val="en-CA"/>
        </w:rPr>
        <w:t xml:space="preserve">higher early post-procedural gradients than those with no/moderate PPM </w:t>
      </w:r>
      <w:r w:rsidRPr="00CA3875">
        <w:rPr>
          <w:rFonts w:ascii="Times New Roman" w:hAnsi="Times New Roman"/>
          <w:b/>
          <w:bCs/>
          <w:i/>
          <w:lang w:val="en-CA"/>
        </w:rPr>
        <w:t xml:space="preserve">(Table </w:t>
      </w:r>
      <w:r w:rsidR="008658DC" w:rsidRPr="00CA3875">
        <w:rPr>
          <w:rFonts w:ascii="Times New Roman" w:hAnsi="Times New Roman"/>
          <w:b/>
          <w:bCs/>
          <w:i/>
          <w:lang w:val="en-CA"/>
        </w:rPr>
        <w:t>3</w:t>
      </w:r>
      <w:r w:rsidRPr="00CA3875">
        <w:rPr>
          <w:rFonts w:ascii="Times New Roman" w:hAnsi="Times New Roman"/>
          <w:b/>
          <w:bCs/>
          <w:i/>
          <w:lang w:val="en-CA"/>
        </w:rPr>
        <w:t>)</w:t>
      </w:r>
      <w:r w:rsidRPr="00CA3875">
        <w:rPr>
          <w:rFonts w:ascii="Times New Roman" w:hAnsi="Times New Roman"/>
          <w:bCs/>
          <w:lang w:val="en-CA"/>
        </w:rPr>
        <w:t xml:space="preserve">. The proportion of patients with high post-procedural gradients </w:t>
      </w:r>
      <w:r w:rsidR="008658DC" w:rsidRPr="00CA3875">
        <w:rPr>
          <w:rFonts w:ascii="Times New Roman" w:hAnsi="Times New Roman"/>
          <w:bCs/>
          <w:lang w:val="en-CA"/>
        </w:rPr>
        <w:t xml:space="preserve">(mean gradient ≥ 20 mmHg) </w:t>
      </w:r>
      <w:r w:rsidRPr="00CA3875">
        <w:rPr>
          <w:rFonts w:ascii="Times New Roman" w:hAnsi="Times New Roman"/>
          <w:bCs/>
          <w:lang w:val="en-CA"/>
        </w:rPr>
        <w:t xml:space="preserve">was </w:t>
      </w:r>
      <w:r w:rsidR="00D5007A">
        <w:rPr>
          <w:rFonts w:ascii="Times New Roman" w:hAnsi="Times New Roman"/>
          <w:bCs/>
          <w:lang w:val="en-CA"/>
        </w:rPr>
        <w:t>greater</w:t>
      </w:r>
      <w:r w:rsidRPr="00CA3875">
        <w:rPr>
          <w:rFonts w:ascii="Times New Roman" w:hAnsi="Times New Roman"/>
          <w:bCs/>
          <w:lang w:val="en-CA"/>
        </w:rPr>
        <w:t xml:space="preserve"> in the severe PPM group: 47.6</w:t>
      </w:r>
      <w:r w:rsidR="00B33756">
        <w:rPr>
          <w:rFonts w:ascii="Times New Roman" w:hAnsi="Times New Roman"/>
          <w:bCs/>
          <w:lang w:val="en-CA"/>
        </w:rPr>
        <w:t>%</w:t>
      </w:r>
      <w:r w:rsidRPr="00CA3875">
        <w:rPr>
          <w:rFonts w:ascii="Times New Roman" w:hAnsi="Times New Roman"/>
          <w:bCs/>
          <w:lang w:val="en-CA"/>
        </w:rPr>
        <w:t xml:space="preserve"> vs. 29.5% </w:t>
      </w:r>
      <w:r w:rsidR="00265365" w:rsidRPr="00CA3875">
        <w:rPr>
          <w:rFonts w:ascii="Times New Roman" w:hAnsi="Times New Roman"/>
          <w:bCs/>
          <w:lang w:val="en-CA"/>
        </w:rPr>
        <w:t xml:space="preserve">(p=0.001) </w:t>
      </w:r>
      <w:r w:rsidRPr="00CA3875">
        <w:rPr>
          <w:rFonts w:ascii="Times New Roman" w:hAnsi="Times New Roman"/>
          <w:b/>
          <w:bCs/>
          <w:i/>
          <w:lang w:val="en-CA"/>
        </w:rPr>
        <w:t xml:space="preserve">(Table </w:t>
      </w:r>
      <w:r w:rsidR="008658DC" w:rsidRPr="00CA3875">
        <w:rPr>
          <w:rFonts w:ascii="Times New Roman" w:hAnsi="Times New Roman"/>
          <w:b/>
          <w:bCs/>
          <w:i/>
          <w:lang w:val="en-CA"/>
        </w:rPr>
        <w:t>3</w:t>
      </w:r>
      <w:r w:rsidR="00C31B6C" w:rsidRPr="00CA3875">
        <w:rPr>
          <w:rFonts w:ascii="Times New Roman" w:hAnsi="Times New Roman"/>
          <w:b/>
          <w:bCs/>
          <w:i/>
          <w:lang w:val="en-CA"/>
        </w:rPr>
        <w:t>, Figure 1</w:t>
      </w:r>
      <w:r w:rsidRPr="00CA3875">
        <w:rPr>
          <w:rFonts w:ascii="Times New Roman" w:hAnsi="Times New Roman"/>
          <w:b/>
          <w:bCs/>
          <w:i/>
          <w:lang w:val="en-CA"/>
        </w:rPr>
        <w:t>)</w:t>
      </w:r>
      <w:r w:rsidRPr="00CA3875">
        <w:rPr>
          <w:rFonts w:ascii="Times New Roman" w:hAnsi="Times New Roman"/>
          <w:bCs/>
          <w:lang w:val="en-CA"/>
        </w:rPr>
        <w:t xml:space="preserve">. </w:t>
      </w:r>
      <w:r w:rsidR="00F7715D" w:rsidRPr="00CA3875">
        <w:rPr>
          <w:rFonts w:ascii="Times New Roman" w:hAnsi="Times New Roman"/>
          <w:bCs/>
          <w:lang w:val="en-CA"/>
        </w:rPr>
        <w:t xml:space="preserve"> </w:t>
      </w:r>
      <w:r w:rsidR="008C40B0" w:rsidRPr="00CA3875">
        <w:rPr>
          <w:rFonts w:ascii="Times New Roman" w:hAnsi="Times New Roman"/>
          <w:bCs/>
          <w:lang w:val="en-CA"/>
        </w:rPr>
        <w:t>Patients with pre-exist</w:t>
      </w:r>
      <w:r w:rsidR="00F7715D" w:rsidRPr="00CA3875">
        <w:rPr>
          <w:rFonts w:ascii="Times New Roman" w:hAnsi="Times New Roman"/>
          <w:bCs/>
          <w:lang w:val="en-CA"/>
        </w:rPr>
        <w:t>ent severe PPM group had 2</w:t>
      </w:r>
      <w:r w:rsidR="007C0075" w:rsidRPr="00CA3875">
        <w:rPr>
          <w:rFonts w:ascii="Times New Roman" w:hAnsi="Times New Roman"/>
          <w:bCs/>
          <w:lang w:val="en-CA"/>
        </w:rPr>
        <w:t>.4</w:t>
      </w:r>
      <w:r w:rsidR="00F7715D" w:rsidRPr="00CA3875">
        <w:rPr>
          <w:rFonts w:ascii="Times New Roman" w:hAnsi="Times New Roman"/>
          <w:bCs/>
          <w:lang w:val="en-CA"/>
        </w:rPr>
        <w:t xml:space="preserve">-fold higher </w:t>
      </w:r>
      <w:r w:rsidR="008C40B0" w:rsidRPr="00CA3875">
        <w:rPr>
          <w:rFonts w:ascii="Times New Roman" w:hAnsi="Times New Roman"/>
          <w:bCs/>
          <w:lang w:val="en-CA"/>
        </w:rPr>
        <w:t>30</w:t>
      </w:r>
      <w:r w:rsidRPr="00CA3875">
        <w:rPr>
          <w:rFonts w:ascii="Times New Roman" w:hAnsi="Times New Roman"/>
          <w:bCs/>
          <w:lang w:val="en-CA"/>
        </w:rPr>
        <w:t>-day mortality</w:t>
      </w:r>
      <w:r w:rsidR="008C40B0" w:rsidRPr="00CA3875">
        <w:rPr>
          <w:rFonts w:ascii="Times New Roman" w:hAnsi="Times New Roman"/>
          <w:bCs/>
          <w:lang w:val="en-CA"/>
        </w:rPr>
        <w:t xml:space="preserve"> (10.3%)</w:t>
      </w:r>
      <w:r w:rsidRPr="00CA3875">
        <w:rPr>
          <w:rFonts w:ascii="Times New Roman" w:hAnsi="Times New Roman"/>
          <w:bCs/>
          <w:lang w:val="en-CA"/>
        </w:rPr>
        <w:t xml:space="preserve"> compared to </w:t>
      </w:r>
      <w:r w:rsidR="008C40B0" w:rsidRPr="00CA3875">
        <w:rPr>
          <w:rFonts w:ascii="Times New Roman" w:hAnsi="Times New Roman"/>
          <w:bCs/>
          <w:lang w:val="en-CA"/>
        </w:rPr>
        <w:t xml:space="preserve">those with </w:t>
      </w:r>
      <w:r w:rsidRPr="00CA3875">
        <w:rPr>
          <w:rFonts w:ascii="Times New Roman" w:hAnsi="Times New Roman"/>
          <w:bCs/>
          <w:lang w:val="en-CA"/>
        </w:rPr>
        <w:t>no/moderate PPM group (4.3%)</w:t>
      </w:r>
      <w:r w:rsidR="008C40B0" w:rsidRPr="00CA3875">
        <w:rPr>
          <w:rFonts w:ascii="Times New Roman" w:hAnsi="Times New Roman"/>
          <w:bCs/>
          <w:lang w:val="en-CA"/>
        </w:rPr>
        <w:t xml:space="preserve"> (p=0.01)</w:t>
      </w:r>
      <w:r w:rsidR="00C31B6C" w:rsidRPr="00CA3875">
        <w:rPr>
          <w:rFonts w:ascii="Times New Roman" w:hAnsi="Times New Roman"/>
          <w:bCs/>
          <w:lang w:val="en-CA"/>
        </w:rPr>
        <w:t xml:space="preserve"> </w:t>
      </w:r>
      <w:r w:rsidR="00C31B6C" w:rsidRPr="00CA3875">
        <w:rPr>
          <w:rFonts w:ascii="Times New Roman" w:hAnsi="Times New Roman"/>
          <w:b/>
          <w:bCs/>
          <w:i/>
          <w:lang w:val="en-CA"/>
        </w:rPr>
        <w:t>(Figure 1)</w:t>
      </w:r>
      <w:r w:rsidRPr="00CA3875">
        <w:rPr>
          <w:rFonts w:ascii="Times New Roman" w:hAnsi="Times New Roman"/>
          <w:bCs/>
          <w:lang w:val="en-CA"/>
        </w:rPr>
        <w:t>.</w:t>
      </w:r>
      <w:r w:rsidR="007C0075" w:rsidRPr="00CA3875">
        <w:rPr>
          <w:rFonts w:ascii="Times New Roman" w:hAnsi="Times New Roman"/>
          <w:bCs/>
          <w:lang w:val="en-CA"/>
        </w:rPr>
        <w:t xml:space="preserve"> The rates of other 30-day morbidities were not statistically different between the </w:t>
      </w:r>
      <w:r w:rsidR="00871563">
        <w:rPr>
          <w:rFonts w:ascii="Times New Roman" w:hAnsi="Times New Roman"/>
          <w:bCs/>
          <w:lang w:val="en-CA"/>
        </w:rPr>
        <w:t>two</w:t>
      </w:r>
      <w:r w:rsidR="00871563" w:rsidRPr="00CA3875">
        <w:rPr>
          <w:rFonts w:ascii="Times New Roman" w:hAnsi="Times New Roman"/>
          <w:bCs/>
          <w:lang w:val="en-CA"/>
        </w:rPr>
        <w:t xml:space="preserve"> </w:t>
      </w:r>
      <w:r w:rsidR="007C0075" w:rsidRPr="00CA3875">
        <w:rPr>
          <w:rFonts w:ascii="Times New Roman" w:hAnsi="Times New Roman"/>
          <w:bCs/>
          <w:lang w:val="en-CA"/>
        </w:rPr>
        <w:t xml:space="preserve">groups </w:t>
      </w:r>
      <w:r w:rsidR="007C0075" w:rsidRPr="00CA3875">
        <w:rPr>
          <w:rFonts w:ascii="Times New Roman" w:hAnsi="Times New Roman"/>
          <w:b/>
          <w:bCs/>
          <w:i/>
          <w:lang w:val="en-CA"/>
        </w:rPr>
        <w:t>(Table</w:t>
      </w:r>
      <w:r w:rsidR="00F86913">
        <w:rPr>
          <w:rFonts w:ascii="Times New Roman" w:hAnsi="Times New Roman"/>
          <w:b/>
          <w:bCs/>
          <w:i/>
          <w:lang w:val="en-CA"/>
        </w:rPr>
        <w:t> </w:t>
      </w:r>
      <w:r w:rsidR="007C0075" w:rsidRPr="00CA3875">
        <w:rPr>
          <w:rFonts w:ascii="Times New Roman" w:hAnsi="Times New Roman"/>
          <w:b/>
          <w:bCs/>
          <w:i/>
          <w:lang w:val="en-CA"/>
        </w:rPr>
        <w:t>3)</w:t>
      </w:r>
      <w:r w:rsidR="007C0075" w:rsidRPr="00CA3875">
        <w:rPr>
          <w:rFonts w:ascii="Times New Roman" w:hAnsi="Times New Roman"/>
          <w:bCs/>
          <w:lang w:val="en-CA"/>
        </w:rPr>
        <w:t xml:space="preserve">. </w:t>
      </w:r>
    </w:p>
    <w:p w14:paraId="4058BFA3" w14:textId="77777777" w:rsidR="005F029D" w:rsidRDefault="005F029D" w:rsidP="00F86913">
      <w:pPr>
        <w:autoSpaceDE w:val="0"/>
        <w:autoSpaceDN w:val="0"/>
        <w:adjustRightInd w:val="0"/>
        <w:spacing w:line="480" w:lineRule="auto"/>
        <w:rPr>
          <w:rFonts w:ascii="Times New Roman" w:hAnsi="Times New Roman"/>
          <w:bCs/>
          <w:lang w:val="en-CA"/>
        </w:rPr>
      </w:pPr>
    </w:p>
    <w:p w14:paraId="27BCA02A" w14:textId="04D57AA3" w:rsidR="005F029D" w:rsidRPr="00CA3875" w:rsidRDefault="00E9798B" w:rsidP="00F86913">
      <w:pPr>
        <w:autoSpaceDE w:val="0"/>
        <w:autoSpaceDN w:val="0"/>
        <w:adjustRightInd w:val="0"/>
        <w:spacing w:line="480" w:lineRule="auto"/>
        <w:rPr>
          <w:rFonts w:ascii="Times New Roman" w:hAnsi="Times New Roman"/>
          <w:bCs/>
          <w:lang w:val="en-CA"/>
        </w:rPr>
      </w:pPr>
      <w:r>
        <w:rPr>
          <w:rFonts w:ascii="Times New Roman" w:hAnsi="Times New Roman"/>
          <w:bCs/>
          <w:lang w:val="en-CA"/>
        </w:rPr>
        <w:t>Compared to balloon-</w:t>
      </w:r>
      <w:r w:rsidR="005F029D">
        <w:rPr>
          <w:rFonts w:ascii="Times New Roman" w:hAnsi="Times New Roman"/>
          <w:bCs/>
          <w:lang w:val="en-CA"/>
        </w:rPr>
        <w:t>expandable THVs (SAPIEN / SAPIEN XT / SAPIEN 3</w:t>
      </w:r>
      <w:r>
        <w:rPr>
          <w:rFonts w:ascii="Times New Roman" w:hAnsi="Times New Roman"/>
          <w:bCs/>
          <w:lang w:val="en-CA"/>
        </w:rPr>
        <w:t>; Edwards Lifesciences, Irvine, CA, United States</w:t>
      </w:r>
      <w:r w:rsidR="005F029D">
        <w:rPr>
          <w:rFonts w:ascii="Times New Roman" w:hAnsi="Times New Roman"/>
          <w:bCs/>
          <w:lang w:val="en-CA"/>
        </w:rPr>
        <w:t>), the self-expa</w:t>
      </w:r>
      <w:r w:rsidR="00E425A9">
        <w:rPr>
          <w:rFonts w:ascii="Times New Roman" w:hAnsi="Times New Roman"/>
          <w:bCs/>
          <w:lang w:val="en-CA"/>
        </w:rPr>
        <w:t>nding THVs (CoreValve / Evolut</w:t>
      </w:r>
      <w:r w:rsidR="005F029D">
        <w:rPr>
          <w:rFonts w:ascii="Times New Roman" w:hAnsi="Times New Roman"/>
          <w:bCs/>
          <w:lang w:val="en-CA"/>
        </w:rPr>
        <w:t xml:space="preserve">) were associated with lower rates of high residual gradients </w:t>
      </w:r>
      <w:r w:rsidR="00F3754F">
        <w:rPr>
          <w:rFonts w:ascii="Times New Roman" w:hAnsi="Times New Roman"/>
          <w:bCs/>
          <w:lang w:val="en-CA"/>
        </w:rPr>
        <w:t xml:space="preserve">early after ViV </w:t>
      </w:r>
      <w:r w:rsidR="005F029D">
        <w:rPr>
          <w:rFonts w:ascii="Times New Roman" w:hAnsi="Times New Roman"/>
          <w:bCs/>
          <w:lang w:val="en-CA"/>
        </w:rPr>
        <w:t>in the whole cohort as well as in the no/moderate PPM and</w:t>
      </w:r>
      <w:r w:rsidR="00F3754F">
        <w:rPr>
          <w:rFonts w:ascii="Times New Roman" w:hAnsi="Times New Roman"/>
          <w:bCs/>
          <w:lang w:val="en-CA"/>
        </w:rPr>
        <w:t xml:space="preserve"> </w:t>
      </w:r>
      <w:r w:rsidR="005F029D">
        <w:rPr>
          <w:rFonts w:ascii="Times New Roman" w:hAnsi="Times New Roman"/>
          <w:bCs/>
          <w:lang w:val="en-CA"/>
        </w:rPr>
        <w:t xml:space="preserve">severe PPM groups </w:t>
      </w:r>
      <w:r w:rsidR="005F029D" w:rsidRPr="005F029D">
        <w:rPr>
          <w:rFonts w:ascii="Times New Roman" w:hAnsi="Times New Roman"/>
          <w:b/>
          <w:bCs/>
          <w:i/>
          <w:lang w:val="en-CA"/>
        </w:rPr>
        <w:t>(Figure </w:t>
      </w:r>
      <w:r w:rsidR="00115977">
        <w:rPr>
          <w:rFonts w:ascii="Times New Roman" w:hAnsi="Times New Roman"/>
          <w:b/>
          <w:bCs/>
          <w:i/>
          <w:lang w:val="en-CA"/>
        </w:rPr>
        <w:t>2</w:t>
      </w:r>
      <w:r w:rsidR="005F029D" w:rsidRPr="005F029D">
        <w:rPr>
          <w:rFonts w:ascii="Times New Roman" w:hAnsi="Times New Roman"/>
          <w:b/>
          <w:bCs/>
          <w:i/>
          <w:lang w:val="en-CA"/>
        </w:rPr>
        <w:t>)</w:t>
      </w:r>
      <w:r w:rsidR="005F029D">
        <w:rPr>
          <w:rFonts w:ascii="Times New Roman" w:hAnsi="Times New Roman"/>
          <w:bCs/>
          <w:lang w:val="en-CA"/>
        </w:rPr>
        <w:t>.</w:t>
      </w:r>
      <w:r w:rsidR="00233CB0">
        <w:rPr>
          <w:rFonts w:ascii="Times New Roman" w:hAnsi="Times New Roman"/>
          <w:bCs/>
          <w:lang w:val="en-CA"/>
        </w:rPr>
        <w:t xml:space="preserve"> T</w:t>
      </w:r>
      <w:r w:rsidR="00D87FA3">
        <w:rPr>
          <w:rFonts w:ascii="Times New Roman" w:hAnsi="Times New Roman"/>
          <w:bCs/>
          <w:lang w:val="en-CA"/>
        </w:rPr>
        <w:t>his</w:t>
      </w:r>
      <w:r w:rsidR="00233CB0">
        <w:rPr>
          <w:rFonts w:ascii="Times New Roman" w:hAnsi="Times New Roman"/>
          <w:bCs/>
          <w:lang w:val="en-CA"/>
        </w:rPr>
        <w:t xml:space="preserve"> difference</w:t>
      </w:r>
      <w:r w:rsidR="00F3754F">
        <w:rPr>
          <w:rFonts w:ascii="Times New Roman" w:hAnsi="Times New Roman"/>
          <w:bCs/>
          <w:lang w:val="en-CA"/>
        </w:rPr>
        <w:t xml:space="preserve"> in the proportion of high gradients</w:t>
      </w:r>
      <w:r w:rsidR="00233CB0">
        <w:rPr>
          <w:rFonts w:ascii="Times New Roman" w:hAnsi="Times New Roman"/>
          <w:bCs/>
          <w:lang w:val="en-CA"/>
        </w:rPr>
        <w:t xml:space="preserve"> between self-expanding vs. balloon expandable THVs was particularly striking in the subset of patients with pre</w:t>
      </w:r>
      <w:r w:rsidR="00B33756">
        <w:rPr>
          <w:rFonts w:ascii="Times New Roman" w:hAnsi="Times New Roman"/>
          <w:bCs/>
          <w:lang w:val="en-CA"/>
        </w:rPr>
        <w:t>-existent severe PPM (34% vs. 78</w:t>
      </w:r>
      <w:r w:rsidR="00233CB0">
        <w:rPr>
          <w:rFonts w:ascii="Times New Roman" w:hAnsi="Times New Roman"/>
          <w:bCs/>
          <w:lang w:val="en-CA"/>
        </w:rPr>
        <w:t>%, p&lt;0.001).</w:t>
      </w:r>
    </w:p>
    <w:p w14:paraId="6AF51DE7" w14:textId="77777777" w:rsidR="00E7480A" w:rsidRPr="00CA3875" w:rsidRDefault="00E7480A" w:rsidP="00F86913">
      <w:pPr>
        <w:autoSpaceDE w:val="0"/>
        <w:autoSpaceDN w:val="0"/>
        <w:adjustRightInd w:val="0"/>
        <w:spacing w:line="480" w:lineRule="auto"/>
        <w:rPr>
          <w:rFonts w:ascii="Times New Roman" w:hAnsi="Times New Roman"/>
          <w:b/>
          <w:bCs/>
          <w:lang w:val="en-CA"/>
        </w:rPr>
      </w:pPr>
    </w:p>
    <w:p w14:paraId="7404A010" w14:textId="2CF11A41" w:rsidR="00512C48" w:rsidRPr="00CA3875" w:rsidRDefault="00512C48" w:rsidP="00F86913">
      <w:pPr>
        <w:autoSpaceDE w:val="0"/>
        <w:autoSpaceDN w:val="0"/>
        <w:adjustRightInd w:val="0"/>
        <w:spacing w:line="480" w:lineRule="auto"/>
        <w:rPr>
          <w:rFonts w:ascii="Times New Roman" w:hAnsi="Times New Roman"/>
          <w:b/>
          <w:bCs/>
          <w:lang w:val="en-CA"/>
        </w:rPr>
      </w:pPr>
      <w:r w:rsidRPr="00CA3875">
        <w:rPr>
          <w:rFonts w:ascii="Times New Roman" w:hAnsi="Times New Roman"/>
          <w:b/>
          <w:bCs/>
          <w:lang w:val="en-CA"/>
        </w:rPr>
        <w:t>Association between pre-existent PPM and 1-year mortality</w:t>
      </w:r>
    </w:p>
    <w:p w14:paraId="7F3C537C" w14:textId="455A252A" w:rsidR="00B3351C" w:rsidRPr="00CA3875" w:rsidRDefault="000830CD" w:rsidP="00F86913">
      <w:pPr>
        <w:autoSpaceDE w:val="0"/>
        <w:autoSpaceDN w:val="0"/>
        <w:adjustRightInd w:val="0"/>
        <w:spacing w:line="480" w:lineRule="auto"/>
        <w:rPr>
          <w:rFonts w:ascii="Times New Roman" w:hAnsi="Times New Roman"/>
          <w:lang w:val="en-CA"/>
        </w:rPr>
      </w:pPr>
      <w:r w:rsidRPr="00CA3875">
        <w:rPr>
          <w:rFonts w:ascii="Times New Roman" w:hAnsi="Times New Roman"/>
          <w:bCs/>
          <w:lang w:val="en-CA"/>
        </w:rPr>
        <w:lastRenderedPageBreak/>
        <w:t>Patients with pre-existent severe PPM</w:t>
      </w:r>
      <w:r w:rsidR="00B3351C" w:rsidRPr="00CA3875">
        <w:rPr>
          <w:rFonts w:ascii="Times New Roman" w:hAnsi="Times New Roman"/>
          <w:bCs/>
          <w:lang w:val="en-CA"/>
        </w:rPr>
        <w:t xml:space="preserve"> </w:t>
      </w:r>
      <w:r w:rsidR="00443018" w:rsidRPr="00CA3875">
        <w:rPr>
          <w:rFonts w:ascii="Times New Roman" w:hAnsi="Times New Roman"/>
          <w:bCs/>
          <w:lang w:val="en-CA"/>
        </w:rPr>
        <w:t>had a</w:t>
      </w:r>
      <w:r w:rsidR="00B3351C" w:rsidRPr="00CA3875">
        <w:rPr>
          <w:rFonts w:ascii="Times New Roman" w:hAnsi="Times New Roman"/>
          <w:bCs/>
          <w:lang w:val="en-CA"/>
        </w:rPr>
        <w:t xml:space="preserve"> </w:t>
      </w:r>
      <w:r w:rsidR="007D0D55">
        <w:rPr>
          <w:rFonts w:ascii="Times New Roman" w:hAnsi="Times New Roman"/>
          <w:bCs/>
          <w:lang w:val="en-CA"/>
        </w:rPr>
        <w:t>1.8</w:t>
      </w:r>
      <w:r w:rsidR="00B3351C" w:rsidRPr="00CA3875">
        <w:rPr>
          <w:rFonts w:ascii="Times New Roman" w:hAnsi="Times New Roman"/>
          <w:bCs/>
          <w:lang w:val="en-CA"/>
        </w:rPr>
        <w:t>-fold higher</w:t>
      </w:r>
      <w:r w:rsidR="007D0D55">
        <w:rPr>
          <w:rFonts w:ascii="Times New Roman" w:hAnsi="Times New Roman"/>
          <w:bCs/>
          <w:lang w:val="en-CA"/>
        </w:rPr>
        <w:t xml:space="preserve"> adjusted</w:t>
      </w:r>
      <w:r w:rsidR="00B3351C" w:rsidRPr="00CA3875">
        <w:rPr>
          <w:rFonts w:ascii="Times New Roman" w:hAnsi="Times New Roman"/>
          <w:bCs/>
          <w:lang w:val="en-CA"/>
        </w:rPr>
        <w:t xml:space="preserve"> 1-year mortality rate</w:t>
      </w:r>
      <w:r w:rsidR="007A42C8" w:rsidRPr="00CA3875">
        <w:rPr>
          <w:rFonts w:ascii="Times New Roman" w:hAnsi="Times New Roman"/>
          <w:bCs/>
          <w:lang w:val="en-CA"/>
        </w:rPr>
        <w:t xml:space="preserve"> </w:t>
      </w:r>
      <w:r w:rsidR="00B3351C" w:rsidRPr="00CA3875">
        <w:rPr>
          <w:rFonts w:ascii="Times New Roman" w:hAnsi="Times New Roman"/>
          <w:bCs/>
          <w:lang w:val="en-CA"/>
        </w:rPr>
        <w:t>compared to pat</w:t>
      </w:r>
      <w:r w:rsidR="00265365" w:rsidRPr="00CA3875">
        <w:rPr>
          <w:rFonts w:ascii="Times New Roman" w:hAnsi="Times New Roman"/>
          <w:bCs/>
          <w:lang w:val="en-CA"/>
        </w:rPr>
        <w:t>ients with no severe PPM (</w:t>
      </w:r>
      <w:r w:rsidR="00090CF0">
        <w:rPr>
          <w:rFonts w:ascii="Times New Roman" w:hAnsi="Times New Roman"/>
          <w:bCs/>
          <w:lang w:val="en-CA"/>
        </w:rPr>
        <w:t xml:space="preserve">unadjusted: </w:t>
      </w:r>
      <w:r w:rsidR="007A42C8" w:rsidRPr="00CA3875">
        <w:rPr>
          <w:rFonts w:ascii="Times New Roman" w:hAnsi="Times New Roman"/>
          <w:bCs/>
          <w:lang w:val="en-CA"/>
        </w:rPr>
        <w:t xml:space="preserve">28.6% vs. </w:t>
      </w:r>
      <w:r w:rsidR="00265365" w:rsidRPr="00CA3875">
        <w:rPr>
          <w:rFonts w:ascii="Times New Roman" w:hAnsi="Times New Roman"/>
          <w:bCs/>
          <w:lang w:val="en-CA"/>
        </w:rPr>
        <w:t>11.9%; p&lt;0.001</w:t>
      </w:r>
      <w:r w:rsidR="00090CF0">
        <w:rPr>
          <w:rFonts w:ascii="Times New Roman" w:hAnsi="Times New Roman"/>
          <w:bCs/>
          <w:lang w:val="en-CA"/>
        </w:rPr>
        <w:t xml:space="preserve">, </w:t>
      </w:r>
      <w:r w:rsidR="00090CF0" w:rsidRPr="007D0D55">
        <w:rPr>
          <w:rFonts w:ascii="Times New Roman" w:hAnsi="Times New Roman"/>
          <w:b/>
          <w:bCs/>
          <w:i/>
          <w:lang w:val="en-CA"/>
        </w:rPr>
        <w:t>Figure 1</w:t>
      </w:r>
      <w:r w:rsidR="00090CF0">
        <w:rPr>
          <w:rFonts w:ascii="Times New Roman" w:hAnsi="Times New Roman"/>
          <w:bCs/>
          <w:lang w:val="en-CA"/>
        </w:rPr>
        <w:t xml:space="preserve">; adjusted: </w:t>
      </w:r>
      <w:r w:rsidR="007D0D55">
        <w:rPr>
          <w:rFonts w:ascii="Times New Roman" w:hAnsi="Times New Roman"/>
          <w:bCs/>
          <w:lang w:val="en-CA"/>
        </w:rPr>
        <w:t xml:space="preserve">19.3% vs. 10.9%; p=0.03, </w:t>
      </w:r>
      <w:r w:rsidR="007D0D55" w:rsidRPr="007D0D55">
        <w:rPr>
          <w:rFonts w:ascii="Times New Roman" w:hAnsi="Times New Roman"/>
          <w:b/>
          <w:bCs/>
          <w:i/>
          <w:lang w:val="en-CA"/>
        </w:rPr>
        <w:t>Figure 3</w:t>
      </w:r>
      <w:r w:rsidR="00265365" w:rsidRPr="00CA3875">
        <w:rPr>
          <w:rFonts w:ascii="Times New Roman" w:hAnsi="Times New Roman"/>
          <w:bCs/>
          <w:lang w:val="en-CA"/>
        </w:rPr>
        <w:t>)</w:t>
      </w:r>
      <w:r w:rsidR="00B3351C" w:rsidRPr="00CA3875">
        <w:rPr>
          <w:rFonts w:ascii="Times New Roman" w:hAnsi="Times New Roman"/>
          <w:bCs/>
          <w:lang w:val="en-CA"/>
        </w:rPr>
        <w:t xml:space="preserve">. </w:t>
      </w:r>
      <w:r w:rsidR="00E7480A" w:rsidRPr="00CA3875">
        <w:rPr>
          <w:rFonts w:ascii="Times New Roman" w:hAnsi="Times New Roman"/>
          <w:bCs/>
          <w:lang w:val="en-CA"/>
        </w:rPr>
        <w:t>The other factors associated with 1-year mortality</w:t>
      </w:r>
      <w:r w:rsidR="007A42C8" w:rsidRPr="00CA3875">
        <w:rPr>
          <w:rFonts w:ascii="Times New Roman" w:hAnsi="Times New Roman"/>
          <w:bCs/>
          <w:lang w:val="en-CA"/>
        </w:rPr>
        <w:t xml:space="preserve"> in univariable analysis</w:t>
      </w:r>
      <w:r w:rsidR="00E7480A" w:rsidRPr="00CA3875">
        <w:rPr>
          <w:rFonts w:ascii="Times New Roman" w:hAnsi="Times New Roman"/>
          <w:bCs/>
          <w:lang w:val="en-CA"/>
        </w:rPr>
        <w:t xml:space="preserve"> were: higher STS score</w:t>
      </w:r>
      <w:r w:rsidR="00871563">
        <w:rPr>
          <w:rFonts w:ascii="Times New Roman" w:hAnsi="Times New Roman"/>
          <w:bCs/>
          <w:lang w:val="en-CA"/>
        </w:rPr>
        <w:t xml:space="preserve"> </w:t>
      </w:r>
      <w:r w:rsidR="00871563" w:rsidRPr="00CA3875">
        <w:rPr>
          <w:rFonts w:ascii="Times New Roman" w:hAnsi="Times New Roman"/>
          <w:lang w:val="en-CA"/>
        </w:rPr>
        <w:t>(</w:t>
      </w:r>
      <w:r w:rsidR="00672AA4">
        <w:rPr>
          <w:rFonts w:ascii="Times New Roman" w:hAnsi="Times New Roman"/>
          <w:lang w:val="en-CA"/>
        </w:rPr>
        <w:t>HR</w:t>
      </w:r>
      <w:r w:rsidR="00871563">
        <w:rPr>
          <w:rFonts w:ascii="Times New Roman" w:hAnsi="Times New Roman"/>
          <w:lang w:val="en-CA"/>
        </w:rPr>
        <w:t xml:space="preserve"> </w:t>
      </w:r>
      <w:r w:rsidR="00871563">
        <w:rPr>
          <w:rFonts w:ascii="Times New Roman" w:hAnsi="Times New Roman"/>
          <w:bCs/>
          <w:color w:val="000000"/>
          <w:lang w:val="en-US"/>
        </w:rPr>
        <w:t>1.05; 95% CI:</w:t>
      </w:r>
      <w:r w:rsidR="00871563" w:rsidRPr="00EC2E63">
        <w:rPr>
          <w:rFonts w:ascii="Times New Roman" w:hAnsi="Times New Roman"/>
          <w:bCs/>
          <w:color w:val="000000"/>
          <w:lang w:val="en-US"/>
        </w:rPr>
        <w:t xml:space="preserve"> 1.</w:t>
      </w:r>
      <w:r w:rsidR="00871563">
        <w:rPr>
          <w:rFonts w:ascii="Times New Roman" w:hAnsi="Times New Roman"/>
          <w:bCs/>
          <w:color w:val="000000"/>
          <w:lang w:val="en-US"/>
        </w:rPr>
        <w:t>04</w:t>
      </w:r>
      <w:r w:rsidR="00672AA4">
        <w:rPr>
          <w:rFonts w:ascii="Times New Roman" w:hAnsi="Times New Roman"/>
          <w:bCs/>
          <w:color w:val="000000"/>
          <w:lang w:val="en-US"/>
        </w:rPr>
        <w:t>-</w:t>
      </w:r>
      <w:r w:rsidR="00871563">
        <w:rPr>
          <w:rFonts w:ascii="Times New Roman" w:hAnsi="Times New Roman"/>
          <w:bCs/>
          <w:color w:val="000000"/>
          <w:lang w:val="en-US"/>
        </w:rPr>
        <w:t>1.06</w:t>
      </w:r>
      <w:r w:rsidR="00CC5B51">
        <w:rPr>
          <w:rFonts w:ascii="Times New Roman" w:hAnsi="Times New Roman"/>
          <w:bCs/>
          <w:color w:val="000000"/>
          <w:lang w:val="en-US"/>
        </w:rPr>
        <w:t>;</w:t>
      </w:r>
      <w:r w:rsidR="00871563" w:rsidRPr="00CA3875">
        <w:rPr>
          <w:rFonts w:ascii="Times New Roman" w:hAnsi="Times New Roman"/>
          <w:lang w:val="en-CA"/>
        </w:rPr>
        <w:t xml:space="preserve"> p</w:t>
      </w:r>
      <w:r w:rsidR="00CC5B51">
        <w:rPr>
          <w:rFonts w:ascii="Times New Roman" w:hAnsi="Times New Roman"/>
          <w:lang w:val="en-CA"/>
        </w:rPr>
        <w:t>&lt;</w:t>
      </w:r>
      <w:r w:rsidR="00871563" w:rsidRPr="00CA3875">
        <w:rPr>
          <w:rFonts w:ascii="Times New Roman" w:hAnsi="Times New Roman"/>
          <w:lang w:val="en-CA"/>
        </w:rPr>
        <w:t>0.0</w:t>
      </w:r>
      <w:r w:rsidR="00CC5B51">
        <w:rPr>
          <w:rFonts w:ascii="Times New Roman" w:hAnsi="Times New Roman"/>
          <w:lang w:val="en-CA"/>
        </w:rPr>
        <w:t>01</w:t>
      </w:r>
      <w:r w:rsidR="00871563" w:rsidRPr="00CA3875">
        <w:rPr>
          <w:rFonts w:ascii="Times New Roman" w:hAnsi="Times New Roman"/>
          <w:lang w:val="en-CA"/>
        </w:rPr>
        <w:t>)</w:t>
      </w:r>
      <w:r w:rsidR="00E7480A" w:rsidRPr="00CA3875">
        <w:rPr>
          <w:rFonts w:ascii="Times New Roman" w:hAnsi="Times New Roman"/>
          <w:bCs/>
          <w:lang w:val="en-CA"/>
        </w:rPr>
        <w:t xml:space="preserve">, </w:t>
      </w:r>
      <w:r w:rsidR="00265365" w:rsidRPr="00CA3875">
        <w:rPr>
          <w:rFonts w:ascii="Times New Roman" w:hAnsi="Times New Roman"/>
          <w:bCs/>
          <w:lang w:val="en-CA"/>
        </w:rPr>
        <w:t>diabetes</w:t>
      </w:r>
      <w:r w:rsidR="00CC5B51">
        <w:rPr>
          <w:rFonts w:ascii="Times New Roman" w:hAnsi="Times New Roman"/>
          <w:bCs/>
          <w:lang w:val="en-CA"/>
        </w:rPr>
        <w:t xml:space="preserve"> </w:t>
      </w:r>
      <w:r w:rsidR="00672AA4">
        <w:rPr>
          <w:rFonts w:ascii="Times New Roman" w:hAnsi="Times New Roman"/>
          <w:bCs/>
          <w:lang w:val="en-CA"/>
        </w:rPr>
        <w:t xml:space="preserve">(HR </w:t>
      </w:r>
      <w:r w:rsidR="00672AA4">
        <w:rPr>
          <w:rFonts w:ascii="Times New Roman" w:hAnsi="Times New Roman"/>
          <w:bCs/>
          <w:color w:val="000000"/>
          <w:lang w:val="en-US"/>
        </w:rPr>
        <w:t>1.54; 95% CI: 1.05-2.26; p=0.026)</w:t>
      </w:r>
      <w:r w:rsidR="00265365" w:rsidRPr="00CA3875">
        <w:rPr>
          <w:rFonts w:ascii="Times New Roman" w:hAnsi="Times New Roman"/>
          <w:bCs/>
          <w:lang w:val="en-CA"/>
        </w:rPr>
        <w:t xml:space="preserve">, </w:t>
      </w:r>
      <w:r w:rsidR="00E7480A" w:rsidRPr="00CA3875">
        <w:rPr>
          <w:rFonts w:ascii="Times New Roman" w:hAnsi="Times New Roman"/>
          <w:bCs/>
          <w:lang w:val="en-CA"/>
        </w:rPr>
        <w:t>renal failure</w:t>
      </w:r>
      <w:r w:rsidR="00672AA4">
        <w:rPr>
          <w:rFonts w:ascii="Times New Roman" w:hAnsi="Times New Roman"/>
          <w:bCs/>
          <w:lang w:val="en-CA"/>
        </w:rPr>
        <w:t xml:space="preserve"> (HR </w:t>
      </w:r>
      <w:r w:rsidR="00672AA4">
        <w:rPr>
          <w:rFonts w:ascii="Times New Roman" w:hAnsi="Times New Roman"/>
          <w:bCs/>
          <w:color w:val="000000"/>
          <w:lang w:val="en-US"/>
        </w:rPr>
        <w:t>1.71; CI 95%:</w:t>
      </w:r>
      <w:r w:rsidR="00672AA4" w:rsidRPr="00EC2E63">
        <w:rPr>
          <w:rFonts w:ascii="Times New Roman" w:hAnsi="Times New Roman"/>
          <w:bCs/>
          <w:color w:val="000000"/>
          <w:lang w:val="en-US"/>
        </w:rPr>
        <w:t xml:space="preserve"> </w:t>
      </w:r>
      <w:r w:rsidR="00672AA4">
        <w:rPr>
          <w:rFonts w:ascii="Times New Roman" w:hAnsi="Times New Roman"/>
          <w:bCs/>
          <w:color w:val="000000"/>
          <w:lang w:val="en-US"/>
        </w:rPr>
        <w:t>1.17-2.51; p=0.005)</w:t>
      </w:r>
      <w:r w:rsidR="00265365" w:rsidRPr="00CA3875">
        <w:rPr>
          <w:rFonts w:ascii="Times New Roman" w:hAnsi="Times New Roman"/>
          <w:bCs/>
          <w:lang w:val="en-CA"/>
        </w:rPr>
        <w:t>,</w:t>
      </w:r>
      <w:r w:rsidR="00443018" w:rsidRPr="00CA3875">
        <w:rPr>
          <w:rFonts w:ascii="Times New Roman" w:hAnsi="Times New Roman"/>
          <w:bCs/>
          <w:lang w:val="en-CA"/>
        </w:rPr>
        <w:t xml:space="preserve"> and smaller label size of the surgical valve</w:t>
      </w:r>
      <w:r w:rsidR="00672AA4">
        <w:rPr>
          <w:rFonts w:ascii="Times New Roman" w:hAnsi="Times New Roman"/>
          <w:bCs/>
          <w:lang w:val="en-CA"/>
        </w:rPr>
        <w:t xml:space="preserve"> (HR </w:t>
      </w:r>
      <w:r w:rsidR="00672AA4">
        <w:rPr>
          <w:rFonts w:ascii="Times New Roman" w:hAnsi="Times New Roman"/>
          <w:bCs/>
          <w:color w:val="000000"/>
          <w:lang w:val="en-US"/>
        </w:rPr>
        <w:t>0.86; 95% CI:</w:t>
      </w:r>
      <w:r w:rsidR="00672AA4" w:rsidRPr="00EC2E63">
        <w:rPr>
          <w:rFonts w:ascii="Times New Roman" w:hAnsi="Times New Roman"/>
          <w:bCs/>
          <w:color w:val="000000"/>
          <w:lang w:val="en-US"/>
        </w:rPr>
        <w:t xml:space="preserve"> </w:t>
      </w:r>
      <w:r w:rsidR="00672AA4">
        <w:rPr>
          <w:rFonts w:ascii="Times New Roman" w:hAnsi="Times New Roman"/>
          <w:bCs/>
          <w:color w:val="000000"/>
          <w:lang w:val="en-US"/>
        </w:rPr>
        <w:t>0.78-0.94; p=0.001)</w:t>
      </w:r>
      <w:r w:rsidR="00E7480A" w:rsidRPr="00CA3875">
        <w:rPr>
          <w:rFonts w:ascii="Times New Roman" w:hAnsi="Times New Roman"/>
          <w:bCs/>
          <w:lang w:val="en-CA"/>
        </w:rPr>
        <w:t xml:space="preserve">. </w:t>
      </w:r>
      <w:r w:rsidR="007C0075" w:rsidRPr="00CA3875">
        <w:rPr>
          <w:rFonts w:ascii="Times New Roman" w:hAnsi="Times New Roman"/>
          <w:bCs/>
          <w:lang w:val="en-CA"/>
        </w:rPr>
        <w:t xml:space="preserve">The mode of failure of the surgical valve as well as the other pre-procedural and procedural factors were not associated with mortality. </w:t>
      </w:r>
      <w:r w:rsidR="00C46071">
        <w:rPr>
          <w:rFonts w:ascii="Times New Roman" w:hAnsi="Times New Roman"/>
          <w:bCs/>
          <w:lang w:val="en-CA"/>
        </w:rPr>
        <w:t xml:space="preserve">Stentless surgical valves were not associated to mortality in univariate analysis (HR 1.39; 95% CI: 0.79-2.42; p=0.25), but we decided to force it in the model due to its potential importance in terms of likelihood of complications. </w:t>
      </w:r>
      <w:r w:rsidR="00C46071">
        <w:rPr>
          <w:rFonts w:ascii="Times New Roman" w:hAnsi="Times New Roman"/>
          <w:lang w:val="en-CA"/>
        </w:rPr>
        <w:t>Therefore, a</w:t>
      </w:r>
      <w:r w:rsidR="00B3351C" w:rsidRPr="00CA3875">
        <w:rPr>
          <w:rFonts w:ascii="Times New Roman" w:hAnsi="Times New Roman"/>
          <w:lang w:val="en-CA"/>
        </w:rPr>
        <w:t>fter adjusting for label valve size, STS score, renal failure, diabetes,</w:t>
      </w:r>
      <w:r w:rsidR="007D0D55">
        <w:rPr>
          <w:rFonts w:ascii="Times New Roman" w:hAnsi="Times New Roman"/>
          <w:lang w:val="en-CA"/>
        </w:rPr>
        <w:t xml:space="preserve"> and stentless surgical valves,</w:t>
      </w:r>
      <w:r w:rsidR="00B3351C" w:rsidRPr="00CA3875">
        <w:rPr>
          <w:rFonts w:ascii="Times New Roman" w:hAnsi="Times New Roman"/>
          <w:lang w:val="en-CA"/>
        </w:rPr>
        <w:t xml:space="preserve"> presence of pre-existent severe PPM was </w:t>
      </w:r>
      <w:r w:rsidR="00443018" w:rsidRPr="00CA3875">
        <w:rPr>
          <w:rFonts w:ascii="Times New Roman" w:hAnsi="Times New Roman"/>
          <w:lang w:val="en-CA"/>
        </w:rPr>
        <w:t xml:space="preserve">independently </w:t>
      </w:r>
      <w:r w:rsidR="00B3351C" w:rsidRPr="00CA3875">
        <w:rPr>
          <w:rFonts w:ascii="Times New Roman" w:hAnsi="Times New Roman"/>
          <w:lang w:val="en-CA"/>
        </w:rPr>
        <w:t>associated with incre</w:t>
      </w:r>
      <w:r w:rsidR="00485C00">
        <w:rPr>
          <w:rFonts w:ascii="Times New Roman" w:hAnsi="Times New Roman"/>
          <w:lang w:val="en-CA"/>
        </w:rPr>
        <w:t>ased risk of 1-year mortality (H</w:t>
      </w:r>
      <w:r w:rsidR="006F25B7">
        <w:rPr>
          <w:rFonts w:ascii="Times New Roman" w:hAnsi="Times New Roman"/>
          <w:lang w:val="en-CA"/>
        </w:rPr>
        <w:t>R</w:t>
      </w:r>
      <w:r w:rsidR="00B3351C" w:rsidRPr="00CA3875">
        <w:rPr>
          <w:rFonts w:ascii="Times New Roman" w:hAnsi="Times New Roman"/>
          <w:lang w:val="en-CA"/>
        </w:rPr>
        <w:t xml:space="preserve"> 1.</w:t>
      </w:r>
      <w:r w:rsidR="00C46071">
        <w:rPr>
          <w:rFonts w:ascii="Times New Roman" w:hAnsi="Times New Roman"/>
          <w:lang w:val="en-CA"/>
        </w:rPr>
        <w:t>88</w:t>
      </w:r>
      <w:r w:rsidR="00B3351C" w:rsidRPr="00CA3875">
        <w:rPr>
          <w:rFonts w:ascii="Times New Roman" w:hAnsi="Times New Roman"/>
          <w:lang w:val="en-CA"/>
        </w:rPr>
        <w:t>; 95% CI: 1.0</w:t>
      </w:r>
      <w:r w:rsidR="00C46071">
        <w:rPr>
          <w:rFonts w:ascii="Times New Roman" w:hAnsi="Times New Roman"/>
          <w:lang w:val="en-CA"/>
        </w:rPr>
        <w:t>7</w:t>
      </w:r>
      <w:r w:rsidR="00B3351C" w:rsidRPr="00CA3875">
        <w:rPr>
          <w:rFonts w:ascii="Times New Roman" w:hAnsi="Times New Roman"/>
          <w:lang w:val="en-CA"/>
        </w:rPr>
        <w:t>-3.</w:t>
      </w:r>
      <w:r w:rsidR="00C46071">
        <w:rPr>
          <w:rFonts w:ascii="Times New Roman" w:hAnsi="Times New Roman"/>
          <w:lang w:val="en-CA"/>
        </w:rPr>
        <w:t>28</w:t>
      </w:r>
      <w:r w:rsidR="00B3351C" w:rsidRPr="00CA3875">
        <w:rPr>
          <w:rFonts w:ascii="Times New Roman" w:hAnsi="Times New Roman"/>
          <w:lang w:val="en-CA"/>
        </w:rPr>
        <w:t>; p=0.0</w:t>
      </w:r>
      <w:r w:rsidR="00C46071">
        <w:rPr>
          <w:rFonts w:ascii="Times New Roman" w:hAnsi="Times New Roman"/>
          <w:lang w:val="en-CA"/>
        </w:rPr>
        <w:t>3</w:t>
      </w:r>
      <w:r w:rsidR="00B3351C" w:rsidRPr="00CA3875">
        <w:rPr>
          <w:rFonts w:ascii="Times New Roman" w:hAnsi="Times New Roman"/>
          <w:lang w:val="en-CA"/>
        </w:rPr>
        <w:t>)</w:t>
      </w:r>
      <w:r w:rsidR="00F7715D" w:rsidRPr="00CA3875">
        <w:rPr>
          <w:rFonts w:ascii="Times New Roman" w:hAnsi="Times New Roman"/>
          <w:b/>
          <w:bCs/>
          <w:i/>
          <w:lang w:val="en-CA"/>
        </w:rPr>
        <w:t xml:space="preserve"> (</w:t>
      </w:r>
      <w:r w:rsidR="00115977">
        <w:rPr>
          <w:rFonts w:ascii="Times New Roman" w:hAnsi="Times New Roman"/>
          <w:b/>
          <w:bCs/>
          <w:i/>
          <w:lang w:val="en-CA"/>
        </w:rPr>
        <w:t>Figure 4</w:t>
      </w:r>
      <w:r w:rsidR="00F7715D" w:rsidRPr="00CA3875">
        <w:rPr>
          <w:rFonts w:ascii="Times New Roman" w:hAnsi="Times New Roman"/>
          <w:b/>
          <w:bCs/>
          <w:i/>
          <w:lang w:val="en-CA"/>
        </w:rPr>
        <w:t>)</w:t>
      </w:r>
      <w:r w:rsidR="00B3351C" w:rsidRPr="00CA3875">
        <w:rPr>
          <w:rFonts w:ascii="Times New Roman" w:hAnsi="Times New Roman"/>
          <w:lang w:val="en-CA"/>
        </w:rPr>
        <w:t xml:space="preserve">. </w:t>
      </w:r>
    </w:p>
    <w:p w14:paraId="12E80796" w14:textId="77777777" w:rsidR="00D87FA3" w:rsidRDefault="00D87FA3" w:rsidP="00F86913">
      <w:pPr>
        <w:spacing w:line="480" w:lineRule="auto"/>
        <w:outlineLvl w:val="0"/>
        <w:rPr>
          <w:rFonts w:ascii="Times New Roman" w:hAnsi="Times New Roman"/>
          <w:b/>
          <w:sz w:val="28"/>
          <w:lang w:val="en-US"/>
        </w:rPr>
      </w:pPr>
    </w:p>
    <w:p w14:paraId="051520B9" w14:textId="55DF5FBD" w:rsidR="00E9267B" w:rsidRPr="009635B0" w:rsidRDefault="00E9267B" w:rsidP="00F86913">
      <w:pPr>
        <w:spacing w:line="480" w:lineRule="auto"/>
        <w:outlineLvl w:val="0"/>
        <w:rPr>
          <w:rFonts w:ascii="Times New Roman" w:hAnsi="Times New Roman"/>
          <w:b/>
          <w:sz w:val="28"/>
          <w:lang w:val="en-US"/>
        </w:rPr>
      </w:pPr>
      <w:r w:rsidRPr="009635B0">
        <w:rPr>
          <w:rFonts w:ascii="Times New Roman" w:hAnsi="Times New Roman"/>
          <w:b/>
          <w:sz w:val="28"/>
          <w:lang w:val="en-US"/>
        </w:rPr>
        <w:t>D</w:t>
      </w:r>
      <w:r w:rsidR="00B3351C" w:rsidRPr="009635B0">
        <w:rPr>
          <w:rFonts w:ascii="Times New Roman" w:hAnsi="Times New Roman"/>
          <w:b/>
          <w:sz w:val="28"/>
          <w:lang w:val="en-US"/>
        </w:rPr>
        <w:t>ISCUSSION</w:t>
      </w:r>
    </w:p>
    <w:p w14:paraId="4D3B1D00" w14:textId="62B8D716" w:rsidR="00B3351C" w:rsidRPr="00CA3875" w:rsidRDefault="00B211D7" w:rsidP="00F86913">
      <w:pPr>
        <w:spacing w:line="480" w:lineRule="auto"/>
        <w:rPr>
          <w:rFonts w:ascii="Times New Roman" w:hAnsi="Times New Roman"/>
          <w:lang w:val="en-US"/>
        </w:rPr>
      </w:pPr>
      <w:r w:rsidRPr="00CA3875">
        <w:rPr>
          <w:rFonts w:ascii="Times New Roman" w:hAnsi="Times New Roman"/>
          <w:lang w:val="en-US"/>
        </w:rPr>
        <w:t>The</w:t>
      </w:r>
      <w:r w:rsidR="00C451F3" w:rsidRPr="00CA3875">
        <w:rPr>
          <w:rFonts w:ascii="Times New Roman" w:hAnsi="Times New Roman"/>
          <w:lang w:val="en-US"/>
        </w:rPr>
        <w:t xml:space="preserve"> main finding</w:t>
      </w:r>
      <w:r w:rsidR="00B77763">
        <w:rPr>
          <w:rFonts w:ascii="Times New Roman" w:hAnsi="Times New Roman"/>
          <w:lang w:val="en-US"/>
        </w:rPr>
        <w:t>s</w:t>
      </w:r>
      <w:r w:rsidR="00C451F3" w:rsidRPr="00CA3875">
        <w:rPr>
          <w:rFonts w:ascii="Times New Roman" w:hAnsi="Times New Roman"/>
          <w:lang w:val="en-US"/>
        </w:rPr>
        <w:t xml:space="preserve"> of the study is that p</w:t>
      </w:r>
      <w:r w:rsidR="00DE0EDA" w:rsidRPr="00CA3875">
        <w:rPr>
          <w:rFonts w:ascii="Times New Roman" w:hAnsi="Times New Roman"/>
          <w:lang w:val="en-US"/>
        </w:rPr>
        <w:t xml:space="preserve">re-existent severe PPM of the surgical bioprosthesis </w:t>
      </w:r>
      <w:r w:rsidR="000732D0">
        <w:rPr>
          <w:rFonts w:ascii="Times New Roman" w:hAnsi="Times New Roman"/>
          <w:lang w:val="en-US"/>
        </w:rPr>
        <w:t>is</w:t>
      </w:r>
      <w:r w:rsidR="00DE0EDA" w:rsidRPr="00CA3875">
        <w:rPr>
          <w:rFonts w:ascii="Times New Roman" w:hAnsi="Times New Roman"/>
          <w:lang w:val="en-US"/>
        </w:rPr>
        <w:t xml:space="preserve"> associated </w:t>
      </w:r>
      <w:r w:rsidR="007C0075" w:rsidRPr="00CA3875">
        <w:rPr>
          <w:rFonts w:ascii="Times New Roman" w:hAnsi="Times New Roman"/>
          <w:lang w:val="en-US"/>
        </w:rPr>
        <w:t xml:space="preserve">with </w:t>
      </w:r>
      <w:r w:rsidR="00DE0EDA" w:rsidRPr="00CA3875">
        <w:rPr>
          <w:rFonts w:ascii="Times New Roman" w:hAnsi="Times New Roman"/>
          <w:lang w:val="en-US"/>
        </w:rPr>
        <w:t xml:space="preserve">higher </w:t>
      </w:r>
      <w:r w:rsidR="001112A2" w:rsidRPr="00CA3875">
        <w:rPr>
          <w:rFonts w:ascii="Times New Roman" w:hAnsi="Times New Roman"/>
          <w:lang w:val="en-US"/>
        </w:rPr>
        <w:t>prevalence</w:t>
      </w:r>
      <w:r w:rsidR="00DE0EDA" w:rsidRPr="00CA3875">
        <w:rPr>
          <w:rFonts w:ascii="Times New Roman" w:hAnsi="Times New Roman"/>
          <w:lang w:val="en-US"/>
        </w:rPr>
        <w:t xml:space="preserve"> of elevated transaortic gradient </w:t>
      </w:r>
      <w:r w:rsidR="001112A2" w:rsidRPr="00CA3875">
        <w:rPr>
          <w:rFonts w:ascii="Times New Roman" w:hAnsi="Times New Roman"/>
          <w:lang w:val="en-US"/>
        </w:rPr>
        <w:t xml:space="preserve">after the ViV procedure </w:t>
      </w:r>
      <w:r w:rsidR="00DE0EDA" w:rsidRPr="00CA3875">
        <w:rPr>
          <w:rFonts w:ascii="Times New Roman" w:hAnsi="Times New Roman"/>
          <w:lang w:val="en-US"/>
        </w:rPr>
        <w:t xml:space="preserve">and with </w:t>
      </w:r>
      <w:r w:rsidR="00B33756">
        <w:rPr>
          <w:rFonts w:ascii="Times New Roman" w:hAnsi="Times New Roman"/>
          <w:lang w:val="en-US"/>
        </w:rPr>
        <w:t xml:space="preserve">2.4 and </w:t>
      </w:r>
      <w:r w:rsidR="007D0D55">
        <w:rPr>
          <w:rFonts w:ascii="Times New Roman" w:hAnsi="Times New Roman"/>
          <w:lang w:val="en-US"/>
        </w:rPr>
        <w:t>1.8</w:t>
      </w:r>
      <w:r w:rsidR="00DE0EDA" w:rsidRPr="00CA3875">
        <w:rPr>
          <w:rFonts w:ascii="Times New Roman" w:hAnsi="Times New Roman"/>
          <w:lang w:val="en-US"/>
        </w:rPr>
        <w:t>-fold higher rates of 30-day and 1-year mortality</w:t>
      </w:r>
      <w:r w:rsidR="00B33756">
        <w:rPr>
          <w:rFonts w:ascii="Times New Roman" w:hAnsi="Times New Roman"/>
          <w:lang w:val="en-US"/>
        </w:rPr>
        <w:t>, respectively</w:t>
      </w:r>
      <w:r w:rsidR="00DE0EDA" w:rsidRPr="00CA3875">
        <w:rPr>
          <w:rFonts w:ascii="Times New Roman" w:hAnsi="Times New Roman"/>
          <w:lang w:val="en-US"/>
        </w:rPr>
        <w:t>.</w:t>
      </w:r>
      <w:r w:rsidR="00C451F3" w:rsidRPr="00CA3875">
        <w:rPr>
          <w:rFonts w:ascii="Times New Roman" w:hAnsi="Times New Roman"/>
          <w:lang w:val="en-US"/>
        </w:rPr>
        <w:t xml:space="preserve"> This is the first study to report an independent association between pre-existent PPM and mortality after </w:t>
      </w:r>
      <w:r w:rsidR="002A2701" w:rsidRPr="00CA3875">
        <w:rPr>
          <w:rFonts w:ascii="Times New Roman" w:hAnsi="Times New Roman"/>
          <w:lang w:val="en-US"/>
        </w:rPr>
        <w:t>ViV</w:t>
      </w:r>
      <w:r w:rsidR="00C451F3" w:rsidRPr="00CA3875">
        <w:rPr>
          <w:rFonts w:ascii="Times New Roman" w:hAnsi="Times New Roman"/>
          <w:lang w:val="en-US"/>
        </w:rPr>
        <w:t>.</w:t>
      </w:r>
      <w:r w:rsidR="00FE6822">
        <w:rPr>
          <w:rFonts w:ascii="Times New Roman" w:hAnsi="Times New Roman"/>
          <w:lang w:val="en-US"/>
        </w:rPr>
        <w:t xml:space="preserve"> </w:t>
      </w:r>
    </w:p>
    <w:p w14:paraId="5192AF3C" w14:textId="77777777" w:rsidR="00973BC9" w:rsidRPr="00CA3875" w:rsidRDefault="00973BC9" w:rsidP="00F86913">
      <w:pPr>
        <w:autoSpaceDE w:val="0"/>
        <w:autoSpaceDN w:val="0"/>
        <w:adjustRightInd w:val="0"/>
        <w:spacing w:line="480" w:lineRule="auto"/>
        <w:rPr>
          <w:rFonts w:ascii="Times New Roman" w:hAnsi="Times New Roman"/>
          <w:lang w:val="en-CA"/>
        </w:rPr>
      </w:pPr>
    </w:p>
    <w:p w14:paraId="00AA7656" w14:textId="52A7DF9A" w:rsidR="001926C8" w:rsidRPr="00CA3875" w:rsidRDefault="00F3754F" w:rsidP="00495776">
      <w:pPr>
        <w:autoSpaceDE w:val="0"/>
        <w:autoSpaceDN w:val="0"/>
        <w:adjustRightInd w:val="0"/>
        <w:spacing w:line="480" w:lineRule="auto"/>
        <w:rPr>
          <w:rFonts w:ascii="Times New Roman" w:hAnsi="Times New Roman"/>
          <w:lang w:val="en-CA"/>
        </w:rPr>
      </w:pPr>
      <w:r>
        <w:rPr>
          <w:rFonts w:ascii="Times New Roman" w:hAnsi="Times New Roman"/>
          <w:lang w:val="en-US"/>
        </w:rPr>
        <w:t>Most</w:t>
      </w:r>
      <w:r w:rsidR="0019557B" w:rsidRPr="00CA3875">
        <w:rPr>
          <w:rFonts w:ascii="Times New Roman" w:hAnsi="Times New Roman"/>
          <w:lang w:val="en-US"/>
        </w:rPr>
        <w:t xml:space="preserve"> previous studies of ViV</w:t>
      </w:r>
      <w:r w:rsidR="00875ECF">
        <w:rPr>
          <w:rFonts w:ascii="Times New Roman" w:hAnsi="Times New Roman"/>
          <w:lang w:val="en-US"/>
        </w:rPr>
        <w:fldChar w:fldCharType="begin" w:fldLock="1"/>
      </w:r>
      <w:r w:rsidR="00E05D9C">
        <w:rPr>
          <w:rFonts w:ascii="Times New Roman" w:hAnsi="Times New Roman"/>
          <w:lang w:val="en-US"/>
        </w:rPr>
        <w:instrText>ADDIN CSL_CITATION { "citationItems" : [ { "id" : "ITEM-1", "itemData" : { "DOI" : "10.1161/CIRCULATIONAHA.112.104505", "ISSN" : "1524-4539", "PMID" : "23052028", "abstract" : "BACKGROUND Transcatheter aortic valve-in-valve implantation is an emerging therapeutic alternative for patients with a failed surgical bioprosthesis and may obviate the need for reoperation. We evaluated the clinical results of this technique using a large, worldwide registry. METHODS AND RESULTS The Global Valve-in-Valve Registry included 202 patients with degenerated bioprosthetic valves (aged 77.7\u00b110.4 years; 52.5% men) from 38 cardiac centers. Bioprosthesis mode of failure was stenosis (n=85; 42%), regurgitation (n=68; 34%), or combined stenosis and regurgitation (n=49; 24%). Implanted devices included CoreValve (n=124) and Edwards SAPIEN (n=78). Procedural success was achieved in 93.1% of cases. Adverse procedural outcomes included initial device malposition in 15.3% of cases and ostial coronary obstruction in 3.5%. After the procedure, valve maximum/mean gradients were 28.4\u00b114.1/15.9\u00b18.6 mm Hg, and 95% of patients had \u2264+1 degree of aortic regurgitation. At 30-day follow-up, all-cause mortality was 8.4%, and 84.1% of patients were at New York Heart Association functional class I/II. One-year follow-up was obtained in 87 patients, with 85.8% survival of treated patients. CONCLUSIONS The valve-in-valve procedure is clinically effective in the vast majority of patients with degenerated bioprosthetic valves. Safety and efficacy concerns include device malposition, ostial coronary obstruction, and high gradients after the procedure.", "author" : [ { "dropping-particle" : "", "family" : "Dvir", "given" : "Danny", "non-dropping-particle" : "", "parse-names" : false, "suffix" : "" }, { "dropping-particle" : "", "family" : "Webb", "given" : "John", "non-dropping-particle" : "", "parse-names" : false, "suffix" : "" }, { "dropping-particle" : "", "family" : "Brecker", "given" : "Stephen", "non-dropping-particle" : "", "parse-names" : false, "suffix" : "" }, { "dropping-particle" : "", "family" : "Bleiziffer", "given" : "Sabine", "non-dropping-particle" : "", "parse-names" : false, "suffix" : "" }, { "dropping-particle" : "", "family" : "Hildick-Smith", "given" : "David", "non-dropping-particle" : "", "parse-names" : false, "suffix" : "" }, { "dropping-particle" : "", "family" : "Colombo", "given" : "Antonio", "non-dropping-particle" : "", "parse-names" : false, "suffix" : "" }, { "dropping-particle" : "", "family" : "Descoutures", "given" : "Fleur", "non-dropping-particle" : "", "parse-names" : false, "suffix" : "" }, { "dropping-particle" : "", "family" : "Hengstenberg", "given" : "Christian", "non-dropping-particle" : "", "parse-names" : false, "suffix" : "" }, { "dropping-particle" : "", "family" : "Moat", "given" : "Neil E", "non-dropping-particle" : "", "parse-names" : false, "suffix" : "" }, { "dropping-particle" : "", "family" : "Bekeredjian", "given" : "Raffi", "non-dropping-particle" : "", "parse-names" : false, "suffix" : "" }, { "dropping-particle" : "", "family" : "Napodano", "given" : "Massimo", "non-dropping-particle" : "", "parse-names" : false, "suffix" : "" }, { "dropping-particle" : "", "family" : "Testa", "given" : "Luca", "non-dropping-particle" : "", "parse-names" : false, "suffix" : "" }, { "dropping-particle" : "", "family" : "Lefevre", "given" : "Thierry", "non-dropping-particle" : "", "parse-names" : false, "suffix" : "" }, { "dropping-particle" : "", "family" : "Guetta", "given" : "Victor", "non-dropping-particle" : "", "parse-names" : false, "suffix" : "" }, { "dropping-particle" : "", "family" : "Nissen", "given" : "Henrik", "non-dropping-particle" : "", "parse-names" : false, "suffix" : "" }, { "dropping-particle" : "", "family" : "Hern\u00e1ndez", "given" : "Jos\u00e9-Mar\u00eda", "non-dropping-particle" : "", "parse-names" : false, "suffix" : "" }, { "dropping-particle" : "", "family" : "Roy", "given" : "David", "non-dropping-particle" : "", "parse-names" : false, "suffix" : "" }, { "dropping-particle" : "", "family" : "Teles", "given" : "Rui C", "non-dropping-particle" : "", "parse-names" : false, "suffix" : "" }, { "dropping-particle" : "", "family" : "Segev", "given" : "Amit", "non-dropping-particle" : "", "parse-names" : false, "suffix" : "" }, { "dropping-particle" : "", "family" : "Dumonteil", "given" : "Nicolas", "non-dropping-particle" : "", "parse-names" : false, "suffix" : "" }, { "dropping-particle" : "", "family" : "Fiorina", "given" : "Claudia", "non-dropping-particle" : "", "parse-names" : false, "suffix" : "" }, { "dropping-particle" : "", "family" : "Gotzmann", "given" : "Michael", "non-dropping-particle" : "", "parse-names" : false, "suffix" : "" }, { "dropping-particle" : "", "family" : "Tchetche", "given" : "Didier", "non-dropping-particle" : "", "parse-names" : false, "suffix" : "" }, { "dropping-particle" : "", "family" : "Abdel-Wahab", "given" : "Mohamed", "non-dropping-particle" : "", "parse-names" : false, "suffix" : "" }, { "dropping-particle" : "", "family" : "Marco", "given" : "Federico", "non-dropping-particle" : "De", "parse-names" : false, "suffix" : "" }, { "dropping-particle" : "", "family" : "Baumbach", "given" : "Andreas", "non-dropping-particle" : "", "parse-names" : false, "suffix" : "" }, { "dropping-particle" : "", "family" : "Laborde", "given" : "Jean-Claude", "non-dropping-particle" : "", "parse-names" : false, "suffix" : "" }, { "dropping-particle" : "", "family" : "Kornowski", "given" : "Ran", "non-dropping-particle" : "", "parse-names" : false, "suffix" : "" } ], "container-title" : "Circulation", "id" : "ITEM-1", "issue" : "19", "issued" : { "date-parts" : [ [ "2012", "11", "6" ] ] }, "page" : "2335-44", "title" : "Transcatheter aortic valve replacement for degenerative bioprosthetic surgical valves: results from the global valve-in-valve registry.", "type" : "article-journal", "volume" : "126" }, "uris" : [ "http://www.mendeley.com/documents/?uuid=4458f73c-6f51-3bdb-aaaa-c38160f724f5" ] }, { "id" : "ITEM-2", "itemData" : { "DOI" : "10.1001/jama.2014.7246", "ISSN" : "1538-3598", "PMID" : "25005653", "abstract" : "IMPORTANCE: Owing to a considerable shift toward bioprosthesis implantation rather than mechanical valves, it is expected that patients will increasingly present with degenerated bioprostheses in the next few years. Transcatheter aortic valve-in-valve implantation is a less invasive approach for patients with structural valve deterioration; however, a comprehensive evaluation of survival after the procedure has not yet been performed.\n\nOBJECTIVE: To determine the survival of patients after transcatheter valve-in-valve implantation inside failed surgical bioprosthetic valves.\n\nDESIGN, SETTING, AND PARTICIPANTS: Correlates for survival were evaluated using a multinational valve-in-valve registry that included 459 patients with degenerated bioprosthetic valves undergoing valve-in-valve implantation between 2007 and May 2013 in 55 centers (mean age, 77.6 [SD, 9.8] years; 56% men; median Society of Thoracic Surgeons mortality prediction score, 9.8% [interquartile range, 7.7%-16%]). Surgical valves were classified as small (\u226421 mm; 29.7%), intermediate (&gt;21 and &lt;25 mm; 39.3%), and large (\u226525 mm; 31%). Implanted devices included both balloon- and self-expandable valves.\n\nMAIN OUTCOMES AND MEASURES: Survival, stroke, and New York Heart Association functional class.\n\nRESULTS: Modes of bioprosthesis failure were stenosis (n\u2009=\u2009181 [39.4%]), regurgitation (n\u2009=\u2009139 [30.3%]), and combined (n\u2009=\u2009139 [30.3%]). The stenosis group had a higher percentage of small valves (37% vs 20.9% and 26.6% in the regurgitation and combined groups, respectively; P\u2009=\u2009.005). Within 1 month following valve-in-valve implantation, 35 (7.6%) patients died, 8 (1.7%) had major stroke, and 313 (92.6%) of surviving patients had good functional status (New York Heart Association class I/II). The overall 1-year Kaplan-Meier survival rate was 83.2% (95% CI, 80.8%-84.7%; 62 death events; 228 survivors). Patients in the stenosis group had worse 1-year survival (76.6%; 95% CI, 68.9%-83.1%; 34 deaths; 86 survivors) in comparison with the regurgitation group (91.2%; 95% CI, 85.7%-96.7%; 10 deaths; 76 survivors) and the combined group (83.9%; 95% CI, 76.8%-91%; 18 deaths; 66 survivors) (P\u2009=\u2009.01). Similarly, patients with small valves had worse 1-year survival (74.8% [95% CI, 66.2%-83.4%]; 27 deaths; 57 survivors) vs with intermediate-sized valves (81.8%; 95% CI, 75.3%-88.3%; 26 deaths; 92 survivors) and with large valves (93.3%; 95% CI, 85.7%-96.7%; 7 deaths; 73 survivors) (P\u2009=\u2009.001). Factors associated \u2026", "author" : [ { "dropping-particle" : "", "family" : "Dvir", "given" : "Danny", "non-dropping-particle" : "", "parse-names" : false, "suffix" : "" }, { "dropping-particle" : "", "family" : "Webb", "given" : "John G", "non-dropping-particle" : "", "parse-names" : false, "suffix" : "" }, { "dropping-particle" : "", "family" : "Bleiziffer", "given" : "Sabine", "non-dropping-particle" : "", "parse-names" : false, "suffix" : "" }, { "dropping-particle" : "", "family" : "Pasic", "given" : "Miralem", "non-dropping-particle" : "", "parse-names" : false, "suffix" : "" }, { "dropping-particle" : "", "family" : "Waksman", "given" : "Ron", "non-dropping-particle" : "", "parse-names" : false, "suffix" : "" }, { "dropping-particle" : "", "family" : "Kodali", "given" : "Susheel", "non-dropping-particle" : "", "parse-names" : false, "suffix" : "" }, { "dropping-particle" : "", "family" : "Barbanti", "given" : "Marco", "non-dropping-particle" : "", "parse-names" : false, "suffix" : "" }, { "dropping-particle" : "", "family" : "Latib", "given" : "Azeem", "non-dropping-particle" : "", "parse-names" : false, "suffix" : "" }, { "dropping-particle" : "", "family" : "Schaefer", "given" : "Ulrich", "non-dropping-particle" : "", "parse-names" : false, "suffix" : "" }, { "dropping-particle" : "", "family" : "Rod\u00e9s-Cabau", "given" : "Josep", "non-dropping-particle" : "", "parse-names" : false, "suffix" : "" }, { "dropping-particle" : "", "family" : "Treede", "given" : "Hendrik", "non-dropping-particle" : "", "parse-names" : false, "suffix" : "" }, { "dropping-particle" : "", "family" : "Piazza", "given" : "Nicolo", "non-dropping-particle" : "", "parse-names" : false, "suffix" : "" }, { "dropping-particle" : "", "family" : "Hildick-Smith", "given" : "David", "non-dropping-particle" : "", "parse-names" : false, "suffix" : "" }, { "dropping-particle" : "", "family" : "Himbert", "given" : "Dominique", "non-dropping-particle" : "", "parse-names" : false, "suffix" : "" }, { "dropping-particle" : "", "family" : "Walther", "given" : "Thomas", "non-dropping-particle" : "", "parse-names" : false, "suffix" : "" }, { "dropping-particle" : "", "family" : "Hengstenberg", "given" : "Christian", "non-dropping-particle" : "", "parse-names" : false, "suffix" : "" }, { "dropping-particle" : "", "family" : "Nissen", "given" : "Henrik", "non-dropping-particle" : "", "parse-names" : false, "suffix" : "" }, { "dropping-particle" : "", "family" : "Bekeredjian", "given" : "Raffi", "non-dropping-particle" : "", "parse-names" : false, "suffix" : "" }, { "dropping-particle" : "", "family" : "Presbitero", "given" : "Patrizia", "non-dropping-particle" : "", "parse-names" : false, "suffix" : "" }, { "dropping-particle" : "", "family" : "Ferrari", "given" : "Enrico", "non-dropping-particle" : "", "parse-names" : false, "suffix" : "" }, { "dropping-particle" : "", "family" : "Segev", "given" : "Amit", "non-dropping-particle" : "", "parse-names" : false, "suffix" : "" }, { "dropping-particle" : "", "family" : "Weger", "given" : "Arend", "non-dropping-particle" : "de", "parse-names" : false, "suffix" : "" }, { "dropping-particle" : "", "family" : "Windecker", "given" : "Stephan", "non-dropping-particle" : "", "parse-names" : false, "suffix" : "" }, { "dropping-particle" : "", "family" : "Moat", "given" : "Neil E", "non-dropping-particle" : "", "parse-names" : false, "suffix" : "" }, { "dropping-particle" : "", "family" : "Napodano", "given" : "Massimo", "non-dropping-particle" : "", "parse-names" : false, "suffix" : "" }, { "dropping-particle" : "", "family" : "Wilbring", "given" : "Manuel", "non-dropping-particle" : "", "parse-names" : false, "suffix" : "" }, { "dropping-particle" : "", "family" : "Cerillo", "given" : "Alfredo G", "non-dropping-particle" : "", "parse-names" : false, "suffix" : "" }, { "dropping-particle" : "", "family" : "Brecker", "given" : "Stephen", "non-dropping-particle" : "", "parse-names" : false, "suffix" : "" }, { "dropping-particle" : "", "family" : "Tchetche", "given" : "Didier", "non-dropping-particle" : "", "parse-names" : false, "suffix" : "" }, { "dropping-particle" : "", "family" : "Lef\u00e8vre", "given" : "Thierry", "non-dropping-particle" : "", "parse-names" : false, "suffix" : "" }, { "dropping-particle" : "", "family" : "Marco", "given" : "Federico", "non-dropping-particle" : "De", "parse-names" : false, "suffix" : "" }, { "dropping-particle" : "", "family" : "Fiorina", "given" : "Claudia", "non-dropping-particle" : "", "parse-names" : false, "suffix" : "" }, { "dropping-particle" : "", "family" : "Petronio", "given" : "Anna Sonia", "non-dropping-particle" : "", "parse-names" : false, "suffix" : "" }, { "dropping-particle" : "", "family" : "Teles", "given" : "Rui C", "non-dropping-particle" : "", "parse-names" : false, "suffix" : "" }, { "dropping-particle" : "", "family" : "Testa", "given" : "Luca", "non-dropping-particle" : "", "parse-names" : false, "suffix" : "" }, { "dropping-particle" : "", "family" : "Laborde", "given" : "Jean-Claude", "non-dropping-particle" : "", "parse-names" : false, "suffix" : "" }, { "dropping-particle" : "", "family" : "Leon", "given" : "Martin B", "non-dropping-particle" : "", "parse-names" : false, "suffix" : "" }, { "dropping-particle" : "", "family" : "Kornowski", "given" : "Ran", "non-dropping-particle" : "", "parse-names" : false, "suffix" : "" } ], "container-title" : "JAMA", "id" : "ITEM-2", "issue" : "2", "issued" : { "date-parts" : [ [ "2014", "7" ] ] }, "page" : "162-70", "title" : "Transcatheter aortic valve implantation in failed bioprosthetic surgical valves.", "type" : "article-journal", "volume" : "312" }, "uris" : [ "http://www.mendeley.com/documents/?uuid=ec6beffa-08e3-4ba9-9a2b-7b3e772d08bf" ] }, { "id" : "ITEM-3", "itemData" : { "DOI" : "10.1016/j.jacc.2017.02.057", "ISSN" : "1558-3597", "PMID" : "28473128", "abstract" : "BACKGROUND Early experience with transcatheter aortic valve replacement (TAVR) within failed bioprosthetic surgical aortic valves has shown that valve-in-valve (VIV) TAVR is a feasible therapeutic option with acceptable acute procedural results. OBJECTIVES The authors examined 30-day and 1-year outcomes in a large cohort of high-risk patients undergoing VIV TAVR. METHODS Patients with symptomatic degeneration of surgical aortic bioprostheses at high risk (\u226550% major morbidity or mortality) for reoperative surgery were prospectively enrolled in the multicenter PARTNER (Placement of Aortic Transcatheter Valves) 2 VIV trial and continued access registries. RESULTS Valve-in-valve procedures were performed in 365 patients (96 initial registry, 269 continued access patients). Mean age was 78.9 \u00b1 10.2 years, and mean Society of Thoracic Surgeons score was 9.1 \u00b1 4.7%. At 30 days, all-cause mortality was 2.7%, stroke was 2.7%, major vascular complication was 4.1%, conversion to surgery was 0.6%, coronary occlusion was 0.8%, and new pacemaker insertion was 1.9%. One-year all-cause mortality was 12.4%. Mortality fell from\u00a0the initial registry to the subsequent continued access registry, both at 30 days (8.2% vs. 0.7%, respectively; p\u00a0=\u00a00.0001) and at 1 year (19.7% vs. 9.8%, respectively; p\u00a0= 0.006). At 1 year, mean gradient was 17.6 mm\u00a0Hg, and effective orifice area was 1.16 cm(2), with greater than mild paravalvular regurgitation of 1.9%. Left ventricular ejection fraction increased (50.6% to 54.2%), and mass index decreased (135.7 to 117.6 g/m(2)), with reductions in both mitral (34.9% vs. 12.7%) and tricuspid (31.8% vs. 21.2%) moderate or severe regurgitation (all p\u00a0&lt; 0.0001). Kansas City Cardiomyopathy Questionnaire score increased (mean: 43.1 to 77.0) and 6-min walk test distance results increased (mean: 163.6 to 252.3 m; both p\u00a0&lt; 0.0001). CONCLUSIONS In high-risk patients, TAVR for bioprosthetic aortic valve failure is associated with relatively low mortality and complication rates, improved hemodynamics, and excellent functional and quality-of-life outcomes at\u00a01\u00a0year. (The PARTNER II Trial: Placement of AoRTic TraNscathetER Valves [PARTNER II]; NCT01314313).", "author" : [ { "dropping-particle" : "", "family" : "Webb", "given" : "John G", "non-dropping-particle" : "", "parse-names" : false, "suffix" : "" }, { "dropping-particle" : "", "family" : "Mack", "given" : "Michael J", "non-dropping-particle" : "", "parse-names" : false, "suffix" : "" }, { "dropping-particle" : "", "family" : "White", "given" : "Jonathon M", "non-dropping-particle" : "", "parse-names" : false, "suffix" : "" }, { "dropping-particle" : "", "family" : "Dvir", "given" : "Danny", "non-dropping-particle" : "", "parse-names" : false, "suffix" : "" }, { "dropping-particle" : "", "family" : "Blanke", "given" : "Philipp", "non-dropping-particle" : "", "parse-names" : false, "suffix" : "" }, { "dropping-particle" : "", "family" : "Herrmann", "given" : "Howard C", "non-dropping-particle" : "", "parse-names" : false, "suffix" : "" }, { "dropping-particle" : "", "family" : "Leipsic", "given" : "Jonathon", "non-dropping-particle" : "", "parse-names" : false, "suffix" : "" }, { "dropping-particle" : "", "family" : "Kodali", "given" : "Susheel K", "non-dropping-particle" : "", "parse-names" : false, "suffix" : "" }, { "dropping-particle" : "", "family" : "Makkar", "given" : "Raj", "non-dropping-particle" : "", "parse-names" : false, "suffix" : "" }, { "dropping-particle" : "", "family" : "Miller", "given" : "D Craig", "non-dropping-particle" : "", "parse-names" : false, "suffix" : "" }, { "dropping-particle" : "", "family" : "Pibarot", "given" : "Philippe", "non-dropping-particle" : "", "parse-names" : false, "suffix" : "" }, { "dropping-particle" : "", "family" : "Pichard", "given" : "Augusto", "non-dropping-particle" : "", "parse-names" : false, "suffix" : "" }, { "dropping-particle" : "", "family" : "Satler", "given" : "Lowell F", "non-dropping-particle" : "", "parse-names" : false, "suffix" : "" }, { "dropping-particle" : "", "family" : "Svensson", "given" : "Lars", "non-dropping-particle" : "", "parse-names" : false, "suffix" : "" }, { "dropping-particle" : "", "family" : "Alu", "given" : "Maria C", "non-dropping-particle" : "", "parse-names" : false, "suffix" : "" }, { "dropping-particle" : "", "family" : "Suri", "given" : "Rakesh M", "non-dropping-particle" : "", "parse-names" : false, "suffix" : "" }, { "dropping-particle" : "", "family" : "Leon", "given" : "Martin B", "non-dropping-particle" : "", "parse-names" : false, "suffix" : "" } ], "container-title" : "Journal of the American College of Cardiology", "id" : "ITEM-3", "issue" : "18", "issued" : { "date-parts" : [ [ "2017", "5", "9" ] ] }, "page" : "2253-2262", "title" : "Transcatheter Aortic Valve Implantation Within Degenerated Aortic Surgical Bioprostheses: PARTNER 2 Valve-in-Valve Registry.", "type" : "article-journal", "volume" : "69" }, "uris" : [ "http://www.mendeley.com/documents/?uuid=f851053a-fbeb-3866-9ed5-af85b9d26f67" ] } ], "mendeley" : { "formattedCitation" : "(8, 9, 14)", "plainTextFormattedCitation" : "(8, 9, 14)", "previouslyFormattedCitation" : "&lt;sup&gt;8,9,14&lt;/sup&gt;" }, "properties" : { "noteIndex" : 0 }, "schema" : "https://github.com/citation-style-language/schema/raw/master/csl-citation.json" }</w:instrText>
      </w:r>
      <w:r w:rsidR="00875ECF">
        <w:rPr>
          <w:rFonts w:ascii="Times New Roman" w:hAnsi="Times New Roman"/>
          <w:lang w:val="en-US"/>
        </w:rPr>
        <w:fldChar w:fldCharType="separate"/>
      </w:r>
      <w:r w:rsidR="00E05D9C" w:rsidRPr="00E05D9C">
        <w:rPr>
          <w:rFonts w:ascii="Times New Roman" w:hAnsi="Times New Roman"/>
          <w:noProof/>
          <w:lang w:val="en-US"/>
        </w:rPr>
        <w:t>(8, 9, 14)</w:t>
      </w:r>
      <w:r w:rsidR="00875ECF">
        <w:rPr>
          <w:rFonts w:ascii="Times New Roman" w:hAnsi="Times New Roman"/>
          <w:lang w:val="en-US"/>
        </w:rPr>
        <w:fldChar w:fldCharType="end"/>
      </w:r>
      <w:r>
        <w:rPr>
          <w:rFonts w:ascii="Times New Roman" w:hAnsi="Times New Roman"/>
          <w:lang w:val="en-US"/>
        </w:rPr>
        <w:t xml:space="preserve"> did not assess </w:t>
      </w:r>
      <w:r w:rsidR="0019557B" w:rsidRPr="00CA3875">
        <w:rPr>
          <w:rFonts w:ascii="Times New Roman" w:hAnsi="Times New Roman"/>
          <w:lang w:val="en-US"/>
        </w:rPr>
        <w:t xml:space="preserve">the presence and </w:t>
      </w:r>
      <w:r>
        <w:rPr>
          <w:rFonts w:ascii="Times New Roman" w:hAnsi="Times New Roman"/>
          <w:lang w:val="en-US"/>
        </w:rPr>
        <w:t xml:space="preserve">impact on outcomes </w:t>
      </w:r>
      <w:r w:rsidR="0019557B" w:rsidRPr="00CA3875">
        <w:rPr>
          <w:rFonts w:ascii="Times New Roman" w:hAnsi="Times New Roman"/>
          <w:lang w:val="en-US"/>
        </w:rPr>
        <w:t xml:space="preserve">of pre-existent </w:t>
      </w:r>
      <w:r w:rsidR="0019557B" w:rsidRPr="00CB61D2">
        <w:rPr>
          <w:rFonts w:ascii="Times New Roman" w:hAnsi="Times New Roman"/>
          <w:lang w:val="en-US"/>
        </w:rPr>
        <w:t>PPM of the surgical bioprosthesis.</w:t>
      </w:r>
      <w:r w:rsidR="0004609C" w:rsidRPr="00CB61D2">
        <w:rPr>
          <w:rFonts w:ascii="Times New Roman" w:hAnsi="Times New Roman"/>
          <w:lang w:val="en-US"/>
        </w:rPr>
        <w:t xml:space="preserve"> </w:t>
      </w:r>
      <w:r w:rsidRPr="00CB61D2">
        <w:rPr>
          <w:rFonts w:ascii="Times New Roman" w:hAnsi="Times New Roman"/>
          <w:lang w:val="en-US"/>
        </w:rPr>
        <w:t xml:space="preserve">However, in the recent </w:t>
      </w:r>
      <w:r w:rsidRPr="00CB61D2">
        <w:rPr>
          <w:rFonts w:ascii="Times New Roman" w:hAnsi="Times New Roman"/>
          <w:lang w:val="en-CA"/>
        </w:rPr>
        <w:t>report from the CoreValve US Expanded Use Study</w:t>
      </w:r>
      <w:r w:rsidR="00D87FA3">
        <w:rPr>
          <w:rFonts w:ascii="Times New Roman" w:hAnsi="Times New Roman"/>
          <w:lang w:val="en-CA"/>
        </w:rPr>
        <w:t xml:space="preserve"> including 233 patients</w:t>
      </w:r>
      <w:r w:rsidR="00875ECF">
        <w:rPr>
          <w:rFonts w:ascii="Times New Roman" w:hAnsi="Times New Roman"/>
          <w:lang w:val="en-CA"/>
        </w:rPr>
        <w:fldChar w:fldCharType="begin" w:fldLock="1"/>
      </w:r>
      <w:r w:rsidR="00E05D9C">
        <w:rPr>
          <w:rFonts w:ascii="Times New Roman" w:hAnsi="Times New Roman"/>
          <w:lang w:val="en-CA"/>
        </w:rPr>
        <w:instrText>ADDIN CSL_CITATION { "citationItems" : [ { "id" : "ITEM-1", "itemData" : { "DOI" : "10.1016/j.jcin.2017.03.018", "ISSN" : "19368798", "author" : [ { "dropping-particle" : "", "family" : "Deeb", "given" : "G. Michael", "non-dropping-particle" : "", "parse-names" : false, "suffix" : "" }, { "dropping-particle" : "", "family" : "Chetcuti", "given" : "Stanley J.", "non-dropping-particle" : "", "parse-names" : false, "suffix" : "" }, { "dropping-particle" : "", "family" : "Reardon", "given" : "Michael J.", "non-dropping-particle" : "", "parse-names" : false, "suffix" : "" }, { "dropping-particle" : "", "family" : "Patel", "given" : "Himanshu J.", "non-dropping-particle" : "", "parse-names" : false, "suffix" : "" }, { "dropping-particle" : "", "family" : "Grossman", "given" : "P. Michael", "non-dropping-particle" : "", "parse-names" : false, "suffix" : "" }, { "dropping-particle" : "", "family" : "Schreiber", "given" : "Theodore", "non-dropping-particle" : "", "parse-names" : false, "suffix" : "" }, { "dropping-particle" : "", "family" : "Forrest", "given" : "John K.", "non-dropping-particle" : "", "parse-names" : false, "suffix" : "" }, { "dropping-particle" : "", "family" : "Bajwa", "given" : "Tanvir K.", "non-dropping-particle" : "", "parse-names" : false, "suffix" : "" }, { "dropping-particle" : "", "family" : "O\u2019Hair", "given" : "Daniel P.", "non-dropping-particle" : "", "parse-names" : false, "suffix" : "" }, { "dropping-particle" : "", "family" : "Petrossian", "given" : "George", "non-dropping-particle" : "", "parse-names" : false, "suffix" : "" }, { "dropping-particle" : "", "family" : "Robinson", "given" : "Newell", "non-dropping-particle" : "", "parse-names" : false, "suffix" : "" }, { "dropping-particle" : "", "family" : "Katz", "given" : "Stanley", "non-dropping-particle" : "", "parse-names" : false, "suffix" : "" }, { "dropping-particle" : "", "family" : "Hartman", "given" : "Alan", "non-dropping-particle" : "", "parse-names" : false, "suffix" : "" }, { "dropping-particle" : "", "family" : "Dauerman", "given" : "Harold L.", "non-dropping-particle" : "", "parse-names" : false, "suffix" : "" }, { "dropping-particle" : "", "family" : "Schmoker", "given" : "Joseph", "non-dropping-particle" : "", "parse-names" : false, "suffix" : "" }, { "dropping-particle" : "", "family" : "Khabbaz", "given" : "Kamal", "non-dropping-particle" : "", "parse-names" : false, "suffix" : "" }, { "dropping-particle" : "", "family" : "Watson", "given" : "Daniel R.", "non-dropping-particle" : "", "parse-names" : false, "suffix" : "" }, { "dropping-particle" : "", "family" : "Yakubov", "given" : "Steven J.", "non-dropping-particle" : "", "parse-names" : false, "suffix" : "" }, { "dropping-particle" : "", "family" : "Oh", "given" : "Jae K.", "non-dropping-particle" : "", "parse-names" : false, "suffix" : "" }, { "dropping-particle" : "", "family" : "Li", "given" : "Shuzhen", "non-dropping-particle" : "", "parse-names" : false, "suffix" : "" }, { "dropping-particle" : "", "family" : "Kleiman", "given" : "Neal S.", "non-dropping-particle" : "", "parse-names" : false, "suffix" : "" }, { "dropping-particle" : "", "family" : "Adams", "given" : "David H.", "non-dropping-particle" : "", "parse-names" : false, "suffix" : "" }, { "dropping-particle" : "", "family" : "Popma", "given" : "Jeffrey J.", "non-dropping-particle" : "", "parse-names" : false, "suffix" : "" } ], "container-title" : "JACC: Cardiovascular Interventions", "id" : "ITEM-1", "issue" : "10", "issued" : { "date-parts" : [ [ "2017", "5" ] ] }, "page" : "1034-1044", "title" : "1-Year Results in Patients Undergoing Transcatheter Aortic Valve Replacement With Failed Surgical Bioprostheses", "type" : "article-journal", "volume" : "10" }, "uris" : [ "http://www.mendeley.com/documents/?uuid=17943b05-7a0b-3f61-83e7-8e99df08b0ca" ] } ], "mendeley" : { "formattedCitation" : "(15)", "plainTextFormattedCitation" : "(15)", "previouslyFormattedCitation" : "&lt;sup&gt;15&lt;/sup&gt;" }, "properties" : { "noteIndex" : 0 }, "schema" : "https://github.com/citation-style-language/schema/raw/master/csl-citation.json" }</w:instrText>
      </w:r>
      <w:r w:rsidR="00875ECF">
        <w:rPr>
          <w:rFonts w:ascii="Times New Roman" w:hAnsi="Times New Roman"/>
          <w:lang w:val="en-CA"/>
        </w:rPr>
        <w:fldChar w:fldCharType="separate"/>
      </w:r>
      <w:r w:rsidR="00E05D9C" w:rsidRPr="00E05D9C">
        <w:rPr>
          <w:rFonts w:ascii="Times New Roman" w:hAnsi="Times New Roman"/>
          <w:noProof/>
          <w:lang w:val="en-CA"/>
        </w:rPr>
        <w:t>(15)</w:t>
      </w:r>
      <w:r w:rsidR="00875ECF">
        <w:rPr>
          <w:rFonts w:ascii="Times New Roman" w:hAnsi="Times New Roman"/>
          <w:lang w:val="en-CA"/>
        </w:rPr>
        <w:fldChar w:fldCharType="end"/>
      </w:r>
      <w:r w:rsidRPr="00CB61D2">
        <w:rPr>
          <w:rFonts w:ascii="Times New Roman" w:hAnsi="Times New Roman"/>
          <w:lang w:val="en-CA"/>
        </w:rPr>
        <w:t>, 13%</w:t>
      </w:r>
      <w:r w:rsidR="00D87FA3">
        <w:rPr>
          <w:rFonts w:ascii="Times New Roman" w:hAnsi="Times New Roman"/>
          <w:lang w:val="en-CA"/>
        </w:rPr>
        <w:t xml:space="preserve"> </w:t>
      </w:r>
      <w:r w:rsidRPr="00CB61D2">
        <w:rPr>
          <w:rFonts w:ascii="Times New Roman" w:hAnsi="Times New Roman"/>
          <w:lang w:val="en-CA"/>
        </w:rPr>
        <w:t>had pre-existent severe PPM</w:t>
      </w:r>
      <w:r w:rsidR="00D87FA3">
        <w:rPr>
          <w:rFonts w:ascii="Times New Roman" w:hAnsi="Times New Roman"/>
          <w:lang w:val="en-CA"/>
        </w:rPr>
        <w:t xml:space="preserve"> and of </w:t>
      </w:r>
      <w:r w:rsidR="00D87FA3">
        <w:rPr>
          <w:rFonts w:ascii="Times New Roman" w:hAnsi="Times New Roman"/>
          <w:lang w:val="en-CA"/>
        </w:rPr>
        <w:lastRenderedPageBreak/>
        <w:t>these patients, 77%</w:t>
      </w:r>
      <w:r w:rsidR="00CB61D2" w:rsidRPr="00CB61D2">
        <w:rPr>
          <w:rFonts w:ascii="Times New Roman" w:hAnsi="Times New Roman"/>
          <w:lang w:val="en-CA"/>
        </w:rPr>
        <w:t xml:space="preserve"> had high residual gradient</w:t>
      </w:r>
      <w:r w:rsidR="00BD2C67">
        <w:rPr>
          <w:rFonts w:ascii="Times New Roman" w:hAnsi="Times New Roman"/>
          <w:lang w:val="en-CA"/>
        </w:rPr>
        <w:t xml:space="preserve"> after Vi</w:t>
      </w:r>
      <w:r w:rsidR="00CB61D2" w:rsidRPr="00CB61D2">
        <w:rPr>
          <w:rFonts w:ascii="Times New Roman" w:hAnsi="Times New Roman"/>
          <w:lang w:val="en-CA"/>
        </w:rPr>
        <w:t xml:space="preserve">V. </w:t>
      </w:r>
      <w:r w:rsidR="00CB61D2">
        <w:rPr>
          <w:rFonts w:ascii="Times New Roman" w:hAnsi="Times New Roman"/>
          <w:lang w:val="en-CA"/>
        </w:rPr>
        <w:t>I</w:t>
      </w:r>
      <w:r w:rsidR="001112A2" w:rsidRPr="00CA3875">
        <w:rPr>
          <w:rFonts w:ascii="Times New Roman" w:hAnsi="Times New Roman"/>
          <w:lang w:val="en-CA"/>
        </w:rPr>
        <w:t>n th</w:t>
      </w:r>
      <w:r w:rsidR="0004609C" w:rsidRPr="00CA3875">
        <w:rPr>
          <w:rFonts w:ascii="Times New Roman" w:hAnsi="Times New Roman"/>
          <w:lang w:val="en-CA"/>
        </w:rPr>
        <w:t>e present study</w:t>
      </w:r>
      <w:r w:rsidR="001112A2" w:rsidRPr="00CA3875">
        <w:rPr>
          <w:rFonts w:ascii="Times New Roman" w:hAnsi="Times New Roman"/>
          <w:lang w:val="en-CA"/>
        </w:rPr>
        <w:t xml:space="preserve">, </w:t>
      </w:r>
      <w:r w:rsidR="002233A3" w:rsidRPr="00CA3875">
        <w:rPr>
          <w:rFonts w:ascii="Times New Roman" w:hAnsi="Times New Roman"/>
          <w:lang w:val="en-CA"/>
        </w:rPr>
        <w:t>7.6</w:t>
      </w:r>
      <w:r w:rsidR="00C451F3" w:rsidRPr="00CA3875">
        <w:rPr>
          <w:rFonts w:ascii="Times New Roman" w:hAnsi="Times New Roman"/>
          <w:lang w:val="en-CA"/>
        </w:rPr>
        <w:t xml:space="preserve">% </w:t>
      </w:r>
      <w:r w:rsidR="002233A3" w:rsidRPr="00CA3875">
        <w:rPr>
          <w:rFonts w:ascii="Times New Roman" w:hAnsi="Times New Roman"/>
          <w:lang w:val="en-CA"/>
        </w:rPr>
        <w:t xml:space="preserve">of </w:t>
      </w:r>
      <w:r w:rsidR="00261A77">
        <w:rPr>
          <w:rFonts w:ascii="Times New Roman" w:hAnsi="Times New Roman"/>
          <w:lang w:val="en-CA"/>
        </w:rPr>
        <w:t xml:space="preserve">the </w:t>
      </w:r>
      <w:r w:rsidR="002233A3" w:rsidRPr="00CA3875">
        <w:rPr>
          <w:rFonts w:ascii="Times New Roman" w:hAnsi="Times New Roman"/>
          <w:lang w:val="en-CA"/>
        </w:rPr>
        <w:t xml:space="preserve">patients </w:t>
      </w:r>
      <w:r w:rsidR="00C451F3" w:rsidRPr="00CA3875">
        <w:rPr>
          <w:rFonts w:ascii="Times New Roman" w:hAnsi="Times New Roman"/>
          <w:lang w:val="en-CA"/>
        </w:rPr>
        <w:t>had a pre-existent severe PPM,</w:t>
      </w:r>
      <w:r w:rsidR="002233A3" w:rsidRPr="00CA3875">
        <w:rPr>
          <w:rFonts w:ascii="Times New Roman" w:hAnsi="Times New Roman"/>
          <w:lang w:val="en-CA"/>
        </w:rPr>
        <w:t xml:space="preserve"> which </w:t>
      </w:r>
      <w:r w:rsidR="00CB61D2">
        <w:rPr>
          <w:rFonts w:ascii="Times New Roman" w:hAnsi="Times New Roman"/>
          <w:lang w:val="en-CA"/>
        </w:rPr>
        <w:t>appear</w:t>
      </w:r>
      <w:r w:rsidR="00261A77">
        <w:rPr>
          <w:rFonts w:ascii="Times New Roman" w:hAnsi="Times New Roman"/>
          <w:lang w:val="en-CA"/>
        </w:rPr>
        <w:t>s lower that the prevalence in t</w:t>
      </w:r>
      <w:r w:rsidR="00CB61D2">
        <w:rPr>
          <w:rFonts w:ascii="Times New Roman" w:hAnsi="Times New Roman"/>
          <w:lang w:val="en-CA"/>
        </w:rPr>
        <w:t>he CoreValve US registry</w:t>
      </w:r>
      <w:r w:rsidR="00875ECF">
        <w:rPr>
          <w:rFonts w:ascii="Times New Roman" w:hAnsi="Times New Roman"/>
          <w:lang w:val="en-CA"/>
        </w:rPr>
        <w:fldChar w:fldCharType="begin" w:fldLock="1"/>
      </w:r>
      <w:r w:rsidR="00E05D9C">
        <w:rPr>
          <w:rFonts w:ascii="Times New Roman" w:hAnsi="Times New Roman"/>
          <w:lang w:val="en-CA"/>
        </w:rPr>
        <w:instrText>ADDIN CSL_CITATION { "citationItems" : [ { "id" : "ITEM-1", "itemData" : { "DOI" : "10.1016/j.jcin.2017.03.018", "ISSN" : "19368798", "author" : [ { "dropping-particle" : "", "family" : "Deeb", "given" : "G. Michael", "non-dropping-particle" : "", "parse-names" : false, "suffix" : "" }, { "dropping-particle" : "", "family" : "Chetcuti", "given" : "Stanley J.", "non-dropping-particle" : "", "parse-names" : false, "suffix" : "" }, { "dropping-particle" : "", "family" : "Reardon", "given" : "Michael J.", "non-dropping-particle" : "", "parse-names" : false, "suffix" : "" }, { "dropping-particle" : "", "family" : "Patel", "given" : "Himanshu J.", "non-dropping-particle" : "", "parse-names" : false, "suffix" : "" }, { "dropping-particle" : "", "family" : "Grossman", "given" : "P. Michael", "non-dropping-particle" : "", "parse-names" : false, "suffix" : "" }, { "dropping-particle" : "", "family" : "Schreiber", "given" : "Theodore", "non-dropping-particle" : "", "parse-names" : false, "suffix" : "" }, { "dropping-particle" : "", "family" : "Forrest", "given" : "John K.", "non-dropping-particle" : "", "parse-names" : false, "suffix" : "" }, { "dropping-particle" : "", "family" : "Bajwa", "given" : "Tanvir K.", "non-dropping-particle" : "", "parse-names" : false, "suffix" : "" }, { "dropping-particle" : "", "family" : "O\u2019Hair", "given" : "Daniel P.", "non-dropping-particle" : "", "parse-names" : false, "suffix" : "" }, { "dropping-particle" : "", "family" : "Petrossian", "given" : "George", "non-dropping-particle" : "", "parse-names" : false, "suffix" : "" }, { "dropping-particle" : "", "family" : "Robinson", "given" : "Newell", "non-dropping-particle" : "", "parse-names" : false, "suffix" : "" }, { "dropping-particle" : "", "family" : "Katz", "given" : "Stanley", "non-dropping-particle" : "", "parse-names" : false, "suffix" : "" }, { "dropping-particle" : "", "family" : "Hartman", "given" : "Alan", "non-dropping-particle" : "", "parse-names" : false, "suffix" : "" }, { "dropping-particle" : "", "family" : "Dauerman", "given" : "Harold L.", "non-dropping-particle" : "", "parse-names" : false, "suffix" : "" }, { "dropping-particle" : "", "family" : "Schmoker", "given" : "Joseph", "non-dropping-particle" : "", "parse-names" : false, "suffix" : "" }, { "dropping-particle" : "", "family" : "Khabbaz", "given" : "Kamal", "non-dropping-particle" : "", "parse-names" : false, "suffix" : "" }, { "dropping-particle" : "", "family" : "Watson", "given" : "Daniel R.", "non-dropping-particle" : "", "parse-names" : false, "suffix" : "" }, { "dropping-particle" : "", "family" : "Yakubov", "given" : "Steven J.", "non-dropping-particle" : "", "parse-names" : false, "suffix" : "" }, { "dropping-particle" : "", "family" : "Oh", "given" : "Jae K.", "non-dropping-particle" : "", "parse-names" : false, "suffix" : "" }, { "dropping-particle" : "", "family" : "Li", "given" : "Shuzhen", "non-dropping-particle" : "", "parse-names" : false, "suffix" : "" }, { "dropping-particle" : "", "family" : "Kleiman", "given" : "Neal S.", "non-dropping-particle" : "", "parse-names" : false, "suffix" : "" }, { "dropping-particle" : "", "family" : "Adams", "given" : "David H.", "non-dropping-particle" : "", "parse-names" : false, "suffix" : "" }, { "dropping-particle" : "", "family" : "Popma", "given" : "Jeffrey J.", "non-dropping-particle" : "", "parse-names" : false, "suffix" : "" } ], "container-title" : "JACC: Cardiovascular Interventions", "id" : "ITEM-1", "issue" : "10", "issued" : { "date-parts" : [ [ "2017", "5" ] ] }, "page" : "1034-1044", "title" : "1-Year Results in Patients Undergoing Transcatheter Aortic Valve Replacement With Failed Surgical Bioprostheses", "type" : "article-journal", "volume" : "10" }, "uris" : [ "http://www.mendeley.com/documents/?uuid=17943b05-7a0b-3f61-83e7-8e99df08b0ca" ] } ], "mendeley" : { "formattedCitation" : "(15)", "plainTextFormattedCitation" : "(15)", "previouslyFormattedCitation" : "&lt;sup&gt;15&lt;/sup&gt;" }, "properties" : { "noteIndex" : 0 }, "schema" : "https://github.com/citation-style-language/schema/raw/master/csl-citation.json" }</w:instrText>
      </w:r>
      <w:r w:rsidR="00875ECF">
        <w:rPr>
          <w:rFonts w:ascii="Times New Roman" w:hAnsi="Times New Roman"/>
          <w:lang w:val="en-CA"/>
        </w:rPr>
        <w:fldChar w:fldCharType="separate"/>
      </w:r>
      <w:r w:rsidR="00E05D9C" w:rsidRPr="00E05D9C">
        <w:rPr>
          <w:rFonts w:ascii="Times New Roman" w:hAnsi="Times New Roman"/>
          <w:noProof/>
          <w:lang w:val="en-CA"/>
        </w:rPr>
        <w:t>(15)</w:t>
      </w:r>
      <w:r w:rsidR="00875ECF">
        <w:rPr>
          <w:rFonts w:ascii="Times New Roman" w:hAnsi="Times New Roman"/>
          <w:lang w:val="en-CA"/>
        </w:rPr>
        <w:fldChar w:fldCharType="end"/>
      </w:r>
      <w:r w:rsidR="00CB61D2">
        <w:rPr>
          <w:rFonts w:ascii="Times New Roman" w:hAnsi="Times New Roman"/>
          <w:lang w:val="en-CA"/>
        </w:rPr>
        <w:t>. This difference may, at least in part, be related to the fact that</w:t>
      </w:r>
      <w:r w:rsidR="00261A77">
        <w:rPr>
          <w:rFonts w:ascii="Times New Roman" w:hAnsi="Times New Roman"/>
          <w:lang w:val="en-CA"/>
        </w:rPr>
        <w:t xml:space="preserve">, </w:t>
      </w:r>
      <w:r w:rsidR="00261A77" w:rsidRPr="00CA3875">
        <w:rPr>
          <w:rFonts w:ascii="Times New Roman" w:hAnsi="Times New Roman"/>
          <w:lang w:val="en-CA"/>
        </w:rPr>
        <w:t>as recommended by VARC</w:t>
      </w:r>
      <w:r w:rsidR="00261A77">
        <w:rPr>
          <w:rFonts w:ascii="Times New Roman" w:hAnsi="Times New Roman"/>
          <w:lang w:val="en-CA"/>
        </w:rPr>
        <w:t xml:space="preserve"> </w:t>
      </w:r>
      <w:r w:rsidR="00261A77" w:rsidRPr="00CA3875">
        <w:rPr>
          <w:rFonts w:ascii="Times New Roman" w:hAnsi="Times New Roman"/>
          <w:lang w:val="en-CA"/>
        </w:rPr>
        <w:t>2</w:t>
      </w:r>
      <w:r w:rsidR="00875ECF">
        <w:rPr>
          <w:rFonts w:ascii="Times New Roman" w:hAnsi="Times New Roman"/>
          <w:lang w:val="en-CA"/>
        </w:rPr>
        <w:fldChar w:fldCharType="begin" w:fldLock="1"/>
      </w:r>
      <w:r w:rsidR="00E05D9C">
        <w:rPr>
          <w:rFonts w:ascii="Times New Roman" w:hAnsi="Times New Roman"/>
          <w:lang w:val="en-CA"/>
        </w:rPr>
        <w:instrText>ADDIN CSL_CITATION { "citationItems" : [ { "id" : "ITEM-1", "itemData" : { "DOI" : "10.1093/ejcts/ezs533", "ISSN" : "1010-7940", "PMID" : "23026738", "abstract" : "OBJECTIVES The aim of the current Valve Academic Research Consortium (VARC)-2 initiative was to revisit the selection and definitions of transcatheter aortic valve implantation (TAVI) clinical endpoints to make them more suitable to the present and future needs of clinical trials. In addition, this document is intended to expand the understanding of patient risk stratification and case selection. BACKGROUND A recent study confirmed that VARC definitions have already been incorporated into clinical and research practice and represent a new standard for consistency in reporting clinical outcomes of patients with symptomatic severe aortic stenosis (AS) undergoing TAVI. However, as the clinical experience with this technology has matured and expanded, certain definitions have become unsuitable or ambiguous. METHODS AND RESULTS Two in-person meetings (held in September 2011 in Washington, DC, USA, and in February 2012 in Rotterdam, Netherlands) involving VARC study group members, independent experts (including surgeons, interventional and non-interventional cardiologists, imaging specialists, neurologists, geriatric specialists, and clinical trialists), the US Food and Drug Administration (FDA), and industry representatives, provided much of the substantive discussion from which this VARC-2 consensus manuscript was derived. This document provides an overview of risk assessment and patient stratification that need to be considered for accurate patient inclusion in studies. Working groups were assigned to define the following clinical endpoints: mortality, stroke, myocardial infarction, bleeding complications, acute kidney injury, vascular complications, conduction disturbances and arrhythmias, and a miscellaneous category including relevant complications not previously categorized. Furthermore, comprehensive echocardiographic recommendations are provided for the evaluation of prosthetic valve (dys)function. Definitions for the quality of life assessments are also reported. These endpoints formed the basis for several recommended composite endpoints. CONCLUSIONS This VARC-2 document has provided further standardization of endpoint definitions for studies evaluating the use of TAVI, which will lead to improved comparability and interpretability of the study results, supplying an increasingly growing body of evidence with respect to TAVI and/or surgical aortic valve replacement. This initiative and document can furthermore be used as a model during current endea\u2026", "author" : [ { "dropping-particle" : "", "family" : "Kappetein", "given" : "A. P.", "non-dropping-particle" : "", "parse-names" : false, "suffix" : "" }, { "dropping-particle" : "", "family" : "Head", "given" : "S. J.", "non-dropping-particle" : "", "parse-names" : false, "suffix" : "" }, { "dropping-particle" : "", "family" : "Genereux", "given" : "P.", "non-dropping-particle" : "", "parse-names" : false, "suffix" : "" }, { "dropping-particle" : "", "family" : "Piazza", "given" : "N.", "non-dropping-particle" : "", "parse-names" : false, "suffix" : "" }, { "dropping-particle" : "", "family" : "Mieghem", "given" : "N. M.", "non-dropping-particle" : "van", "parse-names" : false, "suffix" : "" }, { "dropping-particle" : "", "family" : "Blackstone", "given" : "E. H.", "non-dropping-particle" : "", "parse-names" : false, "suffix" : "" }, { "dropping-particle" : "", "family" : "Brott", "given" : "T. G.", "non-dropping-particle" : "", "parse-names" : false, "suffix" : "" }, { "dropping-particle" : "", "family" : "Cohen", "given" : "D. J.", "non-dropping-particle" : "", "parse-names" : false, "suffix" : "" }, { "dropping-particle" : "", "family" : "Cutlip", "given" : "D. E.", "non-dropping-particle" : "", "parse-names" : false, "suffix" : "" }, { "dropping-particle" : "", "family" : "Es", "given" : "G.-A.", "non-dropping-particle" : "van", "parse-names" : false, "suffix" : "" }, { "dropping-particle" : "", "family" : "Hahn", "given" : "R. T.", "non-dropping-particle" : "", "parse-names" : false, "suffix" : "" }, { "dropping-particle" : "", "family" : "Kirtane", "given" : "A. J.", "non-dropping-particle" : "", "parse-names" : false, "suffix" : "" }, { "dropping-particle" : "", "family" : "Krucoff", "given" : "M. W.", "non-dropping-particle" : "", "parse-names" : false, "suffix" : "" }, { "dropping-particle" : "", "family" : "Kodali", "given" : "S.", "non-dropping-particle" : "", "parse-names" : false, "suffix" : "" }, { "dropping-particle" : "", "family" : "Mack", "given" : "M. J.", "non-dropping-particle" : "", "parse-names" : false, "suffix" : "" }, { "dropping-particle" : "", "family" : "Mehran", "given" : "R.", "non-dropping-particle" : "", "parse-names" : false, "suffix" : "" }, { "dropping-particle" : "", "family" : "Rodes-Cabau", "given" : "J.", "non-dropping-particle" : "", "parse-names" : false, "suffix" : "" }, { "dropping-particle" : "", "family" : "Vranckx", "given" : "P.", "non-dropping-particle" : "", "parse-names" : false, "suffix" : "" }, { "dropping-particle" : "", "family" : "Webb", "given" : "J. G.", "non-dropping-particle" : "", "parse-names" : false, "suffix" : "" }, { "dropping-particle" : "", "family" : "Windecker", "given" : "S.", "non-dropping-particle" : "", "parse-names" : false, "suffix" : "" }, { "dropping-particle" : "", "family" : "Serruys", "given" : "P. W.", "non-dropping-particle" : "", "parse-names" : false, "suffix" : "" }, { "dropping-particle" : "", "family" : "Leon", "given" : "M. B.", "non-dropping-particle" : "", "parse-names" : false, "suffix" : "" }, { "dropping-particle" : "", "family" : "Valve Academic Research Consortium (VARC)-2", "given" : "", "non-dropping-particle" : "", "parse-names" : false, "suffix" : "" } ], "container-title" : "European Journal of Cardio-Thoracic Surgery", "id" : "ITEM-1", "issue" : "5", "issued" : { "date-parts" : [ [ "2012", "11", "1" ] ] }, "page" : "S45-S60", "title" : "Updated standardized endpoint definitions for transcatheter aortic valve implantation: the Valve Academic Research Consortium-2 consensus document (VARC-2)", "type" : "article-journal", "volume" : "42" }, "uris" : [ "http://www.mendeley.com/documents/?uuid=01604f96-1928-3deb-b938-bca3ec4d4f77" ] } ], "mendeley" : { "formattedCitation" : "(13)", "plainTextFormattedCitation" : "(13)", "previouslyFormattedCitation" : "&lt;sup&gt;13&lt;/sup&gt;" }, "properties" : { "noteIndex" : 0 }, "schema" : "https://github.com/citation-style-language/schema/raw/master/csl-citation.json" }</w:instrText>
      </w:r>
      <w:r w:rsidR="00875ECF">
        <w:rPr>
          <w:rFonts w:ascii="Times New Roman" w:hAnsi="Times New Roman"/>
          <w:lang w:val="en-CA"/>
        </w:rPr>
        <w:fldChar w:fldCharType="separate"/>
      </w:r>
      <w:r w:rsidR="00E05D9C" w:rsidRPr="00E05D9C">
        <w:rPr>
          <w:rFonts w:ascii="Times New Roman" w:hAnsi="Times New Roman"/>
          <w:noProof/>
          <w:lang w:val="en-CA"/>
        </w:rPr>
        <w:t>(13)</w:t>
      </w:r>
      <w:r w:rsidR="00875ECF">
        <w:rPr>
          <w:rFonts w:ascii="Times New Roman" w:hAnsi="Times New Roman"/>
          <w:lang w:val="en-CA"/>
        </w:rPr>
        <w:fldChar w:fldCharType="end"/>
      </w:r>
      <w:r w:rsidR="00261A77">
        <w:rPr>
          <w:rFonts w:ascii="Times New Roman" w:hAnsi="Times New Roman"/>
          <w:lang w:val="en-CA"/>
        </w:rPr>
        <w:t>,</w:t>
      </w:r>
      <w:r w:rsidR="00CB61D2">
        <w:rPr>
          <w:rFonts w:ascii="Times New Roman" w:hAnsi="Times New Roman"/>
          <w:lang w:val="en-CA"/>
        </w:rPr>
        <w:t xml:space="preserve"> </w:t>
      </w:r>
      <w:r w:rsidR="00CB61D2" w:rsidRPr="00CA3875">
        <w:rPr>
          <w:rFonts w:ascii="Times New Roman" w:hAnsi="Times New Roman"/>
          <w:lang w:val="en-CA"/>
        </w:rPr>
        <w:t>we used lower cut-off values of indexed EOA to define PPM in obese patien</w:t>
      </w:r>
      <w:r w:rsidR="00261A77">
        <w:rPr>
          <w:rFonts w:ascii="Times New Roman" w:hAnsi="Times New Roman"/>
          <w:lang w:val="en-CA"/>
        </w:rPr>
        <w:t>ts</w:t>
      </w:r>
      <w:r w:rsidR="00CB61D2" w:rsidRPr="00CA3875">
        <w:rPr>
          <w:rFonts w:ascii="Times New Roman" w:hAnsi="Times New Roman"/>
          <w:lang w:val="en-CA"/>
        </w:rPr>
        <w:t>.</w:t>
      </w:r>
      <w:r w:rsidR="00CB61D2">
        <w:rPr>
          <w:rFonts w:ascii="Times New Roman" w:hAnsi="Times New Roman"/>
          <w:lang w:val="en-CA"/>
        </w:rPr>
        <w:t xml:space="preserve"> The </w:t>
      </w:r>
      <w:r w:rsidR="00CB61D2" w:rsidRPr="00CA3875">
        <w:rPr>
          <w:rFonts w:ascii="Times New Roman" w:hAnsi="Times New Roman"/>
          <w:lang w:val="en-CA"/>
        </w:rPr>
        <w:t>utilization of the EOA indexed to body surface area may</w:t>
      </w:r>
      <w:r w:rsidR="00CB61D2">
        <w:rPr>
          <w:rFonts w:ascii="Times New Roman" w:hAnsi="Times New Roman"/>
          <w:lang w:val="en-CA"/>
        </w:rPr>
        <w:t xml:space="preserve"> indeed</w:t>
      </w:r>
      <w:r w:rsidR="00CB61D2" w:rsidRPr="00CA3875">
        <w:rPr>
          <w:rFonts w:ascii="Times New Roman" w:hAnsi="Times New Roman"/>
          <w:lang w:val="en-CA"/>
        </w:rPr>
        <w:t xml:space="preserve"> result in an overestimation of the prevalence and severity of PPM</w:t>
      </w:r>
      <w:r w:rsidR="00CB61D2">
        <w:rPr>
          <w:rFonts w:ascii="Times New Roman" w:hAnsi="Times New Roman"/>
          <w:lang w:val="en-CA"/>
        </w:rPr>
        <w:t xml:space="preserve"> in obese patients. The prevalence of pre-existent PPM</w:t>
      </w:r>
      <w:r w:rsidR="00261A77">
        <w:rPr>
          <w:rFonts w:ascii="Times New Roman" w:hAnsi="Times New Roman"/>
          <w:lang w:val="en-CA"/>
        </w:rPr>
        <w:t xml:space="preserve"> in the present study</w:t>
      </w:r>
      <w:r w:rsidR="00CB61D2">
        <w:rPr>
          <w:rFonts w:ascii="Times New Roman" w:hAnsi="Times New Roman"/>
          <w:lang w:val="en-CA"/>
        </w:rPr>
        <w:t xml:space="preserve"> is, however,</w:t>
      </w:r>
      <w:r w:rsidR="002233A3" w:rsidRPr="00CA3875">
        <w:rPr>
          <w:rFonts w:ascii="Times New Roman" w:hAnsi="Times New Roman"/>
          <w:lang w:val="en-CA"/>
        </w:rPr>
        <w:t xml:space="preserve"> consistent with the data reported in contemporary </w:t>
      </w:r>
      <w:r w:rsidR="002A2701" w:rsidRPr="00CA3875">
        <w:rPr>
          <w:rFonts w:ascii="Times New Roman" w:hAnsi="Times New Roman"/>
          <w:lang w:val="en-CA"/>
        </w:rPr>
        <w:t xml:space="preserve">surgical AVR </w:t>
      </w:r>
      <w:r w:rsidR="002233A3" w:rsidRPr="00CA3875">
        <w:rPr>
          <w:rFonts w:ascii="Times New Roman" w:hAnsi="Times New Roman"/>
          <w:lang w:val="en-CA"/>
        </w:rPr>
        <w:t>series</w:t>
      </w:r>
      <w:r w:rsidR="00522FDC">
        <w:rPr>
          <w:rFonts w:ascii="Times New Roman" w:hAnsi="Times New Roman"/>
          <w:lang w:val="en-CA"/>
        </w:rPr>
        <w:fldChar w:fldCharType="begin" w:fldLock="1"/>
      </w:r>
      <w:r w:rsidR="00E05D9C">
        <w:rPr>
          <w:rFonts w:ascii="Times New Roman" w:hAnsi="Times New Roman"/>
          <w:lang w:val="en-CA"/>
        </w:rPr>
        <w:instrText>ADDIN CSL_CITATION { "citationItems" : [ { "id" : "ITEM-1", "itemData" : { "DOI" : "10.1016/j.jcin.2017.03.018", "ISSN" : "19368798", "author" : [ { "dropping-particle" : "", "family" : "Deeb", "given" : "G. Michael", "non-dropping-particle" : "", "parse-names" : false, "suffix" : "" }, { "dropping-particle" : "", "family" : "Chetcuti", "given" : "Stanley J.", "non-dropping-particle" : "", "parse-names" : false, "suffix" : "" }, { "dropping-particle" : "", "family" : "Reardon", "given" : "Michael J.", "non-dropping-particle" : "", "parse-names" : false, "suffix" : "" }, { "dropping-particle" : "", "family" : "Patel", "given" : "Himanshu J.", "non-dropping-particle" : "", "parse-names" : false, "suffix" : "" }, { "dropping-particle" : "", "family" : "Grossman", "given" : "P. Michael", "non-dropping-particle" : "", "parse-names" : false, "suffix" : "" }, { "dropping-particle" : "", "family" : "Schreiber", "given" : "Theodore", "non-dropping-particle" : "", "parse-names" : false, "suffix" : "" }, { "dropping-particle" : "", "family" : "Forrest", "given" : "John K.", "non-dropping-particle" : "", "parse-names" : false, "suffix" : "" }, { "dropping-particle" : "", "family" : "Bajwa", "given" : "Tanvir K.", "non-dropping-particle" : "", "parse-names" : false, "suffix" : "" }, { "dropping-particle" : "", "family" : "O\u2019Hair", "given" : "Daniel P.", "non-dropping-particle" : "", "parse-names" : false, "suffix" : "" }, { "dropping-particle" : "", "family" : "Petrossian", "given" : "George", "non-dropping-particle" : "", "parse-names" : false, "suffix" : "" }, { "dropping-particle" : "", "family" : "Robinson", "given" : "Newell", "non-dropping-particle" : "", "parse-names" : false, "suffix" : "" }, { "dropping-particle" : "", "family" : "Katz", "given" : "Stanley", "non-dropping-particle" : "", "parse-names" : false, "suffix" : "" }, { "dropping-particle" : "", "family" : "Hartman", "given" : "Alan", "non-dropping-particle" : "", "parse-names" : false, "suffix" : "" }, { "dropping-particle" : "", "family" : "Dauerman", "given" : "Harold L.", "non-dropping-particle" : "", "parse-names" : false, "suffix" : "" }, { "dropping-particle" : "", "family" : "Schmoker", "given" : "Joseph", "non-dropping-particle" : "", "parse-names" : false, "suffix" : "" }, { "dropping-particle" : "", "family" : "Khabbaz", "given" : "Kamal", "non-dropping-particle" : "", "parse-names" : false, "suffix" : "" }, { "dropping-particle" : "", "family" : "Watson", "given" : "Daniel R.", "non-dropping-particle" : "", "parse-names" : false, "suffix" : "" }, { "dropping-particle" : "", "family" : "Yakubov", "given" : "Steven J.", "non-dropping-particle" : "", "parse-names" : false, "suffix" : "" }, { "dropping-particle" : "", "family" : "Oh", "given" : "Jae K.", "non-dropping-particle" : "", "parse-names" : false, "suffix" : "" }, { "dropping-particle" : "", "family" : "Li", "given" : "Shuzhen", "non-dropping-particle" : "", "parse-names" : false, "suffix" : "" }, { "dropping-particle" : "", "family" : "Kleiman", "given" : "Neal S.", "non-dropping-particle" : "", "parse-names" : false, "suffix" : "" }, { "dropping-particle" : "", "family" : "Adams", "given" : "David H.", "non-dropping-particle" : "", "parse-names" : false, "suffix" : "" }, { "dropping-particle" : "", "family" : "Popma", "given" : "Jeffrey J.", "non-dropping-particle" : "", "parse-names" : false, "suffix" : "" } ], "container-title" : "JACC: Cardiovascular Interventions", "id" : "ITEM-1", "issue" : "10", "issued" : { "date-parts" : [ [ "2017", "5" ] ] }, "page" : "1034-1044", "title" : "1-Year Results in Patients Undergoing Transcatheter Aortic Valve Replacement With Failed Surgical Bioprostheses", "type" : "article-journal", "volume" : "10" }, "uris" : [ "http://www.mendeley.com/documents/?uuid=17943b05-7a0b-3f61-83e7-8e99df08b0ca" ] }, { "id" : "ITEM-2", "itemData" : { "DOI" : "10.1093/eurheartj/ehs003", "ISSN" : "1522-9645", "PMID" : "22408037", "abstract" : "AIMS: Numerous studies have linked prosthesis-patient mismatch (PPM) after aortic valve replacement (AVR) to adverse outcomes. Its correlation with long-term survival has been described but with contradicting results. This systematic review and meta-analysis of observational studies aims to determine the hazard of PPM after AVR.\n\nMETHODS AND RESULTS: The Medline and EMBase databases were searched for English-language original publications. Two researchers independently screened studies and extracted data. Pooled estimates were obtained by random effects model. Subgroup analyses were performed to detect sources of heterogeneity. The search yielded 348 potentially relevant studies; 34 were included comprising 27 186 patients and 133 141 patient-years. Defined by the universally accredited indexed effective orifice area &lt;0.85 cm(2)/m(2), 44.2% of patients were categorized as having PPM. In 34.2 and 9.8% of patients moderate (0.65-0.85 cm(2)/m(2)) and severe (&lt;0.65 cm(2)/m(2)) PPM was present, respectively. Prosthesis-patient mismatch was associated with a statistically significant increase in all-cause mortality (HR = 1.34, 95% CI: 1.18-1.51), but only a trend to an increase in cardiac-related mortality (HR = 1.51, 95% CI: 0.88-2.60) was recognized. Analysis by severity of PPM demonstrated that both moderate and severe PPM increased all-cause mortality (HR = 1.19, 95% CI: 1.07-1.33 and HR = 1.84, 95% CI: 1.38-2.45) and cardiac-related mortality (HR = 1.32, 95% CI: 1.02-1.71 and HR = 6.46, 95% CI: 2.79-14.97). Further analyses showed a consistent effect over separate time intervals during follow-up.\n\nCONCLUSION: Prosthesis-patient mismatch is associated with an increase in all-cause and cardiac-related mortality over long-term follow-up. We recommend that current efforts to prevent PPM should receive more emphasis and a widespread acceptance to improve long-term survival after AVR.", "author" : [ { "dropping-particle" : "", "family" : "Head", "given" : "Stuart J", "non-dropping-particle" : "", "parse-names" : false, "suffix" : "" }, { "dropping-particle" : "", "family" : "Mokhles", "given" : "Mostafa M", "non-dropping-particle" : "", "parse-names" : false, "suffix" : "" }, { "dropping-particle" : "", "family" : "Osnabrugge", "given" : "Ruben L J", "non-dropping-particle" : "", "parse-names" : false, "suffix" : "" }, { "dropping-particle" : "", "family" : "Pibarot", "given" : "Philippe", "non-dropping-particle" : "", "parse-names" : false, "suffix" : "" }, { "dropping-particle" : "", "family" : "Mack", "given" : "Michael J", "non-dropping-particle" : "", "parse-names" : false, "suffix" : "" }, { "dropping-particle" : "", "family" : "Takkenberg", "given" : "Johanna J M", "non-dropping-particle" : "", "parse-names" : false, "suffix" : "" }, { "dropping-particle" : "", "family" : "Bogers", "given" : "Ad J J C", "non-dropping-particle" : "", "parse-names" : false, "suffix" : "" }, { "dropping-particle" : "", "family" : "Kappetein", "given" : "Arie Pieter", "non-dropping-particle" : "", "parse-names" : false, "suffix" : "" } ], "container-title" : "European heart journal", "id" : "ITEM-2", "issue" : "12", "issued" : { "date-parts" : [ [ "2012", "6", "2" ] ] }, "page" : "1518-29", "title" : "The impact of prosthesis-patient mismatch on long-term survival after aortic valve replacement: a systematic review and meta-analysis of 34 observational studies comprising 27 186 patients with 133 141 patient-years.", "type" : "article-journal", "volume" : "33" }, "uris" : [ "http://www.mendeley.com/documents/?uuid=50896336-06a8-409c-9614-88e227c52ceb" ] }, { "id" : "ITEM-3", "itemData" : { "DOI" : "10.1016/j.jcmg.2015.10.026", "ISSN" : "1936878X", "PMID" : "27236530", "abstract" : "OBJECTIVES This study sought to evaluate predictors of prosthesis-patient mismatch (PPM) and its association with the risk of perioperative and overall mortality. BACKGROUND PPM is associated with increased mid- and long-term mortality after surgical aortic valve replacement. Conflicting results have been reported with regard to its association with perioperative mortality. METHODS Databases were searched for studies published between 1965 and 2014. Main outcomes of interest were perioperative mortality and overall mortality. RESULTS The search yielded 382 studies for inclusion. Of these, 58 articles were analyzed and their data extracted. The total number of patients included was 40,381 (39,568 surgical aortic valve replacement and 813 transcatheter aortic valve replacement). Perioperative (odds ratio: 1.54; 95% confidence interval: 1.25 to 1.91) and overall (i.e., perioperative and post-operative) mortality (hazard ratio: 1.26; 95% confidence interval: 1.16 to 1.36) was increased in patients with PPM. The impact of PPM on mortality was higher in those studies in which the mean age of the patients was &lt;70 years of age (and/or AVR with associated coronary artery bypass graft was included). Severe PPM was associated with increased risk of both perioperative and overall mortality, whereas moderate PPM was associated with increased risk of perioperative mortality but not of overall mortality. The impact of PPM was less pronounced in patients with larger body mass index (&gt;28 kg/m(2)) compared with those with lower index. Predictors of PPM were older age, female sex, hypertension, diabetes, renal failure, larger body surface area, larger body mass index, and the utilization of a bioprosthesis. CONCLUSIONS PPM increases perioperative and overall mortality proportionally to its severity. The identification of predictors for PPM may be useful to identify patients who are at higher risk for PPM. The findings of this study support the implementation of strategies to prevent PPM especially in patients\u00a0&lt;70 years of age and/or with concomitant coronary artery bypass graft.", "author" : [ { "dropping-particle" : "", "family" : "Dayan", "given" : "Victor", "non-dropping-particle" : "", "parse-names" : false, "suffix" : "" }, { "dropping-particle" : "", "family" : "Vignolo", "given" : "Gustavo", "non-dropping-particle" : "", "parse-names" : false, "suffix" : "" }, { "dropping-particle" : "", "family" : "Soca", "given" : "Gerardo", "non-dropping-particle" : "", "parse-names" : false, "suffix" : "" }, { "dropping-particle" : "", "family" : "Paganini", "given" : "Juan Jose", "non-dropping-particle" : "", "parse-names" : false, "suffix" : "" }, { "dropping-particle" : "", "family" : "Brusich", "given" : "Daniel", "non-dropping-particle" : "", "parse-names" : false, "suffix" : "" }, { "dropping-particle" : "", "family" : "Pibarot", "given" : "Philippe", "non-dropping-particle" : "", "parse-names" : false, "suffix" : "" } ], "container-title" : "JACC: Cardiovascular Imaging", "id" : "ITEM-3", "issue" : "8", "issued" : { "date-parts" : [ [ "2016", "8" ] ] }, "page" : "924-933", "title" : "Predictors and Outcomes of Prosthesis-Patient Mismatch After\u00a0Aortic\u00a0Valve Replacement", "type" : "article-journal", "volume" : "9" }, "uris" : [ "http://www.mendeley.com/documents/?uuid=b950adb9-be54-3bc0-8226-48469099ebf3" ] } ], "mendeley" : { "formattedCitation" : "(15\u201317)", "plainTextFormattedCitation" : "(15\u201317)", "previouslyFormattedCitation" : "&lt;sup&gt;15\u201317&lt;/sup&gt;" }, "properties" : { "noteIndex" : 0 }, "schema" : "https://github.com/citation-style-language/schema/raw/master/csl-citation.json" }</w:instrText>
      </w:r>
      <w:r w:rsidR="00522FDC">
        <w:rPr>
          <w:rFonts w:ascii="Times New Roman" w:hAnsi="Times New Roman"/>
          <w:lang w:val="en-CA"/>
        </w:rPr>
        <w:fldChar w:fldCharType="separate"/>
      </w:r>
      <w:r w:rsidR="00E05D9C" w:rsidRPr="00E05D9C">
        <w:rPr>
          <w:rFonts w:ascii="Times New Roman" w:hAnsi="Times New Roman"/>
          <w:noProof/>
          <w:lang w:val="en-CA"/>
        </w:rPr>
        <w:t>(15–17)</w:t>
      </w:r>
      <w:r w:rsidR="00522FDC">
        <w:rPr>
          <w:rFonts w:ascii="Times New Roman" w:hAnsi="Times New Roman"/>
          <w:lang w:val="en-CA"/>
        </w:rPr>
        <w:fldChar w:fldCharType="end"/>
      </w:r>
      <w:r w:rsidR="00C451F3" w:rsidRPr="00CA3875">
        <w:rPr>
          <w:rFonts w:ascii="Times New Roman" w:hAnsi="Times New Roman"/>
          <w:lang w:val="en-CA"/>
        </w:rPr>
        <w:t xml:space="preserve">. </w:t>
      </w:r>
      <w:r w:rsidR="00595941">
        <w:rPr>
          <w:rFonts w:ascii="Times New Roman" w:hAnsi="Times New Roman"/>
          <w:lang w:val="en-CA"/>
        </w:rPr>
        <w:t>In a recent an</w:t>
      </w:r>
      <w:r w:rsidR="00261A77">
        <w:rPr>
          <w:rFonts w:ascii="Times New Roman" w:hAnsi="Times New Roman"/>
          <w:lang w:val="en-CA"/>
        </w:rPr>
        <w:t>a</w:t>
      </w:r>
      <w:r w:rsidR="00595941">
        <w:rPr>
          <w:rFonts w:ascii="Times New Roman" w:hAnsi="Times New Roman"/>
          <w:lang w:val="en-CA"/>
        </w:rPr>
        <w:t>l</w:t>
      </w:r>
      <w:r w:rsidR="00CB61D2">
        <w:rPr>
          <w:rFonts w:ascii="Times New Roman" w:hAnsi="Times New Roman"/>
          <w:lang w:val="en-CA"/>
        </w:rPr>
        <w:t xml:space="preserve">ysis of </w:t>
      </w:r>
      <w:r w:rsidR="00DB7426">
        <w:rPr>
          <w:rFonts w:ascii="Times New Roman" w:hAnsi="Times New Roman"/>
          <w:lang w:val="en-CA"/>
        </w:rPr>
        <w:t>the STS</w:t>
      </w:r>
      <w:r w:rsidR="001112A2" w:rsidRPr="00CA3875">
        <w:rPr>
          <w:rFonts w:ascii="Times New Roman" w:hAnsi="Times New Roman"/>
          <w:lang w:val="en-CA"/>
        </w:rPr>
        <w:t xml:space="preserve"> database</w:t>
      </w:r>
      <w:r w:rsidR="00CB61D2">
        <w:rPr>
          <w:rFonts w:ascii="Times New Roman" w:hAnsi="Times New Roman"/>
          <w:lang w:val="en-CA"/>
        </w:rPr>
        <w:t xml:space="preserve"> using similar PPM definition as the one used in our study</w:t>
      </w:r>
      <w:r w:rsidR="00522FDC">
        <w:rPr>
          <w:rFonts w:ascii="Times New Roman" w:hAnsi="Times New Roman"/>
          <w:lang w:val="en-CA"/>
        </w:rPr>
        <w:fldChar w:fldCharType="begin" w:fldLock="1"/>
      </w:r>
      <w:r w:rsidR="00E05D9C">
        <w:rPr>
          <w:rFonts w:ascii="Times New Roman" w:hAnsi="Times New Roman"/>
          <w:lang w:val="en-CA"/>
        </w:rPr>
        <w:instrText>ADDIN CSL_CITATION { "citationItems" : [ { "id" : "ITEM-1", "itemData" : { "DOI" : "10.1016/j.jcin.2017.03.018", "ISSN" : "19368798", "author" : [ { "dropping-particle" : "", "family" : "Deeb", "given" : "G. Michael", "non-dropping-particle" : "", "parse-names" : false, "suffix" : "" }, { "dropping-particle" : "", "family" : "Chetcuti", "given" : "Stanley J.", "non-dropping-particle" : "", "parse-names" : false, "suffix" : "" }, { "dropping-particle" : "", "family" : "Reardon", "given" : "Michael J.", "non-dropping-particle" : "", "parse-names" : false, "suffix" : "" }, { "dropping-particle" : "", "family" : "Patel", "given" : "Himanshu J.", "non-dropping-particle" : "", "parse-names" : false, "suffix" : "" }, { "dropping-particle" : "", "family" : "Grossman", "given" : "P. Michael", "non-dropping-particle" : "", "parse-names" : false, "suffix" : "" }, { "dropping-particle" : "", "family" : "Schreiber", "given" : "Theodore", "non-dropping-particle" : "", "parse-names" : false, "suffix" : "" }, { "dropping-particle" : "", "family" : "Forrest", "given" : "John K.", "non-dropping-particle" : "", "parse-names" : false, "suffix" : "" }, { "dropping-particle" : "", "family" : "Bajwa", "given" : "Tanvir K.", "non-dropping-particle" : "", "parse-names" : false, "suffix" : "" }, { "dropping-particle" : "", "family" : "O\u2019Hair", "given" : "Daniel P.", "non-dropping-particle" : "", "parse-names" : false, "suffix" : "" }, { "dropping-particle" : "", "family" : "Petrossian", "given" : "George", "non-dropping-particle" : "", "parse-names" : false, "suffix" : "" }, { "dropping-particle" : "", "family" : "Robinson", "given" : "Newell", "non-dropping-particle" : "", "parse-names" : false, "suffix" : "" }, { "dropping-particle" : "", "family" : "Katz", "given" : "Stanley", "non-dropping-particle" : "", "parse-names" : false, "suffix" : "" }, { "dropping-particle" : "", "family" : "Hartman", "given" : "Alan", "non-dropping-particle" : "", "parse-names" : false, "suffix" : "" }, { "dropping-particle" : "", "family" : "Dauerman", "given" : "Harold L.", "non-dropping-particle" : "", "parse-names" : false, "suffix" : "" }, { "dropping-particle" : "", "family" : "Schmoker", "given" : "Joseph", "non-dropping-particle" : "", "parse-names" : false, "suffix" : "" }, { "dropping-particle" : "", "family" : "Khabbaz", "given" : "Kamal", "non-dropping-particle" : "", "parse-names" : false, "suffix" : "" }, { "dropping-particle" : "", "family" : "Watson", "given" : "Daniel R.", "non-dropping-particle" : "", "parse-names" : false, "suffix" : "" }, { "dropping-particle" : "", "family" : "Yakubov", "given" : "Steven J.", "non-dropping-particle" : "", "parse-names" : false, "suffix" : "" }, { "dropping-particle" : "", "family" : "Oh", "given" : "Jae K.", "non-dropping-particle" : "", "parse-names" : false, "suffix" : "" }, { "dropping-particle" : "", "family" : "Li", "given" : "Shuzhen", "non-dropping-particle" : "", "parse-names" : false, "suffix" : "" }, { "dropping-particle" : "", "family" : "Kleiman", "given" : "Neal S.", "non-dropping-particle" : "", "parse-names" : false, "suffix" : "" }, { "dropping-particle" : "", "family" : "Adams", "given" : "David H.", "non-dropping-particle" : "", "parse-names" : false, "suffix" : "" }, { "dropping-particle" : "", "family" : "Popma", "given" : "Jeffrey J.", "non-dropping-particle" : "", "parse-names" : false, "suffix" : "" } ], "container-title" : "JACC: Cardiovascular Interventions", "id" : "ITEM-1", "issue" : "10", "issued" : { "date-parts" : [ [ "2017", "5" ] ] }, "page" : "1034-1044", "title" : "1-Year Results in Patients Undergoing Transcatheter Aortic Valve Replacement With Failed Surgical Bioprostheses", "type" : "article-journal", "volume" : "10" }, "uris" : [ "http://www.mendeley.com/documents/?uuid=17943b05-7a0b-3f61-83e7-8e99df08b0ca" ] } ], "mendeley" : { "formattedCitation" : "(15)", "plainTextFormattedCitation" : "(15)", "previouslyFormattedCitation" : "&lt;sup&gt;15&lt;/sup&gt;" }, "properties" : { "noteIndex" : 0 }, "schema" : "https://github.com/citation-style-language/schema/raw/master/csl-citation.json" }</w:instrText>
      </w:r>
      <w:r w:rsidR="00522FDC">
        <w:rPr>
          <w:rFonts w:ascii="Times New Roman" w:hAnsi="Times New Roman"/>
          <w:lang w:val="en-CA"/>
        </w:rPr>
        <w:fldChar w:fldCharType="separate"/>
      </w:r>
      <w:r w:rsidR="00E05D9C" w:rsidRPr="00E05D9C">
        <w:rPr>
          <w:rFonts w:ascii="Times New Roman" w:hAnsi="Times New Roman"/>
          <w:noProof/>
          <w:lang w:val="en-CA"/>
        </w:rPr>
        <w:t>(15)</w:t>
      </w:r>
      <w:r w:rsidR="00522FDC">
        <w:rPr>
          <w:rFonts w:ascii="Times New Roman" w:hAnsi="Times New Roman"/>
          <w:lang w:val="en-CA"/>
        </w:rPr>
        <w:fldChar w:fldCharType="end"/>
      </w:r>
      <w:r w:rsidR="001112A2" w:rsidRPr="00CA3875">
        <w:rPr>
          <w:rFonts w:ascii="Times New Roman" w:hAnsi="Times New Roman"/>
          <w:lang w:val="en-CA"/>
        </w:rPr>
        <w:t>, the prevalence of severe PPM was 15% in 2004</w:t>
      </w:r>
      <w:r w:rsidR="0019557B" w:rsidRPr="00CA3875">
        <w:rPr>
          <w:rFonts w:ascii="Times New Roman" w:hAnsi="Times New Roman"/>
          <w:lang w:val="en-CA"/>
        </w:rPr>
        <w:t xml:space="preserve"> and dropped to 6% in </w:t>
      </w:r>
      <w:r w:rsidR="0019557B" w:rsidRPr="00327A7A">
        <w:rPr>
          <w:rFonts w:ascii="Times New Roman" w:hAnsi="Times New Roman"/>
          <w:lang w:val="en-CA"/>
        </w:rPr>
        <w:t>20</w:t>
      </w:r>
      <w:r w:rsidR="00327A7A" w:rsidRPr="00384ACA">
        <w:rPr>
          <w:rFonts w:ascii="Times New Roman" w:hAnsi="Times New Roman"/>
          <w:lang w:val="en-CA"/>
        </w:rPr>
        <w:t>1</w:t>
      </w:r>
      <w:r w:rsidR="0019557B" w:rsidRPr="00327A7A">
        <w:rPr>
          <w:rFonts w:ascii="Times New Roman" w:hAnsi="Times New Roman"/>
          <w:lang w:val="en-CA"/>
        </w:rPr>
        <w:t>4</w:t>
      </w:r>
      <w:r w:rsidR="001112A2" w:rsidRPr="00327A7A">
        <w:rPr>
          <w:rFonts w:ascii="Times New Roman" w:hAnsi="Times New Roman"/>
          <w:lang w:val="en-CA"/>
        </w:rPr>
        <w:t>.</w:t>
      </w:r>
    </w:p>
    <w:p w14:paraId="1B7AA245" w14:textId="77777777" w:rsidR="002A2701" w:rsidRPr="00CA3875" w:rsidRDefault="002A2701" w:rsidP="00F86913">
      <w:pPr>
        <w:autoSpaceDE w:val="0"/>
        <w:autoSpaceDN w:val="0"/>
        <w:adjustRightInd w:val="0"/>
        <w:spacing w:line="480" w:lineRule="auto"/>
        <w:rPr>
          <w:rFonts w:ascii="Times New Roman" w:hAnsi="Times New Roman"/>
          <w:lang w:val="en-CA"/>
        </w:rPr>
      </w:pPr>
      <w:r w:rsidRPr="00CA3875">
        <w:rPr>
          <w:rFonts w:ascii="Times New Roman" w:hAnsi="Times New Roman"/>
          <w:lang w:val="en-CA"/>
        </w:rPr>
        <w:t xml:space="preserve"> </w:t>
      </w:r>
    </w:p>
    <w:p w14:paraId="37FB79A8" w14:textId="1CF5E34D" w:rsidR="00467BF0" w:rsidRPr="00CA3875" w:rsidRDefault="001926C8" w:rsidP="00495776">
      <w:pPr>
        <w:autoSpaceDE w:val="0"/>
        <w:autoSpaceDN w:val="0"/>
        <w:adjustRightInd w:val="0"/>
        <w:spacing w:line="480" w:lineRule="auto"/>
        <w:rPr>
          <w:rFonts w:ascii="Times New Roman" w:hAnsi="Times New Roman"/>
          <w:lang w:val="en-CA"/>
        </w:rPr>
      </w:pPr>
      <w:r w:rsidRPr="00CA3875">
        <w:rPr>
          <w:rFonts w:ascii="Times New Roman" w:hAnsi="Times New Roman"/>
          <w:lang w:val="en-US"/>
        </w:rPr>
        <w:t xml:space="preserve">In </w:t>
      </w:r>
      <w:r w:rsidR="0004609C" w:rsidRPr="00CA3875">
        <w:rPr>
          <w:rFonts w:ascii="Times New Roman" w:hAnsi="Times New Roman"/>
          <w:lang w:val="en-US"/>
        </w:rPr>
        <w:t>t</w:t>
      </w:r>
      <w:r w:rsidR="00261A77">
        <w:rPr>
          <w:rFonts w:ascii="Times New Roman" w:hAnsi="Times New Roman"/>
          <w:lang w:val="en-US"/>
        </w:rPr>
        <w:t>he present study</w:t>
      </w:r>
      <w:r w:rsidRPr="00CA3875">
        <w:rPr>
          <w:rFonts w:ascii="Times New Roman" w:hAnsi="Times New Roman"/>
          <w:lang w:val="en-US"/>
        </w:rPr>
        <w:t>, t</w:t>
      </w:r>
      <w:r w:rsidR="00467BF0" w:rsidRPr="00CA3875">
        <w:rPr>
          <w:rFonts w:ascii="Times New Roman" w:hAnsi="Times New Roman"/>
          <w:lang w:val="en-US"/>
        </w:rPr>
        <w:t xml:space="preserve">he time from </w:t>
      </w:r>
      <w:r w:rsidR="002233A3" w:rsidRPr="00CA3875">
        <w:rPr>
          <w:rFonts w:ascii="Times New Roman" w:hAnsi="Times New Roman"/>
          <w:lang w:val="en-US"/>
        </w:rPr>
        <w:t>initial</w:t>
      </w:r>
      <w:r w:rsidR="00467BF0" w:rsidRPr="00CA3875">
        <w:rPr>
          <w:rFonts w:ascii="Times New Roman" w:hAnsi="Times New Roman"/>
          <w:lang w:val="en-US"/>
        </w:rPr>
        <w:t xml:space="preserve"> surgical </w:t>
      </w:r>
      <w:r w:rsidRPr="00CA3875">
        <w:rPr>
          <w:rFonts w:ascii="Times New Roman" w:hAnsi="Times New Roman"/>
          <w:lang w:val="en-US"/>
        </w:rPr>
        <w:t>AVR</w:t>
      </w:r>
      <w:r w:rsidR="00B211D7" w:rsidRPr="00CA3875">
        <w:rPr>
          <w:rFonts w:ascii="Times New Roman" w:hAnsi="Times New Roman"/>
          <w:lang w:val="en-US"/>
        </w:rPr>
        <w:t xml:space="preserve"> to bioprosthetic valve failure </w:t>
      </w:r>
      <w:r w:rsidR="00467BF0" w:rsidRPr="00CA3875">
        <w:rPr>
          <w:rFonts w:ascii="Times New Roman" w:hAnsi="Times New Roman"/>
          <w:lang w:val="en-US"/>
        </w:rPr>
        <w:t>was substantially shorter in patients with pre-existent severe PPM compared to those with no/moderate PPM. These fin</w:t>
      </w:r>
      <w:r w:rsidR="00B211D7" w:rsidRPr="00CA3875">
        <w:rPr>
          <w:rFonts w:ascii="Times New Roman" w:hAnsi="Times New Roman"/>
          <w:lang w:val="en-US"/>
        </w:rPr>
        <w:t xml:space="preserve">dings may be, at least in part, explained by the fact that PPM </w:t>
      </w:r>
      <w:r w:rsidRPr="00CA3875">
        <w:rPr>
          <w:rFonts w:ascii="Times New Roman" w:hAnsi="Times New Roman"/>
          <w:lang w:val="en-CA"/>
        </w:rPr>
        <w:t>may accelerate the structura</w:t>
      </w:r>
      <w:r w:rsidR="0019557B" w:rsidRPr="00CA3875">
        <w:rPr>
          <w:rFonts w:ascii="Times New Roman" w:hAnsi="Times New Roman"/>
          <w:lang w:val="en-CA"/>
        </w:rPr>
        <w:t>l degeneration of bioprostheses</w:t>
      </w:r>
      <w:r w:rsidR="00522FDC">
        <w:rPr>
          <w:rFonts w:ascii="Times New Roman" w:hAnsi="Times New Roman"/>
          <w:lang w:val="en-US"/>
        </w:rPr>
        <w:fldChar w:fldCharType="begin" w:fldLock="1"/>
      </w:r>
      <w:r w:rsidR="00E05D9C">
        <w:rPr>
          <w:rFonts w:ascii="Times New Roman" w:hAnsi="Times New Roman"/>
          <w:lang w:val="en-US"/>
        </w:rPr>
        <w:instrText>ADDIN CSL_CITATION { "citationItems" : [ { "id" : "ITEM-1", "itemData" : { "DOI" : "10.1161/CIRCULATIONAHA.109.901272", "ISSN" : "1524-4539", "PMID" : "20439787", "abstract" : "BACKGROUND Prosthesis-patient mismatch (P-PtM) after aortic valve replacement results in disturbed valve performance associated with increased pressure gradients. However, it is unknown whether this can be related to future structural valve deterioration (SVD) of the bioprosthesis. METHODS AND RESULTS In 564 patients (mean age, 74+/-5 years) receiving an aortic valve bioprosthesis, clinical follow-up (median, 6.1 years; maximum, 16.4 years) was analyzed including echocardiography. SVD was diagnosed in 40 patients (7%) as substantially increased stenosis (n=24) or regurgitation (n=16) of the operated valve over time. When patients with P-PtM (effective orifice area index &lt;0.85 cm(2)/m(2); n=285) developed SVD, it was preferentially of the stenosis type, whereas when patients without P-PtM (n=279) developed SVD, the majority was of the incompetence type (P&lt;0.05). Multivariable analysis including patient- and valve-related variables revealed that P-PtM and label size &lt;/=21 were independent predictors of SVD (P=0.04 and P=0.02, respectively). A nonparametric Turnbull estimate analysis showed that SVD is virtually nonexistent for up to 9 years in patients without P-PtM. Thereafter, SVD starts to occur and is mainly of the incompetence-type SVD (79% of cases). In patients with P-PtM, SVD starts to occur after 2 to 3 years after implantation and is mainly of the stenosis-type SVD (81% of cases). CONCLUSIONS These data suggest that stenosis-type SVD is an early, P-PtM-related, and thus preventable phenomenon. Incompetence-type SVD is a time-dependent, nonspecific wear damage to bioprosthetic valves, which is not related to P-PtM.", "author" : [ { "dropping-particle" : "", "family" : "Flameng", "given" : "Willem", "non-dropping-particle" : "", "parse-names" : false, "suffix" : "" }, { "dropping-particle" : "", "family" : "Herregods", "given" : "Marie-Christine", "non-dropping-particle" : "", "parse-names" : false, "suffix" : "" }, { "dropping-particle" : "", "family" : "Vercalsteren", "given" : "Monique", "non-dropping-particle" : "", "parse-names" : false, "suffix" : "" }, { "dropping-particle" : "", "family" : "Herijgers", "given" : "Paul", "non-dropping-particle" : "", "parse-names" : false, "suffix" : "" }, { "dropping-particle" : "", "family" : "Bogaerts", "given" : "Kris", "non-dropping-particle" : "", "parse-names" : false, "suffix" : "" }, { "dropping-particle" : "", "family" : "Meuris", "given" : "Bart", "non-dropping-particle" : "", "parse-names" : false, "suffix" : "" } ], "container-title" : "Circulation", "id" : "ITEM-1", "issue" : "19", "issued" : { "date-parts" : [ [ "2010", "5", "18" ] ] }, "page" : "2123-9", "title" : "Prosthesis-patient mismatch predicts structural valve degeneration in bioprosthetic heart valves.", "type" : "article-journal", "volume" : "121" }, "uris" : [ "http://www.mendeley.com/documents/?uuid=f12e86f9-6319-3517-bc6f-14019abf749a" ] }, { "id" : "ITEM-2", "itemData" : { "DOI" : "10.1136/heartjnl-2014-306445", "ISSN" : "1468-201X", "PMID" : "25618481", "abstract" : "BACKGROUND Cusp calcification is the main mechanism leading to bioprosthetic heart valve (BPV) failure. Recent studies suggest that BPV calcification is an active rather than passive process probably modulated by several mechanisms including lipid-mediated inflammation and dysfunctional phosphocalcic metabolism. OBJECTIVE To identify the clinical and metabolic determinants of BPV calcification assessed by multidetector CT (MDCT). METHODS AND RESULTS Presence of BPV calcification was assessed by MDCT in 194 patients who had undergone aortic valve replacement. A calcification score was individually calculated and expressed in mm(3). Patients also underwent a clinical evaluation, a Doppler echocardiographic exam, and a plasma lipid and phosphocalcic profile. 46 patients (24%) had BPV calcification (cusp calcification score &gt;0\u2005mm(3)). After adjustment for age, gender, and time interval since BPV implantation, increased calcium-phosphorus product (OR 1.11, 95% CI 1.01 to 1.23 per 1 unit; p=0.02) and the presence of prosthesis-patient mismatch (OR 3.67, 95% CI 1.25 to 10.6; p=0.01) were the strongest independent factors associated with BPV calcification. Calcium supplement intake, age and female gender were independently associated with increased calcium-phosphorus product. CONCLUSIONS This study suggests that higher calcium-phosphorus product and prosthesis-patient mismatch promote BPV calcification. Furthermore, this study reports that calcium supplements, which are extensively prescribed in elderly patients, are independently associated with higher calcium-phosphorus product.", "author" : [ { "dropping-particle" : "", "family" : "Mahjoub", "given" : "Ha\u00effa", "non-dropping-particle" : "", "parse-names" : false, "suffix" : "" }, { "dropping-particle" : "", "family" : "Mathieu", "given" : "Patrick", "non-dropping-particle" : "", "parse-names" : false, "suffix" : "" }, { "dropping-particle" : "", "family" : "Larose", "given" : "Eric", "non-dropping-particle" : "", "parse-names" : false, "suffix" : "" }, { "dropping-particle" : "", "family" : "Dahou", "given" : "Abdelaziz", "non-dropping-particle" : "", "parse-names" : false, "suffix" : "" }, { "dropping-particle" : "", "family" : "S\u00e9n\u00e9chal", "given" : "Mario", "non-dropping-particle" : "", "parse-names" : false, "suffix" : "" }, { "dropping-particle" : "", "family" : "Dumesnil", "given" : "Jean-Gaston", "non-dropping-particle" : "", "parse-names" : false, "suffix" : "" }, { "dropping-particle" : "", "family" : "Despr\u00e9s", "given" : "Jean-Pierre", "non-dropping-particle" : "", "parse-names" : false, "suffix" : "" }, { "dropping-particle" : "", "family" : "Pibarot", "given" : "Philippe", "non-dropping-particle" : "", "parse-names" : false, "suffix" : "" } ], "container-title" : "Heart (British Cardiac Society)", "id" : "ITEM-2", "issue" : "6", "issued" : { "date-parts" : [ [ "2015", "3", "15" ] ] }, "page" : "472-7", "title" : "Determinants of aortic bioprosthetic valve calcification assessed by multidetector CT.", "type" : "article-journal", "volume" : "101" }, "uris" : [ "http://www.mendeley.com/documents/?uuid=f1efe2bf-fbf7-3121-a665-b4da03bbe748" ] } ], "mendeley" : { "formattedCitation" : "(18, 19)", "plainTextFormattedCitation" : "(18, 19)", "previouslyFormattedCitation" : "&lt;sup&gt;18,19&lt;/sup&gt;" }, "properties" : { "noteIndex" : 0 }, "schema" : "https://github.com/citation-style-language/schema/raw/master/csl-citation.json" }</w:instrText>
      </w:r>
      <w:r w:rsidR="00522FDC">
        <w:rPr>
          <w:rFonts w:ascii="Times New Roman" w:hAnsi="Times New Roman"/>
          <w:lang w:val="en-US"/>
        </w:rPr>
        <w:fldChar w:fldCharType="separate"/>
      </w:r>
      <w:r w:rsidR="00E05D9C" w:rsidRPr="00E05D9C">
        <w:rPr>
          <w:rFonts w:ascii="Times New Roman" w:hAnsi="Times New Roman"/>
          <w:noProof/>
          <w:lang w:val="en-US"/>
        </w:rPr>
        <w:t>(18, 19)</w:t>
      </w:r>
      <w:r w:rsidR="00522FDC">
        <w:rPr>
          <w:rFonts w:ascii="Times New Roman" w:hAnsi="Times New Roman"/>
          <w:lang w:val="en-US"/>
        </w:rPr>
        <w:fldChar w:fldCharType="end"/>
      </w:r>
      <w:r w:rsidR="00B211D7" w:rsidRPr="00CA3875">
        <w:rPr>
          <w:rFonts w:ascii="Times New Roman" w:hAnsi="Times New Roman"/>
          <w:lang w:val="en-US"/>
        </w:rPr>
        <w:t xml:space="preserve">. </w:t>
      </w:r>
      <w:r w:rsidRPr="00CA3875">
        <w:rPr>
          <w:rFonts w:ascii="Times New Roman" w:hAnsi="Times New Roman"/>
          <w:lang w:val="en-CA"/>
        </w:rPr>
        <w:t xml:space="preserve">Indeed, PPM increases the flow turbulence through the </w:t>
      </w:r>
      <w:r w:rsidR="002A2701" w:rsidRPr="00CA3875">
        <w:rPr>
          <w:rFonts w:ascii="Times New Roman" w:hAnsi="Times New Roman"/>
          <w:lang w:val="en-CA"/>
        </w:rPr>
        <w:t xml:space="preserve">prosthetic </w:t>
      </w:r>
      <w:r w:rsidRPr="00CA3875">
        <w:rPr>
          <w:rFonts w:ascii="Times New Roman" w:hAnsi="Times New Roman"/>
          <w:lang w:val="en-CA"/>
        </w:rPr>
        <w:t>valve orifice as well as the mechanical stress on the valve leaflets</w:t>
      </w:r>
      <w:r w:rsidR="00522FDC">
        <w:rPr>
          <w:rFonts w:ascii="Times New Roman" w:hAnsi="Times New Roman"/>
          <w:lang w:val="en-CA"/>
        </w:rPr>
        <w:fldChar w:fldCharType="begin" w:fldLock="1"/>
      </w:r>
      <w:r w:rsidR="00E05D9C">
        <w:rPr>
          <w:rFonts w:ascii="Times New Roman" w:hAnsi="Times New Roman"/>
          <w:lang w:val="en-CA"/>
        </w:rPr>
        <w:instrText>ADDIN CSL_CITATION { "citationItems" : [ { "id" : "ITEM-1", "itemData" : { "DOI" : "10.1161/CIRCULATIONAHA.109.901272", "ISSN" : "1524-4539", "PMID" : "20439787", "abstract" : "BACKGROUND Prosthesis-patient mismatch (P-PtM) after aortic valve replacement results in disturbed valve performance associated with increased pressure gradients. However, it is unknown whether this can be related to future structural valve deterioration (SVD) of the bioprosthesis. METHODS AND RESULTS In 564 patients (mean age, 74+/-5 years) receiving an aortic valve bioprosthesis, clinical follow-up (median, 6.1 years; maximum, 16.4 years) was analyzed including echocardiography. SVD was diagnosed in 40 patients (7%) as substantially increased stenosis (n=24) or regurgitation (n=16) of the operated valve over time. When patients with P-PtM (effective orifice area index &lt;0.85 cm(2)/m(2); n=285) developed SVD, it was preferentially of the stenosis type, whereas when patients without P-PtM (n=279) developed SVD, the majority was of the incompetence type (P&lt;0.05). Multivariable analysis including patient- and valve-related variables revealed that P-PtM and label size &lt;/=21 were independent predictors of SVD (P=0.04 and P=0.02, respectively). A nonparametric Turnbull estimate analysis showed that SVD is virtually nonexistent for up to 9 years in patients without P-PtM. Thereafter, SVD starts to occur and is mainly of the incompetence-type SVD (79% of cases). In patients with P-PtM, SVD starts to occur after 2 to 3 years after implantation and is mainly of the stenosis-type SVD (81% of cases). CONCLUSIONS These data suggest that stenosis-type SVD is an early, P-PtM-related, and thus preventable phenomenon. Incompetence-type SVD is a time-dependent, nonspecific wear damage to bioprosthetic valves, which is not related to P-PtM.", "author" : [ { "dropping-particle" : "", "family" : "Flameng", "given" : "Willem", "non-dropping-particle" : "", "parse-names" : false, "suffix" : "" }, { "dropping-particle" : "", "family" : "Herregods", "given" : "Marie-Christine", "non-dropping-particle" : "", "parse-names" : false, "suffix" : "" }, { "dropping-particle" : "", "family" : "Vercalsteren", "given" : "Monique", "non-dropping-particle" : "", "parse-names" : false, "suffix" : "" }, { "dropping-particle" : "", "family" : "Herijgers", "given" : "Paul", "non-dropping-particle" : "", "parse-names" : false, "suffix" : "" }, { "dropping-particle" : "", "family" : "Bogaerts", "given" : "Kris", "non-dropping-particle" : "", "parse-names" : false, "suffix" : "" }, { "dropping-particle" : "", "family" : "Meuris", "given" : "Bart", "non-dropping-particle" : "", "parse-names" : false, "suffix" : "" } ], "container-title" : "Circulation", "id" : "ITEM-1", "issue" : "19", "issued" : { "date-parts" : [ [ "2010", "5", "18" ] ] }, "page" : "2123-9", "title" : "Prosthesis-patient mismatch predicts structural valve degeneration in bioprosthetic heart valves.", "type" : "article-journal", "volume" : "121" }, "uris" : [ "http://www.mendeley.com/documents/?uuid=f12e86f9-6319-3517-bc6f-14019abf749a" ] }, { "id" : "ITEM-2", "itemData" : { "DOI" : "10.1136/heartjnl-2014-306445", "ISSN" : "1468-201X", "PMID" : "25618481", "abstract" : "BACKGROUND Cusp calcification is the main mechanism leading to bioprosthetic heart valve (BPV) failure. Recent studies suggest that BPV calcification is an active rather than passive process probably modulated by several mechanisms including lipid-mediated inflammation and dysfunctional phosphocalcic metabolism. OBJECTIVE To identify the clinical and metabolic determinants of BPV calcification assessed by multidetector CT (MDCT). METHODS AND RESULTS Presence of BPV calcification was assessed by MDCT in 194 patients who had undergone aortic valve replacement. A calcification score was individually calculated and expressed in mm(3). Patients also underwent a clinical evaluation, a Doppler echocardiographic exam, and a plasma lipid and phosphocalcic profile. 46 patients (24%) had BPV calcification (cusp calcification score &gt;0\u2005mm(3)). After adjustment for age, gender, and time interval since BPV implantation, increased calcium-phosphorus product (OR 1.11, 95% CI 1.01 to 1.23 per 1 unit; p=0.02) and the presence of prosthesis-patient mismatch (OR 3.67, 95% CI 1.25 to 10.6; p=0.01) were the strongest independent factors associated with BPV calcification. Calcium supplement intake, age and female gender were independently associated with increased calcium-phosphorus product. CONCLUSIONS This study suggests that higher calcium-phosphorus product and prosthesis-patient mismatch promote BPV calcification. Furthermore, this study reports that calcium supplements, which are extensively prescribed in elderly patients, are independently associated with higher calcium-phosphorus product.", "author" : [ { "dropping-particle" : "", "family" : "Mahjoub", "given" : "Ha\u00effa", "non-dropping-particle" : "", "parse-names" : false, "suffix" : "" }, { "dropping-particle" : "", "family" : "Mathieu", "given" : "Patrick", "non-dropping-particle" : "", "parse-names" : false, "suffix" : "" }, { "dropping-particle" : "", "family" : "Larose", "given" : "Eric", "non-dropping-particle" : "", "parse-names" : false, "suffix" : "" }, { "dropping-particle" : "", "family" : "Dahou", "given" : "Abdelaziz", "non-dropping-particle" : "", "parse-names" : false, "suffix" : "" }, { "dropping-particle" : "", "family" : "S\u00e9n\u00e9chal", "given" : "Mario", "non-dropping-particle" : "", "parse-names" : false, "suffix" : "" }, { "dropping-particle" : "", "family" : "Dumesnil", "given" : "Jean-Gaston", "non-dropping-particle" : "", "parse-names" : false, "suffix" : "" }, { "dropping-particle" : "", "family" : "Despr\u00e9s", "given" : "Jean-Pierre", "non-dropping-particle" : "", "parse-names" : false, "suffix" : "" }, { "dropping-particle" : "", "family" : "Pibarot", "given" : "Philippe", "non-dropping-particle" : "", "parse-names" : false, "suffix" : "" } ], "container-title" : "Heart (British Cardiac Society)", "id" : "ITEM-2", "issue" : "6", "issued" : { "date-parts" : [ [ "2015", "3", "15" ] ] }, "page" : "472-7", "title" : "Determinants of aortic bioprosthetic valve calcification assessed by multidetector CT.", "type" : "article-journal", "volume" : "101" }, "uris" : [ "http://www.mendeley.com/documents/?uuid=f1efe2bf-fbf7-3121-a665-b4da03bbe748" ] } ], "mendeley" : { "formattedCitation" : "(18, 19)", "plainTextFormattedCitation" : "(18, 19)", "previouslyFormattedCitation" : "&lt;sup&gt;18,19&lt;/sup&gt;" }, "properties" : { "noteIndex" : 0 }, "schema" : "https://github.com/citation-style-language/schema/raw/master/csl-citation.json" }</w:instrText>
      </w:r>
      <w:r w:rsidR="00522FDC">
        <w:rPr>
          <w:rFonts w:ascii="Times New Roman" w:hAnsi="Times New Roman"/>
          <w:lang w:val="en-CA"/>
        </w:rPr>
        <w:fldChar w:fldCharType="separate"/>
      </w:r>
      <w:r w:rsidR="00E05D9C" w:rsidRPr="00E05D9C">
        <w:rPr>
          <w:rFonts w:ascii="Times New Roman" w:hAnsi="Times New Roman"/>
          <w:noProof/>
          <w:lang w:val="en-CA"/>
        </w:rPr>
        <w:t>(18, 19)</w:t>
      </w:r>
      <w:r w:rsidR="00522FDC">
        <w:rPr>
          <w:rFonts w:ascii="Times New Roman" w:hAnsi="Times New Roman"/>
          <w:lang w:val="en-CA"/>
        </w:rPr>
        <w:fldChar w:fldCharType="end"/>
      </w:r>
      <w:r w:rsidRPr="00CA3875">
        <w:rPr>
          <w:rFonts w:ascii="Times New Roman" w:hAnsi="Times New Roman"/>
          <w:lang w:val="en-CA"/>
        </w:rPr>
        <w:t xml:space="preserve">. </w:t>
      </w:r>
      <w:r w:rsidR="002A2701" w:rsidRPr="00CA3875">
        <w:rPr>
          <w:rFonts w:ascii="Times New Roman" w:hAnsi="Times New Roman"/>
          <w:lang w:val="en-CA"/>
        </w:rPr>
        <w:t>In turn, l</w:t>
      </w:r>
      <w:r w:rsidRPr="00CA3875">
        <w:rPr>
          <w:rFonts w:ascii="Times New Roman" w:hAnsi="Times New Roman"/>
          <w:lang w:val="en-CA"/>
        </w:rPr>
        <w:t>eaflet mechanical stress is an important factor contributing to the structural degeneration of bioprostheses</w:t>
      </w:r>
      <w:r w:rsidR="00522FDC">
        <w:rPr>
          <w:rFonts w:ascii="Times New Roman" w:hAnsi="Times New Roman"/>
          <w:lang w:val="en-CA"/>
        </w:rPr>
        <w:fldChar w:fldCharType="begin" w:fldLock="1"/>
      </w:r>
      <w:r w:rsidR="00E05D9C">
        <w:rPr>
          <w:rFonts w:ascii="Times New Roman" w:hAnsi="Times New Roman"/>
          <w:lang w:val="en-CA"/>
        </w:rPr>
        <w:instrText>ADDIN CSL_CITATION { "citationItems" : [ { "id" : "ITEM-1", "itemData" : { "ISSN" : "0022-5223", "PMID" : "6865456", "abstract" : "Calcification of bioprostheses used for heart valve replacement is a serious problem, since it causes bioprosthetic dysfunction. In vivo, bioprostheses are subjected to large mechanical stresses during each cardiac cycle. We investigated whether stresses play a major role in calcification of bioprostheses. Previous studies of Carpentier-Edwards porcine, Hancock porcine, and Ionescu-Shiley pericardial bioprostheses indicated that the highest stresses occurred in the areas of greatest flexion of the leaflet. In porcine bioprostheses, stresses were greater in the commissural region than at the base, and were compressive on the aortic surface of the leaflet. The pericardial tissue showed shear deformation in the zone of flexion. In the present study, the three types of bioprostheses were implanted in the aortic position in calves to investigate the development, location, and distribution of calcification. Visual, radiographic, and histologic techniques were used. All bioprostheses showed calcification which began in the area of leaflet flexion. In porcine bioprostheses, calcification occurred earlier in the commissural region than at the base. The earliest calcific deposits were localized within collagen cords on the aortic surface of the leaflets. In pericardial bioprostheses, calcification occurred at multiple foci along the zone of leaflet flexion and was located between and within layers of collagen along planes parallel to the leaflet surface. Hence calcification in all bioprostheses began in the areas of greatest stress. In porcine bioprostheses, calcification was present where collagen fibers are likely to have been damaged by compressive stresses. In pericardial bioprostheses, calcification was found along the planes of shear where structural integrity is likely to have been disrupted by the sliding of individual layers of collagen over each other. It is concluded that mechanical stresses initiate calcification by damaging the structural integrity of the leaflet tissue. Therefore, calcification of bioprostheses can be inhibited by reducing functional stresses through the modification of design and tissue properties to duplicate those of the natural aortic valve.", "author" : [ { "dropping-particle" : "", "family" : "Thubrikar", "given" : "M J", "non-dropping-particle" : "", "parse-names" : false, "suffix" : "" }, { "dropping-particle" : "", "family" : "Deck", "given" : "J D", "non-dropping-particle" : "", "parse-names" : false, "suffix" : "" }, { "dropping-particle" : "", "family" : "Aouad", "given" : "J", "non-dropping-particle" : "", "parse-names" : false, "suffix" : "" }, { "dropping-particle" : "", "family" : "Nolan", "given" : "S P", "non-dropping-particle" : "", "parse-names" : false, "suffix" : "" } ], "container-title" : "The Journal of thoracic and cardiovascular surgery", "id" : "ITEM-1", "issue" : "1", "issued" : { "date-parts" : [ [ "1983", "7" ] ] }, "page" : "115-25", "title" : "Role of mechanical stress in calcification of aortic bioprosthetic valves.", "type" : "article-journal", "volume" : "86" }, "uris" : [ "http://www.mendeley.com/documents/?uuid=5554b189-002b-438a-92e1-a698efabeb47" ] } ], "mendeley" : { "formattedCitation" : "(20)", "plainTextFormattedCitation" : "(20)", "previouslyFormattedCitation" : "&lt;sup&gt;20&lt;/sup&gt;" }, "properties" : { "noteIndex" : 0 }, "schema" : "https://github.com/citation-style-language/schema/raw/master/csl-citation.json" }</w:instrText>
      </w:r>
      <w:r w:rsidR="00522FDC">
        <w:rPr>
          <w:rFonts w:ascii="Times New Roman" w:hAnsi="Times New Roman"/>
          <w:lang w:val="en-CA"/>
        </w:rPr>
        <w:fldChar w:fldCharType="separate"/>
      </w:r>
      <w:r w:rsidR="00E05D9C" w:rsidRPr="00E05D9C">
        <w:rPr>
          <w:rFonts w:ascii="Times New Roman" w:hAnsi="Times New Roman"/>
          <w:noProof/>
          <w:lang w:val="en-CA"/>
        </w:rPr>
        <w:t>(20)</w:t>
      </w:r>
      <w:r w:rsidR="00522FDC">
        <w:rPr>
          <w:rFonts w:ascii="Times New Roman" w:hAnsi="Times New Roman"/>
          <w:lang w:val="en-CA"/>
        </w:rPr>
        <w:fldChar w:fldCharType="end"/>
      </w:r>
      <w:r w:rsidRPr="00CA3875">
        <w:rPr>
          <w:rFonts w:ascii="Times New Roman" w:hAnsi="Times New Roman"/>
          <w:lang w:val="en-CA"/>
        </w:rPr>
        <w:t xml:space="preserve">. </w:t>
      </w:r>
      <w:r w:rsidR="00B211D7" w:rsidRPr="00CA3875">
        <w:rPr>
          <w:rFonts w:ascii="Times New Roman" w:hAnsi="Times New Roman"/>
          <w:lang w:val="en-US"/>
        </w:rPr>
        <w:t>Furthermore, patients with pre-existent severe PPM</w:t>
      </w:r>
      <w:r w:rsidRPr="00CA3875">
        <w:rPr>
          <w:rFonts w:ascii="Times New Roman" w:hAnsi="Times New Roman"/>
          <w:lang w:val="en-US"/>
        </w:rPr>
        <w:t xml:space="preserve"> already have </w:t>
      </w:r>
      <w:r w:rsidR="002A2701" w:rsidRPr="00CA3875">
        <w:rPr>
          <w:rFonts w:ascii="Times New Roman" w:hAnsi="Times New Roman"/>
          <w:lang w:val="en-US"/>
        </w:rPr>
        <w:t xml:space="preserve">significantly </w:t>
      </w:r>
      <w:r w:rsidRPr="00CA3875">
        <w:rPr>
          <w:rFonts w:ascii="Times New Roman" w:hAnsi="Times New Roman"/>
          <w:lang w:val="en-US"/>
        </w:rPr>
        <w:t>increased LV afterload</w:t>
      </w:r>
      <w:r w:rsidR="002A2701" w:rsidRPr="00CA3875">
        <w:rPr>
          <w:rFonts w:ascii="Times New Roman" w:hAnsi="Times New Roman"/>
          <w:lang w:val="en-US"/>
        </w:rPr>
        <w:t xml:space="preserve"> at the outset of the in</w:t>
      </w:r>
      <w:r w:rsidR="0019557B" w:rsidRPr="00CA3875">
        <w:rPr>
          <w:rFonts w:ascii="Times New Roman" w:hAnsi="Times New Roman"/>
          <w:lang w:val="en-US"/>
        </w:rPr>
        <w:t xml:space="preserve">dex </w:t>
      </w:r>
      <w:r w:rsidR="002A2701" w:rsidRPr="00CA3875">
        <w:rPr>
          <w:rFonts w:ascii="Times New Roman" w:hAnsi="Times New Roman"/>
          <w:lang w:val="en-US"/>
        </w:rPr>
        <w:t>AVR</w:t>
      </w:r>
      <w:r w:rsidRPr="00CA3875">
        <w:rPr>
          <w:rFonts w:ascii="Times New Roman" w:hAnsi="Times New Roman"/>
          <w:lang w:val="en-US"/>
        </w:rPr>
        <w:t xml:space="preserve"> and</w:t>
      </w:r>
      <w:r w:rsidR="002A2701" w:rsidRPr="00CA3875">
        <w:rPr>
          <w:rFonts w:ascii="Times New Roman" w:hAnsi="Times New Roman"/>
          <w:lang w:val="en-US"/>
        </w:rPr>
        <w:t xml:space="preserve"> they</w:t>
      </w:r>
      <w:r w:rsidR="00B211D7" w:rsidRPr="00CA3875">
        <w:rPr>
          <w:rFonts w:ascii="Times New Roman" w:hAnsi="Times New Roman"/>
          <w:lang w:val="en-US"/>
        </w:rPr>
        <w:t xml:space="preserve"> may</w:t>
      </w:r>
      <w:r w:rsidRPr="00CA3875">
        <w:rPr>
          <w:rFonts w:ascii="Times New Roman" w:hAnsi="Times New Roman"/>
          <w:lang w:val="en-US"/>
        </w:rPr>
        <w:t xml:space="preserve"> thus</w:t>
      </w:r>
      <w:r w:rsidR="00B211D7" w:rsidRPr="00CA3875">
        <w:rPr>
          <w:rFonts w:ascii="Times New Roman" w:hAnsi="Times New Roman"/>
          <w:lang w:val="en-US"/>
        </w:rPr>
        <w:t xml:space="preserve"> be less likely to tolerate the additional hemodynamic burden </w:t>
      </w:r>
      <w:r w:rsidRPr="00CA3875">
        <w:rPr>
          <w:rFonts w:ascii="Times New Roman" w:hAnsi="Times New Roman"/>
          <w:lang w:val="en-US"/>
        </w:rPr>
        <w:t xml:space="preserve">caused </w:t>
      </w:r>
      <w:r w:rsidR="00B211D7" w:rsidRPr="00CA3875">
        <w:rPr>
          <w:rFonts w:ascii="Times New Roman" w:hAnsi="Times New Roman"/>
          <w:lang w:val="en-US"/>
        </w:rPr>
        <w:t xml:space="preserve">by a significant acquired dysfunction (stenosis and/or regurgitation). </w:t>
      </w:r>
    </w:p>
    <w:p w14:paraId="26BBE745" w14:textId="77777777" w:rsidR="00997F85" w:rsidRPr="00CA3875" w:rsidRDefault="00997F85" w:rsidP="00F86913">
      <w:pPr>
        <w:spacing w:line="480" w:lineRule="auto"/>
        <w:rPr>
          <w:rFonts w:ascii="Times New Roman" w:hAnsi="Times New Roman"/>
          <w:lang w:val="en-US"/>
        </w:rPr>
      </w:pPr>
    </w:p>
    <w:p w14:paraId="78EFB2B0" w14:textId="46C249B4" w:rsidR="00F21436" w:rsidRPr="00CA3875" w:rsidRDefault="00A35C42" w:rsidP="00495776">
      <w:pPr>
        <w:spacing w:line="480" w:lineRule="auto"/>
        <w:rPr>
          <w:rFonts w:ascii="Times New Roman" w:hAnsi="Times New Roman"/>
          <w:lang w:val="en-US"/>
        </w:rPr>
      </w:pPr>
      <w:r w:rsidRPr="00CA3875">
        <w:rPr>
          <w:rFonts w:ascii="Times New Roman" w:hAnsi="Times New Roman"/>
          <w:lang w:val="en-US"/>
        </w:rPr>
        <w:lastRenderedPageBreak/>
        <w:t xml:space="preserve">In </w:t>
      </w:r>
      <w:r w:rsidR="002A2701" w:rsidRPr="00CA3875">
        <w:rPr>
          <w:rFonts w:ascii="Times New Roman" w:hAnsi="Times New Roman"/>
          <w:lang w:val="en-US"/>
        </w:rPr>
        <w:t>this</w:t>
      </w:r>
      <w:r w:rsidRPr="00CA3875">
        <w:rPr>
          <w:rFonts w:ascii="Times New Roman" w:hAnsi="Times New Roman"/>
          <w:lang w:val="en-US"/>
        </w:rPr>
        <w:t xml:space="preserve"> study, </w:t>
      </w:r>
      <w:r w:rsidR="0004609C" w:rsidRPr="00CA3875">
        <w:rPr>
          <w:rFonts w:ascii="Times New Roman" w:hAnsi="Times New Roman"/>
          <w:lang w:val="en-US"/>
        </w:rPr>
        <w:t>patients with</w:t>
      </w:r>
      <w:r w:rsidRPr="00CA3875">
        <w:rPr>
          <w:rFonts w:ascii="Times New Roman" w:hAnsi="Times New Roman"/>
          <w:lang w:val="en-US"/>
        </w:rPr>
        <w:t xml:space="preserve"> pre-existent severe PPM had worse hemodynamic and clinical outcomes following ViV. The ViV procedure generally improves the hemodynamic and clinical status</w:t>
      </w:r>
      <w:r w:rsidR="002A2701" w:rsidRPr="00CA3875">
        <w:rPr>
          <w:rFonts w:ascii="Times New Roman" w:hAnsi="Times New Roman"/>
          <w:lang w:val="en-US"/>
        </w:rPr>
        <w:t xml:space="preserve"> of</w:t>
      </w:r>
      <w:r w:rsidRPr="00CA3875">
        <w:rPr>
          <w:rFonts w:ascii="Times New Roman" w:hAnsi="Times New Roman"/>
          <w:lang w:val="en-US"/>
        </w:rPr>
        <w:t xml:space="preserve"> patients who have an acquired dysfunction resulting from structural valve degeneration. However, PPM is a non-structural </w:t>
      </w:r>
      <w:r w:rsidR="00495776" w:rsidRPr="00CA3875">
        <w:rPr>
          <w:rFonts w:ascii="Times New Roman" w:hAnsi="Times New Roman"/>
          <w:lang w:val="en-US"/>
        </w:rPr>
        <w:t xml:space="preserve">“iatrogenic” </w:t>
      </w:r>
      <w:r w:rsidRPr="00CA3875">
        <w:rPr>
          <w:rFonts w:ascii="Times New Roman" w:hAnsi="Times New Roman"/>
          <w:lang w:val="en-US"/>
        </w:rPr>
        <w:t xml:space="preserve">complication that is characterized by a prosthetic valve </w:t>
      </w:r>
      <w:r w:rsidR="0004609C" w:rsidRPr="00CA3875">
        <w:rPr>
          <w:rFonts w:ascii="Times New Roman" w:hAnsi="Times New Roman"/>
          <w:lang w:val="en-US"/>
        </w:rPr>
        <w:t>with normal function</w:t>
      </w:r>
      <w:r w:rsidRPr="00CA3875">
        <w:rPr>
          <w:rFonts w:ascii="Times New Roman" w:hAnsi="Times New Roman"/>
          <w:lang w:val="en-US"/>
        </w:rPr>
        <w:t xml:space="preserve"> but </w:t>
      </w:r>
      <w:r w:rsidR="00576E34">
        <w:rPr>
          <w:rFonts w:ascii="Times New Roman" w:hAnsi="Times New Roman"/>
          <w:lang w:val="en-US"/>
        </w:rPr>
        <w:t>that</w:t>
      </w:r>
      <w:r w:rsidR="00576E34" w:rsidRPr="00CA3875">
        <w:rPr>
          <w:rFonts w:ascii="Times New Roman" w:hAnsi="Times New Roman"/>
          <w:lang w:val="en-US"/>
        </w:rPr>
        <w:t xml:space="preserve"> </w:t>
      </w:r>
      <w:r w:rsidRPr="00CA3875">
        <w:rPr>
          <w:rFonts w:ascii="Times New Roman" w:hAnsi="Times New Roman"/>
          <w:lang w:val="en-US"/>
        </w:rPr>
        <w:t>is too small in relation to the body size</w:t>
      </w:r>
      <w:r w:rsidR="00973BC9" w:rsidRPr="00CA3875">
        <w:rPr>
          <w:rFonts w:ascii="Times New Roman" w:hAnsi="Times New Roman"/>
          <w:lang w:val="en-US"/>
        </w:rPr>
        <w:t xml:space="preserve"> and thus to the cardiac output requirements of the patient</w:t>
      </w:r>
      <w:r w:rsidRPr="00CA3875">
        <w:rPr>
          <w:rFonts w:ascii="Times New Roman" w:hAnsi="Times New Roman"/>
          <w:lang w:val="en-US"/>
        </w:rPr>
        <w:t xml:space="preserve">. </w:t>
      </w:r>
      <w:r w:rsidR="00B84A6A" w:rsidRPr="00CA3875">
        <w:rPr>
          <w:rFonts w:ascii="Times New Roman" w:hAnsi="Times New Roman"/>
          <w:lang w:val="en-US"/>
        </w:rPr>
        <w:t>Hence, given that the stent and internal orifice diameter of surgical bioprosthetic valve</w:t>
      </w:r>
      <w:r w:rsidR="00973BC9" w:rsidRPr="00CA3875">
        <w:rPr>
          <w:rFonts w:ascii="Times New Roman" w:hAnsi="Times New Roman"/>
          <w:lang w:val="en-US"/>
        </w:rPr>
        <w:t>s</w:t>
      </w:r>
      <w:r w:rsidR="00B84A6A" w:rsidRPr="00CA3875">
        <w:rPr>
          <w:rFonts w:ascii="Times New Roman" w:hAnsi="Times New Roman"/>
          <w:lang w:val="en-US"/>
        </w:rPr>
        <w:t xml:space="preserve"> are generally not expansible, the </w:t>
      </w:r>
      <w:r w:rsidRPr="00CA3875">
        <w:rPr>
          <w:rFonts w:ascii="Times New Roman" w:hAnsi="Times New Roman"/>
          <w:lang w:val="en-US"/>
        </w:rPr>
        <w:t>ViV procedure</w:t>
      </w:r>
      <w:r w:rsidR="00B84A6A" w:rsidRPr="00CA3875">
        <w:rPr>
          <w:rFonts w:ascii="Times New Roman" w:hAnsi="Times New Roman"/>
          <w:lang w:val="en-US"/>
        </w:rPr>
        <w:t xml:space="preserve"> can</w:t>
      </w:r>
      <w:r w:rsidR="00F21436" w:rsidRPr="00CA3875">
        <w:rPr>
          <w:rFonts w:ascii="Times New Roman" w:hAnsi="Times New Roman"/>
          <w:lang w:val="en-US"/>
        </w:rPr>
        <w:t>not correct a pre-existent PPM</w:t>
      </w:r>
      <w:r w:rsidR="00B84A6A" w:rsidRPr="00CA3875">
        <w:rPr>
          <w:rFonts w:ascii="Times New Roman" w:hAnsi="Times New Roman"/>
          <w:lang w:val="en-US"/>
        </w:rPr>
        <w:t xml:space="preserve"> and</w:t>
      </w:r>
      <w:r w:rsidR="00595941">
        <w:rPr>
          <w:rFonts w:ascii="Times New Roman" w:hAnsi="Times New Roman"/>
          <w:lang w:val="en-US"/>
        </w:rPr>
        <w:t xml:space="preserve">, in fact, this procedure </w:t>
      </w:r>
      <w:r w:rsidR="00F21436" w:rsidRPr="00CA3875">
        <w:rPr>
          <w:rFonts w:ascii="Times New Roman" w:hAnsi="Times New Roman"/>
          <w:lang w:val="en-US"/>
        </w:rPr>
        <w:t>may even worsen the PPM</w:t>
      </w:r>
      <w:r w:rsidR="00B84A6A" w:rsidRPr="00CA3875">
        <w:rPr>
          <w:rFonts w:ascii="Times New Roman" w:hAnsi="Times New Roman"/>
          <w:lang w:val="en-US"/>
        </w:rPr>
        <w:t>. Indeed, the</w:t>
      </w:r>
      <w:r w:rsidR="00F21436" w:rsidRPr="00CA3875">
        <w:rPr>
          <w:rFonts w:ascii="Times New Roman" w:hAnsi="Times New Roman"/>
          <w:lang w:val="en-US"/>
        </w:rPr>
        <w:t xml:space="preserve"> implantation of </w:t>
      </w:r>
      <w:r w:rsidR="0004609C" w:rsidRPr="00CA3875">
        <w:rPr>
          <w:rFonts w:ascii="Times New Roman" w:hAnsi="Times New Roman"/>
          <w:lang w:val="en-US"/>
        </w:rPr>
        <w:t>a</w:t>
      </w:r>
      <w:r w:rsidR="00F21436" w:rsidRPr="00CA3875">
        <w:rPr>
          <w:rFonts w:ascii="Times New Roman" w:hAnsi="Times New Roman"/>
          <w:lang w:val="en-US"/>
        </w:rPr>
        <w:t xml:space="preserve"> THV within </w:t>
      </w:r>
      <w:r w:rsidR="00B84A6A" w:rsidRPr="00CA3875">
        <w:rPr>
          <w:rFonts w:ascii="Times New Roman" w:hAnsi="Times New Roman"/>
          <w:lang w:val="en-US"/>
        </w:rPr>
        <w:t>a</w:t>
      </w:r>
      <w:r w:rsidR="00F21436" w:rsidRPr="00CA3875">
        <w:rPr>
          <w:rFonts w:ascii="Times New Roman" w:hAnsi="Times New Roman"/>
          <w:lang w:val="en-US"/>
        </w:rPr>
        <w:t xml:space="preserve"> severely mismatched </w:t>
      </w:r>
      <w:r w:rsidR="00B84A6A" w:rsidRPr="00CA3875">
        <w:rPr>
          <w:rFonts w:ascii="Times New Roman" w:hAnsi="Times New Roman"/>
          <w:lang w:val="en-US"/>
        </w:rPr>
        <w:t xml:space="preserve">bioprosthetic </w:t>
      </w:r>
      <w:r w:rsidR="00F21436" w:rsidRPr="00CA3875">
        <w:rPr>
          <w:rFonts w:ascii="Times New Roman" w:hAnsi="Times New Roman"/>
          <w:lang w:val="en-US"/>
        </w:rPr>
        <w:t xml:space="preserve">valve </w:t>
      </w:r>
      <w:r w:rsidR="00B84A6A" w:rsidRPr="00CA3875">
        <w:rPr>
          <w:rFonts w:ascii="Times New Roman" w:hAnsi="Times New Roman"/>
          <w:lang w:val="en-US"/>
        </w:rPr>
        <w:t xml:space="preserve">may </w:t>
      </w:r>
      <w:r w:rsidR="00F21436" w:rsidRPr="00CA3875">
        <w:rPr>
          <w:rFonts w:ascii="Times New Roman" w:hAnsi="Times New Roman"/>
          <w:lang w:val="en-US"/>
        </w:rPr>
        <w:t xml:space="preserve">further reduce the </w:t>
      </w:r>
      <w:r w:rsidR="00973BC9" w:rsidRPr="00CA3875">
        <w:rPr>
          <w:rFonts w:ascii="Times New Roman" w:hAnsi="Times New Roman"/>
          <w:lang w:val="en-US"/>
        </w:rPr>
        <w:t xml:space="preserve">already limited </w:t>
      </w:r>
      <w:r w:rsidR="00F21436" w:rsidRPr="00CA3875">
        <w:rPr>
          <w:rFonts w:ascii="Times New Roman" w:hAnsi="Times New Roman"/>
          <w:lang w:val="en-US"/>
        </w:rPr>
        <w:t>valve orifice area available for flow.</w:t>
      </w:r>
    </w:p>
    <w:p w14:paraId="4B303CD8" w14:textId="77777777" w:rsidR="00B84A6A" w:rsidRPr="00CA3875" w:rsidRDefault="00B84A6A" w:rsidP="00F86913">
      <w:pPr>
        <w:spacing w:line="480" w:lineRule="auto"/>
        <w:rPr>
          <w:rFonts w:ascii="Times New Roman" w:hAnsi="Times New Roman"/>
          <w:lang w:val="en-US"/>
        </w:rPr>
      </w:pPr>
    </w:p>
    <w:p w14:paraId="37762AA9" w14:textId="06C79E69" w:rsidR="005E497E" w:rsidRPr="00CA3875" w:rsidRDefault="00F21436" w:rsidP="00F86913">
      <w:pPr>
        <w:autoSpaceDE w:val="0"/>
        <w:autoSpaceDN w:val="0"/>
        <w:adjustRightInd w:val="0"/>
        <w:spacing w:line="480" w:lineRule="auto"/>
        <w:rPr>
          <w:rFonts w:ascii="Times New Roman" w:hAnsi="Times New Roman"/>
          <w:lang w:val="en-US"/>
        </w:rPr>
      </w:pPr>
      <w:r w:rsidRPr="00CA3875">
        <w:rPr>
          <w:rFonts w:ascii="Times New Roman" w:hAnsi="Times New Roman"/>
          <w:lang w:val="en-US"/>
        </w:rPr>
        <w:t>Patients with small surgical bioprostheses harbor a higher prevalence of severe PPM</w:t>
      </w:r>
      <w:r w:rsidR="00522FDC">
        <w:rPr>
          <w:rFonts w:ascii="Times New Roman" w:hAnsi="Times New Roman"/>
          <w:lang w:val="en-US"/>
        </w:rPr>
        <w:fldChar w:fldCharType="begin" w:fldLock="1"/>
      </w:r>
      <w:r w:rsidR="00E05D9C">
        <w:rPr>
          <w:rFonts w:ascii="Times New Roman" w:hAnsi="Times New Roman"/>
          <w:lang w:val="en-US"/>
        </w:rPr>
        <w:instrText>ADDIN CSL_CITATION { "citationItems" : [ { "id" : "ITEM-1", "itemData" : { "DOI" : "10.1016/j.jcmg.2015.10.026", "ISSN" : "1936878X", "PMID" : "27236530", "abstract" : "OBJECTIVES This study sought to evaluate predictors of prosthesis-patient mismatch (PPM) and its association with the risk of perioperative and overall mortality. BACKGROUND PPM is associated with increased mid- and long-term mortality after surgical aortic valve replacement. Conflicting results have been reported with regard to its association with perioperative mortality. METHODS Databases were searched for studies published between 1965 and 2014. Main outcomes of interest were perioperative mortality and overall mortality. RESULTS The search yielded 382 studies for inclusion. Of these, 58 articles were analyzed and their data extracted. The total number of patients included was 40,381 (39,568 surgical aortic valve replacement and 813 transcatheter aortic valve replacement). Perioperative (odds ratio: 1.54; 95% confidence interval: 1.25 to 1.91) and overall (i.e., perioperative and post-operative) mortality (hazard ratio: 1.26; 95% confidence interval: 1.16 to 1.36) was increased in patients with PPM. The impact of PPM on mortality was higher in those studies in which the mean age of the patients was &lt;70 years of age (and/or AVR with associated coronary artery bypass graft was included). Severe PPM was associated with increased risk of both perioperative and overall mortality, whereas moderate PPM was associated with increased risk of perioperative mortality but not of overall mortality. The impact of PPM was less pronounced in patients with larger body mass index (&gt;28 kg/m(2)) compared with those with lower index. Predictors of PPM were older age, female sex, hypertension, diabetes, renal failure, larger body surface area, larger body mass index, and the utilization of a bioprosthesis. CONCLUSIONS PPM increases perioperative and overall mortality proportionally to its severity. The identification of predictors for PPM may be useful to identify patients who are at higher risk for PPM. The findings of this study support the implementation of strategies to prevent PPM especially in patients\u00a0&lt;70 years of age and/or with concomitant coronary artery bypass graft.", "author" : [ { "dropping-particle" : "", "family" : "Dayan", "given" : "Victor", "non-dropping-particle" : "", "parse-names" : false, "suffix" : "" }, { "dropping-particle" : "", "family" : "Vignolo", "given" : "Gustavo", "non-dropping-particle" : "", "parse-names" : false, "suffix" : "" }, { "dropping-particle" : "", "family" : "Soca", "given" : "Gerardo", "non-dropping-particle" : "", "parse-names" : false, "suffix" : "" }, { "dropping-particle" : "", "family" : "Paganini", "given" : "Juan Jose", "non-dropping-particle" : "", "parse-names" : false, "suffix" : "" }, { "dropping-particle" : "", "family" : "Brusich", "given" : "Daniel", "non-dropping-particle" : "", "parse-names" : false, "suffix" : "" }, { "dropping-particle" : "", "family" : "Pibarot", "given" : "Philippe", "non-dropping-particle" : "", "parse-names" : false, "suffix" : "" } ], "container-title" : "JACC: Cardiovascular Imaging", "id" : "ITEM-1", "issue" : "8", "issued" : { "date-parts" : [ [ "2016", "8" ] ] }, "page" : "924-933", "title" : "Predictors and Outcomes of Prosthesis-Patient Mismatch After\u00a0Aortic\u00a0Valve Replacement", "type" : "article-journal", "volume" : "9" }, "uris" : [ "http://www.mendeley.com/documents/?uuid=b950adb9-be54-3bc0-8226-48469099ebf3" ] }, { "id" : "ITEM-2", "itemData" : { "DOI" : "10.1136/hrt.2005.067363", "ISSN" : "1468-201X", "PMID" : "16251232", "abstract" : "Prosthesis-patient mismatch (PPM) is present when the effective orifice area of the inserted prosthetic valve is too small in relation to body size. Its main haemodynamic consequence is to generate higher than expected gradients through normally functioning prosthetic valves. This review updates the present knowledge about the impact of PPM on clinical outcomes. PPM is common (20-70% of aortic valve replacements) and has been shown to be associated with worse haemodynamic function, less regression of left ventricular hypertrophy, more cardiac events, and lower survival. Moreover, as opposed to most other risk factors, PPM can largely be prevented by using a prospective strategy at the time of operation.", "author" : [ { "dropping-particle" : "", "family" : "Pibarot", "given" : "P", "non-dropping-particle" : "", "parse-names" : false, "suffix" : "" }, { "dropping-particle" : "", "family" : "Dumesnil", "given" : "J G", "non-dropping-particle" : "", "parse-names" : false, "suffix" : "" } ], "container-title" : "Heart (British Cardiac Society)", "id" : "ITEM-2", "issue" : "8", "issued" : { "date-parts" : [ [ "2006", "8" ] ] }, "page" : "1022-9", "title" : "Prosthesis-patient mismatch: definition, clinical impact, and prevention.", "type" : "article-journal", "volume" : "92" }, "uris" : [ "http://www.mendeley.com/documents/?uuid=e9b8f704-ef8e-4135-8d2c-eae69fbb4f95" ] } ], "mendeley" : { "formattedCitation" : "(17, 21)", "plainTextFormattedCitation" : "(17, 21)", "previouslyFormattedCitation" : "&lt;sup&gt;17,21&lt;/sup&gt;" }, "properties" : { "noteIndex" : 0 }, "schema" : "https://github.com/citation-style-language/schema/raw/master/csl-citation.json" }</w:instrText>
      </w:r>
      <w:r w:rsidR="00522FDC">
        <w:rPr>
          <w:rFonts w:ascii="Times New Roman" w:hAnsi="Times New Roman"/>
          <w:lang w:val="en-US"/>
        </w:rPr>
        <w:fldChar w:fldCharType="separate"/>
      </w:r>
      <w:r w:rsidR="00E05D9C" w:rsidRPr="00E05D9C">
        <w:rPr>
          <w:rFonts w:ascii="Times New Roman" w:hAnsi="Times New Roman"/>
          <w:noProof/>
          <w:lang w:val="en-US"/>
        </w:rPr>
        <w:t>(17, 21)</w:t>
      </w:r>
      <w:r w:rsidR="00522FDC">
        <w:rPr>
          <w:rFonts w:ascii="Times New Roman" w:hAnsi="Times New Roman"/>
          <w:lang w:val="en-US"/>
        </w:rPr>
        <w:fldChar w:fldCharType="end"/>
      </w:r>
      <w:r w:rsidRPr="00CA3875">
        <w:rPr>
          <w:rFonts w:ascii="Times New Roman" w:hAnsi="Times New Roman"/>
          <w:lang w:val="en-US"/>
        </w:rPr>
        <w:t>. Hence, the association that was previous</w:t>
      </w:r>
      <w:r w:rsidR="000A4276" w:rsidRPr="00CA3875">
        <w:rPr>
          <w:rFonts w:ascii="Times New Roman" w:hAnsi="Times New Roman"/>
          <w:lang w:val="en-US"/>
        </w:rPr>
        <w:t>ly</w:t>
      </w:r>
      <w:r w:rsidRPr="00CA3875">
        <w:rPr>
          <w:rFonts w:ascii="Times New Roman" w:hAnsi="Times New Roman"/>
          <w:lang w:val="en-US"/>
        </w:rPr>
        <w:t xml:space="preserve"> reported </w:t>
      </w:r>
      <w:r w:rsidR="000A4276" w:rsidRPr="00CA3875">
        <w:rPr>
          <w:rFonts w:ascii="Times New Roman" w:hAnsi="Times New Roman"/>
          <w:lang w:val="en-US"/>
        </w:rPr>
        <w:t xml:space="preserve">between </w:t>
      </w:r>
      <w:r w:rsidR="00973BC9" w:rsidRPr="00CA3875">
        <w:rPr>
          <w:rFonts w:ascii="Times New Roman" w:hAnsi="Times New Roman"/>
          <w:lang w:val="en-US"/>
        </w:rPr>
        <w:t xml:space="preserve">small (≤21 mm) </w:t>
      </w:r>
      <w:r w:rsidR="000A4276" w:rsidRPr="00CA3875">
        <w:rPr>
          <w:rFonts w:ascii="Times New Roman" w:hAnsi="Times New Roman"/>
          <w:lang w:val="en-US"/>
        </w:rPr>
        <w:t xml:space="preserve">surgical valve </w:t>
      </w:r>
      <w:r w:rsidR="007461A3">
        <w:rPr>
          <w:rFonts w:ascii="Times New Roman" w:hAnsi="Times New Roman"/>
          <w:lang w:val="en-US"/>
        </w:rPr>
        <w:t xml:space="preserve">label </w:t>
      </w:r>
      <w:r w:rsidR="000A4276" w:rsidRPr="00CA3875">
        <w:rPr>
          <w:rFonts w:ascii="Times New Roman" w:hAnsi="Times New Roman"/>
          <w:lang w:val="en-US"/>
        </w:rPr>
        <w:t xml:space="preserve">size and mortality after ViV </w:t>
      </w:r>
      <w:r w:rsidR="002A2701" w:rsidRPr="00CA3875">
        <w:rPr>
          <w:rFonts w:ascii="Times New Roman" w:hAnsi="Times New Roman"/>
          <w:lang w:val="en-US"/>
        </w:rPr>
        <w:t>may</w:t>
      </w:r>
      <w:r w:rsidR="000A4276" w:rsidRPr="00CA3875">
        <w:rPr>
          <w:rFonts w:ascii="Times New Roman" w:hAnsi="Times New Roman"/>
          <w:lang w:val="en-US"/>
        </w:rPr>
        <w:t xml:space="preserve">, at least in part, </w:t>
      </w:r>
      <w:r w:rsidR="00973BC9" w:rsidRPr="00CA3875">
        <w:rPr>
          <w:rFonts w:ascii="Times New Roman" w:hAnsi="Times New Roman"/>
          <w:lang w:val="en-US"/>
        </w:rPr>
        <w:t xml:space="preserve">be </w:t>
      </w:r>
      <w:r w:rsidR="000A4276" w:rsidRPr="00CA3875">
        <w:rPr>
          <w:rFonts w:ascii="Times New Roman" w:hAnsi="Times New Roman"/>
          <w:lang w:val="en-US"/>
        </w:rPr>
        <w:t xml:space="preserve">related to the presence of </w:t>
      </w:r>
      <w:r w:rsidR="00223CDF" w:rsidRPr="00CA3875">
        <w:rPr>
          <w:rFonts w:ascii="Times New Roman" w:hAnsi="Times New Roman"/>
          <w:lang w:val="en-US"/>
        </w:rPr>
        <w:t>unidentified</w:t>
      </w:r>
      <w:r w:rsidR="000A4276" w:rsidRPr="00CA3875">
        <w:rPr>
          <w:rFonts w:ascii="Times New Roman" w:hAnsi="Times New Roman"/>
          <w:lang w:val="en-US"/>
        </w:rPr>
        <w:t xml:space="preserve"> pre-existent severe PPM</w:t>
      </w:r>
      <w:r w:rsidR="00522FDC">
        <w:rPr>
          <w:rFonts w:ascii="Times New Roman" w:hAnsi="Times New Roman"/>
          <w:lang w:val="en-US"/>
        </w:rPr>
        <w:fldChar w:fldCharType="begin" w:fldLock="1"/>
      </w:r>
      <w:r w:rsidR="00E05D9C">
        <w:rPr>
          <w:rFonts w:ascii="Times New Roman" w:hAnsi="Times New Roman"/>
          <w:lang w:val="en-US"/>
        </w:rPr>
        <w:instrText>ADDIN CSL_CITATION { "citationItems" : [ { "id" : "ITEM-1", "itemData" : { "DOI" : "10.1161/CIRCULATIONAHA.112.104505", "ISSN" : "1524-4539", "PMID" : "23052028", "abstract" : "BACKGROUND Transcatheter aortic valve-in-valve implantation is an emerging therapeutic alternative for patients with a failed surgical bioprosthesis and may obviate the need for reoperation. We evaluated the clinical results of this technique using a large, worldwide registry. METHODS AND RESULTS The Global Valve-in-Valve Registry included 202 patients with degenerated bioprosthetic valves (aged 77.7\u00b110.4 years; 52.5% men) from 38 cardiac centers. Bioprosthesis mode of failure was stenosis (n=85; 42%), regurgitation (n=68; 34%), or combined stenosis and regurgitation (n=49; 24%). Implanted devices included CoreValve (n=124) and Edwards SAPIEN (n=78). Procedural success was achieved in 93.1% of cases. Adverse procedural outcomes included initial device malposition in 15.3% of cases and ostial coronary obstruction in 3.5%. After the procedure, valve maximum/mean gradients were 28.4\u00b114.1/15.9\u00b18.6 mm Hg, and 95% of patients had \u2264+1 degree of aortic regurgitation. At 30-day follow-up, all-cause mortality was 8.4%, and 84.1% of patients were at New York Heart Association functional class I/II. One-year follow-up was obtained in 87 patients, with 85.8% survival of treated patients. CONCLUSIONS The valve-in-valve procedure is clinically effective in the vast majority of patients with degenerated bioprosthetic valves. Safety and efficacy concerns include device malposition, ostial coronary obstruction, and high gradients after the procedure.", "author" : [ { "dropping-particle" : "", "family" : "Dvir", "given" : "Danny", "non-dropping-particle" : "", "parse-names" : false, "suffix" : "" }, { "dropping-particle" : "", "family" : "Webb", "given" : "John", "non-dropping-particle" : "", "parse-names" : false, "suffix" : "" }, { "dropping-particle" : "", "family" : "Brecker", "given" : "Stephen", "non-dropping-particle" : "", "parse-names" : false, "suffix" : "" }, { "dropping-particle" : "", "family" : "Bleiziffer", "given" : "Sabine", "non-dropping-particle" : "", "parse-names" : false, "suffix" : "" }, { "dropping-particle" : "", "family" : "Hildick-Smith", "given" : "David", "non-dropping-particle" : "", "parse-names" : false, "suffix" : "" }, { "dropping-particle" : "", "family" : "Colombo", "given" : "Antonio", "non-dropping-particle" : "", "parse-names" : false, "suffix" : "" }, { "dropping-particle" : "", "family" : "Descoutures", "given" : "Fleur", "non-dropping-particle" : "", "parse-names" : false, "suffix" : "" }, { "dropping-particle" : "", "family" : "Hengstenberg", "given" : "Christian", "non-dropping-particle" : "", "parse-names" : false, "suffix" : "" }, { "dropping-particle" : "", "family" : "Moat", "given" : "Neil E", "non-dropping-particle" : "", "parse-names" : false, "suffix" : "" }, { "dropping-particle" : "", "family" : "Bekeredjian", "given" : "Raffi", "non-dropping-particle" : "", "parse-names" : false, "suffix" : "" }, { "dropping-particle" : "", "family" : "Napodano", "given" : "Massimo", "non-dropping-particle" : "", "parse-names" : false, "suffix" : "" }, { "dropping-particle" : "", "family" : "Testa", "given" : "Luca", "non-dropping-particle" : "", "parse-names" : false, "suffix" : "" }, { "dropping-particle" : "", "family" : "Lefevre", "given" : "Thierry", "non-dropping-particle" : "", "parse-names" : false, "suffix" : "" }, { "dropping-particle" : "", "family" : "Guetta", "given" : "Victor", "non-dropping-particle" : "", "parse-names" : false, "suffix" : "" }, { "dropping-particle" : "", "family" : "Nissen", "given" : "Henrik", "non-dropping-particle" : "", "parse-names" : false, "suffix" : "" }, { "dropping-particle" : "", "family" : "Hern\u00e1ndez", "given" : "Jos\u00e9-Mar\u00eda", "non-dropping-particle" : "", "parse-names" : false, "suffix" : "" }, { "dropping-particle" : "", "family" : "Roy", "given" : "David", "non-dropping-particle" : "", "parse-names" : false, "suffix" : "" }, { "dropping-particle" : "", "family" : "Teles", "given" : "Rui C", "non-dropping-particle" : "", "parse-names" : false, "suffix" : "" }, { "dropping-particle" : "", "family" : "Segev", "given" : "Amit", "non-dropping-particle" : "", "parse-names" : false, "suffix" : "" }, { "dropping-particle" : "", "family" : "Dumonteil", "given" : "Nicolas", "non-dropping-particle" : "", "parse-names" : false, "suffix" : "" }, { "dropping-particle" : "", "family" : "Fiorina", "given" : "Claudia", "non-dropping-particle" : "", "parse-names" : false, "suffix" : "" }, { "dropping-particle" : "", "family" : "Gotzmann", "given" : "Michael", "non-dropping-particle" : "", "parse-names" : false, "suffix" : "" }, { "dropping-particle" : "", "family" : "Tchetche", "given" : "Didier", "non-dropping-particle" : "", "parse-names" : false, "suffix" : "" }, { "dropping-particle" : "", "family" : "Abdel-Wahab", "given" : "Mohamed", "non-dropping-particle" : "", "parse-names" : false, "suffix" : "" }, { "dropping-particle" : "", "family" : "Marco", "given" : "Federico", "non-dropping-particle" : "De", "parse-names" : false, "suffix" : "" }, { "dropping-particle" : "", "family" : "Baumbach", "given" : "Andreas", "non-dropping-particle" : "", "parse-names" : false, "suffix" : "" }, { "dropping-particle" : "", "family" : "Laborde", "given" : "Jean-Claude", "non-dropping-particle" : "", "parse-names" : false, "suffix" : "" }, { "dropping-particle" : "", "family" : "Kornowski", "given" : "Ran", "non-dropping-particle" : "", "parse-names" : false, "suffix" : "" } ], "container-title" : "Circulation", "id" : "ITEM-1", "issue" : "19", "issued" : { "date-parts" : [ [ "2012", "11", "6" ] ] }, "page" : "2335-44", "title" : "Transcatheter aortic valve replacement for degenerative bioprosthetic surgical valves: results from the global valve-in-valve registry.", "type" : "article-journal", "volume" : "126" }, "uris" : [ "http://www.mendeley.com/documents/?uuid=4458f73c-6f51-3bdb-aaaa-c38160f724f5" ] }, { "id" : "ITEM-2", "itemData" : { "DOI" : "10.1001/jama.2014.7246", "ISSN" : "1538-3598", "PMID" : "25005653", "abstract" : "IMPORTANCE: Owing to a considerable shift toward bioprosthesis implantation rather than mechanical valves, it is expected that patients will increasingly present with degenerated bioprostheses in the next few years. Transcatheter aortic valve-in-valve implantation is a less invasive approach for patients with structural valve deterioration; however, a comprehensive evaluation of survival after the procedure has not yet been performed.\n\nOBJECTIVE: To determine the survival of patients after transcatheter valve-in-valve implantation inside failed surgical bioprosthetic valves.\n\nDESIGN, SETTING, AND PARTICIPANTS: Correlates for survival were evaluated using a multinational valve-in-valve registry that included 459 patients with degenerated bioprosthetic valves undergoing valve-in-valve implantation between 2007 and May 2013 in 55 centers (mean age, 77.6 [SD, 9.8] years; 56% men; median Society of Thoracic Surgeons mortality prediction score, 9.8% [interquartile range, 7.7%-16%]). Surgical valves were classified as small (\u226421 mm; 29.7%), intermediate (&gt;21 and &lt;25 mm; 39.3%), and large (\u226525 mm; 31%). Implanted devices included both balloon- and self-expandable valves.\n\nMAIN OUTCOMES AND MEASURES: Survival, stroke, and New York Heart Association functional class.\n\nRESULTS: Modes of bioprosthesis failure were stenosis (n\u2009=\u2009181 [39.4%]), regurgitation (n\u2009=\u2009139 [30.3%]), and combined (n\u2009=\u2009139 [30.3%]). The stenosis group had a higher percentage of small valves (37% vs 20.9% and 26.6% in the regurgitation and combined groups, respectively; P\u2009=\u2009.005). Within 1 month following valve-in-valve implantation, 35 (7.6%) patients died, 8 (1.7%) had major stroke, and 313 (92.6%) of surviving patients had good functional status (New York Heart Association class I/II). The overall 1-year Kaplan-Meier survival rate was 83.2% (95% CI, 80.8%-84.7%; 62 death events; 228 survivors). Patients in the stenosis group had worse 1-year survival (76.6%; 95% CI, 68.9%-83.1%; 34 deaths; 86 survivors) in comparison with the regurgitation group (91.2%; 95% CI, 85.7%-96.7%; 10 deaths; 76 survivors) and the combined group (83.9%; 95% CI, 76.8%-91%; 18 deaths; 66 survivors) (P\u2009=\u2009.01). Similarly, patients with small valves had worse 1-year survival (74.8% [95% CI, 66.2%-83.4%]; 27 deaths; 57 survivors) vs with intermediate-sized valves (81.8%; 95% CI, 75.3%-88.3%; 26 deaths; 92 survivors) and with large valves (93.3%; 95% CI, 85.7%-96.7%; 7 deaths; 73 survivors) (P\u2009=\u2009.001). Factors associated \u2026", "author" : [ { "dropping-particle" : "", "family" : "Dvir", "given" : "Danny", "non-dropping-particle" : "", "parse-names" : false, "suffix" : "" }, { "dropping-particle" : "", "family" : "Webb", "given" : "John G", "non-dropping-particle" : "", "parse-names" : false, "suffix" : "" }, { "dropping-particle" : "", "family" : "Bleiziffer", "given" : "Sabine", "non-dropping-particle" : "", "parse-names" : false, "suffix" : "" }, { "dropping-particle" : "", "family" : "Pasic", "given" : "Miralem", "non-dropping-particle" : "", "parse-names" : false, "suffix" : "" }, { "dropping-particle" : "", "family" : "Waksman", "given" : "Ron", "non-dropping-particle" : "", "parse-names" : false, "suffix" : "" }, { "dropping-particle" : "", "family" : "Kodali", "given" : "Susheel", "non-dropping-particle" : "", "parse-names" : false, "suffix" : "" }, { "dropping-particle" : "", "family" : "Barbanti", "given" : "Marco", "non-dropping-particle" : "", "parse-names" : false, "suffix" : "" }, { "dropping-particle" : "", "family" : "Latib", "given" : "Azeem", "non-dropping-particle" : "", "parse-names" : false, "suffix" : "" }, { "dropping-particle" : "", "family" : "Schaefer", "given" : "Ulrich", "non-dropping-particle" : "", "parse-names" : false, "suffix" : "" }, { "dropping-particle" : "", "family" : "Rod\u00e9s-Cabau", "given" : "Josep", "non-dropping-particle" : "", "parse-names" : false, "suffix" : "" }, { "dropping-particle" : "", "family" : "Treede", "given" : "Hendrik", "non-dropping-particle" : "", "parse-names" : false, "suffix" : "" }, { "dropping-particle" : "", "family" : "Piazza", "given" : "Nicolo", "non-dropping-particle" : "", "parse-names" : false, "suffix" : "" }, { "dropping-particle" : "", "family" : "Hildick-Smith", "given" : "David", "non-dropping-particle" : "", "parse-names" : false, "suffix" : "" }, { "dropping-particle" : "", "family" : "Himbert", "given" : "Dominique", "non-dropping-particle" : "", "parse-names" : false, "suffix" : "" }, { "dropping-particle" : "", "family" : "Walther", "given" : "Thomas", "non-dropping-particle" : "", "parse-names" : false, "suffix" : "" }, { "dropping-particle" : "", "family" : "Hengstenberg", "given" : "Christian", "non-dropping-particle" : "", "parse-names" : false, "suffix" : "" }, { "dropping-particle" : "", "family" : "Nissen", "given" : "Henrik", "non-dropping-particle" : "", "parse-names" : false, "suffix" : "" }, { "dropping-particle" : "", "family" : "Bekeredjian", "given" : "Raffi", "non-dropping-particle" : "", "parse-names" : false, "suffix" : "" }, { "dropping-particle" : "", "family" : "Presbitero", "given" : "Patrizia", "non-dropping-particle" : "", "parse-names" : false, "suffix" : "" }, { "dropping-particle" : "", "family" : "Ferrari", "given" : "Enrico", "non-dropping-particle" : "", "parse-names" : false, "suffix" : "" }, { "dropping-particle" : "", "family" : "Segev", "given" : "Amit", "non-dropping-particle" : "", "parse-names" : false, "suffix" : "" }, { "dropping-particle" : "", "family" : "Weger", "given" : "Arend", "non-dropping-particle" : "de", "parse-names" : false, "suffix" : "" }, { "dropping-particle" : "", "family" : "Windecker", "given" : "Stephan", "non-dropping-particle" : "", "parse-names" : false, "suffix" : "" }, { "dropping-particle" : "", "family" : "Moat", "given" : "Neil E", "non-dropping-particle" : "", "parse-names" : false, "suffix" : "" }, { "dropping-particle" : "", "family" : "Napodano", "given" : "Massimo", "non-dropping-particle" : "", "parse-names" : false, "suffix" : "" }, { "dropping-particle" : "", "family" : "Wilbring", "given" : "Manuel", "non-dropping-particle" : "", "parse-names" : false, "suffix" : "" }, { "dropping-particle" : "", "family" : "Cerillo", "given" : "Alfredo G", "non-dropping-particle" : "", "parse-names" : false, "suffix" : "" }, { "dropping-particle" : "", "family" : "Brecker", "given" : "Stephen", "non-dropping-particle" : "", "parse-names" : false, "suffix" : "" }, { "dropping-particle" : "", "family" : "Tchetche", "given" : "Didier", "non-dropping-particle" : "", "parse-names" : false, "suffix" : "" }, { "dropping-particle" : "", "family" : "Lef\u00e8vre", "given" : "Thierry", "non-dropping-particle" : "", "parse-names" : false, "suffix" : "" }, { "dropping-particle" : "", "family" : "Marco", "given" : "Federico", "non-dropping-particle" : "De", "parse-names" : false, "suffix" : "" }, { "dropping-particle" : "", "family" : "Fiorina", "given" : "Claudia", "non-dropping-particle" : "", "parse-names" : false, "suffix" : "" }, { "dropping-particle" : "", "family" : "Petronio", "given" : "Anna Sonia", "non-dropping-particle" : "", "parse-names" : false, "suffix" : "" }, { "dropping-particle" : "", "family" : "Teles", "given" : "Rui C", "non-dropping-particle" : "", "parse-names" : false, "suffix" : "" }, { "dropping-particle" : "", "family" : "Testa", "given" : "Luca", "non-dropping-particle" : "", "parse-names" : false, "suffix" : "" }, { "dropping-particle" : "", "family" : "Laborde", "given" : "Jean-Claude", "non-dropping-particle" : "", "parse-names" : false, "suffix" : "" }, { "dropping-particle" : "", "family" : "Leon", "given" : "Martin B", "non-dropping-particle" : "", "parse-names" : false, "suffix" : "" }, { "dropping-particle" : "", "family" : "Kornowski", "given" : "Ran", "non-dropping-particle" : "", "parse-names" : false, "suffix" : "" } ], "container-title" : "JAMA", "id" : "ITEM-2", "issue" : "2", "issued" : { "date-parts" : [ [ "2014", "7" ] ] }, "page" : "162-70", "title" : "Transcatheter aortic valve implantation in failed bioprosthetic surgical valves.", "type" : "article-journal", "volume" : "312" }, "uris" : [ "http://www.mendeley.com/documents/?uuid=ec6beffa-08e3-4ba9-9a2b-7b3e772d08bf" ] } ], "mendeley" : { "formattedCitation" : "(8, 9)", "plainTextFormattedCitation" : "(8, 9)", "previouslyFormattedCitation" : "&lt;sup&gt;8,9&lt;/sup&gt;" }, "properties" : { "noteIndex" : 0 }, "schema" : "https://github.com/citation-style-language/schema/raw/master/csl-citation.json" }</w:instrText>
      </w:r>
      <w:r w:rsidR="00522FDC">
        <w:rPr>
          <w:rFonts w:ascii="Times New Roman" w:hAnsi="Times New Roman"/>
          <w:lang w:val="en-US"/>
        </w:rPr>
        <w:fldChar w:fldCharType="separate"/>
      </w:r>
      <w:r w:rsidR="00E05D9C" w:rsidRPr="00E05D9C">
        <w:rPr>
          <w:rFonts w:ascii="Times New Roman" w:hAnsi="Times New Roman"/>
          <w:noProof/>
          <w:lang w:val="en-US"/>
        </w:rPr>
        <w:t>(8, 9)</w:t>
      </w:r>
      <w:r w:rsidR="00522FDC">
        <w:rPr>
          <w:rFonts w:ascii="Times New Roman" w:hAnsi="Times New Roman"/>
          <w:lang w:val="en-US"/>
        </w:rPr>
        <w:fldChar w:fldCharType="end"/>
      </w:r>
      <w:r w:rsidR="000A4276" w:rsidRPr="00CA3875">
        <w:rPr>
          <w:rFonts w:ascii="Times New Roman" w:hAnsi="Times New Roman"/>
          <w:lang w:val="en-US"/>
        </w:rPr>
        <w:t>. As a matter of fact, in the present study, smaller label size was strongly associated with</w:t>
      </w:r>
      <w:r w:rsidR="00223CDF" w:rsidRPr="00CA3875">
        <w:rPr>
          <w:rFonts w:ascii="Times New Roman" w:hAnsi="Times New Roman"/>
          <w:lang w:val="en-US"/>
        </w:rPr>
        <w:t xml:space="preserve"> increased</w:t>
      </w:r>
      <w:r w:rsidR="000A4276" w:rsidRPr="00CA3875">
        <w:rPr>
          <w:rFonts w:ascii="Times New Roman" w:hAnsi="Times New Roman"/>
          <w:lang w:val="en-US"/>
        </w:rPr>
        <w:t xml:space="preserve"> 1-year</w:t>
      </w:r>
      <w:r w:rsidR="00020B21" w:rsidRPr="00CA3875">
        <w:rPr>
          <w:rFonts w:ascii="Times New Roman" w:hAnsi="Times New Roman"/>
          <w:lang w:val="en-US"/>
        </w:rPr>
        <w:t xml:space="preserve"> mortality in </w:t>
      </w:r>
      <w:r w:rsidR="00223CDF" w:rsidRPr="00CA3875">
        <w:rPr>
          <w:rFonts w:ascii="Times New Roman" w:hAnsi="Times New Roman"/>
          <w:lang w:val="en-US"/>
        </w:rPr>
        <w:t>univariable analysis. However, this association was no longer</w:t>
      </w:r>
      <w:r w:rsidR="00020B21" w:rsidRPr="00CA3875">
        <w:rPr>
          <w:rFonts w:ascii="Times New Roman" w:hAnsi="Times New Roman"/>
          <w:lang w:val="en-US"/>
        </w:rPr>
        <w:t xml:space="preserve"> significant</w:t>
      </w:r>
      <w:r w:rsidR="00223CDF" w:rsidRPr="00CA3875">
        <w:rPr>
          <w:rFonts w:ascii="Times New Roman" w:hAnsi="Times New Roman"/>
          <w:lang w:val="en-US"/>
        </w:rPr>
        <w:t xml:space="preserve"> in the multivariable model that also included pre-existent severe PPM</w:t>
      </w:r>
      <w:r w:rsidR="00115977">
        <w:rPr>
          <w:rFonts w:ascii="Times New Roman" w:hAnsi="Times New Roman"/>
          <w:lang w:val="en-US"/>
        </w:rPr>
        <w:t xml:space="preserve"> </w:t>
      </w:r>
      <w:r w:rsidR="00115977" w:rsidRPr="00CA3875">
        <w:rPr>
          <w:rFonts w:ascii="Times New Roman" w:hAnsi="Times New Roman"/>
          <w:b/>
          <w:i/>
          <w:lang w:val="en-US"/>
        </w:rPr>
        <w:t>(</w:t>
      </w:r>
      <w:r w:rsidR="007903DA">
        <w:rPr>
          <w:rFonts w:ascii="Times New Roman" w:hAnsi="Times New Roman"/>
          <w:b/>
          <w:i/>
          <w:lang w:val="en-US"/>
        </w:rPr>
        <w:t>Figure 4</w:t>
      </w:r>
      <w:r w:rsidR="00115977" w:rsidRPr="00CA3875">
        <w:rPr>
          <w:rFonts w:ascii="Times New Roman" w:hAnsi="Times New Roman"/>
          <w:b/>
          <w:i/>
          <w:lang w:val="en-US"/>
        </w:rPr>
        <w:t>)</w:t>
      </w:r>
      <w:r w:rsidR="00223CDF" w:rsidRPr="00CA3875">
        <w:rPr>
          <w:rFonts w:ascii="Times New Roman" w:hAnsi="Times New Roman"/>
          <w:lang w:val="en-US"/>
        </w:rPr>
        <w:t>.</w:t>
      </w:r>
      <w:r w:rsidR="00B84A6A" w:rsidRPr="00CA3875">
        <w:rPr>
          <w:rFonts w:ascii="Times New Roman" w:hAnsi="Times New Roman"/>
          <w:lang w:val="en-US"/>
        </w:rPr>
        <w:t xml:space="preserve"> </w:t>
      </w:r>
    </w:p>
    <w:p w14:paraId="076A7E5F" w14:textId="77777777" w:rsidR="00973BC9" w:rsidRPr="00CA3875" w:rsidRDefault="00973BC9" w:rsidP="00F86913">
      <w:pPr>
        <w:autoSpaceDE w:val="0"/>
        <w:autoSpaceDN w:val="0"/>
        <w:adjustRightInd w:val="0"/>
        <w:spacing w:line="480" w:lineRule="auto"/>
        <w:rPr>
          <w:rFonts w:ascii="Times New Roman" w:hAnsi="Times New Roman"/>
          <w:lang w:val="en-US"/>
        </w:rPr>
      </w:pPr>
    </w:p>
    <w:p w14:paraId="76CB358F" w14:textId="6807EDAA" w:rsidR="00B84A6A" w:rsidRPr="00261A77" w:rsidRDefault="00973BC9" w:rsidP="00F86913">
      <w:pPr>
        <w:autoSpaceDE w:val="0"/>
        <w:autoSpaceDN w:val="0"/>
        <w:adjustRightInd w:val="0"/>
        <w:spacing w:line="480" w:lineRule="auto"/>
        <w:rPr>
          <w:rFonts w:ascii="Times New Roman" w:hAnsi="Times New Roman"/>
          <w:lang w:val="en-CA"/>
        </w:rPr>
      </w:pPr>
      <w:r w:rsidRPr="00CA3875">
        <w:rPr>
          <w:rFonts w:ascii="Times New Roman" w:hAnsi="Times New Roman"/>
          <w:lang w:val="en-US"/>
        </w:rPr>
        <w:t>Similarly</w:t>
      </w:r>
      <w:r w:rsidR="00B84A6A" w:rsidRPr="00CA3875">
        <w:rPr>
          <w:rFonts w:ascii="Times New Roman" w:hAnsi="Times New Roman"/>
          <w:lang w:val="en-US"/>
        </w:rPr>
        <w:t xml:space="preserve">, the previously reported </w:t>
      </w:r>
      <w:r w:rsidR="00B84A6A" w:rsidRPr="00E076DA">
        <w:rPr>
          <w:rFonts w:ascii="Times New Roman" w:hAnsi="Times New Roman"/>
          <w:lang w:val="en-US"/>
        </w:rPr>
        <w:t>association between</w:t>
      </w:r>
      <w:r w:rsidR="005E497E" w:rsidRPr="00384ACA">
        <w:rPr>
          <w:rFonts w:ascii="Times New Roman" w:hAnsi="Times New Roman"/>
          <w:lang w:val="en-CA"/>
        </w:rPr>
        <w:t xml:space="preserve"> stenosis as the failure mode of the surgical valve</w:t>
      </w:r>
      <w:r w:rsidR="00B84A6A" w:rsidRPr="00E076DA">
        <w:rPr>
          <w:rFonts w:ascii="Times New Roman" w:hAnsi="Times New Roman"/>
          <w:lang w:val="en-US"/>
        </w:rPr>
        <w:t xml:space="preserve"> and mortality </w:t>
      </w:r>
      <w:r w:rsidR="005E497E" w:rsidRPr="00E076DA">
        <w:rPr>
          <w:rFonts w:ascii="Times New Roman" w:hAnsi="Times New Roman"/>
          <w:lang w:val="en-US"/>
        </w:rPr>
        <w:t>following</w:t>
      </w:r>
      <w:r w:rsidR="00B84A6A" w:rsidRPr="00E076DA">
        <w:rPr>
          <w:rFonts w:ascii="Times New Roman" w:hAnsi="Times New Roman"/>
          <w:lang w:val="en-US"/>
        </w:rPr>
        <w:t xml:space="preserve"> ViV could be related to pre-existent PPM</w:t>
      </w:r>
      <w:r w:rsidR="00522FDC">
        <w:rPr>
          <w:rFonts w:ascii="Times New Roman" w:hAnsi="Times New Roman"/>
          <w:lang w:val="en-CA"/>
        </w:rPr>
        <w:fldChar w:fldCharType="begin" w:fldLock="1"/>
      </w:r>
      <w:r w:rsidR="00E05D9C">
        <w:rPr>
          <w:rFonts w:ascii="Times New Roman" w:hAnsi="Times New Roman"/>
          <w:lang w:val="en-CA"/>
        </w:rPr>
        <w:instrText>ADDIN CSL_CITATION { "citationItems" : [ { "id" : "ITEM-1", "itemData" : { "DOI" : "10.1001/jama.2014.7246", "ISSN" : "1538-3598", "PMID" : "25005653", "abstract" : "IMPORTANCE: Owing to a considerable shift toward bioprosthesis implantation rather than mechanical valves, it is expected that patients will increasingly present with degenerated bioprostheses in the next few years. Transcatheter aortic valve-in-valve implantation is a less invasive approach for patients with structural valve deterioration; however, a comprehensive evaluation of survival after the procedure has not yet been performed.\n\nOBJECTIVE: To determine the survival of patients after transcatheter valve-in-valve implantation inside failed surgical bioprosthetic valves.\n\nDESIGN, SETTING, AND PARTICIPANTS: Correlates for survival were evaluated using a multinational valve-in-valve registry that included 459 patients with degenerated bioprosthetic valves undergoing valve-in-valve implantation between 2007 and May 2013 in 55 centers (mean age, 77.6 [SD, 9.8] years; 56% men; median Society of Thoracic Surgeons mortality prediction score, 9.8% [interquartile range, 7.7%-16%]). Surgical valves were classified as small (\u226421 mm; 29.7%), intermediate (&gt;21 and &lt;25 mm; 39.3%), and large (\u226525 mm; 31%). Implanted devices included both balloon- and self-expandable valves.\n\nMAIN OUTCOMES AND MEASURES: Survival, stroke, and New York Heart Association functional class.\n\nRESULTS: Modes of bioprosthesis failure were stenosis (n\u2009=\u2009181 [39.4%]), regurgitation (n\u2009=\u2009139 [30.3%]), and combined (n\u2009=\u2009139 [30.3%]). The stenosis group had a higher percentage of small valves (37% vs 20.9% and 26.6% in the regurgitation and combined groups, respectively; P\u2009=\u2009.005). Within 1 month following valve-in-valve implantation, 35 (7.6%) patients died, 8 (1.7%) had major stroke, and 313 (92.6%) of surviving patients had good functional status (New York Heart Association class I/II). The overall 1-year Kaplan-Meier survival rate was 83.2% (95% CI, 80.8%-84.7%; 62 death events; 228 survivors). Patients in the stenosis group had worse 1-year survival (76.6%; 95% CI, 68.9%-83.1%; 34 deaths; 86 survivors) in comparison with the regurgitation group (91.2%; 95% CI, 85.7%-96.7%; 10 deaths; 76 survivors) and the combined group (83.9%; 95% CI, 76.8%-91%; 18 deaths; 66 survivors) (P\u2009=\u2009.01). Similarly, patients with small valves had worse 1-year survival (74.8% [95% CI, 66.2%-83.4%]; 27 deaths; 57 survivors) vs with intermediate-sized valves (81.8%; 95% CI, 75.3%-88.3%; 26 deaths; 92 survivors) and with large valves (93.3%; 95% CI, 85.7%-96.7%; 7 deaths; 73 survivors) (P\u2009=\u2009.001). Factors associated \u2026", "author" : [ { "dropping-particle" : "", "family" : "Dvir", "given" : "Danny", "non-dropping-particle" : "", "parse-names" : false, "suffix" : "" }, { "dropping-particle" : "", "family" : "Webb", "given" : "John G", "non-dropping-particle" : "", "parse-names" : false, "suffix" : "" }, { "dropping-particle" : "", "family" : "Bleiziffer", "given" : "Sabine", "non-dropping-particle" : "", "parse-names" : false, "suffix" : "" }, { "dropping-particle" : "", "family" : "Pasic", "given" : "Miralem", "non-dropping-particle" : "", "parse-names" : false, "suffix" : "" }, { "dropping-particle" : "", "family" : "Waksman", "given" : "Ron", "non-dropping-particle" : "", "parse-names" : false, "suffix" : "" }, { "dropping-particle" : "", "family" : "Kodali", "given" : "Susheel", "non-dropping-particle" : "", "parse-names" : false, "suffix" : "" }, { "dropping-particle" : "", "family" : "Barbanti", "given" : "Marco", "non-dropping-particle" : "", "parse-names" : false, "suffix" : "" }, { "dropping-particle" : "", "family" : "Latib", "given" : "Azeem", "non-dropping-particle" : "", "parse-names" : false, "suffix" : "" }, { "dropping-particle" : "", "family" : "Schaefer", "given" : "Ulrich", "non-dropping-particle" : "", "parse-names" : false, "suffix" : "" }, { "dropping-particle" : "", "family" : "Rod\u00e9s-Cabau", "given" : "Josep", "non-dropping-particle" : "", "parse-names" : false, "suffix" : "" }, { "dropping-particle" : "", "family" : "Treede", "given" : "Hendrik", "non-dropping-particle" : "", "parse-names" : false, "suffix" : "" }, { "dropping-particle" : "", "family" : "Piazza", "given" : "Nicolo", "non-dropping-particle" : "", "parse-names" : false, "suffix" : "" }, { "dropping-particle" : "", "family" : "Hildick-Smith", "given" : "David", "non-dropping-particle" : "", "parse-names" : false, "suffix" : "" }, { "dropping-particle" : "", "family" : "Himbert", "given" : "Dominique", "non-dropping-particle" : "", "parse-names" : false, "suffix" : "" }, { "dropping-particle" : "", "family" : "Walther", "given" : "Thomas", "non-dropping-particle" : "", "parse-names" : false, "suffix" : "" }, { "dropping-particle" : "", "family" : "Hengstenberg", "given" : "Christian", "non-dropping-particle" : "", "parse-names" : false, "suffix" : "" }, { "dropping-particle" : "", "family" : "Nissen", "given" : "Henrik", "non-dropping-particle" : "", "parse-names" : false, "suffix" : "" }, { "dropping-particle" : "", "family" : "Bekeredjian", "given" : "Raffi", "non-dropping-particle" : "", "parse-names" : false, "suffix" : "" }, { "dropping-particle" : "", "family" : "Presbitero", "given" : "Patrizia", "non-dropping-particle" : "", "parse-names" : false, "suffix" : "" }, { "dropping-particle" : "", "family" : "Ferrari", "given" : "Enrico", "non-dropping-particle" : "", "parse-names" : false, "suffix" : "" }, { "dropping-particle" : "", "family" : "Segev", "given" : "Amit", "non-dropping-particle" : "", "parse-names" : false, "suffix" : "" }, { "dropping-particle" : "", "family" : "Weger", "given" : "Arend", "non-dropping-particle" : "de", "parse-names" : false, "suffix" : "" }, { "dropping-particle" : "", "family" : "Windecker", "given" : "Stephan", "non-dropping-particle" : "", "parse-names" : false, "suffix" : "" }, { "dropping-particle" : "", "family" : "Moat", "given" : "Neil E", "non-dropping-particle" : "", "parse-names" : false, "suffix" : "" }, { "dropping-particle" : "", "family" : "Napodano", "given" : "Massimo", "non-dropping-particle" : "", "parse-names" : false, "suffix" : "" }, { "dropping-particle" : "", "family" : "Wilbring", "given" : "Manuel", "non-dropping-particle" : "", "parse-names" : false, "suffix" : "" }, { "dropping-particle" : "", "family" : "Cerillo", "given" : "Alfredo G", "non-dropping-particle" : "", "parse-names" : false, "suffix" : "" }, { "dropping-particle" : "", "family" : "Brecker", "given" : "Stephen", "non-dropping-particle" : "", "parse-names" : false, "suffix" : "" }, { "dropping-particle" : "", "family" : "Tchetche", "given" : "Didier", "non-dropping-particle" : "", "parse-names" : false, "suffix" : "" }, { "dropping-particle" : "", "family" : "Lef\u00e8vre", "given" : "Thierry", "non-dropping-particle" : "", "parse-names" : false, "suffix" : "" }, { "dropping-particle" : "", "family" : "Marco", "given" : "Federico", "non-dropping-particle" : "De", "parse-names" : false, "suffix" : "" }, { "dropping-particle" : "", "family" : "Fiorina", "given" : "Claudia", "non-dropping-particle" : "", "parse-names" : false, "suffix" : "" }, { "dropping-particle" : "", "family" : "Petronio", "given" : "Anna Sonia", "non-dropping-particle" : "", "parse-names" : false, "suffix" : "" }, { "dropping-particle" : "", "family" : "Teles", "given" : "Rui C", "non-dropping-particle" : "", "parse-names" : false, "suffix" : "" }, { "dropping-particle" : "", "family" : "Testa", "given" : "Luca", "non-dropping-particle" : "", "parse-names" : false, "suffix" : "" }, { "dropping-particle" : "", "family" : "Laborde", "given" : "Jean-Claude", "non-dropping-particle" : "", "parse-names" : false, "suffix" : "" }, { "dropping-particle" : "", "family" : "Leon", "given" : "Martin B", "non-dropping-particle" : "", "parse-names" : false, "suffix" : "" }, { "dropping-particle" : "", "family" : "Kornowski", "given" : "Ran", "non-dropping-particle" : "", "parse-names" : false, "suffix" : "" } ], "container-title" : "JAMA", "id" : "ITEM-1", "issue" : "2", "issued" : { "date-parts" : [ [ "2014", "7" ] ] }, "page" : "162-70", "title" : "Transcatheter aortic valve implantation in failed bioprosthetic surgical valves.", "type" : "article-journal", "volume" : "312" }, "uris" : [ "http://www.mendeley.com/documents/?uuid=ec6beffa-08e3-4ba9-9a2b-7b3e772d08bf" ] } ], "mendeley" : { "formattedCitation" : "(9)", "plainTextFormattedCitation" : "(9)", "previouslyFormattedCitation" : "&lt;sup&gt;9&lt;/sup&gt;" }, "properties" : { "noteIndex" : 0 }, "schema" : "https://github.com/citation-style-language/schema/raw/master/csl-citation.json" }</w:instrText>
      </w:r>
      <w:r w:rsidR="00522FDC">
        <w:rPr>
          <w:rFonts w:ascii="Times New Roman" w:hAnsi="Times New Roman"/>
          <w:lang w:val="en-CA"/>
        </w:rPr>
        <w:fldChar w:fldCharType="separate"/>
      </w:r>
      <w:r w:rsidR="00E05D9C" w:rsidRPr="00E05D9C">
        <w:rPr>
          <w:rFonts w:ascii="Times New Roman" w:hAnsi="Times New Roman"/>
          <w:noProof/>
          <w:lang w:val="en-CA"/>
        </w:rPr>
        <w:t>(9)</w:t>
      </w:r>
      <w:r w:rsidR="00522FDC">
        <w:rPr>
          <w:rFonts w:ascii="Times New Roman" w:hAnsi="Times New Roman"/>
          <w:lang w:val="en-CA"/>
        </w:rPr>
        <w:fldChar w:fldCharType="end"/>
      </w:r>
      <w:r w:rsidR="00B84A6A" w:rsidRPr="00E076DA">
        <w:rPr>
          <w:rFonts w:ascii="Times New Roman" w:hAnsi="Times New Roman"/>
          <w:lang w:val="en-US"/>
        </w:rPr>
        <w:t xml:space="preserve">. </w:t>
      </w:r>
      <w:r w:rsidR="00B84A6A" w:rsidRPr="00E076DA">
        <w:rPr>
          <w:rFonts w:ascii="Times New Roman" w:hAnsi="Times New Roman"/>
          <w:lang w:val="en-CA"/>
        </w:rPr>
        <w:t xml:space="preserve">Indeed, patients with high transprosthetic gradients prior to ViV </w:t>
      </w:r>
      <w:r w:rsidR="0004609C" w:rsidRPr="00E076DA">
        <w:rPr>
          <w:rFonts w:ascii="Times New Roman" w:hAnsi="Times New Roman"/>
          <w:lang w:val="en-CA"/>
        </w:rPr>
        <w:t>were generally</w:t>
      </w:r>
      <w:r w:rsidR="00B84A6A" w:rsidRPr="00E076DA">
        <w:rPr>
          <w:rFonts w:ascii="Times New Roman" w:hAnsi="Times New Roman"/>
          <w:lang w:val="en-CA"/>
        </w:rPr>
        <w:t xml:space="preserve"> consi</w:t>
      </w:r>
      <w:r w:rsidR="00B84A6A" w:rsidRPr="00CA3875">
        <w:rPr>
          <w:rFonts w:ascii="Times New Roman" w:hAnsi="Times New Roman"/>
          <w:lang w:val="en-CA"/>
        </w:rPr>
        <w:t xml:space="preserve">dered having a severe acquired prosthetic valve stenosis due to calcific degeneration of valve leaflets. However, </w:t>
      </w:r>
      <w:r w:rsidR="00B84A6A" w:rsidRPr="00CA3875">
        <w:rPr>
          <w:rFonts w:ascii="Times New Roman" w:hAnsi="Times New Roman"/>
          <w:lang w:val="en-CA"/>
        </w:rPr>
        <w:lastRenderedPageBreak/>
        <w:t>it is l</w:t>
      </w:r>
      <w:r w:rsidR="00B84A6A" w:rsidRPr="00261A77">
        <w:rPr>
          <w:rFonts w:ascii="Times New Roman" w:hAnsi="Times New Roman"/>
          <w:lang w:val="en-CA"/>
        </w:rPr>
        <w:t xml:space="preserve">ikely that in a high proportion of these patients, the elevated gradient observed prior to ViV </w:t>
      </w:r>
      <w:r w:rsidR="0004609C" w:rsidRPr="00261A77">
        <w:rPr>
          <w:rFonts w:ascii="Times New Roman" w:hAnsi="Times New Roman"/>
          <w:lang w:val="en-CA"/>
        </w:rPr>
        <w:t xml:space="preserve">was, </w:t>
      </w:r>
      <w:r w:rsidR="00B84A6A" w:rsidRPr="00261A77">
        <w:rPr>
          <w:rFonts w:ascii="Times New Roman" w:hAnsi="Times New Roman"/>
          <w:lang w:val="en-CA"/>
        </w:rPr>
        <w:t xml:space="preserve">in large part, </w:t>
      </w:r>
      <w:r w:rsidR="0004609C" w:rsidRPr="00261A77">
        <w:rPr>
          <w:rFonts w:ascii="Times New Roman" w:hAnsi="Times New Roman"/>
          <w:lang w:val="en-CA"/>
        </w:rPr>
        <w:t xml:space="preserve">due </w:t>
      </w:r>
      <w:r w:rsidR="00B84A6A" w:rsidRPr="00261A77">
        <w:rPr>
          <w:rFonts w:ascii="Times New Roman" w:hAnsi="Times New Roman"/>
          <w:lang w:val="en-CA"/>
        </w:rPr>
        <w:t>to pre-exist</w:t>
      </w:r>
      <w:r w:rsidR="00261A77" w:rsidRPr="00261A77">
        <w:rPr>
          <w:rFonts w:ascii="Times New Roman" w:hAnsi="Times New Roman"/>
          <w:lang w:val="en-CA"/>
        </w:rPr>
        <w:t>ent PPM. In such patients, a Vi</w:t>
      </w:r>
      <w:r w:rsidR="00B84A6A" w:rsidRPr="00261A77">
        <w:rPr>
          <w:rFonts w:ascii="Times New Roman" w:hAnsi="Times New Roman"/>
          <w:lang w:val="en-CA"/>
        </w:rPr>
        <w:t>V pro</w:t>
      </w:r>
      <w:r w:rsidR="00522FDC">
        <w:rPr>
          <w:rFonts w:ascii="Times New Roman" w:hAnsi="Times New Roman"/>
          <w:lang w:val="en-CA"/>
        </w:rPr>
        <w:t>cedure would result in minimal to</w:t>
      </w:r>
      <w:r w:rsidR="00B84A6A" w:rsidRPr="00261A77">
        <w:rPr>
          <w:rFonts w:ascii="Times New Roman" w:hAnsi="Times New Roman"/>
          <w:lang w:val="en-CA"/>
        </w:rPr>
        <w:t xml:space="preserve"> no reduction</w:t>
      </w:r>
      <w:r w:rsidR="00522FDC">
        <w:rPr>
          <w:rFonts w:ascii="Times New Roman" w:hAnsi="Times New Roman"/>
          <w:lang w:val="en-CA"/>
        </w:rPr>
        <w:t>,</w:t>
      </w:r>
      <w:r w:rsidR="00B84A6A" w:rsidRPr="00261A77">
        <w:rPr>
          <w:rFonts w:ascii="Times New Roman" w:hAnsi="Times New Roman"/>
          <w:lang w:val="en-CA"/>
        </w:rPr>
        <w:t xml:space="preserve"> or even an increase in gradient. </w:t>
      </w:r>
    </w:p>
    <w:p w14:paraId="5C1B7552" w14:textId="77777777" w:rsidR="00261A77" w:rsidRDefault="00261A77" w:rsidP="00261A77">
      <w:pPr>
        <w:spacing w:line="480" w:lineRule="auto"/>
        <w:rPr>
          <w:rFonts w:ascii="Times New Roman" w:hAnsi="Times New Roman"/>
          <w:b/>
          <w:lang w:val="en-US"/>
        </w:rPr>
      </w:pPr>
    </w:p>
    <w:p w14:paraId="2A6E2E88" w14:textId="77777777" w:rsidR="00261A77" w:rsidRPr="00CA3875" w:rsidRDefault="00261A77" w:rsidP="00261A77">
      <w:pPr>
        <w:spacing w:line="480" w:lineRule="auto"/>
        <w:rPr>
          <w:rFonts w:ascii="Times New Roman" w:hAnsi="Times New Roman"/>
          <w:b/>
          <w:lang w:val="en-US"/>
        </w:rPr>
      </w:pPr>
      <w:r w:rsidRPr="00CA3875">
        <w:rPr>
          <w:rFonts w:ascii="Times New Roman" w:hAnsi="Times New Roman"/>
          <w:b/>
          <w:lang w:val="en-US"/>
        </w:rPr>
        <w:t>Clinical implications</w:t>
      </w:r>
    </w:p>
    <w:p w14:paraId="4B547F7F" w14:textId="7CC33E1A" w:rsidR="00223CDF" w:rsidRPr="00BD2C67" w:rsidRDefault="00261A77" w:rsidP="00261A77">
      <w:pPr>
        <w:spacing w:line="480" w:lineRule="auto"/>
        <w:rPr>
          <w:rFonts w:ascii="Times New Roman" w:hAnsi="Times New Roman"/>
          <w:lang w:val="en-CA"/>
        </w:rPr>
      </w:pPr>
      <w:r w:rsidRPr="00CA3875">
        <w:rPr>
          <w:rFonts w:ascii="Times New Roman" w:hAnsi="Times New Roman"/>
          <w:lang w:val="en-US"/>
        </w:rPr>
        <w:t xml:space="preserve">The findings of this study provide </w:t>
      </w:r>
      <w:r w:rsidRPr="00CA3875">
        <w:rPr>
          <w:rFonts w:ascii="Times New Roman" w:hAnsi="Times New Roman"/>
          <w:lang w:val="en-CA"/>
        </w:rPr>
        <w:t xml:space="preserve">a strong argument for the prevention of PPM at the time of initial surgical AVR. </w:t>
      </w:r>
      <w:r w:rsidR="00FE6822">
        <w:rPr>
          <w:rFonts w:ascii="Times New Roman" w:hAnsi="Times New Roman"/>
          <w:lang w:val="en-CA"/>
        </w:rPr>
        <w:t>First, a</w:t>
      </w:r>
      <w:r w:rsidRPr="00CA3875">
        <w:rPr>
          <w:rFonts w:ascii="Times New Roman" w:hAnsi="Times New Roman"/>
          <w:lang w:val="en-CA"/>
        </w:rPr>
        <w:t>ccording to meta-analyses</w:t>
      </w:r>
      <w:r w:rsidR="00522FDC">
        <w:rPr>
          <w:rFonts w:ascii="Times New Roman" w:hAnsi="Times New Roman"/>
          <w:lang w:val="en-CA"/>
        </w:rPr>
        <w:fldChar w:fldCharType="begin" w:fldLock="1"/>
      </w:r>
      <w:r w:rsidR="00E05D9C">
        <w:rPr>
          <w:rFonts w:ascii="Times New Roman" w:hAnsi="Times New Roman"/>
          <w:lang w:val="en-CA"/>
        </w:rPr>
        <w:instrText>ADDIN CSL_CITATION { "citationItems" : [ { "id" : "ITEM-1", "itemData" : { "DOI" : "10.1093/eurheartj/ehs003", "ISSN" : "1522-9645", "PMID" : "22408037", "abstract" : "AIMS: Numerous studies have linked prosthesis-patient mismatch (PPM) after aortic valve replacement (AVR) to adverse outcomes. Its correlation with long-term survival has been described but with contradicting results. This systematic review and meta-analysis of observational studies aims to determine the hazard of PPM after AVR.\n\nMETHODS AND RESULTS: The Medline and EMBase databases were searched for English-language original publications. Two researchers independently screened studies and extracted data. Pooled estimates were obtained by random effects model. Subgroup analyses were performed to detect sources of heterogeneity. The search yielded 348 potentially relevant studies; 34 were included comprising 27 186 patients and 133 141 patient-years. Defined by the universally accredited indexed effective orifice area &lt;0.85 cm(2)/m(2), 44.2% of patients were categorized as having PPM. In 34.2 and 9.8% of patients moderate (0.65-0.85 cm(2)/m(2)) and severe (&lt;0.65 cm(2)/m(2)) PPM was present, respectively. Prosthesis-patient mismatch was associated with a statistically significant increase in all-cause mortality (HR = 1.34, 95% CI: 1.18-1.51), but only a trend to an increase in cardiac-related mortality (HR = 1.51, 95% CI: 0.88-2.60) was recognized. Analysis by severity of PPM demonstrated that both moderate and severe PPM increased all-cause mortality (HR = 1.19, 95% CI: 1.07-1.33 and HR = 1.84, 95% CI: 1.38-2.45) and cardiac-related mortality (HR = 1.32, 95% CI: 1.02-1.71 and HR = 6.46, 95% CI: 2.79-14.97). Further analyses showed a consistent effect over separate time intervals during follow-up.\n\nCONCLUSION: Prosthesis-patient mismatch is associated with an increase in all-cause and cardiac-related mortality over long-term follow-up. We recommend that current efforts to prevent PPM should receive more emphasis and a widespread acceptance to improve long-term survival after AVR.", "author" : [ { "dropping-particle" : "", "family" : "Head", "given" : "Stuart J", "non-dropping-particle" : "", "parse-names" : false, "suffix" : "" }, { "dropping-particle" : "", "family" : "Mokhles", "given" : "Mostafa M", "non-dropping-particle" : "", "parse-names" : false, "suffix" : "" }, { "dropping-particle" : "", "family" : "Osnabrugge", "given" : "Ruben L J", "non-dropping-particle" : "", "parse-names" : false, "suffix" : "" }, { "dropping-particle" : "", "family" : "Pibarot", "given" : "Philippe", "non-dropping-particle" : "", "parse-names" : false, "suffix" : "" }, { "dropping-particle" : "", "family" : "Mack", "given" : "Michael J", "non-dropping-particle" : "", "parse-names" : false, "suffix" : "" }, { "dropping-particle" : "", "family" : "Takkenberg", "given" : "Johanna J M", "non-dropping-particle" : "", "parse-names" : false, "suffix" : "" }, { "dropping-particle" : "", "family" : "Bogers", "given" : "Ad J J C", "non-dropping-particle" : "", "parse-names" : false, "suffix" : "" }, { "dropping-particle" : "", "family" : "Kappetein", "given" : "Arie Pieter", "non-dropping-particle" : "", "parse-names" : false, "suffix" : "" } ], "container-title" : "European heart journal", "id" : "ITEM-1", "issue" : "12", "issued" : { "date-parts" : [ [ "2012", "6", "2" ] ] }, "page" : "1518-29", "title" : "The impact of prosthesis-patient mismatch on long-term survival after aortic valve replacement: a systematic review and meta-analysis of 34 observational studies comprising 27 186 patients with 133 141 patient-years.", "type" : "article-journal", "volume" : "33" }, "uris" : [ "http://www.mendeley.com/documents/?uuid=50896336-06a8-409c-9614-88e227c52ceb" ] }, { "id" : "ITEM-2", "itemData" : { "DOI" : "10.1016/j.jcmg.2015.10.026", "ISSN" : "1936878X", "PMID" : "27236530", "abstract" : "OBJECTIVES This study sought to evaluate predictors of prosthesis-patient mismatch (PPM) and its association with the risk of perioperative and overall mortality. BACKGROUND PPM is associated with increased mid- and long-term mortality after surgical aortic valve replacement. Conflicting results have been reported with regard to its association with perioperative mortality. METHODS Databases were searched for studies published between 1965 and 2014. Main outcomes of interest were perioperative mortality and overall mortality. RESULTS The search yielded 382 studies for inclusion. Of these, 58 articles were analyzed and their data extracted. The total number of patients included was 40,381 (39,568 surgical aortic valve replacement and 813 transcatheter aortic valve replacement). Perioperative (odds ratio: 1.54; 95% confidence interval: 1.25 to 1.91) and overall (i.e., perioperative and post-operative) mortality (hazard ratio: 1.26; 95% confidence interval: 1.16 to 1.36) was increased in patients with PPM. The impact of PPM on mortality was higher in those studies in which the mean age of the patients was &lt;70 years of age (and/or AVR with associated coronary artery bypass graft was included). Severe PPM was associated with increased risk of both perioperative and overall mortality, whereas moderate PPM was associated with increased risk of perioperative mortality but not of overall mortality. The impact of PPM was less pronounced in patients with larger body mass index (&gt;28 kg/m(2)) compared with those with lower index. Predictors of PPM were older age, female sex, hypertension, diabetes, renal failure, larger body surface area, larger body mass index, and the utilization of a bioprosthesis. CONCLUSIONS PPM increases perioperative and overall mortality proportionally to its severity. The identification of predictors for PPM may be useful to identify patients who are at higher risk for PPM. The findings of this study support the implementation of strategies to prevent PPM especially in patients\u00a0&lt;70 years of age and/or with concomitant coronary artery bypass graft.", "author" : [ { "dropping-particle" : "", "family" : "Dayan", "given" : "Victor", "non-dropping-particle" : "", "parse-names" : false, "suffix" : "" }, { "dropping-particle" : "", "family" : "Vignolo", "given" : "Gustavo", "non-dropping-particle" : "", "parse-names" : false, "suffix" : "" }, { "dropping-particle" : "", "family" : "Soca", "given" : "Gerardo", "non-dropping-particle" : "", "parse-names" : false, "suffix" : "" }, { "dropping-particle" : "", "family" : "Paganini", "given" : "Juan Jose", "non-dropping-particle" : "", "parse-names" : false, "suffix" : "" }, { "dropping-particle" : "", "family" : "Brusich", "given" : "Daniel", "non-dropping-particle" : "", "parse-names" : false, "suffix" : "" }, { "dropping-particle" : "", "family" : "Pibarot", "given" : "Philippe", "non-dropping-particle" : "", "parse-names" : false, "suffix" : "" } ], "container-title" : "JACC: Cardiovascular Imaging", "id" : "ITEM-2", "issue" : "8", "issued" : { "date-parts" : [ [ "2016", "8" ] ] }, "page" : "924-933", "title" : "Predictors and Outcomes of Prosthesis-Patient Mismatch After\u00a0Aortic\u00a0Valve Replacement", "type" : "article-journal", "volume" : "9" }, "uris" : [ "http://www.mendeley.com/documents/?uuid=b950adb9-be54-3bc0-8226-48469099ebf3" ] } ], "mendeley" : { "formattedCitation" : "(16, 17)", "plainTextFormattedCitation" : "(16, 17)", "previouslyFormattedCitation" : "&lt;sup&gt;16,17&lt;/sup&gt;" }, "properties" : { "noteIndex" : 0 }, "schema" : "https://github.com/citation-style-language/schema/raw/master/csl-citation.json" }</w:instrText>
      </w:r>
      <w:r w:rsidR="00522FDC">
        <w:rPr>
          <w:rFonts w:ascii="Times New Roman" w:hAnsi="Times New Roman"/>
          <w:lang w:val="en-CA"/>
        </w:rPr>
        <w:fldChar w:fldCharType="separate"/>
      </w:r>
      <w:r w:rsidR="00E05D9C" w:rsidRPr="00E05D9C">
        <w:rPr>
          <w:rFonts w:ascii="Times New Roman" w:hAnsi="Times New Roman"/>
          <w:noProof/>
          <w:lang w:val="en-CA"/>
        </w:rPr>
        <w:t>(16, 17)</w:t>
      </w:r>
      <w:r w:rsidR="00522FDC">
        <w:rPr>
          <w:rFonts w:ascii="Times New Roman" w:hAnsi="Times New Roman"/>
          <w:lang w:val="en-CA"/>
        </w:rPr>
        <w:fldChar w:fldCharType="end"/>
      </w:r>
      <w:r w:rsidRPr="00CA3875">
        <w:rPr>
          <w:rFonts w:ascii="Times New Roman" w:hAnsi="Times New Roman"/>
          <w:lang w:val="en-CA"/>
        </w:rPr>
        <w:t xml:space="preserve">, severe PPM is associated with a </w:t>
      </w:r>
      <w:r w:rsidRPr="00BD2C67">
        <w:rPr>
          <w:rFonts w:ascii="Times New Roman" w:hAnsi="Times New Roman"/>
          <w:lang w:val="en-CA"/>
        </w:rPr>
        <w:t>1.8-fold increase in mortality and 1.6-fold increase in heart-failure rehospitalization after AVR. Second, severe PPM may increase the valve leaflet mechanical stress and flow turbulences, which may, in turn, accelerate the structural degeneration of bioprosthetic valves</w:t>
      </w:r>
      <w:r w:rsidR="00522FDC">
        <w:rPr>
          <w:rFonts w:ascii="Times New Roman" w:hAnsi="Times New Roman"/>
          <w:lang w:val="en-CA"/>
        </w:rPr>
        <w:fldChar w:fldCharType="begin" w:fldLock="1"/>
      </w:r>
      <w:r w:rsidR="00E05D9C">
        <w:rPr>
          <w:rFonts w:ascii="Times New Roman" w:hAnsi="Times New Roman"/>
          <w:lang w:val="en-CA"/>
        </w:rPr>
        <w:instrText>ADDIN CSL_CITATION { "citationItems" : [ { "id" : "ITEM-1", "itemData" : { "DOI" : "10.1161/CIRCULATIONAHA.109.901272", "ISSN" : "1524-4539", "PMID" : "20439787", "abstract" : "BACKGROUND Prosthesis-patient mismatch (P-PtM) after aortic valve replacement results in disturbed valve performance associated with increased pressure gradients. However, it is unknown whether this can be related to future structural valve deterioration (SVD) of the bioprosthesis. METHODS AND RESULTS In 564 patients (mean age, 74+/-5 years) receiving an aortic valve bioprosthesis, clinical follow-up (median, 6.1 years; maximum, 16.4 years) was analyzed including echocardiography. SVD was diagnosed in 40 patients (7%) as substantially increased stenosis (n=24) or regurgitation (n=16) of the operated valve over time. When patients with P-PtM (effective orifice area index &lt;0.85 cm(2)/m(2); n=285) developed SVD, it was preferentially of the stenosis type, whereas when patients without P-PtM (n=279) developed SVD, the majority was of the incompetence type (P&lt;0.05). Multivariable analysis including patient- and valve-related variables revealed that P-PtM and label size &lt;/=21 were independent predictors of SVD (P=0.04 and P=0.02, respectively). A nonparametric Turnbull estimate analysis showed that SVD is virtually nonexistent for up to 9 years in patients without P-PtM. Thereafter, SVD starts to occur and is mainly of the incompetence-type SVD (79% of cases). In patients with P-PtM, SVD starts to occur after 2 to 3 years after implantation and is mainly of the stenosis-type SVD (81% of cases). CONCLUSIONS These data suggest that stenosis-type SVD is an early, P-PtM-related, and thus preventable phenomenon. Incompetence-type SVD is a time-dependent, nonspecific wear damage to bioprosthetic valves, which is not related to P-PtM.", "author" : [ { "dropping-particle" : "", "family" : "Flameng", "given" : "Willem", "non-dropping-particle" : "", "parse-names" : false, "suffix" : "" }, { "dropping-particle" : "", "family" : "Herregods", "given" : "Marie-Christine", "non-dropping-particle" : "", "parse-names" : false, "suffix" : "" }, { "dropping-particle" : "", "family" : "Vercalsteren", "given" : "Monique", "non-dropping-particle" : "", "parse-names" : false, "suffix" : "" }, { "dropping-particle" : "", "family" : "Herijgers", "given" : "Paul", "non-dropping-particle" : "", "parse-names" : false, "suffix" : "" }, { "dropping-particle" : "", "family" : "Bogaerts", "given" : "Kris", "non-dropping-particle" : "", "parse-names" : false, "suffix" : "" }, { "dropping-particle" : "", "family" : "Meuris", "given" : "Bart", "non-dropping-particle" : "", "parse-names" : false, "suffix" : "" } ], "container-title" : "Circulation", "id" : "ITEM-1", "issue" : "19", "issued" : { "date-parts" : [ [ "2010", "5", "18" ] ] }, "page" : "2123-9", "title" : "Prosthesis-patient mismatch predicts structural valve degeneration in bioprosthetic heart valves.", "type" : "article-journal", "volume" : "121" }, "uris" : [ "http://www.mendeley.com/documents/?uuid=f12e86f9-6319-3517-bc6f-14019abf749a" ] }, { "id" : "ITEM-2", "itemData" : { "DOI" : "10.1136/heartjnl-2014-306445", "ISSN" : "1468-201X", "PMID" : "25618481", "abstract" : "BACKGROUND Cusp calcification is the main mechanism leading to bioprosthetic heart valve (BPV) failure. Recent studies suggest that BPV calcification is an active rather than passive process probably modulated by several mechanisms including lipid-mediated inflammation and dysfunctional phosphocalcic metabolism. OBJECTIVE To identify the clinical and metabolic determinants of BPV calcification assessed by multidetector CT (MDCT). METHODS AND RESULTS Presence of BPV calcification was assessed by MDCT in 194 patients who had undergone aortic valve replacement. A calcification score was individually calculated and expressed in mm(3). Patients also underwent a clinical evaluation, a Doppler echocardiographic exam, and a plasma lipid and phosphocalcic profile. 46 patients (24%) had BPV calcification (cusp calcification score &gt;0\u2005mm(3)). After adjustment for age, gender, and time interval since BPV implantation, increased calcium-phosphorus product (OR 1.11, 95% CI 1.01 to 1.23 per 1 unit; p=0.02) and the presence of prosthesis-patient mismatch (OR 3.67, 95% CI 1.25 to 10.6; p=0.01) were the strongest independent factors associated with BPV calcification. Calcium supplement intake, age and female gender were independently associated with increased calcium-phosphorus product. CONCLUSIONS This study suggests that higher calcium-phosphorus product and prosthesis-patient mismatch promote BPV calcification. Furthermore, this study reports that calcium supplements, which are extensively prescribed in elderly patients, are independently associated with higher calcium-phosphorus product.", "author" : [ { "dropping-particle" : "", "family" : "Mahjoub", "given" : "Ha\u00effa", "non-dropping-particle" : "", "parse-names" : false, "suffix" : "" }, { "dropping-particle" : "", "family" : "Mathieu", "given" : "Patrick", "non-dropping-particle" : "", "parse-names" : false, "suffix" : "" }, { "dropping-particle" : "", "family" : "Larose", "given" : "Eric", "non-dropping-particle" : "", "parse-names" : false, "suffix" : "" }, { "dropping-particle" : "", "family" : "Dahou", "given" : "Abdelaziz", "non-dropping-particle" : "", "parse-names" : false, "suffix" : "" }, { "dropping-particle" : "", "family" : "S\u00e9n\u00e9chal", "given" : "Mario", "non-dropping-particle" : "", "parse-names" : false, "suffix" : "" }, { "dropping-particle" : "", "family" : "Dumesnil", "given" : "Jean-Gaston", "non-dropping-particle" : "", "parse-names" : false, "suffix" : "" }, { "dropping-particle" : "", "family" : "Despr\u00e9s", "given" : "Jean-Pierre", "non-dropping-particle" : "", "parse-names" : false, "suffix" : "" }, { "dropping-particle" : "", "family" : "Pibarot", "given" : "Philippe", "non-dropping-particle" : "", "parse-names" : false, "suffix" : "" } ], "container-title" : "Heart (British Cardiac Society)", "id" : "ITEM-2", "issue" : "6", "issued" : { "date-parts" : [ [ "2015", "3", "15" ] ] }, "page" : "472-7", "title" : "Determinants of aortic bioprosthetic valve calcification assessed by multidetector CT.", "type" : "article-journal", "volume" : "101" }, "uris" : [ "http://www.mendeley.com/documents/?uuid=f1efe2bf-fbf7-3121-a665-b4da03bbe748" ] }, { "id" : "ITEM-3", "itemData" : { "DOI" : "10.1016/j.jtcvs.2013.03.025", "ISSN" : "1097-685X", "PMID" : "23623617", "abstract" : "BACKGROUND: We examined the influence of multiple valve-related parameters on the onset and incidence of valve degeneration in aortic bioprostheses through detailed echocardiographic follow-up.\n\nMETHODS: In 648 patients (mean age, 73.8 \u00b1 4.9 years) receiving an aortic valve bioprosthesis, long-term clinical (mean, 7.5 \u00b1 3.2 years) and echocardiographic (mean, 6.5 \u00b1 3.4 years) follow-up were performed. The occurrence of signs of structural valve degeneration (stenosis type and regurgitation type) was studied through multivariate analysis, including tissue origin, design and label size of the prosthesis, effective orifice area index (EOAi), patient-prosthesis mismatch (PPM; EOAi &lt;0.85 cm(2)/m(2)), and antimineralization treatment.\n\nRESULTS: Structural valve degeneration (SVD) was diagnosed in 12.6% of patients. In 7.6%, it was of the stenosis type (S-SVD); in 5%, it was the regurgitation type (R-SVD). The absence of antimineralization treatment is an independent predictor of SVD, S-SVD, and R-SVD. Patient-prosthesis mismatch is an independent predictor of SVD and S-SVD, but not of R-SVD. Patients receiving a nontreated valve show a freedom of SVD at 10 years follow-up of 70.1 \u00b1 4.3% versus 90.9 \u00b1 3.6% in patients receiving a treated valve (P\u00a0&lt;\u00a0.0001). Patients having PPM and receiving a nontreated valve show a freedom of SVD at 10 years of follow-up of only 59.8 \u00b1 7.0% versus 88.7 \u00b1 3.6% in patients also having PPM but receiving a treated valve (P\u00a0&lt;\u00a0.0001). In patients not having PPM, the corresponding values were 78.0 \u00b1 4.3% and 92.7 \u00b1 3.4% for nontreated versus treated valves respectively (P\u00a0=\u00a0.01).\n\nCONCLUSIONS: Antimineralization treatment of bioprosthetic heart valves is effective and reduces the incidence of SVD significantly. Because valve type and size are determined at the moment of implantation, the surgeon carries an important responsibility in protecting the patient from valve degeneration.", "author" : [ { "dropping-particle" : "", "family" : "Flameng", "given" : "Willem", "non-dropping-particle" : "", "parse-names" : false, "suffix" : "" }, { "dropping-particle" : "", "family" : "Rega", "given" : "Filip", "non-dropping-particle" : "", "parse-names" : false, "suffix" : "" }, { "dropping-particle" : "", "family" : "Vercalsteren", "given" : "Monique", "non-dropping-particle" : "", "parse-names" : false, "suffix" : "" }, { "dropping-particle" : "", "family" : "Herijgers", "given" : "Paul", "non-dropping-particle" : "", "parse-names" : false, "suffix" : "" }, { "dropping-particle" : "", "family" : "Meuris", "given" : "Bart", "non-dropping-particle" : "", "parse-names" : false, "suffix" : "" } ], "container-title" : "The Journal of thoracic and cardiovascular surgery", "id" : "ITEM-3", "issue" : "4", "issued" : { "date-parts" : [ [ "2014", "4" ] ] }, "page" : "1219-24", "title" : "Antimineralization treatment and patient-prosthesis mismatch are major determinants of the onset and incidence of structural valve degeneration in bioprosthetic heart valves.", "type" : "article-journal", "volume" : "147" }, "uris" : [ "http://www.mendeley.com/documents/?uuid=f849f1a4-b2a4-4882-9e15-5f8a697e41c0" ] } ], "mendeley" : { "formattedCitation" : "(18, 19, 22)", "plainTextFormattedCitation" : "(18, 19, 22)", "previouslyFormattedCitation" : "&lt;sup&gt;18,19,22&lt;/sup&gt;" }, "properties" : { "noteIndex" : 0 }, "schema" : "https://github.com/citation-style-language/schema/raw/master/csl-citation.json" }</w:instrText>
      </w:r>
      <w:r w:rsidR="00522FDC">
        <w:rPr>
          <w:rFonts w:ascii="Times New Roman" w:hAnsi="Times New Roman"/>
          <w:lang w:val="en-CA"/>
        </w:rPr>
        <w:fldChar w:fldCharType="separate"/>
      </w:r>
      <w:r w:rsidR="00E05D9C" w:rsidRPr="00E05D9C">
        <w:rPr>
          <w:rFonts w:ascii="Times New Roman" w:hAnsi="Times New Roman"/>
          <w:noProof/>
          <w:lang w:val="en-CA"/>
        </w:rPr>
        <w:t>(18, 19, 22)</w:t>
      </w:r>
      <w:r w:rsidR="00522FDC">
        <w:rPr>
          <w:rFonts w:ascii="Times New Roman" w:hAnsi="Times New Roman"/>
          <w:lang w:val="en-CA"/>
        </w:rPr>
        <w:fldChar w:fldCharType="end"/>
      </w:r>
      <w:r w:rsidRPr="00BD2C67">
        <w:rPr>
          <w:rFonts w:ascii="Times New Roman" w:hAnsi="Times New Roman"/>
          <w:lang w:val="en-CA"/>
        </w:rPr>
        <w:t>.</w:t>
      </w:r>
    </w:p>
    <w:p w14:paraId="4E653DD9" w14:textId="35974B54" w:rsidR="000C6CDE" w:rsidRDefault="00FE6822" w:rsidP="000C6CDE">
      <w:pPr>
        <w:autoSpaceDE w:val="0"/>
        <w:autoSpaceDN w:val="0"/>
        <w:adjustRightInd w:val="0"/>
        <w:spacing w:line="480" w:lineRule="auto"/>
        <w:rPr>
          <w:rFonts w:ascii="Times New Roman" w:hAnsi="Times New Roman"/>
          <w:lang w:val="en-CA"/>
        </w:rPr>
      </w:pPr>
      <w:r w:rsidRPr="00BD2C67">
        <w:rPr>
          <w:rFonts w:ascii="Times New Roman" w:hAnsi="Times New Roman"/>
          <w:lang w:val="en-CA"/>
        </w:rPr>
        <w:t>Hence, patients with severe PPM may require a ViV procedure earlier after the initial AVR. Furthermore, as demonstrated in the present study and in the previous CoreValve registry</w:t>
      </w:r>
      <w:r w:rsidR="00522FDC">
        <w:rPr>
          <w:rFonts w:ascii="Times New Roman" w:hAnsi="Times New Roman"/>
          <w:lang w:val="en-CA"/>
        </w:rPr>
        <w:fldChar w:fldCharType="begin" w:fldLock="1"/>
      </w:r>
      <w:r w:rsidR="00E05D9C">
        <w:rPr>
          <w:rFonts w:ascii="Times New Roman" w:hAnsi="Times New Roman"/>
          <w:lang w:val="en-CA"/>
        </w:rPr>
        <w:instrText>ADDIN CSL_CITATION { "citationItems" : [ { "id" : "ITEM-1", "itemData" : { "DOI" : "10.1016/j.jcin.2017.03.018", "ISSN" : "19368798", "author" : [ { "dropping-particle" : "", "family" : "Deeb", "given" : "G. Michael", "non-dropping-particle" : "", "parse-names" : false, "suffix" : "" }, { "dropping-particle" : "", "family" : "Chetcuti", "given" : "Stanley J.", "non-dropping-particle" : "", "parse-names" : false, "suffix" : "" }, { "dropping-particle" : "", "family" : "Reardon", "given" : "Michael J.", "non-dropping-particle" : "", "parse-names" : false, "suffix" : "" }, { "dropping-particle" : "", "family" : "Patel", "given" : "Himanshu J.", "non-dropping-particle" : "", "parse-names" : false, "suffix" : "" }, { "dropping-particle" : "", "family" : "Grossman", "given" : "P. Michael", "non-dropping-particle" : "", "parse-names" : false, "suffix" : "" }, { "dropping-particle" : "", "family" : "Schreiber", "given" : "Theodore", "non-dropping-particle" : "", "parse-names" : false, "suffix" : "" }, { "dropping-particle" : "", "family" : "Forrest", "given" : "John K.", "non-dropping-particle" : "", "parse-names" : false, "suffix" : "" }, { "dropping-particle" : "", "family" : "Bajwa", "given" : "Tanvir K.", "non-dropping-particle" : "", "parse-names" : false, "suffix" : "" }, { "dropping-particle" : "", "family" : "O\u2019Hair", "given" : "Daniel P.", "non-dropping-particle" : "", "parse-names" : false, "suffix" : "" }, { "dropping-particle" : "", "family" : "Petrossian", "given" : "George", "non-dropping-particle" : "", "parse-names" : false, "suffix" : "" }, { "dropping-particle" : "", "family" : "Robinson", "given" : "Newell", "non-dropping-particle" : "", "parse-names" : false, "suffix" : "" }, { "dropping-particle" : "", "family" : "Katz", "given" : "Stanley", "non-dropping-particle" : "", "parse-names" : false, "suffix" : "" }, { "dropping-particle" : "", "family" : "Hartman", "given" : "Alan", "non-dropping-particle" : "", "parse-names" : false, "suffix" : "" }, { "dropping-particle" : "", "family" : "Dauerman", "given" : "Harold L.", "non-dropping-particle" : "", "parse-names" : false, "suffix" : "" }, { "dropping-particle" : "", "family" : "Schmoker", "given" : "Joseph", "non-dropping-particle" : "", "parse-names" : false, "suffix" : "" }, { "dropping-particle" : "", "family" : "Khabbaz", "given" : "Kamal", "non-dropping-particle" : "", "parse-names" : false, "suffix" : "" }, { "dropping-particle" : "", "family" : "Watson", "given" : "Daniel R.", "non-dropping-particle" : "", "parse-names" : false, "suffix" : "" }, { "dropping-particle" : "", "family" : "Yakubov", "given" : "Steven J.", "non-dropping-particle" : "", "parse-names" : false, "suffix" : "" }, { "dropping-particle" : "", "family" : "Oh", "given" : "Jae K.", "non-dropping-particle" : "", "parse-names" : false, "suffix" : "" }, { "dropping-particle" : "", "family" : "Li", "given" : "Shuzhen", "non-dropping-particle" : "", "parse-names" : false, "suffix" : "" }, { "dropping-particle" : "", "family" : "Kleiman", "given" : "Neal S.", "non-dropping-particle" : "", "parse-names" : false, "suffix" : "" }, { "dropping-particle" : "", "family" : "Adams", "given" : "David H.", "non-dropping-particle" : "", "parse-names" : false, "suffix" : "" }, { "dropping-particle" : "", "family" : "Popma", "given" : "Jeffrey J.", "non-dropping-particle" : "", "parse-names" : false, "suffix" : "" } ], "container-title" : "JACC: Cardiovascular Interventions", "id" : "ITEM-1", "issue" : "10", "issued" : { "date-parts" : [ [ "2017", "5" ] ] }, "page" : "1034-1044", "title" : "1-Year Results in Patients Undergoing Transcatheter Aortic Valve Replacement With Failed Surgical Bioprostheses", "type" : "article-journal", "volume" : "10" }, "uris" : [ "http://www.mendeley.com/documents/?uuid=17943b05-7a0b-3f61-83e7-8e99df08b0ca" ] } ], "mendeley" : { "formattedCitation" : "(15)", "plainTextFormattedCitation" : "(15)", "previouslyFormattedCitation" : "&lt;sup&gt;15&lt;/sup&gt;" }, "properties" : { "noteIndex" : 0 }, "schema" : "https://github.com/citation-style-language/schema/raw/master/csl-citation.json" }</w:instrText>
      </w:r>
      <w:r w:rsidR="00522FDC">
        <w:rPr>
          <w:rFonts w:ascii="Times New Roman" w:hAnsi="Times New Roman"/>
          <w:lang w:val="en-CA"/>
        </w:rPr>
        <w:fldChar w:fldCharType="separate"/>
      </w:r>
      <w:r w:rsidR="00E05D9C" w:rsidRPr="00E05D9C">
        <w:rPr>
          <w:rFonts w:ascii="Times New Roman" w:hAnsi="Times New Roman"/>
          <w:noProof/>
          <w:lang w:val="en-CA"/>
        </w:rPr>
        <w:t>(15)</w:t>
      </w:r>
      <w:r w:rsidR="00522FDC">
        <w:rPr>
          <w:rFonts w:ascii="Times New Roman" w:hAnsi="Times New Roman"/>
          <w:lang w:val="en-CA"/>
        </w:rPr>
        <w:fldChar w:fldCharType="end"/>
      </w:r>
      <w:r w:rsidRPr="00BD2C67">
        <w:rPr>
          <w:rFonts w:ascii="Times New Roman" w:hAnsi="Times New Roman"/>
          <w:lang w:val="en-CA"/>
        </w:rPr>
        <w:t xml:space="preserve">, the presence of pre-existent severe PPM negatively impacts the hemodynamic, functional, and clinical outcomes after ViV. The </w:t>
      </w:r>
      <w:r w:rsidR="000C6CDE" w:rsidRPr="00BD2C67">
        <w:rPr>
          <w:rFonts w:ascii="Times New Roman" w:hAnsi="Times New Roman"/>
          <w:lang w:val="en-CA"/>
        </w:rPr>
        <w:t xml:space="preserve">surgeons should </w:t>
      </w:r>
      <w:r w:rsidRPr="00BD2C67">
        <w:rPr>
          <w:rFonts w:ascii="Times New Roman" w:hAnsi="Times New Roman"/>
          <w:lang w:val="en-CA"/>
        </w:rPr>
        <w:t xml:space="preserve">thus </w:t>
      </w:r>
      <w:r w:rsidR="000C6CDE" w:rsidRPr="00BD2C67">
        <w:rPr>
          <w:rFonts w:ascii="Times New Roman" w:hAnsi="Times New Roman"/>
          <w:lang w:val="en-CA"/>
        </w:rPr>
        <w:t>make a particular effort to implant a bioprosthetic valve with the largest possible EOA in relation to patient’s body size</w:t>
      </w:r>
      <w:r w:rsidR="00BD2C67" w:rsidRPr="00BD2C67">
        <w:rPr>
          <w:rFonts w:ascii="Times New Roman" w:hAnsi="Times New Roman"/>
          <w:lang w:val="en-CA"/>
        </w:rPr>
        <w:t xml:space="preserve"> in order to avoid PPM at the time of initial AVR</w:t>
      </w:r>
      <w:r w:rsidR="000C6CDE" w:rsidRPr="00BD2C67">
        <w:rPr>
          <w:rFonts w:ascii="Times New Roman" w:hAnsi="Times New Roman"/>
          <w:lang w:val="en-CA"/>
        </w:rPr>
        <w:t>.</w:t>
      </w:r>
      <w:r w:rsidRPr="00BD2C67">
        <w:rPr>
          <w:rFonts w:ascii="Times New Roman" w:hAnsi="Times New Roman"/>
          <w:lang w:val="en-CA"/>
        </w:rPr>
        <w:t xml:space="preserve"> This goal may be achieved by using: i) new generations of stented bioprosthetic valves implanted in a supra</w:t>
      </w:r>
      <w:r w:rsidR="00AD6800" w:rsidRPr="00BD2C67">
        <w:rPr>
          <w:rFonts w:ascii="Times New Roman" w:hAnsi="Times New Roman"/>
          <w:lang w:val="en-CA"/>
        </w:rPr>
        <w:t>-a</w:t>
      </w:r>
      <w:r w:rsidRPr="00BD2C67">
        <w:rPr>
          <w:rFonts w:ascii="Times New Roman" w:hAnsi="Times New Roman"/>
          <w:lang w:val="en-CA"/>
        </w:rPr>
        <w:t xml:space="preserve">nnular position; ii) stentless or sutureless </w:t>
      </w:r>
      <w:r w:rsidR="00AD6800" w:rsidRPr="00BD2C67">
        <w:rPr>
          <w:rFonts w:ascii="Times New Roman" w:hAnsi="Times New Roman"/>
          <w:lang w:val="en-CA"/>
        </w:rPr>
        <w:t>bioprostheses</w:t>
      </w:r>
      <w:r w:rsidRPr="00BD2C67">
        <w:rPr>
          <w:rFonts w:ascii="Times New Roman" w:hAnsi="Times New Roman"/>
          <w:lang w:val="en-CA"/>
        </w:rPr>
        <w:t xml:space="preserve">; iii) aortic root enlargement to </w:t>
      </w:r>
      <w:r w:rsidR="00AD6800" w:rsidRPr="00BD2C67">
        <w:rPr>
          <w:rFonts w:ascii="Times New Roman" w:hAnsi="Times New Roman"/>
          <w:lang w:val="en-CA"/>
        </w:rPr>
        <w:t>accommodate</w:t>
      </w:r>
      <w:r w:rsidRPr="00BD2C67">
        <w:rPr>
          <w:rFonts w:ascii="Times New Roman" w:hAnsi="Times New Roman"/>
          <w:lang w:val="en-CA"/>
        </w:rPr>
        <w:t xml:space="preserve"> a larger bioprosthetic valve size.</w:t>
      </w:r>
      <w:r w:rsidR="00182A16" w:rsidRPr="00BD2C67">
        <w:rPr>
          <w:rFonts w:ascii="Times New Roman" w:hAnsi="Times New Roman"/>
          <w:lang w:val="en-CA"/>
        </w:rPr>
        <w:t xml:space="preserve"> Given that </w:t>
      </w:r>
      <w:r w:rsidR="00AD6800" w:rsidRPr="00BD2C67">
        <w:rPr>
          <w:rFonts w:ascii="Times New Roman" w:hAnsi="Times New Roman"/>
          <w:lang w:val="en-CA"/>
        </w:rPr>
        <w:t>transcatheter AVR is associated with less PPM</w:t>
      </w:r>
      <w:r w:rsidR="00BD2C67" w:rsidRPr="00BD2C67">
        <w:rPr>
          <w:rFonts w:ascii="Times New Roman" w:hAnsi="Times New Roman"/>
          <w:lang w:val="en-CA"/>
        </w:rPr>
        <w:t xml:space="preserve"> compared to surgical AVR</w:t>
      </w:r>
      <w:r w:rsidR="00B172DB">
        <w:rPr>
          <w:rFonts w:ascii="Times New Roman" w:hAnsi="Times New Roman"/>
          <w:lang w:val="en-CA"/>
        </w:rPr>
        <w:fldChar w:fldCharType="begin" w:fldLock="1"/>
      </w:r>
      <w:r w:rsidR="00E05D9C">
        <w:rPr>
          <w:rFonts w:ascii="Times New Roman" w:hAnsi="Times New Roman"/>
          <w:lang w:val="en-CA"/>
        </w:rPr>
        <w:instrText>ADDIN CSL_CITATION { "citationItems" : [ { "id" : "ITEM-1", "itemData" : { "DOI" : "10.1016/j.jacc.2014.06.1195", "ISSN" : "07351097", "PMID" : "25257633", "abstract" : "BACKGROUND Little is known about the incidence of prosthesis-patient mismatch (PPM) and its impact on outcomes after transcatheter aortic valve replacement (TAVR). OBJECTIVES The objectives of this study were: 1) to compare the incidence of PPM in the TAVR and surgical aortic valve replacement (SAVR) randomized control trial (RCT) arms of the PARTNER (Placement of AoRTic TraNscathetER Valves) I Trial cohort A; and 2) to assess the impact of PPM on regression of left ventricular (LV) hypertrophy and mortality in these 2 arms and in the TAVR nonrandomized continued access (NRCA) registry cohort. METHODS The PARTNER Trial cohort A randomized patients 1:1 to TAVR or bioprosthetic SAVR. Postoperative PPM was defined as absent if the indexed effective orifice area (EOA) was &gt;0.85 cm(2)/m(2), moderate if the indexed EOA was \u22650.65 but \u22640.85 cm(2)/m(2), or severe if the indexed EOA was &lt;0.65 cm(2)/m(2). LV mass regression and mortality were analyzed using the SAVR-RCT (n = 270), TAVR-RCT (n = 304), and TAVR-NRCA (n = 1,637) cohorts. RESULTS The incidence of PPM was 60.0% (severe: 28.1%) in the SAVR-RCT cohort versus 46.4% (severe: 19.7%) in the TAVR-RCT cohort (p &lt; 0.001) and 43.8% (severe: 13.6%) in the TAVR-NRCA cohort. In patients with an aortic annulus diameter &lt;20 mm, severe PPM developed in 33.7% undergoing SAVR compared with 19.0% undergoing TAVR (p = 0.002). PPM was an independent predictor of less LV mass regression at 1 year in the SAVR-RCT (p = 0.017) and TAVR-NRCA (p = 0.012) cohorts but not in the TAVR-RCT cohort (p = 0.35). Severe PPM was an independent predictor of 2-year mortality in the SAVR-RCT cohort (hazard ratio [HR]: 1.78; p = 0.041) but not in the TAVR-RCT cohort (HR: 0.58; p = 0.11). In the TAVR-NRCA cohort, severe PPM was not a predictor of 1-year mortality in all patients (HR: 1.05; p = 0.60) but did independently predict mortality in the subset of patients with no post-procedural aortic regurgitation (HR: 1.88; p = 0.02). CONCLUSIONS In patients with severe aortic stenosis and high surgical risk, PPM is more frequent and more often severe after SAVR than TAVR. Patients with PPM after SAVR have worse survival and less LV mass regression than those without PPM. Severe PPM also has a significant impact on survival after TAVR in the subset of patients with no post-procedural aortic regurgitation. TAVR may be preferable to SAVR in patients with a small aortic annulus who are susceptible to PPM to avoid its adverse impact on LV mass regressi\u2026", "author" : [ { "dropping-particle" : "", "family" : "Pibarot", "given" : "Philippe", "non-dropping-particle" : "", "parse-names" : false, "suffix" : "" }, { "dropping-particle" : "", "family" : "Weissman", "given" : "Neil J.", "non-dropping-particle" : "", "parse-names" : false, "suffix" : "" }, { "dropping-particle" : "", "family" : "Stewart", "given" : "William J.", "non-dropping-particle" : "", "parse-names" : false, "suffix" : "" }, { "dropping-particle" : "", "family" : "Hahn", "given" : "Rebecca T.", "non-dropping-particle" : "", "parse-names" : false, "suffix" : "" }, { "dropping-particle" : "", "family" : "Lindman", "given" : "Brian R.", "non-dropping-particle" : "", "parse-names" : false, "suffix" : "" }, { "dropping-particle" : "", "family" : "McAndrew", "given" : "Thomas", "non-dropping-particle" : "", "parse-names" : false, "suffix" : "" }, { "dropping-particle" : "", "family" : "Kodali", "given" : "Susheel K.", "non-dropping-particle" : "", "parse-names" : false, "suffix" : "" }, { "dropping-particle" : "", "family" : "Mack", "given" : "Michael J.", "non-dropping-particle" : "", "parse-names" : false, "suffix" : "" }, { "dropping-particle" : "", "family" : "Thourani", "given" : "Vinod H.", "non-dropping-particle" : "", "parse-names" : false, "suffix" : "" }, { "dropping-particle" : "", "family" : "Miller", "given" : "D. Craig", "non-dropping-particle" : "", "parse-names" : false, "suffix" : "" }, { "dropping-particle" : "", "family" : "Svensson", "given" : "Lars G.", "non-dropping-particle" : "", "parse-names" : false, "suffix" : "" }, { "dropping-particle" : "", "family" : "Herrmann", "given" : "Howard C.", "non-dropping-particle" : "", "parse-names" : false, "suffix" : "" }, { "dropping-particle" : "", "family" : "Smith", "given" : "Craig R.", "non-dropping-particle" : "", "parse-names" : false, "suffix" : "" }, { "dropping-particle" : "", "family" : "Rod\u00e9s-Cabau", "given" : "Josep", "non-dropping-particle" : "", "parse-names" : false, "suffix" : "" }, { "dropping-particle" : "", "family" : "Webb", "given" : "John", "non-dropping-particle" : "", "parse-names" : false, "suffix" : "" }, { "dropping-particle" : "", "family" : "Lim", "given" : "Scott", "non-dropping-particle" : "", "parse-names" : false, "suffix" : "" }, { "dropping-particle" : "", "family" : "Xu", "given" : "Ke", "non-dropping-particle" : "", "parse-names" : false, "suffix" : "" }, { "dropping-particle" : "", "family" : "Hueter", "given" : "Irene", "non-dropping-particle" : "", "parse-names" : false, "suffix" : "" }, { "dropping-particle" : "", "family" : "Douglas", "given" : "Pamela S.", "non-dropping-particle" : "", "parse-names" : false, "suffix" : "" }, { "dropping-particle" : "", "family" : "Leon", "given" : "Martin B.", "non-dropping-particle" : "", "parse-names" : false, "suffix" : "" } ], "container-title" : "Journal of the American College of Cardiology", "id" : "ITEM-1", "issue" : "13", "issued" : { "date-parts" : [ [ "2014", "9", "30" ] ] }, "page" : "1323-1334", "title" : "Incidence and Sequelae of Prosthesis-Patient Mismatch in Transcatheter Versus Surgical Valve Replacement in High-Risk Patients With Severe Aortic Stenosis", "type" : "article-journal", "volume" : "64" }, "uris" : [ "http://www.mendeley.com/documents/?uuid=db8bc81b-d9c0-38ef-9a8f-239e3eb8a128" ] }, { "id" : "ITEM-2", "itemData" : { "DOI" : "10.1016/j.jtcvs.2015.10.070", "ISSN" : "1097-685X", "PMID" : "26614412", "abstract" : "OBJECTIVES We compared the incidence of prosthesis-patient mismatch (PPM) between transcatheter aortic valve replacement (TAVR) using a self-expanding bioprosthesis and surgical aortic valve replacement (SAVR) in the CoreValve US High Risk Pivotal Trial. We sought to determine the influence of PPM on clinical outcomes. METHODS Patients with severe aortic stenosis and at increased risk for surgery were randomized 1:1 to TAVR or SAVR. Postoperative PPM was defined by the effective orifice area index (EOAi) as severe PPM (EOAi \u2264 0.65 cm(2)/m(2)) and no severe PPM (EOAi &gt; 0.65 cm(2)/m(2)); clinical outcomes were analyzed in the TAVR arm (n = 389) and SAVR arm (n = 353). Left ventricular mass index and regression were analyzed at baseline and 1 year. RESULTS The incidence of severe PPM in the SAVR group at 1 year was 25.7% versus 6.2% in the TAVR group (P &lt; .0001). Left ventricular mass index regression at 1 year was 6.8% for TAVR and 15.1% for SAVR in patients with severe PPM. At 1 year the rate of all-cause mortality and acute kidney injury were significantly greater in all patients (TAVR + SAVR) with severe PPM compared with no severe PPM (20.6% vs 12.0% [P = .0145] for death and 19.2% vs 8.5% [P = .0008] for acute kidney injury). CONCLUSIONS In patients with high surgical risk and severe aortic stenosis, severe PPM is more common in patients treated with SAVR than those treated with TAVR. Patients with severe PPM are a greater risk for death and acute kidney injury than patients without severe PPM.", "author" : [ { "dropping-particle" : "", "family" : "Zorn", "given" : "George L", "non-dropping-particle" : "", "parse-names" : false, "suffix" : "" }, { "dropping-particle" : "", "family" : "Little", "given" : "Stephen H", "non-dropping-particle" : "", "parse-names" : false, "suffix" : "" }, { "dropping-particle" : "", "family" : "Tadros", "given" : "Peter", "non-dropping-particle" : "", "parse-names" : false, "suffix" : "" }, { "dropping-particle" : "", "family" : "Deeb", "given" : "G Michael", "non-dropping-particle" : "", "parse-names" : false, "suffix" : "" }, { "dropping-particle" : "", "family" : "Gleason", "given" : "Thomas G", "non-dropping-particle" : "", "parse-names" : false, "suffix" : "" }, { "dropping-particle" : "", "family" : "Heiser", "given" : "John", "non-dropping-particle" : "", "parse-names" : false, "suffix" : "" }, { "dropping-particle" : "", "family" : "Kleiman", "given" : "Neal S", "non-dropping-particle" : "", "parse-names" : false, "suffix" : "" }, { "dropping-particle" : "", "family" : "Oh", "given" : "Jae K", "non-dropping-particle" : "", "parse-names" : false, "suffix" : "" }, { "dropping-particle" : "", "family" : "Popma", "given" : "Jeffrey J", "non-dropping-particle" : "", "parse-names" : false, "suffix" : "" }, { "dropping-particle" : "", "family" : "Adams", "given" : "David", "non-dropping-particle" : "", "parse-names" : false, "suffix" : "" }, { "dropping-particle" : "", "family" : "Huang", "given" : "Jian", "non-dropping-particle" : "", "parse-names" : false, "suffix" : "" }, { "dropping-particle" : "", "family" : "Reardon", "given" : "Michael J", "non-dropping-particle" : "", "parse-names" : false, "suffix" : "" } ], "container-title" : "The Journal of thoracic and cardiovascular surgery", "id" : "ITEM-2", "issue" : "4", "issued" : { "date-parts" : [ [ "2016", "4" ] ] }, "page" : "1014-22, 1023.e1-3", "title" : "Prosthesis-patient mismatch in high-risk patients with severe aortic stenosis: A randomized trial of a self-expanding prosthesis.", "type" : "article-journal", "volume" : "151" }, "uris" : [ "http://www.mendeley.com/documents/?uuid=808d93c4-45b1-30af-9c5a-691054a6b0df" ] } ], "mendeley" : { "formattedCitation" : "(23, 24)", "plainTextFormattedCitation" : "(23, 24)", "previouslyFormattedCitation" : "&lt;sup&gt;23,24&lt;/sup&gt;" }, "properties" : { "noteIndex" : 0 }, "schema" : "https://github.com/citation-style-language/schema/raw/master/csl-citation.json" }</w:instrText>
      </w:r>
      <w:r w:rsidR="00B172DB">
        <w:rPr>
          <w:rFonts w:ascii="Times New Roman" w:hAnsi="Times New Roman"/>
          <w:lang w:val="en-CA"/>
        </w:rPr>
        <w:fldChar w:fldCharType="separate"/>
      </w:r>
      <w:r w:rsidR="00E05D9C" w:rsidRPr="00E05D9C">
        <w:rPr>
          <w:rFonts w:ascii="Times New Roman" w:hAnsi="Times New Roman"/>
          <w:noProof/>
          <w:lang w:val="en-CA"/>
        </w:rPr>
        <w:t>(23, 24)</w:t>
      </w:r>
      <w:r w:rsidR="00B172DB">
        <w:rPr>
          <w:rFonts w:ascii="Times New Roman" w:hAnsi="Times New Roman"/>
          <w:lang w:val="en-CA"/>
        </w:rPr>
        <w:fldChar w:fldCharType="end"/>
      </w:r>
      <w:r w:rsidR="00AD6800" w:rsidRPr="00BD2C67">
        <w:rPr>
          <w:rFonts w:ascii="Times New Roman" w:hAnsi="Times New Roman"/>
          <w:lang w:val="en-CA"/>
        </w:rPr>
        <w:t xml:space="preserve">, one may also consider performing a transcatheter </w:t>
      </w:r>
      <w:r w:rsidR="00330D88" w:rsidRPr="00BD2C67">
        <w:rPr>
          <w:rFonts w:ascii="Times New Roman" w:hAnsi="Times New Roman"/>
          <w:lang w:val="en-CA"/>
        </w:rPr>
        <w:t>rather</w:t>
      </w:r>
      <w:r w:rsidR="00BD2C67" w:rsidRPr="00BD2C67">
        <w:rPr>
          <w:rFonts w:ascii="Times New Roman" w:hAnsi="Times New Roman"/>
          <w:lang w:val="en-CA"/>
        </w:rPr>
        <w:t xml:space="preserve"> than a surgical AVR at the time of initial AVR.</w:t>
      </w:r>
      <w:r w:rsidR="00E9798B">
        <w:rPr>
          <w:rFonts w:ascii="Times New Roman" w:hAnsi="Times New Roman"/>
          <w:lang w:val="en-CA"/>
        </w:rPr>
        <w:t xml:space="preserve"> Indeed, transcatheter AVR is associated with less severe PPM compared to surgical AVR, especially in patients with a small native aortic annulus</w:t>
      </w:r>
      <w:r w:rsidR="00E9798B">
        <w:rPr>
          <w:rFonts w:ascii="Times New Roman" w:hAnsi="Times New Roman"/>
          <w:lang w:val="en-CA"/>
        </w:rPr>
        <w:fldChar w:fldCharType="begin" w:fldLock="1"/>
      </w:r>
      <w:r w:rsidR="00E05D9C">
        <w:rPr>
          <w:rFonts w:ascii="Times New Roman" w:hAnsi="Times New Roman"/>
          <w:lang w:val="en-CA"/>
        </w:rPr>
        <w:instrText>ADDIN CSL_CITATION { "citationItems" : [ { "id" : "ITEM-1", "itemData" : { "DOI" : "10.1016/j.jacc.2014.06.1195", "ISSN" : "07351097", "PMID" : "25257633", "abstract" : "BACKGROUND Little is known about the incidence of prosthesis-patient mismatch (PPM) and its impact on outcomes after transcatheter aortic valve replacement (TAVR). OBJECTIVES The objectives of this study were: 1) to compare the incidence of PPM in the TAVR and surgical aortic valve replacement (SAVR) randomized control trial (RCT) arms of the PARTNER (Placement of AoRTic TraNscathetER Valves) I Trial cohort A; and 2) to assess the impact of PPM on regression of left ventricular (LV) hypertrophy and mortality in these 2 arms and in the TAVR nonrandomized continued access (NRCA) registry cohort. METHODS The PARTNER Trial cohort A randomized patients 1:1 to TAVR or bioprosthetic SAVR. Postoperative PPM was defined as absent if the indexed effective orifice area (EOA) was &gt;0.85 cm(2)/m(2), moderate if the indexed EOA was \u22650.65 but \u22640.85 cm(2)/m(2), or severe if the indexed EOA was &lt;0.65 cm(2)/m(2). LV mass regression and mortality were analyzed using the SAVR-RCT (n = 270), TAVR-RCT (n = 304), and TAVR-NRCA (n = 1,637) cohorts. RESULTS The incidence of PPM was 60.0% (severe: 28.1%) in the SAVR-RCT cohort versus 46.4% (severe: 19.7%) in the TAVR-RCT cohort (p &lt; 0.001) and 43.8% (severe: 13.6%) in the TAVR-NRCA cohort. In patients with an aortic annulus diameter &lt;20 mm, severe PPM developed in 33.7% undergoing SAVR compared with 19.0% undergoing TAVR (p = 0.002). PPM was an independent predictor of less LV mass regression at 1 year in the SAVR-RCT (p = 0.017) and TAVR-NRCA (p = 0.012) cohorts but not in the TAVR-RCT cohort (p = 0.35). Severe PPM was an independent predictor of 2-year mortality in the SAVR-RCT cohort (hazard ratio [HR]: 1.78; p = 0.041) but not in the TAVR-RCT cohort (HR: 0.58; p = 0.11). In the TAVR-NRCA cohort, severe PPM was not a predictor of 1-year mortality in all patients (HR: 1.05; p = 0.60) but did independently predict mortality in the subset of patients with no post-procedural aortic regurgitation (HR: 1.88; p = 0.02). CONCLUSIONS In patients with severe aortic stenosis and high surgical risk, PPM is more frequent and more often severe after SAVR than TAVR. Patients with PPM after SAVR have worse survival and less LV mass regression than those without PPM. Severe PPM also has a significant impact on survival after TAVR in the subset of patients with no post-procedural aortic regurgitation. TAVR may be preferable to SAVR in patients with a small aortic annulus who are susceptible to PPM to avoid its adverse impact on LV mass regressi\u2026", "author" : [ { "dropping-particle" : "", "family" : "Pibarot", "given" : "Philippe", "non-dropping-particle" : "", "parse-names" : false, "suffix" : "" }, { "dropping-particle" : "", "family" : "Weissman", "given" : "Neil J.", "non-dropping-particle" : "", "parse-names" : false, "suffix" : "" }, { "dropping-particle" : "", "family" : "Stewart", "given" : "William J.", "non-dropping-particle" : "", "parse-names" : false, "suffix" : "" }, { "dropping-particle" : "", "family" : "Hahn", "given" : "Rebecca T.", "non-dropping-particle" : "", "parse-names" : false, "suffix" : "" }, { "dropping-particle" : "", "family" : "Lindman", "given" : "Brian R.", "non-dropping-particle" : "", "parse-names" : false, "suffix" : "" }, { "dropping-particle" : "", "family" : "McAndrew", "given" : "Thomas", "non-dropping-particle" : "", "parse-names" : false, "suffix" : "" }, { "dropping-particle" : "", "family" : "Kodali", "given" : "Susheel K.", "non-dropping-particle" : "", "parse-names" : false, "suffix" : "" }, { "dropping-particle" : "", "family" : "Mack", "given" : "Michael J.", "non-dropping-particle" : "", "parse-names" : false, "suffix" : "" }, { "dropping-particle" : "", "family" : "Thourani", "given" : "Vinod H.", "non-dropping-particle" : "", "parse-names" : false, "suffix" : "" }, { "dropping-particle" : "", "family" : "Miller", "given" : "D. Craig", "non-dropping-particle" : "", "parse-names" : false, "suffix" : "" }, { "dropping-particle" : "", "family" : "Svensson", "given" : "Lars G.", "non-dropping-particle" : "", "parse-names" : false, "suffix" : "" }, { "dropping-particle" : "", "family" : "Herrmann", "given" : "Howard C.", "non-dropping-particle" : "", "parse-names" : false, "suffix" : "" }, { "dropping-particle" : "", "family" : "Smith", "given" : "Craig R.", "non-dropping-particle" : "", "parse-names" : false, "suffix" : "" }, { "dropping-particle" : "", "family" : "Rod\u00e9s-Cabau", "given" : "Josep", "non-dropping-particle" : "", "parse-names" : false, "suffix" : "" }, { "dropping-particle" : "", "family" : "Webb", "given" : "John", "non-dropping-particle" : "", "parse-names" : false, "suffix" : "" }, { "dropping-particle" : "", "family" : "Lim", "given" : "Scott", "non-dropping-particle" : "", "parse-names" : false, "suffix" : "" }, { "dropping-particle" : "", "family" : "Xu", "given" : "Ke", "non-dropping-particle" : "", "parse-names" : false, "suffix" : "" }, { "dropping-particle" : "", "family" : "Hueter", "given" : "Irene", "non-dropping-particle" : "", "parse-names" : false, "suffix" : "" }, { "dropping-particle" : "", "family" : "Douglas", "given" : "Pamela S.", "non-dropping-particle" : "", "parse-names" : false, "suffix" : "" }, { "dropping-particle" : "", "family" : "Leon", "given" : "Martin B.", "non-dropping-particle" : "", "parse-names" : false, "suffix" : "" } ], "container-title" : "Journal of the American College of Cardiology", "id" : "ITEM-1", "issue" : "13", "issued" : { "date-parts" : [ [ "2014", "9", "30" ] ] }, "page" : "1323-1334", "title" : "Incidence and Sequelae of Prosthesis-Patient Mismatch in Transcatheter Versus Surgical Valve Replacement in High-Risk Patients With Severe Aortic Stenosis", "type" : "article-journal", "volume" : "64" }, "uris" : [ "http://www.mendeley.com/documents/?uuid=db8bc81b-d9c0-38ef-9a8f-239e3eb8a128" ] }, { "id" : "ITEM-2", "itemData" : { "DOI" : "10.1016/j.jtcvs.2015.10.070", "ISSN" : "1097-685X", "PMID" : "26614412", "abstract" : "OBJECTIVES We compared the incidence of prosthesis-patient mismatch (PPM) between transcatheter aortic valve replacement (TAVR) using a self-expanding bioprosthesis and surgical aortic valve replacement (SAVR) in the CoreValve US High Risk Pivotal Trial. We sought to determine the influence of PPM on clinical outcomes. METHODS Patients with severe aortic stenosis and at increased risk for surgery were randomized 1:1 to TAVR or SAVR. Postoperative PPM was defined by the effective orifice area index (EOAi) as severe PPM (EOAi \u2264 0.65 cm(2)/m(2)) and no severe PPM (EOAi &gt; 0.65 cm(2)/m(2)); clinical outcomes were analyzed in the TAVR arm (n = 389) and SAVR arm (n = 353). Left ventricular mass index and regression were analyzed at baseline and 1 year. RESULTS The incidence of severe PPM in the SAVR group at 1 year was 25.7% versus 6.2% in the TAVR group (P &lt; .0001). Left ventricular mass index regression at 1 year was 6.8% for TAVR and 15.1% for SAVR in patients with severe PPM. At 1 year the rate of all-cause mortality and acute kidney injury were significantly greater in all patients (TAVR + SAVR) with severe PPM compared with no severe PPM (20.6% vs 12.0% [P = .0145] for death and 19.2% vs 8.5% [P = .0008] for acute kidney injury). CONCLUSIONS In patients with high surgical risk and severe aortic stenosis, severe PPM is more common in patients treated with SAVR than those treated with TAVR. Patients with severe PPM are a greater risk for death and acute kidney injury than patients without severe PPM.", "author" : [ { "dropping-particle" : "", "family" : "Zorn", "given" : "George L", "non-dropping-particle" : "", "parse-names" : false, "suffix" : "" }, { "dropping-particle" : "", "family" : "Little", "given" : "Stephen H", "non-dropping-particle" : "", "parse-names" : false, "suffix" : "" }, { "dropping-particle" : "", "family" : "Tadros", "given" : "Peter", "non-dropping-particle" : "", "parse-names" : false, "suffix" : "" }, { "dropping-particle" : "", "family" : "Deeb", "given" : "G Michael", "non-dropping-particle" : "", "parse-names" : false, "suffix" : "" }, { "dropping-particle" : "", "family" : "Gleason", "given" : "Thomas G", "non-dropping-particle" : "", "parse-names" : false, "suffix" : "" }, { "dropping-particle" : "", "family" : "Heiser", "given" : "John", "non-dropping-particle" : "", "parse-names" : false, "suffix" : "" }, { "dropping-particle" : "", "family" : "Kleiman", "given" : "Neal S", "non-dropping-particle" : "", "parse-names" : false, "suffix" : "" }, { "dropping-particle" : "", "family" : "Oh", "given" : "Jae K", "non-dropping-particle" : "", "parse-names" : false, "suffix" : "" }, { "dropping-particle" : "", "family" : "Popma", "given" : "Jeffrey J", "non-dropping-particle" : "", "parse-names" : false, "suffix" : "" }, { "dropping-particle" : "", "family" : "Adams", "given" : "David", "non-dropping-particle" : "", "parse-names" : false, "suffix" : "" }, { "dropping-particle" : "", "family" : "Huang", "given" : "Jian", "non-dropping-particle" : "", "parse-names" : false, "suffix" : "" }, { "dropping-particle" : "", "family" : "Reardon", "given" : "Michael J", "non-dropping-particle" : "", "parse-names" : false, "suffix" : "" } ], "container-title" : "The Journal of thoracic and cardiovascular surgery", "id" : "ITEM-2", "issue" : "4", "issued" : { "date-parts" : [ [ "2016", "4" ] ] }, "page" : "1014-22, 1023.e1-3", "title" : "Prosthesis-patient mismatch in high-risk patients with severe aortic stenosis: A randomized trial of a self-expanding prosthesis.", "type" : "article-journal", "volume" : "151" }, "uris" : [ "http://www.mendeley.com/documents/?uuid=808d93c4-45b1-30af-9c5a-691054a6b0df" ] } ], "mendeley" : { "formattedCitation" : "(23, 24)", "plainTextFormattedCitation" : "(23, 24)", "previouslyFormattedCitation" : "&lt;sup&gt;23,24&lt;/sup&gt;" }, "properties" : { "noteIndex" : 0 }, "schema" : "https://github.com/citation-style-language/schema/raw/master/csl-citation.json" }</w:instrText>
      </w:r>
      <w:r w:rsidR="00E9798B">
        <w:rPr>
          <w:rFonts w:ascii="Times New Roman" w:hAnsi="Times New Roman"/>
          <w:lang w:val="en-CA"/>
        </w:rPr>
        <w:fldChar w:fldCharType="separate"/>
      </w:r>
      <w:r w:rsidR="00E05D9C" w:rsidRPr="00E05D9C">
        <w:rPr>
          <w:rFonts w:ascii="Times New Roman" w:hAnsi="Times New Roman"/>
          <w:noProof/>
          <w:lang w:val="en-CA"/>
        </w:rPr>
        <w:t>(23, 24)</w:t>
      </w:r>
      <w:r w:rsidR="00E9798B">
        <w:rPr>
          <w:rFonts w:ascii="Times New Roman" w:hAnsi="Times New Roman"/>
          <w:lang w:val="en-CA"/>
        </w:rPr>
        <w:fldChar w:fldCharType="end"/>
      </w:r>
      <w:r w:rsidR="00E9798B">
        <w:rPr>
          <w:rFonts w:ascii="Times New Roman" w:hAnsi="Times New Roman"/>
          <w:lang w:val="en-CA"/>
        </w:rPr>
        <w:t xml:space="preserve">. Furthermore, ViV in a failed </w:t>
      </w:r>
      <w:r w:rsidR="00E9798B">
        <w:rPr>
          <w:rFonts w:ascii="Times New Roman" w:hAnsi="Times New Roman"/>
          <w:lang w:val="en-CA"/>
        </w:rPr>
        <w:lastRenderedPageBreak/>
        <w:t>THV is generally associated with lower residual gradients compared to ViV in a failed surgical bioprosthesis.</w:t>
      </w:r>
    </w:p>
    <w:p w14:paraId="4A229AD4" w14:textId="77777777" w:rsidR="00330D88" w:rsidRDefault="00330D88" w:rsidP="000C6CDE">
      <w:pPr>
        <w:autoSpaceDE w:val="0"/>
        <w:autoSpaceDN w:val="0"/>
        <w:adjustRightInd w:val="0"/>
        <w:spacing w:line="480" w:lineRule="auto"/>
        <w:rPr>
          <w:rFonts w:ascii="Times New Roman" w:hAnsi="Times New Roman"/>
          <w:lang w:val="en-CA"/>
        </w:rPr>
      </w:pPr>
    </w:p>
    <w:p w14:paraId="62D4A59E" w14:textId="0A802A14" w:rsidR="009E604E" w:rsidRPr="0075541C" w:rsidRDefault="00BD2C67" w:rsidP="00495776">
      <w:pPr>
        <w:autoSpaceDE w:val="0"/>
        <w:autoSpaceDN w:val="0"/>
        <w:adjustRightInd w:val="0"/>
        <w:spacing w:line="480" w:lineRule="auto"/>
        <w:rPr>
          <w:rFonts w:ascii="Times New Roman" w:hAnsi="Times New Roman"/>
          <w:lang w:val="en-CA"/>
        </w:rPr>
      </w:pPr>
      <w:r>
        <w:rPr>
          <w:rFonts w:ascii="Times New Roman" w:hAnsi="Times New Roman"/>
          <w:lang w:val="en-CA"/>
        </w:rPr>
        <w:t>T</w:t>
      </w:r>
      <w:r w:rsidR="00E548E4" w:rsidRPr="00CA3875">
        <w:rPr>
          <w:rFonts w:ascii="Times New Roman" w:hAnsi="Times New Roman"/>
          <w:lang w:val="en-CA"/>
        </w:rPr>
        <w:t>he presence of pre-existent severe PPM should be systematically integrated in the pre-ViV risk stratification process. Knowing the exact model and size of surgical bioprosthesis, one can easily obtain the normal reference value of EOA</w:t>
      </w:r>
      <w:r w:rsidR="00B172DB">
        <w:rPr>
          <w:rFonts w:ascii="Times New Roman" w:hAnsi="Times New Roman"/>
          <w:lang w:val="en-CA"/>
        </w:rPr>
        <w:fldChar w:fldCharType="begin" w:fldLock="1"/>
      </w:r>
      <w:r w:rsidR="00E05D9C">
        <w:rPr>
          <w:rFonts w:ascii="Times New Roman" w:hAnsi="Times New Roman"/>
          <w:lang w:val="en-CA"/>
        </w:rPr>
        <w:instrText>ADDIN CSL_CITATION { "citationItems" : [ { "id" : "ITEM-1", "itemData" : { "DOI" : "10.1093/ehjci/jew025", "ISSN" : "2047-2412", "PMID" : "27143783", "abstract" : "Prosthetic heart valve (PHV) dysfunction is rare but potentially life-threatening. Although often challenging, establishing the exact cause of PHV dysfunction is essential to determine the appropriate treatment strategy. In clinical practice, a comprehensive approach that integrates several parameters of valve morphology and function assessed with 2D/3D transthoracic and transoesophageal echocardiography is a key to appropriately detect and quantitate PHV dysfunction. Cinefluoroscopy, multidetector computed tomography, cardiac magnetic resonance imaging, and to a lesser extent, nuclear imaging are complementary tools for the diagnosis and management of PHV complications. The present document provides recommendations for the use of multimodality imaging in the assessment of PHVs.", "author" : [ { "dropping-particle" : "", "family" : "Lancellotti", "given" : "Patrizio", "non-dropping-particle" : "", "parse-names" : false, "suffix" : "" }, { "dropping-particle" : "", "family" : "Pibarot", "given" : "Philippe", "non-dropping-particle" : "", "parse-names" : false, "suffix" : "" }, { "dropping-particle" : "", "family" : "Chambers", "given" : "John", "non-dropping-particle" : "", "parse-names" : false, "suffix" : "" }, { "dropping-particle" : "", "family" : "Edvardsen", "given" : "Thor", "non-dropping-particle" : "", "parse-names" : false, "suffix" : "" }, { "dropping-particle" : "", "family" : "Delgado", "given" : "Victoria", "non-dropping-particle" : "", "parse-names" : false, "suffix" : "" }, { "dropping-particle" : "", "family" : "Dulgheru", "given" : "Raluca", "non-dropping-particle" : "", "parse-names" : false, "suffix" : "" }, { "dropping-particle" : "", "family" : "Pepi", "given" : "Mauro", "non-dropping-particle" : "", "parse-names" : false, "suffix" : "" }, { "dropping-particle" : "", "family" : "Cosyns", "given" : "Bernard", "non-dropping-particle" : "", "parse-names" : false, "suffix" : "" }, { "dropping-particle" : "", "family" : "Dweck", "given" : "Mark R", "non-dropping-particle" : "", "parse-names" : false, "suffix" : "" }, { "dropping-particle" : "", "family" : "Garbi", "given" : "Madalina", "non-dropping-particle" : "", "parse-names" : false, "suffix" : "" }, { "dropping-particle" : "", "family" : "Magne", "given" : "Julien", "non-dropping-particle" : "", "parse-names" : false, "suffix" : "" }, { "dropping-particle" : "", "family" : "Nieman", "given" : "Koen", "non-dropping-particle" : "", "parse-names" : false, "suffix" : "" }, { "dropping-particle" : "", "family" : "Rosenhek", "given" : "Raphael", "non-dropping-particle" : "", "parse-names" : false, "suffix" : "" }, { "dropping-particle" : "", "family" : "Bernard", "given" : "Anne", "non-dropping-particle" : "", "parse-names" : false, "suffix" : "" }, { "dropping-particle" : "", "family" : "Lowenstein", "given" : "Jorge", "non-dropping-particle" : "", "parse-names" : false, "suffix" : "" }, { "dropping-particle" : "", "family" : "Vieira", "given" : "Marcelo Luiz Campos", "non-dropping-particle" : "", "parse-names" : false, "suffix" : "" }, { "dropping-particle" : "", "family" : "Rabischoffsky", "given" : "Arnaldo", "non-dropping-particle" : "", "parse-names" : false, "suffix" : "" }, { "dropping-particle" : "", "family" : "Vyhmeister", "given" : "Rodrigo Hern\u00e1ndez", "non-dropping-particle" : "", "parse-names" : false, "suffix" : "" }, { "dropping-particle" : "", "family" : "Zhou", "given" : "Xiao", "non-dropping-particle" : "", "parse-names" : false, "suffix" : "" }, { "dropping-particle" : "", "family" : "Zhang", "given" : "Yun", "non-dropping-particle" : "", "parse-names" : false, "suffix" : "" }, { "dropping-particle" : "", "family" : "Zamorano", "given" : "Jose-Luis", "non-dropping-particle" : "", "parse-names" : false, "suffix" : "" }, { "dropping-particle" : "", "family" : "Habib", "given" : "Gilbert", "non-dropping-particle" : "", "parse-names" : false, "suffix" : "" } ], "container-title" : "European heart journal cardiovascular Imaging", "id" : "ITEM-1", "issue" : "6", "issued" : { "date-parts" : [ [ "2016", "6" ] ] }, "page" : "589-90", "title" : "Recommendations for the imaging assessment of prosthetic heart valves: a report from the European Association of Cardiovascular Imaging endorsed by the Chinese Society of Echocardiography, the Inter-American Society of Echocardiography, and the Brazilian Department of Cardiovascular Imaging.", "type" : "article-journal", "volume" : "17" }, "uris" : [ "http://www.mendeley.com/documents/?uuid=26c7dcb9-9427-3854-b451-e5d1ff1bd349" ] } ], "mendeley" : { "formattedCitation" : "(12)", "plainTextFormattedCitation" : "(12)", "previouslyFormattedCitation" : "&lt;sup&gt;12&lt;/sup&gt;" }, "properties" : { "noteIndex" : 0 }, "schema" : "https://github.com/citation-style-language/schema/raw/master/csl-citation.json" }</w:instrText>
      </w:r>
      <w:r w:rsidR="00B172DB">
        <w:rPr>
          <w:rFonts w:ascii="Times New Roman" w:hAnsi="Times New Roman"/>
          <w:lang w:val="en-CA"/>
        </w:rPr>
        <w:fldChar w:fldCharType="separate"/>
      </w:r>
      <w:r w:rsidR="00E05D9C" w:rsidRPr="00E05D9C">
        <w:rPr>
          <w:rFonts w:ascii="Times New Roman" w:hAnsi="Times New Roman"/>
          <w:noProof/>
          <w:lang w:val="en-CA"/>
        </w:rPr>
        <w:t>(12)</w:t>
      </w:r>
      <w:r w:rsidR="00B172DB">
        <w:rPr>
          <w:rFonts w:ascii="Times New Roman" w:hAnsi="Times New Roman"/>
          <w:lang w:val="en-CA"/>
        </w:rPr>
        <w:fldChar w:fldCharType="end"/>
      </w:r>
      <w:r w:rsidR="00E548E4" w:rsidRPr="00CA3875">
        <w:rPr>
          <w:rFonts w:ascii="Times New Roman" w:hAnsi="Times New Roman"/>
          <w:lang w:val="en-CA"/>
        </w:rPr>
        <w:t xml:space="preserve"> and calculate the predicted indexed EOA to determine the presence and severity of pre-existent PPM. </w:t>
      </w:r>
      <w:r w:rsidR="0075541C">
        <w:rPr>
          <w:rFonts w:ascii="Times New Roman" w:hAnsi="Times New Roman"/>
          <w:lang w:val="en-CA"/>
        </w:rPr>
        <w:t>The results of our study suggest that it is preferable to use self-expanding THVs with supra-annular design rather than balloon-expandable THVs for ViV procedure in patients with pre-existent severe PPM</w:t>
      </w:r>
      <w:r w:rsidR="007903DA">
        <w:rPr>
          <w:rFonts w:ascii="Times New Roman" w:hAnsi="Times New Roman"/>
          <w:lang w:val="en-CA"/>
        </w:rPr>
        <w:t xml:space="preserve"> </w:t>
      </w:r>
      <w:r w:rsidR="007903DA" w:rsidRPr="00CA3875">
        <w:rPr>
          <w:rFonts w:ascii="Times New Roman" w:hAnsi="Times New Roman"/>
          <w:b/>
          <w:i/>
          <w:lang w:val="en-US"/>
        </w:rPr>
        <w:t>(</w:t>
      </w:r>
      <w:r w:rsidR="007903DA">
        <w:rPr>
          <w:rFonts w:ascii="Times New Roman" w:hAnsi="Times New Roman"/>
          <w:b/>
          <w:i/>
          <w:lang w:val="en-US"/>
        </w:rPr>
        <w:t>Figure 2</w:t>
      </w:r>
      <w:r w:rsidR="007903DA" w:rsidRPr="00CA3875">
        <w:rPr>
          <w:rFonts w:ascii="Times New Roman" w:hAnsi="Times New Roman"/>
          <w:b/>
          <w:i/>
          <w:lang w:val="en-US"/>
        </w:rPr>
        <w:t>)</w:t>
      </w:r>
      <w:r w:rsidR="0075541C">
        <w:rPr>
          <w:rFonts w:ascii="Times New Roman" w:hAnsi="Times New Roman"/>
          <w:lang w:val="en-CA"/>
        </w:rPr>
        <w:t xml:space="preserve">. </w:t>
      </w:r>
      <w:r w:rsidR="00E548E4" w:rsidRPr="00CA3875">
        <w:rPr>
          <w:rFonts w:ascii="Times New Roman" w:hAnsi="Times New Roman"/>
          <w:lang w:val="en-CA"/>
        </w:rPr>
        <w:t xml:space="preserve">The development of new </w:t>
      </w:r>
      <w:r w:rsidR="00495776" w:rsidRPr="00CA3875">
        <w:rPr>
          <w:rFonts w:ascii="Times New Roman" w:hAnsi="Times New Roman"/>
          <w:lang w:val="en-CA"/>
        </w:rPr>
        <w:t xml:space="preserve">surgical bioprostheses </w:t>
      </w:r>
      <w:r w:rsidR="00E548E4" w:rsidRPr="00CA3875">
        <w:rPr>
          <w:rFonts w:ascii="Times New Roman" w:hAnsi="Times New Roman"/>
          <w:lang w:val="en-CA"/>
        </w:rPr>
        <w:t xml:space="preserve">designs with an </w:t>
      </w:r>
      <w:r w:rsidR="00B10AEE">
        <w:rPr>
          <w:rFonts w:ascii="Times New Roman" w:hAnsi="Times New Roman"/>
          <w:lang w:val="en-CA"/>
        </w:rPr>
        <w:t>expandable</w:t>
      </w:r>
      <w:r w:rsidR="00E548E4" w:rsidRPr="00CA3875">
        <w:rPr>
          <w:rFonts w:ascii="Times New Roman" w:hAnsi="Times New Roman"/>
          <w:lang w:val="en-CA"/>
        </w:rPr>
        <w:t xml:space="preserve"> stent may </w:t>
      </w:r>
      <w:r>
        <w:rPr>
          <w:rFonts w:ascii="Times New Roman" w:hAnsi="Times New Roman"/>
          <w:lang w:val="en-CA"/>
        </w:rPr>
        <w:t xml:space="preserve">also </w:t>
      </w:r>
      <w:r w:rsidR="00E548E4" w:rsidRPr="00CA3875">
        <w:rPr>
          <w:rFonts w:ascii="Times New Roman" w:hAnsi="Times New Roman"/>
          <w:lang w:val="en-CA"/>
        </w:rPr>
        <w:t xml:space="preserve">help to improve outcomes following ViV in the future, especially in </w:t>
      </w:r>
      <w:r w:rsidR="0075541C">
        <w:rPr>
          <w:rFonts w:ascii="Times New Roman" w:hAnsi="Times New Roman"/>
          <w:lang w:val="en-CA"/>
        </w:rPr>
        <w:t xml:space="preserve">the </w:t>
      </w:r>
      <w:r w:rsidR="00E548E4" w:rsidRPr="00CA3875">
        <w:rPr>
          <w:rFonts w:ascii="Times New Roman" w:hAnsi="Times New Roman"/>
          <w:lang w:val="en-CA"/>
        </w:rPr>
        <w:t xml:space="preserve">patients with pre-existent </w:t>
      </w:r>
      <w:r w:rsidR="0075541C">
        <w:rPr>
          <w:rFonts w:ascii="Times New Roman" w:hAnsi="Times New Roman"/>
          <w:lang w:val="en-CA"/>
        </w:rPr>
        <w:t xml:space="preserve">severe </w:t>
      </w:r>
      <w:r w:rsidR="007903DA">
        <w:rPr>
          <w:rFonts w:ascii="Times New Roman" w:hAnsi="Times New Roman"/>
          <w:lang w:val="en-CA"/>
        </w:rPr>
        <w:t>PPM.</w:t>
      </w:r>
      <w:r w:rsidR="00E9798B">
        <w:rPr>
          <w:rFonts w:ascii="Times New Roman" w:hAnsi="Times New Roman"/>
          <w:lang w:val="en-CA"/>
        </w:rPr>
        <w:t xml:space="preserve"> For example, the INSPIRIS valve (Edwards Lifesciences)</w:t>
      </w:r>
      <w:r w:rsidR="00E425A9">
        <w:rPr>
          <w:rFonts w:ascii="Times New Roman" w:hAnsi="Times New Roman"/>
          <w:lang w:val="en-CA"/>
        </w:rPr>
        <w:t>, recently approved by the US Food and Drug Administration, has an expandable stent frame, as well as fluoroscopically visible size markers, which may facilitate and optimize a future ViV procedure.</w:t>
      </w:r>
      <w:r w:rsidR="0075541C">
        <w:rPr>
          <w:rFonts w:ascii="Times New Roman" w:hAnsi="Times New Roman"/>
          <w:lang w:val="en-CA"/>
        </w:rPr>
        <w:t xml:space="preserve"> </w:t>
      </w:r>
      <w:r w:rsidR="00E548E4" w:rsidRPr="00CA3875">
        <w:rPr>
          <w:rFonts w:ascii="Times New Roman" w:hAnsi="Times New Roman"/>
          <w:lang w:val="en-CA"/>
        </w:rPr>
        <w:t xml:space="preserve">Pending the introduction of these new valves specifically adapted for ViV, one alternative in </w:t>
      </w:r>
      <w:r w:rsidR="0075541C">
        <w:rPr>
          <w:rFonts w:ascii="Times New Roman" w:hAnsi="Times New Roman"/>
          <w:lang w:val="en-CA"/>
        </w:rPr>
        <w:t>these patients</w:t>
      </w:r>
      <w:r w:rsidR="00E548E4" w:rsidRPr="00CA3875">
        <w:rPr>
          <w:rFonts w:ascii="Times New Roman" w:hAnsi="Times New Roman"/>
          <w:lang w:val="en-US"/>
        </w:rPr>
        <w:t xml:space="preserve"> </w:t>
      </w:r>
      <w:r w:rsidR="00F82C26" w:rsidRPr="00CA3875">
        <w:rPr>
          <w:rFonts w:ascii="Times New Roman" w:hAnsi="Times New Roman"/>
          <w:lang w:val="en-US"/>
        </w:rPr>
        <w:t>would be</w:t>
      </w:r>
      <w:r w:rsidR="00E548E4" w:rsidRPr="00CA3875">
        <w:rPr>
          <w:rFonts w:ascii="Times New Roman" w:hAnsi="Times New Roman"/>
          <w:lang w:val="en-US"/>
        </w:rPr>
        <w:t xml:space="preserve"> to </w:t>
      </w:r>
      <w:r w:rsidR="0075541C">
        <w:rPr>
          <w:rFonts w:ascii="Times New Roman" w:hAnsi="Times New Roman"/>
          <w:lang w:val="en-US"/>
        </w:rPr>
        <w:t>fracture</w:t>
      </w:r>
      <w:r w:rsidR="00E548E4" w:rsidRPr="00CA3875">
        <w:rPr>
          <w:rFonts w:ascii="Times New Roman" w:hAnsi="Times New Roman"/>
          <w:lang w:val="en-US"/>
        </w:rPr>
        <w:t xml:space="preserve"> the stent of the bioprosthesis</w:t>
      </w:r>
      <w:r w:rsidR="009E604E" w:rsidRPr="00CA3875">
        <w:rPr>
          <w:rFonts w:ascii="Times New Roman" w:hAnsi="Times New Roman"/>
          <w:lang w:val="en-US"/>
        </w:rPr>
        <w:t xml:space="preserve"> by pre-dilation with </w:t>
      </w:r>
      <w:r w:rsidR="00E425A9">
        <w:rPr>
          <w:rFonts w:ascii="Times New Roman" w:hAnsi="Times New Roman"/>
          <w:lang w:val="en-US"/>
        </w:rPr>
        <w:t xml:space="preserve">an </w:t>
      </w:r>
      <w:r w:rsidR="009E604E" w:rsidRPr="00CA3875">
        <w:rPr>
          <w:rFonts w:ascii="Times New Roman" w:hAnsi="Times New Roman"/>
          <w:lang w:val="en-US"/>
        </w:rPr>
        <w:t xml:space="preserve">oversized </w:t>
      </w:r>
      <w:r w:rsidR="00495776">
        <w:rPr>
          <w:rFonts w:ascii="Times New Roman" w:hAnsi="Times New Roman"/>
          <w:lang w:val="en-US"/>
        </w:rPr>
        <w:t xml:space="preserve">non-compliant </w:t>
      </w:r>
      <w:r w:rsidR="009E604E" w:rsidRPr="00CA3875">
        <w:rPr>
          <w:rFonts w:ascii="Times New Roman" w:hAnsi="Times New Roman"/>
          <w:lang w:val="en-US"/>
        </w:rPr>
        <w:t>balloon</w:t>
      </w:r>
      <w:r w:rsidR="00E548E4" w:rsidRPr="00CA3875">
        <w:rPr>
          <w:rFonts w:ascii="Times New Roman" w:hAnsi="Times New Roman"/>
          <w:lang w:val="en-US"/>
        </w:rPr>
        <w:t xml:space="preserve">. </w:t>
      </w:r>
      <w:r w:rsidR="00E425A9">
        <w:rPr>
          <w:rFonts w:ascii="Times New Roman" w:hAnsi="Times New Roman"/>
          <w:lang w:val="en-US"/>
        </w:rPr>
        <w:t>The procedure can be performed in small surgical bioprostheses to facilitate ViV with either balloon-expandable or self-expanding THVs, potentially resulting in reduced residual transvalvular gradients</w:t>
      </w:r>
      <w:r w:rsidR="00E425A9">
        <w:rPr>
          <w:rFonts w:ascii="Times New Roman" w:hAnsi="Times New Roman"/>
          <w:lang w:val="en-US"/>
        </w:rPr>
        <w:fldChar w:fldCharType="begin" w:fldLock="1"/>
      </w:r>
      <w:r w:rsidR="00E05D9C">
        <w:rPr>
          <w:rFonts w:ascii="Times New Roman" w:hAnsi="Times New Roman"/>
          <w:lang w:val="en-US"/>
        </w:rPr>
        <w:instrText>ADDIN CSL_CITATION { "citationItems" : [ { "id" : "ITEM-1", "itemData" : { "DOI" : "10.1161/CIRCINTERVENTIONS.117.005216", "ISSN" : "1941-7632", "PMID" : "28698291", "abstract" : "BACKGROUND Valve-in-valve (VIV) transcatheter aortic valve replacement (TAVR) may be less effective in small surgical valves because of patient/prosthesis mismatch. Bioprosthetic valve fracture (BVF) using a high-pressure balloon can be performed to facilitate VIV TAVR. METHODS AND RESULTS We report data from 20 consecutive clinical cases in which BVF was successfully performed before or after VIV TAVR by inflation of a high-pressure balloon positioned across the valve ring during rapid ventricular pacing. Hemodynamic measurements and calculation of the valve effective orifice area were performed at baseline, immediately after VIV TAVR, and after BVF. BVF was successfully performed in 20 patients undergoing VIV TAVR with balloon-expandable (n=8) or self-expanding (n=12) transcatheter valves in Mitroflow, Carpentier-Edwards Perimount, Magna and Magna Ease, Biocor Epic and Biocor Epic Supra, and Mosaic surgical valves. Successful fracture was noted fluoroscopically when the waist of the balloon released and by a sudden drop in inflation pressure, often accompanied by an audible snap. BVF resulted in a reduction in the mean transvalvular gradient (from 20.5\u00b17.4 to 6.7\u00b13.7 mm\u2009Hg, P&lt;0.001) and an increase in valve effective orifice area (from 1.0\u00b10.4 to 1.8\u00b10.6 cm(2), P&lt;0.001). No procedural complications were reported. CONCLUSIONS BVF can be performed safely in small surgical valves to facilitate VIV TAVR with either balloon-expandable or self-expanding transcatheter valves and results in reduced residual transvalvular gradients and increased valve effective orifice area.", "author" : [ { "dropping-particle" : "", "family" : "Chhatriwalla", "given" : "Adnan K", "non-dropping-particle" : "", "parse-names" : false, "suffix" : "" }, { "dropping-particle" : "", "family" : "Allen", "given" : "Keith B", "non-dropping-particle" : "", "parse-names" : false, "suffix" : "" }, { "dropping-particle" : "", "family" : "Saxon", "given" : "John T", "non-dropping-particle" : "", "parse-names" : false, "suffix" : "" }, { "dropping-particle" : "", "family" : "Cohen", "given" : "David J", "non-dropping-particle" : "", "parse-names" : false, "suffix" : "" }, { "dropping-particle" : "", "family" : "Aggarwal", "given" : "Sanjeev", "non-dropping-particle" : "", "parse-names" : false, "suffix" : "" }, { "dropping-particle" : "", "family" : "Hart", "given" : "Anthony J", "non-dropping-particle" : "", "parse-names" : false, "suffix" : "" }, { "dropping-particle" : "", "family" : "Baron", "given" : "Suzanne J", "non-dropping-particle" : "", "parse-names" : false, "suffix" : "" }, { "dropping-particle" : "", "family" : "Dvir", "given" : "Danny", "non-dropping-particle" : "", "parse-names" : false, "suffix" : "" }, { "dropping-particle" : "", "family" : "Borkon", "given" : "A Michael", "non-dropping-particle" : "", "parse-names" : false, "suffix" : "" } ], "container-title" : "Circulation. Cardiovascular interventions", "id" : "ITEM-1", "issue" : "7", "issued" : { "date-parts" : [ [ "2017", "7", "11" ] ] }, "page" : "e005216", "title" : "Bioprosthetic Valve Fracture Improves the Hemodynamic Results of Valve-in-Valve Transcatheter Aortic Valve Replacement.", "type" : "article-journal", "volume" : "10" }, "uris" : [ "http://www.mendeley.com/documents/?uuid=47bd526a-b47f-37f7-ab76-fa9366dc982c" ] } ], "mendeley" : { "formattedCitation" : "(25)", "plainTextFormattedCitation" : "(25)", "previouslyFormattedCitation" : "&lt;sup&gt;25&lt;/sup&gt;" }, "properties" : { "noteIndex" : 0 }, "schema" : "https://github.com/citation-style-language/schema/raw/master/csl-citation.json" }</w:instrText>
      </w:r>
      <w:r w:rsidR="00E425A9">
        <w:rPr>
          <w:rFonts w:ascii="Times New Roman" w:hAnsi="Times New Roman"/>
          <w:lang w:val="en-US"/>
        </w:rPr>
        <w:fldChar w:fldCharType="separate"/>
      </w:r>
      <w:r w:rsidR="00E05D9C" w:rsidRPr="00E05D9C">
        <w:rPr>
          <w:rFonts w:ascii="Times New Roman" w:hAnsi="Times New Roman"/>
          <w:noProof/>
          <w:lang w:val="en-US"/>
        </w:rPr>
        <w:t>(25)</w:t>
      </w:r>
      <w:r w:rsidR="00E425A9">
        <w:rPr>
          <w:rFonts w:ascii="Times New Roman" w:hAnsi="Times New Roman"/>
          <w:lang w:val="en-US"/>
        </w:rPr>
        <w:fldChar w:fldCharType="end"/>
      </w:r>
      <w:r w:rsidR="00E425A9">
        <w:rPr>
          <w:rFonts w:ascii="Times New Roman" w:hAnsi="Times New Roman"/>
          <w:lang w:val="en-US"/>
        </w:rPr>
        <w:t xml:space="preserve">. </w:t>
      </w:r>
      <w:r w:rsidR="00E548E4" w:rsidRPr="00CA3875">
        <w:rPr>
          <w:rFonts w:ascii="Times New Roman" w:hAnsi="Times New Roman"/>
          <w:lang w:val="en-US"/>
        </w:rPr>
        <w:t xml:space="preserve">The </w:t>
      </w:r>
      <w:r w:rsidR="00F82C26" w:rsidRPr="00CA3875">
        <w:rPr>
          <w:rFonts w:ascii="Times New Roman" w:hAnsi="Times New Roman"/>
          <w:lang w:val="en-US"/>
        </w:rPr>
        <w:t>risk versus benefit ratio of this procedure should</w:t>
      </w:r>
      <w:r w:rsidR="00E425A9">
        <w:rPr>
          <w:rFonts w:ascii="Times New Roman" w:hAnsi="Times New Roman"/>
          <w:lang w:val="en-US"/>
        </w:rPr>
        <w:t>,</w:t>
      </w:r>
      <w:r w:rsidR="00F82C26" w:rsidRPr="00CA3875">
        <w:rPr>
          <w:rFonts w:ascii="Times New Roman" w:hAnsi="Times New Roman"/>
          <w:lang w:val="en-US"/>
        </w:rPr>
        <w:t xml:space="preserve"> however</w:t>
      </w:r>
      <w:r w:rsidR="00E425A9">
        <w:rPr>
          <w:rFonts w:ascii="Times New Roman" w:hAnsi="Times New Roman"/>
          <w:lang w:val="en-US"/>
        </w:rPr>
        <w:t>,</w:t>
      </w:r>
      <w:r w:rsidR="00F82C26" w:rsidRPr="00CA3875">
        <w:rPr>
          <w:rFonts w:ascii="Times New Roman" w:hAnsi="Times New Roman"/>
          <w:lang w:val="en-US"/>
        </w:rPr>
        <w:t xml:space="preserve"> be carefully </w:t>
      </w:r>
      <w:r w:rsidR="00096E34">
        <w:rPr>
          <w:rFonts w:ascii="Times New Roman" w:hAnsi="Times New Roman"/>
          <w:lang w:val="en-US"/>
        </w:rPr>
        <w:t>assessed.</w:t>
      </w:r>
    </w:p>
    <w:p w14:paraId="78EAABCA" w14:textId="77777777" w:rsidR="00466FD4" w:rsidRPr="00CA3875" w:rsidRDefault="00466FD4" w:rsidP="00F86913">
      <w:pPr>
        <w:spacing w:line="480" w:lineRule="auto"/>
        <w:rPr>
          <w:rFonts w:ascii="Times New Roman" w:hAnsi="Times New Roman"/>
          <w:lang w:val="en-US"/>
        </w:rPr>
      </w:pPr>
    </w:p>
    <w:p w14:paraId="5ADCE7EE" w14:textId="77777777" w:rsidR="00E9267B" w:rsidRPr="00CA3875" w:rsidRDefault="00E9267B" w:rsidP="00F86913">
      <w:pPr>
        <w:spacing w:line="480" w:lineRule="auto"/>
        <w:outlineLvl w:val="0"/>
        <w:rPr>
          <w:rFonts w:ascii="Times New Roman" w:hAnsi="Times New Roman"/>
          <w:lang w:val="en-US"/>
        </w:rPr>
      </w:pPr>
      <w:r w:rsidRPr="00CA3875">
        <w:rPr>
          <w:rFonts w:ascii="Times New Roman" w:hAnsi="Times New Roman"/>
          <w:b/>
          <w:lang w:val="en-US"/>
        </w:rPr>
        <w:t>Limitations</w:t>
      </w:r>
    </w:p>
    <w:p w14:paraId="7E6043E0" w14:textId="56A16EAF" w:rsidR="007903DA" w:rsidRPr="00102E85" w:rsidRDefault="00495776" w:rsidP="00102E85">
      <w:pPr>
        <w:spacing w:line="480" w:lineRule="auto"/>
        <w:rPr>
          <w:rFonts w:ascii="Times New Roman" w:hAnsi="Times New Roman"/>
          <w:lang w:val="en-CA"/>
        </w:rPr>
      </w:pPr>
      <w:r>
        <w:rPr>
          <w:rFonts w:ascii="Times New Roman" w:hAnsi="Times New Roman"/>
          <w:lang w:val="en-CA"/>
        </w:rPr>
        <w:lastRenderedPageBreak/>
        <w:t>W</w:t>
      </w:r>
      <w:r w:rsidR="00973BC9" w:rsidRPr="00CA3875">
        <w:rPr>
          <w:rFonts w:ascii="Times New Roman" w:hAnsi="Times New Roman"/>
          <w:lang w:val="en-CA"/>
        </w:rPr>
        <w:t xml:space="preserve">e </w:t>
      </w:r>
      <w:r w:rsidR="00C8314A" w:rsidRPr="00CA3875">
        <w:rPr>
          <w:rFonts w:ascii="Times New Roman" w:hAnsi="Times New Roman"/>
          <w:lang w:val="en-CA"/>
        </w:rPr>
        <w:t>d</w:t>
      </w:r>
      <w:r w:rsidR="00C8314A">
        <w:rPr>
          <w:rFonts w:ascii="Times New Roman" w:hAnsi="Times New Roman"/>
          <w:lang w:val="en-CA"/>
        </w:rPr>
        <w:t>id</w:t>
      </w:r>
      <w:r w:rsidR="00C8314A" w:rsidRPr="00CA3875">
        <w:rPr>
          <w:rFonts w:ascii="Times New Roman" w:hAnsi="Times New Roman"/>
          <w:lang w:val="en-CA"/>
        </w:rPr>
        <w:t xml:space="preserve"> </w:t>
      </w:r>
      <w:r w:rsidR="00973BC9" w:rsidRPr="00CA3875">
        <w:rPr>
          <w:rFonts w:ascii="Times New Roman" w:hAnsi="Times New Roman"/>
          <w:lang w:val="en-CA"/>
        </w:rPr>
        <w:t xml:space="preserve">not have </w:t>
      </w:r>
      <w:r>
        <w:rPr>
          <w:rFonts w:ascii="Times New Roman" w:hAnsi="Times New Roman"/>
          <w:lang w:val="en-CA"/>
        </w:rPr>
        <w:t xml:space="preserve">systematic </w:t>
      </w:r>
      <w:r w:rsidR="00973BC9" w:rsidRPr="00CA3875">
        <w:rPr>
          <w:rFonts w:ascii="Times New Roman" w:hAnsi="Times New Roman"/>
          <w:lang w:val="en-CA"/>
        </w:rPr>
        <w:t xml:space="preserve">access to data </w:t>
      </w:r>
      <w:r w:rsidR="00C8314A" w:rsidRPr="00CA3875">
        <w:rPr>
          <w:rFonts w:ascii="Times New Roman" w:hAnsi="Times New Roman"/>
          <w:lang w:val="en-CA"/>
        </w:rPr>
        <w:t xml:space="preserve">after the initial surgical AVR </w:t>
      </w:r>
      <w:r w:rsidR="00C8314A">
        <w:rPr>
          <w:rFonts w:ascii="Times New Roman" w:hAnsi="Times New Roman"/>
          <w:lang w:val="en-CA"/>
        </w:rPr>
        <w:t>that was performed at a median of almost a decade before the ViV</w:t>
      </w:r>
      <w:r w:rsidR="00973BC9" w:rsidRPr="00CA3875">
        <w:rPr>
          <w:rFonts w:ascii="Times New Roman" w:hAnsi="Times New Roman"/>
          <w:lang w:val="en-CA"/>
        </w:rPr>
        <w:t xml:space="preserve">. </w:t>
      </w:r>
      <w:r w:rsidR="00C8314A">
        <w:rPr>
          <w:rFonts w:ascii="Times New Roman" w:hAnsi="Times New Roman"/>
          <w:lang w:val="en-CA"/>
        </w:rPr>
        <w:t>Therefore,</w:t>
      </w:r>
      <w:r w:rsidR="00C8314A" w:rsidRPr="00CA3875">
        <w:rPr>
          <w:rFonts w:ascii="Times New Roman" w:hAnsi="Times New Roman"/>
          <w:lang w:val="en-CA"/>
        </w:rPr>
        <w:t xml:space="preserve"> </w:t>
      </w:r>
      <w:r w:rsidR="00973BC9" w:rsidRPr="00CA3875">
        <w:rPr>
          <w:rFonts w:ascii="Times New Roman" w:hAnsi="Times New Roman"/>
          <w:lang w:val="en-CA"/>
        </w:rPr>
        <w:t>to define PPM, we used the predicted indexed EOA, i.e. the normal reference value of EOA for the model and size of implanted bioprosthesis divided by the patient’s body surface area</w:t>
      </w:r>
      <w:r w:rsidR="00DD356D">
        <w:rPr>
          <w:rFonts w:ascii="Times New Roman" w:hAnsi="Times New Roman"/>
          <w:lang w:val="en-CA"/>
        </w:rPr>
        <w:fldChar w:fldCharType="begin" w:fldLock="1"/>
      </w:r>
      <w:r w:rsidR="00E05D9C">
        <w:rPr>
          <w:rFonts w:ascii="Times New Roman" w:hAnsi="Times New Roman"/>
          <w:lang w:val="en-CA"/>
        </w:rPr>
        <w:instrText>ADDIN CSL_CITATION { "citationItems" : [ { "id" : "ITEM-1", "itemData" : { "DOI" : "10.1093/ehjci/jew025", "ISSN" : "2047-2412", "PMID" : "27143783", "abstract" : "Prosthetic heart valve (PHV) dysfunction is rare but potentially life-threatening. Although often challenging, establishing the exact cause of PHV dysfunction is essential to determine the appropriate treatment strategy. In clinical practice, a comprehensive approach that integrates several parameters of valve morphology and function assessed with 2D/3D transthoracic and transoesophageal echocardiography is a key to appropriately detect and quantitate PHV dysfunction. Cinefluoroscopy, multidetector computed tomography, cardiac magnetic resonance imaging, and to a lesser extent, nuclear imaging are complementary tools for the diagnosis and management of PHV complications. The present document provides recommendations for the use of multimodality imaging in the assessment of PHVs.", "author" : [ { "dropping-particle" : "", "family" : "Lancellotti", "given" : "Patrizio", "non-dropping-particle" : "", "parse-names" : false, "suffix" : "" }, { "dropping-particle" : "", "family" : "Pibarot", "given" : "Philippe", "non-dropping-particle" : "", "parse-names" : false, "suffix" : "" }, { "dropping-particle" : "", "family" : "Chambers", "given" : "John", "non-dropping-particle" : "", "parse-names" : false, "suffix" : "" }, { "dropping-particle" : "", "family" : "Edvardsen", "given" : "Thor", "non-dropping-particle" : "", "parse-names" : false, "suffix" : "" }, { "dropping-particle" : "", "family" : "Delgado", "given" : "Victoria", "non-dropping-particle" : "", "parse-names" : false, "suffix" : "" }, { "dropping-particle" : "", "family" : "Dulgheru", "given" : "Raluca", "non-dropping-particle" : "", "parse-names" : false, "suffix" : "" }, { "dropping-particle" : "", "family" : "Pepi", "given" : "Mauro", "non-dropping-particle" : "", "parse-names" : false, "suffix" : "" }, { "dropping-particle" : "", "family" : "Cosyns", "given" : "Bernard", "non-dropping-particle" : "", "parse-names" : false, "suffix" : "" }, { "dropping-particle" : "", "family" : "Dweck", "given" : "Mark R", "non-dropping-particle" : "", "parse-names" : false, "suffix" : "" }, { "dropping-particle" : "", "family" : "Garbi", "given" : "Madalina", "non-dropping-particle" : "", "parse-names" : false, "suffix" : "" }, { "dropping-particle" : "", "family" : "Magne", "given" : "Julien", "non-dropping-particle" : "", "parse-names" : false, "suffix" : "" }, { "dropping-particle" : "", "family" : "Nieman", "given" : "Koen", "non-dropping-particle" : "", "parse-names" : false, "suffix" : "" }, { "dropping-particle" : "", "family" : "Rosenhek", "given" : "Raphael", "non-dropping-particle" : "", "parse-names" : false, "suffix" : "" }, { "dropping-particle" : "", "family" : "Bernard", "given" : "Anne", "non-dropping-particle" : "", "parse-names" : false, "suffix" : "" }, { "dropping-particle" : "", "family" : "Lowenstein", "given" : "Jorge", "non-dropping-particle" : "", "parse-names" : false, "suffix" : "" }, { "dropping-particle" : "", "family" : "Vieira", "given" : "Marcelo Luiz Campos", "non-dropping-particle" : "", "parse-names" : false, "suffix" : "" }, { "dropping-particle" : "", "family" : "Rabischoffsky", "given" : "Arnaldo", "non-dropping-particle" : "", "parse-names" : false, "suffix" : "" }, { "dropping-particle" : "", "family" : "Vyhmeister", "given" : "Rodrigo Hern\u00e1ndez", "non-dropping-particle" : "", "parse-names" : false, "suffix" : "" }, { "dropping-particle" : "", "family" : "Zhou", "given" : "Xiao", "non-dropping-particle" : "", "parse-names" : false, "suffix" : "" }, { "dropping-particle" : "", "family" : "Zhang", "given" : "Yun", "non-dropping-particle" : "", "parse-names" : false, "suffix" : "" }, { "dropping-particle" : "", "family" : "Zamorano", "given" : "Jose-Luis", "non-dropping-particle" : "", "parse-names" : false, "suffix" : "" }, { "dropping-particle" : "", "family" : "Habib", "given" : "Gilbert", "non-dropping-particle" : "", "parse-names" : false, "suffix" : "" } ], "container-title" : "European heart journal cardiovascular Imaging", "id" : "ITEM-1", "issue" : "6", "issued" : { "date-parts" : [ [ "2016", "6" ] ] }, "page" : "589-90", "title" : "Recommendations for the imaging assessment of prosthetic heart valves: a report from the European Association of Cardiovascular Imaging endorsed by the Chinese Society of Echocardiography, the Inter-American Society of Echocardiography, and the Brazilian Department of Cardiovascular Imaging.", "type" : "article-journal", "volume" : "17" }, "uris" : [ "http://www.mendeley.com/documents/?uuid=26c7dcb9-9427-3854-b451-e5d1ff1bd349" ] }, { "id" : "ITEM-2", "itemData" : { "DOI" : "10.1136/hrt.2005.067363", "ISSN" : "1468-201X", "PMID" : "16251232", "abstract" : "Prosthesis-patient mismatch (PPM) is present when the effective orifice area of the inserted prosthetic valve is too small in relation to body size. Its main haemodynamic consequence is to generate higher than expected gradients through normally functioning prosthetic valves. This review updates the present knowledge about the impact of PPM on clinical outcomes. PPM is common (20-70% of aortic valve replacements) and has been shown to be associated with worse haemodynamic function, less regression of left ventricular hypertrophy, more cardiac events, and lower survival. Moreover, as opposed to most other risk factors, PPM can largely be prevented by using a prospective strategy at the time of operation.", "author" : [ { "dropping-particle" : "", "family" : "Pibarot", "given" : "P", "non-dropping-particle" : "", "parse-names" : false, "suffix" : "" }, { "dropping-particle" : "", "family" : "Dumesnil", "given" : "J G", "non-dropping-particle" : "", "parse-names" : false, "suffix" : "" } ], "container-title" : "Heart (British Cardiac Society)", "id" : "ITEM-2", "issue" : "8", "issued" : { "date-parts" : [ [ "2006", "8" ] ] }, "page" : "1022-9", "title" : "Prosthesis-patient mismatch: definition, clinical impact, and prevention.", "type" : "article-journal", "volume" : "92" }, "uris" : [ "http://www.mendeley.com/documents/?uuid=e9b8f704-ef8e-4135-8d2c-eae69fbb4f95" ] } ], "mendeley" : { "formattedCitation" : "(12, 21)", "plainTextFormattedCitation" : "(12, 21)", "previouslyFormattedCitation" : "&lt;sup&gt;12,21&lt;/sup&gt;" }, "properties" : { "noteIndex" : 0 }, "schema" : "https://github.com/citation-style-language/schema/raw/master/csl-citation.json" }</w:instrText>
      </w:r>
      <w:r w:rsidR="00DD356D">
        <w:rPr>
          <w:rFonts w:ascii="Times New Roman" w:hAnsi="Times New Roman"/>
          <w:lang w:val="en-CA"/>
        </w:rPr>
        <w:fldChar w:fldCharType="separate"/>
      </w:r>
      <w:r w:rsidR="00E05D9C" w:rsidRPr="00E05D9C">
        <w:rPr>
          <w:rFonts w:ascii="Times New Roman" w:hAnsi="Times New Roman"/>
          <w:noProof/>
          <w:lang w:val="en-CA"/>
        </w:rPr>
        <w:t>(12, 21)</w:t>
      </w:r>
      <w:r w:rsidR="00DD356D">
        <w:rPr>
          <w:rFonts w:ascii="Times New Roman" w:hAnsi="Times New Roman"/>
          <w:lang w:val="en-CA"/>
        </w:rPr>
        <w:fldChar w:fldCharType="end"/>
      </w:r>
      <w:r w:rsidR="00C8314A">
        <w:rPr>
          <w:rFonts w:ascii="Times New Roman" w:hAnsi="Times New Roman"/>
          <w:lang w:val="en-CA"/>
        </w:rPr>
        <w:t xml:space="preserve"> as commonly performed</w:t>
      </w:r>
      <w:r w:rsidR="00973BC9" w:rsidRPr="00CA3875">
        <w:rPr>
          <w:rFonts w:ascii="Times New Roman" w:hAnsi="Times New Roman"/>
          <w:lang w:val="en-CA"/>
        </w:rPr>
        <w:t xml:space="preserve">. Several studies and meta-analyses have shown that the predicted indexed EOA is a valid parameter to identify / quantify PPM and predict outcomes </w:t>
      </w:r>
      <w:r w:rsidR="00F82C26" w:rsidRPr="00CA3875">
        <w:rPr>
          <w:rFonts w:ascii="Times New Roman" w:hAnsi="Times New Roman"/>
          <w:lang w:val="en-CA"/>
        </w:rPr>
        <w:t>after AVR</w:t>
      </w:r>
      <w:r w:rsidR="00DD356D">
        <w:rPr>
          <w:rFonts w:ascii="Times New Roman" w:hAnsi="Times New Roman"/>
          <w:lang w:val="en-CA"/>
        </w:rPr>
        <w:fldChar w:fldCharType="begin" w:fldLock="1"/>
      </w:r>
      <w:r w:rsidR="00E05D9C">
        <w:rPr>
          <w:rFonts w:ascii="Times New Roman" w:hAnsi="Times New Roman"/>
          <w:lang w:val="en-CA"/>
        </w:rPr>
        <w:instrText>ADDIN CSL_CITATION { "citationItems" : [ { "id" : "ITEM-1", "itemData" : { "DOI" : "10.1093/eurheartj/ehs003", "ISSN" : "1522-9645", "PMID" : "22408037", "abstract" : "AIMS: Numerous studies have linked prosthesis-patient mismatch (PPM) after aortic valve replacement (AVR) to adverse outcomes. Its correlation with long-term survival has been described but with contradicting results. This systematic review and meta-analysis of observational studies aims to determine the hazard of PPM after AVR.\n\nMETHODS AND RESULTS: The Medline and EMBase databases were searched for English-language original publications. Two researchers independently screened studies and extracted data. Pooled estimates were obtained by random effects model. Subgroup analyses were performed to detect sources of heterogeneity. The search yielded 348 potentially relevant studies; 34 were included comprising 27 186 patients and 133 141 patient-years. Defined by the universally accredited indexed effective orifice area &lt;0.85 cm(2)/m(2), 44.2% of patients were categorized as having PPM. In 34.2 and 9.8% of patients moderate (0.65-0.85 cm(2)/m(2)) and severe (&lt;0.65 cm(2)/m(2)) PPM was present, respectively. Prosthesis-patient mismatch was associated with a statistically significant increase in all-cause mortality (HR = 1.34, 95% CI: 1.18-1.51), but only a trend to an increase in cardiac-related mortality (HR = 1.51, 95% CI: 0.88-2.60) was recognized. Analysis by severity of PPM demonstrated that both moderate and severe PPM increased all-cause mortality (HR = 1.19, 95% CI: 1.07-1.33 and HR = 1.84, 95% CI: 1.38-2.45) and cardiac-related mortality (HR = 1.32, 95% CI: 1.02-1.71 and HR = 6.46, 95% CI: 2.79-14.97). Further analyses showed a consistent effect over separate time intervals during follow-up.\n\nCONCLUSION: Prosthesis-patient mismatch is associated with an increase in all-cause and cardiac-related mortality over long-term follow-up. We recommend that current efforts to prevent PPM should receive more emphasis and a widespread acceptance to improve long-term survival after AVR.", "author" : [ { "dropping-particle" : "", "family" : "Head", "given" : "Stuart J", "non-dropping-particle" : "", "parse-names" : false, "suffix" : "" }, { "dropping-particle" : "", "family" : "Mokhles", "given" : "Mostafa M", "non-dropping-particle" : "", "parse-names" : false, "suffix" : "" }, { "dropping-particle" : "", "family" : "Osnabrugge", "given" : "Ruben L J", "non-dropping-particle" : "", "parse-names" : false, "suffix" : "" }, { "dropping-particle" : "", "family" : "Pibarot", "given" : "Philippe", "non-dropping-particle" : "", "parse-names" : false, "suffix" : "" }, { "dropping-particle" : "", "family" : "Mack", "given" : "Michael J", "non-dropping-particle" : "", "parse-names" : false, "suffix" : "" }, { "dropping-particle" : "", "family" : "Takkenberg", "given" : "Johanna J M", "non-dropping-particle" : "", "parse-names" : false, "suffix" : "" }, { "dropping-particle" : "", "family" : "Bogers", "given" : "Ad J J C", "non-dropping-particle" : "", "parse-names" : false, "suffix" : "" }, { "dropping-particle" : "", "family" : "Kappetein", "given" : "Arie Pieter", "non-dropping-particle" : "", "parse-names" : false, "suffix" : "" } ], "container-title" : "European heart journal", "id" : "ITEM-1", "issue" : "12", "issued" : { "date-parts" : [ [ "2012", "6", "2" ] ] }, "page" : "1518-29", "title" : "The impact of prosthesis-patient mismatch on long-term survival after aortic valve replacement: a systematic review and meta-analysis of 34 observational studies comprising 27 186 patients with 133 141 patient-years.", "type" : "article-journal", "volume" : "33" }, "uris" : [ "http://www.mendeley.com/documents/?uuid=50896336-06a8-409c-9614-88e227c52ceb" ] }, { "id" : "ITEM-2", "itemData" : { "DOI" : "10.1016/j.jcmg.2015.10.026", "ISSN" : "1936878X", "PMID" : "27236530", "abstract" : "OBJECTIVES This study sought to evaluate predictors of prosthesis-patient mismatch (PPM) and its association with the risk of perioperative and overall mortality. BACKGROUND PPM is associated with increased mid- and long-term mortality after surgical aortic valve replacement. Conflicting results have been reported with regard to its association with perioperative mortality. METHODS Databases were searched for studies published between 1965 and 2014. Main outcomes of interest were perioperative mortality and overall mortality. RESULTS The search yielded 382 studies for inclusion. Of these, 58 articles were analyzed and their data extracted. The total number of patients included was 40,381 (39,568 surgical aortic valve replacement and 813 transcatheter aortic valve replacement). Perioperative (odds ratio: 1.54; 95% confidence interval: 1.25 to 1.91) and overall (i.e., perioperative and post-operative) mortality (hazard ratio: 1.26; 95% confidence interval: 1.16 to 1.36) was increased in patients with PPM. The impact of PPM on mortality was higher in those studies in which the mean age of the patients was &lt;70 years of age (and/or AVR with associated coronary artery bypass graft was included). Severe PPM was associated with increased risk of both perioperative and overall mortality, whereas moderate PPM was associated with increased risk of perioperative mortality but not of overall mortality. The impact of PPM was less pronounced in patients with larger body mass index (&gt;28 kg/m(2)) compared with those with lower index. Predictors of PPM were older age, female sex, hypertension, diabetes, renal failure, larger body surface area, larger body mass index, and the utilization of a bioprosthesis. CONCLUSIONS PPM increases perioperative and overall mortality proportionally to its severity. The identification of predictors for PPM may be useful to identify patients who are at higher risk for PPM. The findings of this study support the implementation of strategies to prevent PPM especially in patients\u00a0&lt;70 years of age and/or with concomitant coronary artery bypass graft.", "author" : [ { "dropping-particle" : "", "family" : "Dayan", "given" : "Victor", "non-dropping-particle" : "", "parse-names" : false, "suffix" : "" }, { "dropping-particle" : "", "family" : "Vignolo", "given" : "Gustavo", "non-dropping-particle" : "", "parse-names" : false, "suffix" : "" }, { "dropping-particle" : "", "family" : "Soca", "given" : "Gerardo", "non-dropping-particle" : "", "parse-names" : false, "suffix" : "" }, { "dropping-particle" : "", "family" : "Paganini", "given" : "Juan Jose", "non-dropping-particle" : "", "parse-names" : false, "suffix" : "" }, { "dropping-particle" : "", "family" : "Brusich", "given" : "Daniel", "non-dropping-particle" : "", "parse-names" : false, "suffix" : "" }, { "dropping-particle" : "", "family" : "Pibarot", "given" : "Philippe", "non-dropping-particle" : "", "parse-names" : false, "suffix" : "" } ], "container-title" : "JACC: Cardiovascular Imaging", "id" : "ITEM-2", "issue" : "8", "issued" : { "date-parts" : [ [ "2016", "8" ] ] }, "page" : "924-933", "title" : "Predictors and Outcomes of Prosthesis-Patient Mismatch After\u00a0Aortic\u00a0Valve Replacement", "type" : "article-journal", "volume" : "9" }, "uris" : [ "http://www.mendeley.com/documents/?uuid=b950adb9-be54-3bc0-8226-48469099ebf3" ] }, { "id" : "ITEM-3", "itemData" : { "ISSN" : "0003-4975", "PMID" : "11388201", "abstract" : "BACKGROUND Patient-prosthesis mismatch is a frequent cause of high postoperative gradients in normally functioning prostheses. The objective of this study was to determine whether mismatch can be predicted at the time of operation. METHODS Indices used to predict mismatch were valve size, indexed internal geometric area, and projected indexed effective orifice area (EOA) calculated at the time of operation, and results were compared with indexed EOA and mean gradients measured by Doppler echocardiography after operation in 396 patients. RESULTS The sensitivity and specificity of these indices to detect mismatch, defined as a postoperative indexed EOA of 0.85 cm2/m2 or less, were respectively: 35% and 84% for valve size, 46% and 85% for indexed internal geometric area, and 73% and 80% for projected indexed EOA. Projected indexed EOA also correlated best with resting (r = 0.67) and exercise (r = 0.77) postoperative gradients. CONCLUSIONS The projected indexed EOA calculated at the time of operation accurately predicts mismatch as well as resting and exercise postoperative gradients, whereas valve size and indexed internal geometric area cannot be used for this purpose.", "author" : [ { "dropping-particle" : "", "family" : "Pibarot", "given" : "P", "non-dropping-particle" : "", "parse-names" : false, "suffix" : "" }, { "dropping-particle" : "", "family" : "Dumesnil", "given" : "J G", "non-dropping-particle" : "", "parse-names" : false, "suffix" : "" }, { "dropping-particle" : "", "family" : "Cartier", "given" : "P C", "non-dropping-particle" : "", "parse-names" : false, "suffix" : "" }, { "dropping-particle" : "", "family" : "M\u00e9tras", "given" : "J", "non-dropping-particle" : "", "parse-names" : false, "suffix" : "" }, { "dropping-particle" : "", "family" : "Lemieux", "given" : "M D", "non-dropping-particle" : "", "parse-names" : false, "suffix" : "" } ], "container-title" : "The Annals of thoracic surgery", "id" : "ITEM-3", "issue" : "5 Suppl", "issued" : { "date-parts" : [ [ "2001", "5" ] ] }, "page" : "S265-8", "title" : "Patient-prosthesis mismatch can be predicted at the time of operation.", "type" : "article-journal", "volume" : "71" }, "uris" : [ "http://www.mendeley.com/documents/?uuid=ef729452-5150-376d-a7ef-1df919f84f05" ] } ], "mendeley" : { "formattedCitation" : "(16, 17, 26)", "plainTextFormattedCitation" : "(16, 17, 26)", "previouslyFormattedCitation" : "&lt;sup&gt;16,17,26&lt;/sup&gt;" }, "properties" : { "noteIndex" : 0 }, "schema" : "https://github.com/citation-style-language/schema/raw/master/csl-citation.json" }</w:instrText>
      </w:r>
      <w:r w:rsidR="00DD356D">
        <w:rPr>
          <w:rFonts w:ascii="Times New Roman" w:hAnsi="Times New Roman"/>
          <w:lang w:val="en-CA"/>
        </w:rPr>
        <w:fldChar w:fldCharType="separate"/>
      </w:r>
      <w:r w:rsidR="00E05D9C" w:rsidRPr="00E05D9C">
        <w:rPr>
          <w:rFonts w:ascii="Times New Roman" w:hAnsi="Times New Roman"/>
          <w:noProof/>
          <w:lang w:val="en-CA"/>
        </w:rPr>
        <w:t>(16, 17, 26)</w:t>
      </w:r>
      <w:r w:rsidR="00DD356D">
        <w:rPr>
          <w:rFonts w:ascii="Times New Roman" w:hAnsi="Times New Roman"/>
          <w:lang w:val="en-CA"/>
        </w:rPr>
        <w:fldChar w:fldCharType="end"/>
      </w:r>
      <w:r w:rsidR="00973BC9" w:rsidRPr="00CA3875">
        <w:rPr>
          <w:rFonts w:ascii="Times New Roman" w:hAnsi="Times New Roman"/>
          <w:lang w:val="en-CA"/>
        </w:rPr>
        <w:t>. In a recent study from the STS registry including &gt;59,000 patients who underwent isolated surgical AVR, PPM defined on the basis of the predicted</w:t>
      </w:r>
      <w:r w:rsidR="003746C7">
        <w:rPr>
          <w:rFonts w:ascii="Times New Roman" w:hAnsi="Times New Roman"/>
          <w:lang w:val="en-CA"/>
        </w:rPr>
        <w:t xml:space="preserve"> indexed</w:t>
      </w:r>
      <w:r w:rsidR="00973BC9" w:rsidRPr="00CA3875">
        <w:rPr>
          <w:rFonts w:ascii="Times New Roman" w:hAnsi="Times New Roman"/>
          <w:lang w:val="en-CA"/>
        </w:rPr>
        <w:t xml:space="preserve"> EOA was found to be a powerful independent predictor of mortality and cardiac re-hospitalization</w:t>
      </w:r>
      <w:r w:rsidR="00DD356D">
        <w:rPr>
          <w:rFonts w:ascii="Times New Roman" w:hAnsi="Times New Roman"/>
          <w:lang w:val="en-CA"/>
        </w:rPr>
        <w:fldChar w:fldCharType="begin" w:fldLock="1"/>
      </w:r>
      <w:r w:rsidR="00E05D9C">
        <w:rPr>
          <w:rFonts w:ascii="Times New Roman" w:hAnsi="Times New Roman"/>
          <w:lang w:val="en-CA"/>
        </w:rPr>
        <w:instrText>ADDIN CSL_CITATION { "citationItems" : [ { "id" : "ITEM-1", "itemData" : { "DOI" : "10.1016/j.jcin.2017.03.018", "ISSN" : "19368798", "author" : [ { "dropping-particle" : "", "family" : "Deeb", "given" : "G. Michael", "non-dropping-particle" : "", "parse-names" : false, "suffix" : "" }, { "dropping-particle" : "", "family" : "Chetcuti", "given" : "Stanley J.", "non-dropping-particle" : "", "parse-names" : false, "suffix" : "" }, { "dropping-particle" : "", "family" : "Reardon", "given" : "Michael J.", "non-dropping-particle" : "", "parse-names" : false, "suffix" : "" }, { "dropping-particle" : "", "family" : "Patel", "given" : "Himanshu J.", "non-dropping-particle" : "", "parse-names" : false, "suffix" : "" }, { "dropping-particle" : "", "family" : "Grossman", "given" : "P. Michael", "non-dropping-particle" : "", "parse-names" : false, "suffix" : "" }, { "dropping-particle" : "", "family" : "Schreiber", "given" : "Theodore", "non-dropping-particle" : "", "parse-names" : false, "suffix" : "" }, { "dropping-particle" : "", "family" : "Forrest", "given" : "John K.", "non-dropping-particle" : "", "parse-names" : false, "suffix" : "" }, { "dropping-particle" : "", "family" : "Bajwa", "given" : "Tanvir K.", "non-dropping-particle" : "", "parse-names" : false, "suffix" : "" }, { "dropping-particle" : "", "family" : "O\u2019Hair", "given" : "Daniel P.", "non-dropping-particle" : "", "parse-names" : false, "suffix" : "" }, { "dropping-particle" : "", "family" : "Petrossian", "given" : "George", "non-dropping-particle" : "", "parse-names" : false, "suffix" : "" }, { "dropping-particle" : "", "family" : "Robinson", "given" : "Newell", "non-dropping-particle" : "", "parse-names" : false, "suffix" : "" }, { "dropping-particle" : "", "family" : "Katz", "given" : "Stanley", "non-dropping-particle" : "", "parse-names" : false, "suffix" : "" }, { "dropping-particle" : "", "family" : "Hartman", "given" : "Alan", "non-dropping-particle" : "", "parse-names" : false, "suffix" : "" }, { "dropping-particle" : "", "family" : "Dauerman", "given" : "Harold L.", "non-dropping-particle" : "", "parse-names" : false, "suffix" : "" }, { "dropping-particle" : "", "family" : "Schmoker", "given" : "Joseph", "non-dropping-particle" : "", "parse-names" : false, "suffix" : "" }, { "dropping-particle" : "", "family" : "Khabbaz", "given" : "Kamal", "non-dropping-particle" : "", "parse-names" : false, "suffix" : "" }, { "dropping-particle" : "", "family" : "Watson", "given" : "Daniel R.", "non-dropping-particle" : "", "parse-names" : false, "suffix" : "" }, { "dropping-particle" : "", "family" : "Yakubov", "given" : "Steven J.", "non-dropping-particle" : "", "parse-names" : false, "suffix" : "" }, { "dropping-particle" : "", "family" : "Oh", "given" : "Jae K.", "non-dropping-particle" : "", "parse-names" : false, "suffix" : "" }, { "dropping-particle" : "", "family" : "Li", "given" : "Shuzhen", "non-dropping-particle" : "", "parse-names" : false, "suffix" : "" }, { "dropping-particle" : "", "family" : "Kleiman", "given" : "Neal S.", "non-dropping-particle" : "", "parse-names" : false, "suffix" : "" }, { "dropping-particle" : "", "family" : "Adams", "given" : "David H.", "non-dropping-particle" : "", "parse-names" : false, "suffix" : "" }, { "dropping-particle" : "", "family" : "Popma", "given" : "Jeffrey J.", "non-dropping-particle" : "", "parse-names" : false, "suffix" : "" } ], "container-title" : "JACC: Cardiovascular Interventions", "id" : "ITEM-1", "issue" : "10", "issued" : { "date-parts" : [ [ "2017", "5" ] ] }, "page" : "1034-1044", "title" : "1-Year Results in Patients Undergoing Transcatheter Aortic Valve Replacement With Failed Surgical Bioprostheses", "type" : "article-journal", "volume" : "10" }, "uris" : [ "http://www.mendeley.com/documents/?uuid=17943b05-7a0b-3f61-83e7-8e99df08b0ca" ] } ], "mendeley" : { "formattedCitation" : "(15)", "plainTextFormattedCitation" : "(15)", "previouslyFormattedCitation" : "&lt;sup&gt;15&lt;/sup&gt;" }, "properties" : { "noteIndex" : 0 }, "schema" : "https://github.com/citation-style-language/schema/raw/master/csl-citation.json" }</w:instrText>
      </w:r>
      <w:r w:rsidR="00DD356D">
        <w:rPr>
          <w:rFonts w:ascii="Times New Roman" w:hAnsi="Times New Roman"/>
          <w:lang w:val="en-CA"/>
        </w:rPr>
        <w:fldChar w:fldCharType="separate"/>
      </w:r>
      <w:r w:rsidR="00E05D9C" w:rsidRPr="00E05D9C">
        <w:rPr>
          <w:rFonts w:ascii="Times New Roman" w:hAnsi="Times New Roman"/>
          <w:noProof/>
          <w:lang w:val="en-CA"/>
        </w:rPr>
        <w:t>(15)</w:t>
      </w:r>
      <w:r w:rsidR="00DD356D">
        <w:rPr>
          <w:rFonts w:ascii="Times New Roman" w:hAnsi="Times New Roman"/>
          <w:lang w:val="en-CA"/>
        </w:rPr>
        <w:fldChar w:fldCharType="end"/>
      </w:r>
      <w:r w:rsidR="00973BC9" w:rsidRPr="00CA3875">
        <w:rPr>
          <w:rFonts w:ascii="Times New Roman" w:hAnsi="Times New Roman"/>
          <w:lang w:val="en-CA"/>
        </w:rPr>
        <w:t>.</w:t>
      </w:r>
      <w:r w:rsidR="00E425A9">
        <w:rPr>
          <w:rFonts w:ascii="Times New Roman" w:hAnsi="Times New Roman"/>
          <w:lang w:val="en-CA"/>
        </w:rPr>
        <w:t xml:space="preserve"> There were also several differences in the baseline characteristics between patients with vs. without pre-existent severe PPM.</w:t>
      </w:r>
      <w:r w:rsidR="00A9293D">
        <w:rPr>
          <w:rFonts w:ascii="Times New Roman" w:hAnsi="Times New Roman"/>
          <w:lang w:val="en-CA"/>
        </w:rPr>
        <w:t xml:space="preserve"> </w:t>
      </w:r>
      <w:r w:rsidR="00E425A9">
        <w:rPr>
          <w:rFonts w:ascii="Times New Roman" w:hAnsi="Times New Roman"/>
          <w:lang w:val="en-CA"/>
        </w:rPr>
        <w:t>We used the height and weight</w:t>
      </w:r>
      <w:r w:rsidR="00595941">
        <w:rPr>
          <w:rFonts w:ascii="Times New Roman" w:hAnsi="Times New Roman"/>
          <w:lang w:val="en-CA"/>
        </w:rPr>
        <w:t xml:space="preserve"> measured at the </w:t>
      </w:r>
      <w:r w:rsidR="0075541C">
        <w:rPr>
          <w:rFonts w:ascii="Times New Roman" w:hAnsi="Times New Roman"/>
          <w:lang w:val="en-CA"/>
        </w:rPr>
        <w:t xml:space="preserve">time of the ViV procedure. The weight may have changed between the initial </w:t>
      </w:r>
      <w:r w:rsidR="00BD2C67">
        <w:rPr>
          <w:rFonts w:ascii="Times New Roman" w:hAnsi="Times New Roman"/>
          <w:lang w:val="en-CA"/>
        </w:rPr>
        <w:t xml:space="preserve">surgical </w:t>
      </w:r>
      <w:r w:rsidR="0075541C">
        <w:rPr>
          <w:rFonts w:ascii="Times New Roman" w:hAnsi="Times New Roman"/>
          <w:lang w:val="en-CA"/>
        </w:rPr>
        <w:t>AVR and the ViV procedure. However, this limitation is, in part, overcome by the fact that we used a definition of PPM that is adjusted for body mass index.</w:t>
      </w:r>
    </w:p>
    <w:p w14:paraId="4E18E069" w14:textId="77777777" w:rsidR="007903DA" w:rsidRPr="00CA3875" w:rsidRDefault="007903DA" w:rsidP="00F86913">
      <w:pPr>
        <w:spacing w:line="480" w:lineRule="auto"/>
        <w:outlineLvl w:val="0"/>
        <w:rPr>
          <w:rFonts w:ascii="Times New Roman" w:hAnsi="Times New Roman"/>
          <w:b/>
          <w:lang w:val="en-CA"/>
        </w:rPr>
      </w:pPr>
    </w:p>
    <w:p w14:paraId="6125927A" w14:textId="77777777" w:rsidR="00E9267B" w:rsidRPr="00CA3875" w:rsidRDefault="00E9267B" w:rsidP="00F86913">
      <w:pPr>
        <w:spacing w:line="480" w:lineRule="auto"/>
        <w:outlineLvl w:val="0"/>
        <w:rPr>
          <w:rFonts w:ascii="Times New Roman" w:hAnsi="Times New Roman"/>
          <w:b/>
          <w:lang w:val="en-US"/>
        </w:rPr>
      </w:pPr>
      <w:r w:rsidRPr="00CA3875">
        <w:rPr>
          <w:rFonts w:ascii="Times New Roman" w:hAnsi="Times New Roman"/>
          <w:b/>
          <w:lang w:val="en-US"/>
        </w:rPr>
        <w:t>Conclusion</w:t>
      </w:r>
    </w:p>
    <w:p w14:paraId="7916F730" w14:textId="581F8972" w:rsidR="00F82C26" w:rsidRPr="00EC2E63" w:rsidRDefault="00F82C26" w:rsidP="00F86913">
      <w:pPr>
        <w:pStyle w:val="Default"/>
        <w:spacing w:line="480" w:lineRule="auto"/>
        <w:rPr>
          <w:lang w:val="en-CA"/>
        </w:rPr>
      </w:pPr>
      <w:r w:rsidRPr="00CA3875">
        <w:rPr>
          <w:lang w:val="en-CA"/>
        </w:rPr>
        <w:t xml:space="preserve">Pre-existent severe PPM of the failed surgical valve is strongly and independently associated with increased risk of 1-year mortality following aortic ViV. Furthermore, it is associated with high rates of </w:t>
      </w:r>
      <w:r w:rsidR="00CA3875" w:rsidRPr="00CA3875">
        <w:rPr>
          <w:lang w:val="en-CA"/>
        </w:rPr>
        <w:t xml:space="preserve">30-day mortality and of </w:t>
      </w:r>
      <w:r w:rsidRPr="00CA3875">
        <w:rPr>
          <w:lang w:val="en-CA"/>
        </w:rPr>
        <w:t>elevated post-procedural transaortic gradient</w:t>
      </w:r>
      <w:r w:rsidR="00F0539E">
        <w:rPr>
          <w:lang w:val="en-CA"/>
        </w:rPr>
        <w:t>s</w:t>
      </w:r>
      <w:r w:rsidRPr="00CA3875">
        <w:rPr>
          <w:lang w:val="en-CA"/>
        </w:rPr>
        <w:t xml:space="preserve">. The findings of this study further emphasize the </w:t>
      </w:r>
      <w:r w:rsidR="00D5007A">
        <w:rPr>
          <w:lang w:val="en-CA"/>
        </w:rPr>
        <w:t xml:space="preserve">extreme </w:t>
      </w:r>
      <w:r w:rsidRPr="00CA3875">
        <w:rPr>
          <w:lang w:val="en-CA"/>
        </w:rPr>
        <w:t>importance of avoiding severe PPM at the time of the index surgical AVR. These findings also support the systematic integration of the assessment of pre-existent PPM in the risk stratification and decision making processes prior to ViV.</w:t>
      </w:r>
      <w:r w:rsidR="00096E34">
        <w:rPr>
          <w:lang w:val="en-CA"/>
        </w:rPr>
        <w:t xml:space="preserve"> This can easily be achieved by calculating the predicted indexed EOA.</w:t>
      </w:r>
    </w:p>
    <w:p w14:paraId="4D1DEFF6" w14:textId="7515361C" w:rsidR="00C31B6C" w:rsidRPr="00335C7A" w:rsidRDefault="00C31B6C" w:rsidP="00F86913">
      <w:pPr>
        <w:spacing w:line="480" w:lineRule="auto"/>
        <w:rPr>
          <w:rFonts w:ascii="Times New Roman" w:hAnsi="Times New Roman"/>
          <w:lang w:val="en-US"/>
        </w:rPr>
      </w:pPr>
      <w:r>
        <w:rPr>
          <w:rFonts w:ascii="Times New Roman" w:hAnsi="Times New Roman"/>
          <w:b/>
          <w:lang w:val="en-US"/>
        </w:rPr>
        <w:br w:type="page"/>
      </w:r>
    </w:p>
    <w:p w14:paraId="49D5D9D0" w14:textId="77777777" w:rsidR="00CF4398" w:rsidRDefault="00CF4398">
      <w:pPr>
        <w:rPr>
          <w:rFonts w:ascii="Times New Roman" w:hAnsi="Times New Roman"/>
          <w:b/>
          <w:lang w:val="en-US"/>
        </w:rPr>
      </w:pPr>
      <w:r>
        <w:rPr>
          <w:rFonts w:ascii="Times New Roman" w:hAnsi="Times New Roman"/>
          <w:b/>
          <w:lang w:val="en-US"/>
        </w:rPr>
        <w:lastRenderedPageBreak/>
        <w:t>FIGURE LEGEND</w:t>
      </w:r>
    </w:p>
    <w:p w14:paraId="46E87114" w14:textId="77777777" w:rsidR="00CF4398" w:rsidRDefault="00CF4398">
      <w:pPr>
        <w:rPr>
          <w:rFonts w:ascii="Times New Roman" w:hAnsi="Times New Roman"/>
          <w:b/>
          <w:lang w:val="en-US"/>
        </w:rPr>
      </w:pPr>
    </w:p>
    <w:p w14:paraId="7CE7B61F" w14:textId="3BD9C52D" w:rsidR="00CF4398" w:rsidRPr="00CF4398" w:rsidRDefault="00CF4398" w:rsidP="00CF4398">
      <w:pPr>
        <w:spacing w:line="480" w:lineRule="auto"/>
        <w:rPr>
          <w:rFonts w:ascii="Times New Roman" w:hAnsi="Times New Roman"/>
          <w:lang w:val="en-US"/>
        </w:rPr>
      </w:pPr>
      <w:r w:rsidRPr="0000747D">
        <w:rPr>
          <w:rFonts w:ascii="Times New Roman" w:hAnsi="Times New Roman"/>
          <w:b/>
          <w:lang w:val="en-US"/>
        </w:rPr>
        <w:t>FIGURE 1:</w:t>
      </w:r>
      <w:r w:rsidRPr="00CF4398">
        <w:rPr>
          <w:rFonts w:ascii="Times New Roman" w:hAnsi="Times New Roman"/>
          <w:lang w:val="en-US"/>
        </w:rPr>
        <w:t xml:space="preserve"> Rates of Elevated Post-Procedural Transvalvular Gradient</w:t>
      </w:r>
      <w:r>
        <w:rPr>
          <w:rFonts w:ascii="Times New Roman" w:hAnsi="Times New Roman"/>
          <w:lang w:val="en-US"/>
        </w:rPr>
        <w:t>s</w:t>
      </w:r>
      <w:r w:rsidRPr="00CF4398">
        <w:rPr>
          <w:rFonts w:ascii="Times New Roman" w:hAnsi="Times New Roman"/>
          <w:lang w:val="en-US"/>
        </w:rPr>
        <w:t>, 30-Day and 1-Year Mortality According to Pre-existent Severe Prosthesis-Patient Mismatch (PPM)</w:t>
      </w:r>
    </w:p>
    <w:p w14:paraId="6042BF57" w14:textId="1948C6F3" w:rsidR="00CF4398" w:rsidRPr="00CF4398" w:rsidRDefault="00CF4398" w:rsidP="00CF4398">
      <w:pPr>
        <w:spacing w:line="480" w:lineRule="auto"/>
        <w:rPr>
          <w:rFonts w:ascii="Times New Roman" w:hAnsi="Times New Roman"/>
          <w:lang w:val="en-US"/>
        </w:rPr>
      </w:pPr>
      <w:r w:rsidRPr="0000747D">
        <w:rPr>
          <w:rFonts w:ascii="Times New Roman" w:hAnsi="Times New Roman"/>
          <w:b/>
          <w:lang w:val="en-US"/>
        </w:rPr>
        <w:t>Caption:</w:t>
      </w:r>
      <w:r w:rsidRPr="00CF4398">
        <w:rPr>
          <w:rFonts w:ascii="Times New Roman" w:hAnsi="Times New Roman"/>
          <w:lang w:val="en-US"/>
        </w:rPr>
        <w:t xml:space="preserve"> Rates of elevated (≥ 20 mmHg) post-procedural gradient</w:t>
      </w:r>
      <w:r>
        <w:rPr>
          <w:rFonts w:ascii="Times New Roman" w:hAnsi="Times New Roman"/>
          <w:lang w:val="en-US"/>
        </w:rPr>
        <w:t>s</w:t>
      </w:r>
      <w:r w:rsidRPr="00CF4398">
        <w:rPr>
          <w:rFonts w:ascii="Times New Roman" w:hAnsi="Times New Roman"/>
          <w:lang w:val="en-US"/>
        </w:rPr>
        <w:t>, 30-day mortality and</w:t>
      </w:r>
      <w:r>
        <w:rPr>
          <w:rFonts w:ascii="Times New Roman" w:hAnsi="Times New Roman"/>
          <w:lang w:val="en-US"/>
        </w:rPr>
        <w:t xml:space="preserve"> unadjusted</w:t>
      </w:r>
      <w:r w:rsidRPr="00CF4398">
        <w:rPr>
          <w:rFonts w:ascii="Times New Roman" w:hAnsi="Times New Roman"/>
          <w:lang w:val="en-US"/>
        </w:rPr>
        <w:t xml:space="preserve"> 1-year mortality according to presence or absence of pre-existent severe PPM.</w:t>
      </w:r>
    </w:p>
    <w:p w14:paraId="7BB36503" w14:textId="77777777" w:rsidR="00CF4398" w:rsidRPr="00CF4398" w:rsidRDefault="00CF4398" w:rsidP="00CF4398">
      <w:pPr>
        <w:spacing w:line="480" w:lineRule="auto"/>
        <w:rPr>
          <w:rFonts w:ascii="Times New Roman" w:hAnsi="Times New Roman"/>
          <w:lang w:val="en-US"/>
        </w:rPr>
      </w:pPr>
    </w:p>
    <w:p w14:paraId="2C372053" w14:textId="77777777" w:rsidR="00CF4398" w:rsidRPr="00CF4398" w:rsidRDefault="00CF4398" w:rsidP="00CF4398">
      <w:pPr>
        <w:spacing w:line="480" w:lineRule="auto"/>
        <w:rPr>
          <w:rFonts w:ascii="Times New Roman" w:hAnsi="Times New Roman"/>
          <w:lang w:val="en-US"/>
        </w:rPr>
      </w:pPr>
      <w:r w:rsidRPr="0000747D">
        <w:rPr>
          <w:rFonts w:ascii="Times New Roman" w:hAnsi="Times New Roman"/>
          <w:b/>
          <w:lang w:val="en-US"/>
        </w:rPr>
        <w:t>FIGURE 2:</w:t>
      </w:r>
      <w:r w:rsidRPr="00CF4398">
        <w:rPr>
          <w:rFonts w:ascii="Times New Roman" w:hAnsi="Times New Roman"/>
          <w:lang w:val="en-US"/>
        </w:rPr>
        <w:t xml:space="preserve"> Rates of Elevated Post-Procedural Transvalvular Gradient According to Pre-existent Severe Prosthesis-Patient Mismatch (PPM) and Type of Transcatheter Heart Valve used for ViV</w:t>
      </w:r>
    </w:p>
    <w:p w14:paraId="59DFC9EC" w14:textId="3704EF83" w:rsidR="00CF4398" w:rsidRPr="00CF4398" w:rsidRDefault="00CF4398" w:rsidP="00CF4398">
      <w:pPr>
        <w:spacing w:line="480" w:lineRule="auto"/>
        <w:rPr>
          <w:rFonts w:ascii="Times New Roman" w:hAnsi="Times New Roman"/>
          <w:lang w:val="en-US"/>
        </w:rPr>
      </w:pPr>
      <w:r w:rsidRPr="0000747D">
        <w:rPr>
          <w:rFonts w:ascii="Times New Roman" w:hAnsi="Times New Roman"/>
          <w:b/>
          <w:lang w:val="en-US"/>
        </w:rPr>
        <w:t>Caption:</w:t>
      </w:r>
      <w:r w:rsidRPr="00CF4398">
        <w:rPr>
          <w:rFonts w:ascii="Times New Roman" w:hAnsi="Times New Roman"/>
          <w:lang w:val="en-US"/>
        </w:rPr>
        <w:t xml:space="preserve"> Rates of elevated (≥ 20 mmHg) post-procedural gradient</w:t>
      </w:r>
      <w:r>
        <w:rPr>
          <w:rFonts w:ascii="Times New Roman" w:hAnsi="Times New Roman"/>
          <w:lang w:val="en-US"/>
        </w:rPr>
        <w:t>s</w:t>
      </w:r>
      <w:r w:rsidRPr="00CF4398">
        <w:rPr>
          <w:rFonts w:ascii="Times New Roman" w:hAnsi="Times New Roman"/>
          <w:lang w:val="en-US"/>
        </w:rPr>
        <w:t>, 30-day mortality and 1-year mortality according to presence or absence of pre-existent severe PPM and to the type of transcatheter heart valve (i.e. sel</w:t>
      </w:r>
      <w:r>
        <w:rPr>
          <w:rFonts w:ascii="Times New Roman" w:hAnsi="Times New Roman"/>
          <w:lang w:val="en-US"/>
        </w:rPr>
        <w:t>f-expanding CoreValve/Evolut</w:t>
      </w:r>
      <w:r w:rsidRPr="00CF4398">
        <w:rPr>
          <w:rFonts w:ascii="Times New Roman" w:hAnsi="Times New Roman"/>
          <w:lang w:val="en-US"/>
        </w:rPr>
        <w:t xml:space="preserve"> </w:t>
      </w:r>
      <w:r>
        <w:rPr>
          <w:rFonts w:ascii="Times New Roman" w:hAnsi="Times New Roman"/>
          <w:lang w:val="en-US"/>
        </w:rPr>
        <w:t xml:space="preserve">vs. </w:t>
      </w:r>
      <w:r w:rsidRPr="00CF4398">
        <w:rPr>
          <w:rFonts w:ascii="Times New Roman" w:hAnsi="Times New Roman"/>
          <w:lang w:val="en-US"/>
        </w:rPr>
        <w:t>ball</w:t>
      </w:r>
      <w:r>
        <w:rPr>
          <w:rFonts w:ascii="Times New Roman" w:hAnsi="Times New Roman"/>
          <w:lang w:val="en-US"/>
        </w:rPr>
        <w:t>oon-expandable SAPIEN valves</w:t>
      </w:r>
      <w:r w:rsidRPr="00CF4398">
        <w:rPr>
          <w:rFonts w:ascii="Times New Roman" w:hAnsi="Times New Roman"/>
          <w:lang w:val="en-US"/>
        </w:rPr>
        <w:t>) used for ViV.</w:t>
      </w:r>
    </w:p>
    <w:p w14:paraId="79523E4B" w14:textId="77777777" w:rsidR="00CF4398" w:rsidRPr="00CF4398" w:rsidRDefault="00CF4398" w:rsidP="00CF4398">
      <w:pPr>
        <w:spacing w:line="480" w:lineRule="auto"/>
        <w:rPr>
          <w:rFonts w:ascii="Times New Roman" w:hAnsi="Times New Roman"/>
          <w:lang w:val="en-US"/>
        </w:rPr>
      </w:pPr>
    </w:p>
    <w:p w14:paraId="632CC219" w14:textId="77777777" w:rsidR="00CF4398" w:rsidRPr="00CF4398" w:rsidRDefault="00CF4398" w:rsidP="00CF4398">
      <w:pPr>
        <w:spacing w:line="480" w:lineRule="auto"/>
        <w:rPr>
          <w:rFonts w:ascii="Times New Roman" w:hAnsi="Times New Roman"/>
          <w:lang w:val="en-US"/>
        </w:rPr>
      </w:pPr>
      <w:r w:rsidRPr="0000747D">
        <w:rPr>
          <w:rFonts w:ascii="Times New Roman" w:hAnsi="Times New Roman"/>
          <w:b/>
          <w:lang w:val="en-US"/>
        </w:rPr>
        <w:t>FIGURE 3:</w:t>
      </w:r>
      <w:r w:rsidRPr="00CF4398">
        <w:rPr>
          <w:rFonts w:ascii="Times New Roman" w:hAnsi="Times New Roman"/>
          <w:lang w:val="en-US"/>
        </w:rPr>
        <w:t xml:space="preserve"> Adjusted One-Year Mortality Rate According to Pre-existent Severe Prosthesis-Patient Mismatch (PPM)</w:t>
      </w:r>
    </w:p>
    <w:p w14:paraId="471F26DA" w14:textId="77777777" w:rsidR="00CF4398" w:rsidRDefault="00CF4398" w:rsidP="00CF4398">
      <w:pPr>
        <w:spacing w:line="480" w:lineRule="auto"/>
        <w:rPr>
          <w:rFonts w:ascii="Times New Roman" w:hAnsi="Times New Roman"/>
          <w:lang w:val="en-US"/>
        </w:rPr>
      </w:pPr>
      <w:r w:rsidRPr="0000747D">
        <w:rPr>
          <w:rFonts w:ascii="Times New Roman" w:hAnsi="Times New Roman"/>
          <w:b/>
          <w:lang w:val="en-US"/>
        </w:rPr>
        <w:t>Caption:</w:t>
      </w:r>
      <w:r w:rsidRPr="00CF4398">
        <w:rPr>
          <w:rFonts w:ascii="Times New Roman" w:hAnsi="Times New Roman"/>
          <w:lang w:val="en-US"/>
        </w:rPr>
        <w:t xml:space="preserve"> Cox proportional hazards regression curves showing the adjusted cumulative hazard of death from any cause according to the presence or absence of pre-existent severe PPM.</w:t>
      </w:r>
    </w:p>
    <w:p w14:paraId="5327894E" w14:textId="77777777" w:rsidR="00B2502B" w:rsidRDefault="00B2502B" w:rsidP="00CF4398">
      <w:pPr>
        <w:spacing w:line="480" w:lineRule="auto"/>
        <w:rPr>
          <w:rFonts w:ascii="Times New Roman" w:hAnsi="Times New Roman"/>
          <w:lang w:val="en-US"/>
        </w:rPr>
      </w:pPr>
    </w:p>
    <w:p w14:paraId="212FFA43" w14:textId="00AC4931" w:rsidR="001972E1" w:rsidRDefault="00B2502B" w:rsidP="00CF4398">
      <w:pPr>
        <w:spacing w:line="480" w:lineRule="auto"/>
        <w:rPr>
          <w:rFonts w:ascii="Times New Roman" w:hAnsi="Times New Roman"/>
          <w:lang w:val="en-US"/>
        </w:rPr>
      </w:pPr>
      <w:r w:rsidRPr="0000747D">
        <w:rPr>
          <w:rFonts w:ascii="Times New Roman" w:hAnsi="Times New Roman"/>
          <w:b/>
          <w:lang w:val="en-US"/>
        </w:rPr>
        <w:t>FIGURE 4:</w:t>
      </w:r>
      <w:r w:rsidR="001972E1">
        <w:rPr>
          <w:rFonts w:ascii="Times New Roman" w:hAnsi="Times New Roman"/>
          <w:lang w:val="en-US"/>
        </w:rPr>
        <w:t xml:space="preserve"> Multivariable Cox Regression Demonstrating Variables Associated with 1-Year Mortality</w:t>
      </w:r>
      <w:r>
        <w:rPr>
          <w:rFonts w:ascii="Times New Roman" w:hAnsi="Times New Roman"/>
          <w:lang w:val="en-US"/>
        </w:rPr>
        <w:t xml:space="preserve"> </w:t>
      </w:r>
    </w:p>
    <w:p w14:paraId="2ECB64E8" w14:textId="781DE602" w:rsidR="00B2502B" w:rsidRPr="00CF4398" w:rsidRDefault="001972E1" w:rsidP="00CF4398">
      <w:pPr>
        <w:spacing w:line="480" w:lineRule="auto"/>
        <w:rPr>
          <w:rFonts w:ascii="Times New Roman" w:hAnsi="Times New Roman"/>
          <w:lang w:val="en-US"/>
        </w:rPr>
      </w:pPr>
      <w:r w:rsidRPr="0000747D">
        <w:rPr>
          <w:rFonts w:ascii="Times New Roman" w:hAnsi="Times New Roman"/>
          <w:b/>
          <w:lang w:val="en-US"/>
        </w:rPr>
        <w:t>Caption:</w:t>
      </w:r>
      <w:r>
        <w:rPr>
          <w:rFonts w:ascii="Times New Roman" w:hAnsi="Times New Roman"/>
          <w:lang w:val="en-US"/>
        </w:rPr>
        <w:t xml:space="preserve"> Multivariable regression demonstrates an independent association between pre-existent severe PPM of the surgical valve and increased 1-year mortality after aortic ViV.</w:t>
      </w:r>
    </w:p>
    <w:p w14:paraId="09D37792" w14:textId="2C11EE1C" w:rsidR="00CF4398" w:rsidRDefault="00CF4398">
      <w:pPr>
        <w:rPr>
          <w:rFonts w:ascii="Times New Roman" w:hAnsi="Times New Roman"/>
          <w:b/>
          <w:lang w:val="en-US"/>
        </w:rPr>
      </w:pPr>
      <w:r>
        <w:rPr>
          <w:rFonts w:ascii="Times New Roman" w:hAnsi="Times New Roman"/>
          <w:b/>
          <w:lang w:val="en-US"/>
        </w:rPr>
        <w:br w:type="page"/>
      </w:r>
    </w:p>
    <w:p w14:paraId="0AE16432" w14:textId="19CD6E96" w:rsidR="00C31B6C" w:rsidRPr="00EC2E63" w:rsidRDefault="00C31B6C" w:rsidP="00F86913">
      <w:pPr>
        <w:pStyle w:val="NormalWeb"/>
        <w:spacing w:line="480" w:lineRule="auto"/>
        <w:rPr>
          <w:rFonts w:ascii="Times New Roman" w:hAnsi="Times New Roman"/>
          <w:sz w:val="24"/>
          <w:szCs w:val="24"/>
          <w:lang w:val="en-US"/>
        </w:rPr>
      </w:pPr>
      <w:r>
        <w:rPr>
          <w:rFonts w:ascii="Times New Roman" w:hAnsi="Times New Roman"/>
          <w:b/>
          <w:sz w:val="24"/>
          <w:szCs w:val="24"/>
          <w:lang w:val="en-US"/>
        </w:rPr>
        <w:lastRenderedPageBreak/>
        <w:t>FIGURE 1</w:t>
      </w:r>
      <w:r w:rsidRPr="00EC2E63">
        <w:rPr>
          <w:rFonts w:ascii="Times New Roman" w:hAnsi="Times New Roman"/>
          <w:b/>
          <w:sz w:val="28"/>
          <w:szCs w:val="24"/>
          <w:lang w:val="en-US"/>
        </w:rPr>
        <w:t xml:space="preserve">: </w:t>
      </w:r>
    </w:p>
    <w:p w14:paraId="13BD8F2D" w14:textId="19C3207E" w:rsidR="00C31B6C" w:rsidRDefault="0021330B" w:rsidP="00F86913">
      <w:pPr>
        <w:rPr>
          <w:rFonts w:ascii="Times New Roman" w:hAnsi="Times New Roman"/>
          <w:b/>
          <w:lang w:val="en-US"/>
        </w:rPr>
      </w:pPr>
      <w:r w:rsidRPr="00384ACA">
        <w:rPr>
          <w:rFonts w:ascii="Times New Roman" w:hAnsi="Times New Roman"/>
          <w:b/>
          <w:noProof/>
          <w:lang w:val="en-US"/>
        </w:rPr>
        <w:drawing>
          <wp:inline distT="0" distB="0" distL="0" distR="0" wp14:anchorId="6FEDEE1E" wp14:editId="57102523">
            <wp:extent cx="5939155" cy="3521710"/>
            <wp:effectExtent l="0" t="0" r="4445" b="8890"/>
            <wp:docPr id="4" name="Picture 4" descr="Macintosh HD:Users:Matheus:Documents:Escola Paulista de Medicina:Projetos:Dvir - UBC:VIVID:Analyses:Projected EOA:Draft Apr 23 2017:Danny First Revision May 15th 2017:Figure 1 WRITT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atheus:Documents:Escola Paulista de Medicina:Projetos:Dvir - UBC:VIVID:Analyses:Projected EOA:Draft Apr 23 2017:Danny First Revision May 15th 2017:Figure 1 WRITTE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9155" cy="3521710"/>
                    </a:xfrm>
                    <a:prstGeom prst="rect">
                      <a:avLst/>
                    </a:prstGeom>
                    <a:noFill/>
                    <a:ln>
                      <a:noFill/>
                    </a:ln>
                  </pic:spPr>
                </pic:pic>
              </a:graphicData>
            </a:graphic>
          </wp:inline>
        </w:drawing>
      </w:r>
    </w:p>
    <w:p w14:paraId="6A2A5D67" w14:textId="77777777" w:rsidR="00C31B6C" w:rsidRDefault="00C31B6C" w:rsidP="00F86913">
      <w:pPr>
        <w:rPr>
          <w:rFonts w:ascii="Times New Roman" w:hAnsi="Times New Roman"/>
          <w:b/>
          <w:lang w:val="en-US"/>
        </w:rPr>
      </w:pPr>
    </w:p>
    <w:p w14:paraId="764E3120" w14:textId="51BC8BD7" w:rsidR="00C31B6C" w:rsidRPr="00C31B6C" w:rsidRDefault="00C31B6C" w:rsidP="00F86913">
      <w:pPr>
        <w:rPr>
          <w:rFonts w:ascii="Times New Roman" w:hAnsi="Times New Roman"/>
          <w:b/>
          <w:lang w:val="en-US"/>
        </w:rPr>
      </w:pPr>
    </w:p>
    <w:p w14:paraId="07A4BA2B" w14:textId="77777777" w:rsidR="00C31B6C" w:rsidRDefault="00C31B6C" w:rsidP="00F86913">
      <w:pPr>
        <w:rPr>
          <w:rFonts w:ascii="Times New Roman" w:hAnsi="Times New Roman"/>
          <w:b/>
          <w:lang w:val="en-US"/>
        </w:rPr>
      </w:pPr>
      <w:r>
        <w:rPr>
          <w:rFonts w:ascii="Times New Roman" w:hAnsi="Times New Roman"/>
          <w:b/>
          <w:lang w:val="en-US"/>
        </w:rPr>
        <w:br w:type="page"/>
      </w:r>
    </w:p>
    <w:p w14:paraId="27A9D944" w14:textId="791832A7" w:rsidR="007903DA" w:rsidRDefault="007903DA" w:rsidP="007903DA">
      <w:pPr>
        <w:pStyle w:val="NormalWeb"/>
        <w:spacing w:line="480" w:lineRule="auto"/>
        <w:rPr>
          <w:rFonts w:ascii="Times New Roman" w:hAnsi="Times New Roman"/>
          <w:sz w:val="24"/>
          <w:szCs w:val="24"/>
          <w:lang w:val="en-US"/>
        </w:rPr>
      </w:pPr>
      <w:r>
        <w:rPr>
          <w:rFonts w:ascii="Times New Roman" w:hAnsi="Times New Roman"/>
          <w:b/>
          <w:sz w:val="24"/>
          <w:szCs w:val="24"/>
          <w:lang w:val="en-US"/>
        </w:rPr>
        <w:lastRenderedPageBreak/>
        <w:t>FIGURE 2</w:t>
      </w:r>
      <w:r w:rsidRPr="00EC2E63">
        <w:rPr>
          <w:rFonts w:ascii="Times New Roman" w:hAnsi="Times New Roman"/>
          <w:b/>
          <w:sz w:val="28"/>
          <w:szCs w:val="24"/>
          <w:lang w:val="en-US"/>
        </w:rPr>
        <w:t xml:space="preserve">: </w:t>
      </w:r>
    </w:p>
    <w:p w14:paraId="0D8A6B7F" w14:textId="30751EE6" w:rsidR="00102E85" w:rsidRPr="00EC2E63" w:rsidRDefault="00BD77BC" w:rsidP="007903DA">
      <w:pPr>
        <w:pStyle w:val="NormalWeb"/>
        <w:spacing w:line="480" w:lineRule="auto"/>
        <w:rPr>
          <w:rFonts w:ascii="Times New Roman" w:hAnsi="Times New Roman"/>
          <w:sz w:val="24"/>
          <w:szCs w:val="24"/>
          <w:lang w:val="en-US"/>
        </w:rPr>
      </w:pPr>
      <w:r>
        <w:rPr>
          <w:rFonts w:ascii="Times New Roman" w:hAnsi="Times New Roman"/>
          <w:noProof/>
          <w:sz w:val="24"/>
          <w:szCs w:val="24"/>
          <w:lang w:val="en-US"/>
        </w:rPr>
        <w:drawing>
          <wp:inline distT="0" distB="0" distL="0" distR="0" wp14:anchorId="5A338390" wp14:editId="0CF86631">
            <wp:extent cx="5937885" cy="3703955"/>
            <wp:effectExtent l="0" t="0" r="5715" b="4445"/>
            <wp:docPr id="3" name="Picture 3" descr="../../Figure%202%20CORRECTED%20Sep%204th%20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e%202%20CORRECTED%20Sep%204th%202017.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7885" cy="3703955"/>
                    </a:xfrm>
                    <a:prstGeom prst="rect">
                      <a:avLst/>
                    </a:prstGeom>
                    <a:noFill/>
                    <a:ln>
                      <a:noFill/>
                    </a:ln>
                  </pic:spPr>
                </pic:pic>
              </a:graphicData>
            </a:graphic>
          </wp:inline>
        </w:drawing>
      </w:r>
      <w:bookmarkStart w:id="0" w:name="_GoBack"/>
      <w:bookmarkEnd w:id="0"/>
    </w:p>
    <w:p w14:paraId="2C81EFA3" w14:textId="77777777" w:rsidR="00115977" w:rsidRDefault="00115977">
      <w:pPr>
        <w:rPr>
          <w:rFonts w:ascii="Times New Roman" w:hAnsi="Times New Roman"/>
          <w:b/>
          <w:lang w:val="en-US"/>
        </w:rPr>
      </w:pPr>
      <w:r>
        <w:rPr>
          <w:rFonts w:ascii="Times New Roman" w:hAnsi="Times New Roman"/>
          <w:b/>
          <w:lang w:val="en-US"/>
        </w:rPr>
        <w:br w:type="page"/>
      </w:r>
    </w:p>
    <w:p w14:paraId="4B40B6C0" w14:textId="305C196B" w:rsidR="00C31B6C" w:rsidRDefault="00854210" w:rsidP="00384ACA">
      <w:pPr>
        <w:pStyle w:val="NormalWeb"/>
        <w:spacing w:line="480" w:lineRule="auto"/>
      </w:pPr>
      <w:r>
        <w:rPr>
          <w:rFonts w:ascii="Times New Roman" w:hAnsi="Times New Roman"/>
          <w:b/>
          <w:sz w:val="24"/>
          <w:szCs w:val="24"/>
          <w:lang w:val="en-US"/>
        </w:rPr>
        <w:lastRenderedPageBreak/>
        <w:t>F</w:t>
      </w:r>
      <w:r w:rsidR="00115977">
        <w:rPr>
          <w:rFonts w:ascii="Times New Roman" w:hAnsi="Times New Roman"/>
          <w:b/>
          <w:sz w:val="24"/>
          <w:szCs w:val="24"/>
          <w:lang w:val="en-US"/>
        </w:rPr>
        <w:t>IGURE 3</w:t>
      </w:r>
      <w:r w:rsidR="00043CC3" w:rsidRPr="00EC2E63">
        <w:rPr>
          <w:rFonts w:ascii="Times New Roman" w:hAnsi="Times New Roman"/>
          <w:b/>
          <w:sz w:val="28"/>
          <w:szCs w:val="24"/>
          <w:lang w:val="en-US"/>
        </w:rPr>
        <w:t xml:space="preserve">: </w:t>
      </w:r>
    </w:p>
    <w:p w14:paraId="041C4406" w14:textId="3BF38E49" w:rsidR="00023EB2" w:rsidRDefault="002578C8">
      <w:pPr>
        <w:rPr>
          <w:rFonts w:ascii="Times New Roman" w:hAnsi="Times New Roman"/>
          <w:lang w:val="en-US"/>
        </w:rPr>
      </w:pPr>
      <w:r>
        <w:rPr>
          <w:rFonts w:ascii="Times New Roman" w:hAnsi="Times New Roman"/>
          <w:noProof/>
          <w:lang w:val="en-US"/>
        </w:rPr>
        <w:drawing>
          <wp:inline distT="0" distB="0" distL="0" distR="0" wp14:anchorId="3172CE45" wp14:editId="603DBFCA">
            <wp:extent cx="5937885" cy="4699635"/>
            <wp:effectExtent l="0" t="0" r="5715" b="0"/>
            <wp:docPr id="1" name="Picture 1" descr="New%20Cox%20Reg%20Survival%20Curve%20Aug%2013%20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20Cox%20Reg%20Survival%20Curve%20Aug%2013%202017.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7885" cy="4699635"/>
                    </a:xfrm>
                    <a:prstGeom prst="rect">
                      <a:avLst/>
                    </a:prstGeom>
                    <a:noFill/>
                    <a:ln>
                      <a:noFill/>
                    </a:ln>
                  </pic:spPr>
                </pic:pic>
              </a:graphicData>
            </a:graphic>
          </wp:inline>
        </w:drawing>
      </w:r>
      <w:r w:rsidR="00023EB2">
        <w:rPr>
          <w:rFonts w:ascii="Times New Roman" w:hAnsi="Times New Roman"/>
          <w:lang w:val="en-US"/>
        </w:rPr>
        <w:br w:type="page"/>
      </w:r>
    </w:p>
    <w:p w14:paraId="60FDABEC" w14:textId="77777777" w:rsidR="00892868" w:rsidRDefault="00023EB2" w:rsidP="00023EB2">
      <w:pPr>
        <w:pStyle w:val="NormalWeb"/>
        <w:spacing w:line="480" w:lineRule="auto"/>
        <w:rPr>
          <w:rFonts w:ascii="Times New Roman" w:hAnsi="Times New Roman"/>
          <w:b/>
          <w:sz w:val="28"/>
          <w:szCs w:val="24"/>
          <w:lang w:val="en-US"/>
        </w:rPr>
      </w:pPr>
      <w:r>
        <w:rPr>
          <w:rFonts w:ascii="Times New Roman" w:hAnsi="Times New Roman"/>
          <w:b/>
          <w:sz w:val="24"/>
          <w:szCs w:val="24"/>
          <w:lang w:val="en-US"/>
        </w:rPr>
        <w:lastRenderedPageBreak/>
        <w:t>FIGUR</w:t>
      </w:r>
      <w:r w:rsidR="00115977">
        <w:rPr>
          <w:rFonts w:ascii="Times New Roman" w:hAnsi="Times New Roman"/>
          <w:b/>
          <w:sz w:val="24"/>
          <w:szCs w:val="24"/>
          <w:lang w:val="en-US"/>
        </w:rPr>
        <w:t>E 4</w:t>
      </w:r>
      <w:r w:rsidRPr="00EC2E63">
        <w:rPr>
          <w:rFonts w:ascii="Times New Roman" w:hAnsi="Times New Roman"/>
          <w:b/>
          <w:sz w:val="28"/>
          <w:szCs w:val="24"/>
          <w:lang w:val="en-US"/>
        </w:rPr>
        <w:t xml:space="preserve">: </w:t>
      </w:r>
    </w:p>
    <w:p w14:paraId="6B033D10" w14:textId="7EB9712B" w:rsidR="007765D8" w:rsidRDefault="00892868" w:rsidP="00023EB2">
      <w:pPr>
        <w:pStyle w:val="NormalWeb"/>
        <w:spacing w:line="480" w:lineRule="auto"/>
        <w:rPr>
          <w:rFonts w:ascii="Times New Roman" w:hAnsi="Times New Roman"/>
          <w:b/>
          <w:sz w:val="28"/>
          <w:szCs w:val="24"/>
          <w:lang w:val="en-US"/>
        </w:rPr>
      </w:pPr>
      <w:r>
        <w:rPr>
          <w:rFonts w:ascii="Times New Roman" w:hAnsi="Times New Roman"/>
          <w:b/>
          <w:noProof/>
          <w:sz w:val="28"/>
          <w:szCs w:val="24"/>
          <w:lang w:val="en-US"/>
        </w:rPr>
        <w:drawing>
          <wp:inline distT="0" distB="0" distL="0" distR="0" wp14:anchorId="3BB4CCF9" wp14:editId="7A46AC5A">
            <wp:extent cx="5937885" cy="2211070"/>
            <wp:effectExtent l="0" t="0" r="5715" b="0"/>
            <wp:docPr id="8" name="Picture 8" descr="Multivariate%20Plot%20Aug%2013%20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ultivariate%20Plot%20Aug%2013%20201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7885" cy="2211070"/>
                    </a:xfrm>
                    <a:prstGeom prst="rect">
                      <a:avLst/>
                    </a:prstGeom>
                    <a:noFill/>
                    <a:ln>
                      <a:noFill/>
                    </a:ln>
                  </pic:spPr>
                </pic:pic>
              </a:graphicData>
            </a:graphic>
          </wp:inline>
        </w:drawing>
      </w:r>
    </w:p>
    <w:p w14:paraId="6811D309" w14:textId="10AD86D3" w:rsidR="00023EB2" w:rsidRDefault="00023EB2" w:rsidP="00023EB2">
      <w:pPr>
        <w:pStyle w:val="NormalWeb"/>
        <w:spacing w:line="480" w:lineRule="auto"/>
        <w:rPr>
          <w:rFonts w:ascii="Times New Roman" w:hAnsi="Times New Roman"/>
          <w:sz w:val="24"/>
          <w:szCs w:val="24"/>
          <w:lang w:val="en-US"/>
        </w:rPr>
      </w:pPr>
    </w:p>
    <w:p w14:paraId="47EF2ECF" w14:textId="77777777" w:rsidR="0026379B" w:rsidRPr="00EC2E63" w:rsidRDefault="0026379B" w:rsidP="00023EB2">
      <w:pPr>
        <w:pStyle w:val="NormalWeb"/>
        <w:spacing w:line="480" w:lineRule="auto"/>
        <w:rPr>
          <w:rFonts w:ascii="Times New Roman" w:hAnsi="Times New Roman"/>
          <w:sz w:val="24"/>
          <w:szCs w:val="24"/>
          <w:lang w:val="en-US"/>
        </w:rPr>
      </w:pPr>
    </w:p>
    <w:p w14:paraId="5509A624" w14:textId="657CE9A5" w:rsidR="00C31B6C" w:rsidRDefault="00C31B6C">
      <w:pPr>
        <w:rPr>
          <w:rFonts w:ascii="Times New Roman" w:hAnsi="Times New Roman"/>
          <w:b/>
          <w:bCs/>
          <w:lang w:val="en-US"/>
        </w:rPr>
      </w:pPr>
      <w:r>
        <w:rPr>
          <w:rFonts w:ascii="Times New Roman" w:hAnsi="Times New Roman"/>
          <w:lang w:val="en-US"/>
        </w:rPr>
        <w:br w:type="page"/>
      </w:r>
    </w:p>
    <w:p w14:paraId="539B3225" w14:textId="5197F02F" w:rsidR="00E9267B" w:rsidRPr="009635B0" w:rsidRDefault="0000788A" w:rsidP="00C53884">
      <w:pPr>
        <w:pStyle w:val="Caption"/>
        <w:keepNext/>
        <w:rPr>
          <w:rFonts w:ascii="Times New Roman" w:hAnsi="Times New Roman"/>
          <w:color w:val="auto"/>
          <w:sz w:val="24"/>
          <w:szCs w:val="24"/>
          <w:lang w:val="en-US"/>
        </w:rPr>
      </w:pPr>
      <w:r w:rsidRPr="009635B0">
        <w:rPr>
          <w:rFonts w:ascii="Times New Roman" w:hAnsi="Times New Roman"/>
          <w:color w:val="auto"/>
          <w:sz w:val="24"/>
          <w:szCs w:val="24"/>
          <w:lang w:val="en-US"/>
        </w:rPr>
        <w:lastRenderedPageBreak/>
        <w:t>TABLE 1</w:t>
      </w:r>
      <w:r w:rsidR="00E9267B" w:rsidRPr="009635B0">
        <w:rPr>
          <w:rFonts w:ascii="Times New Roman" w:hAnsi="Times New Roman"/>
          <w:color w:val="auto"/>
          <w:sz w:val="24"/>
          <w:szCs w:val="24"/>
          <w:lang w:val="en-US"/>
        </w:rPr>
        <w:t xml:space="preserve"> - </w:t>
      </w:r>
      <w:r w:rsidR="00E9267B" w:rsidRPr="009635B0">
        <w:rPr>
          <w:rFonts w:ascii="Times New Roman" w:hAnsi="Times New Roman"/>
          <w:b w:val="0"/>
          <w:color w:val="auto"/>
          <w:sz w:val="24"/>
          <w:szCs w:val="24"/>
          <w:lang w:val="en-US"/>
        </w:rPr>
        <w:t>Baseline characteristics</w:t>
      </w:r>
      <w:r w:rsidR="00C11826" w:rsidRPr="009635B0">
        <w:rPr>
          <w:rFonts w:ascii="Times New Roman" w:hAnsi="Times New Roman"/>
          <w:b w:val="0"/>
          <w:color w:val="auto"/>
          <w:sz w:val="24"/>
          <w:szCs w:val="24"/>
          <w:lang w:val="en-US"/>
        </w:rPr>
        <w:t xml:space="preserve"> </w:t>
      </w:r>
      <w:r w:rsidR="004B5E6C">
        <w:rPr>
          <w:rFonts w:ascii="Times New Roman" w:hAnsi="Times New Roman"/>
          <w:b w:val="0"/>
          <w:color w:val="auto"/>
          <w:sz w:val="24"/>
          <w:szCs w:val="24"/>
          <w:lang w:val="en-US"/>
        </w:rPr>
        <w:t>according to pre-existent PPM.</w:t>
      </w:r>
    </w:p>
    <w:tbl>
      <w:tblPr>
        <w:tblStyle w:val="TableGrid"/>
        <w:tblW w:w="11340" w:type="dxa"/>
        <w:tblInd w:w="-9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5239"/>
        <w:gridCol w:w="2447"/>
        <w:gridCol w:w="2309"/>
        <w:gridCol w:w="1345"/>
      </w:tblGrid>
      <w:tr w:rsidR="00C11826" w:rsidRPr="009635B0" w14:paraId="35F8A1C1" w14:textId="77777777" w:rsidTr="00E203DA">
        <w:trPr>
          <w:trHeight w:val="20"/>
        </w:trPr>
        <w:tc>
          <w:tcPr>
            <w:tcW w:w="2310" w:type="pct"/>
            <w:tcBorders>
              <w:top w:val="single" w:sz="4" w:space="0" w:color="auto"/>
              <w:bottom w:val="single" w:sz="4" w:space="0" w:color="auto"/>
            </w:tcBorders>
          </w:tcPr>
          <w:p w14:paraId="03DF9BB9" w14:textId="568B998C" w:rsidR="00C11826" w:rsidRPr="009635B0" w:rsidRDefault="00C11826" w:rsidP="00167729">
            <w:pPr>
              <w:jc w:val="center"/>
              <w:rPr>
                <w:rFonts w:ascii="Times New Roman" w:hAnsi="Times New Roman"/>
                <w:b/>
                <w:bCs/>
                <w:sz w:val="24"/>
                <w:szCs w:val="24"/>
                <w:lang w:val="en-US"/>
              </w:rPr>
            </w:pPr>
            <w:r w:rsidRPr="009635B0">
              <w:rPr>
                <w:rFonts w:ascii="Times New Roman" w:hAnsi="Times New Roman"/>
                <w:b/>
                <w:bCs/>
                <w:sz w:val="24"/>
                <w:szCs w:val="24"/>
                <w:lang w:val="en-US"/>
              </w:rPr>
              <w:t>Baseline</w:t>
            </w:r>
            <w:r w:rsidR="004B5E6C">
              <w:rPr>
                <w:rFonts w:ascii="Times New Roman" w:hAnsi="Times New Roman"/>
                <w:b/>
                <w:bCs/>
                <w:sz w:val="24"/>
                <w:szCs w:val="24"/>
                <w:lang w:val="en-US"/>
              </w:rPr>
              <w:t xml:space="preserve"> C</w:t>
            </w:r>
            <w:r w:rsidR="00043CC3" w:rsidRPr="009635B0">
              <w:rPr>
                <w:rFonts w:ascii="Times New Roman" w:hAnsi="Times New Roman"/>
                <w:b/>
                <w:bCs/>
                <w:sz w:val="24"/>
                <w:szCs w:val="24"/>
                <w:lang w:val="en-US"/>
              </w:rPr>
              <w:t>haracteristics</w:t>
            </w:r>
          </w:p>
        </w:tc>
        <w:tc>
          <w:tcPr>
            <w:tcW w:w="1079" w:type="pct"/>
            <w:tcBorders>
              <w:top w:val="single" w:sz="4" w:space="0" w:color="auto"/>
              <w:bottom w:val="single" w:sz="4" w:space="0" w:color="auto"/>
            </w:tcBorders>
          </w:tcPr>
          <w:p w14:paraId="563D4A5F" w14:textId="085AF642" w:rsidR="00EC2E63" w:rsidRPr="009635B0" w:rsidRDefault="00EC2E63" w:rsidP="00043CC3">
            <w:pPr>
              <w:jc w:val="center"/>
              <w:rPr>
                <w:rFonts w:ascii="Times New Roman" w:hAnsi="Times New Roman"/>
                <w:b/>
                <w:bCs/>
                <w:sz w:val="24"/>
                <w:szCs w:val="24"/>
                <w:lang w:val="en-US"/>
              </w:rPr>
            </w:pPr>
            <w:r w:rsidRPr="009635B0">
              <w:rPr>
                <w:rFonts w:ascii="Times New Roman" w:hAnsi="Times New Roman"/>
                <w:b/>
                <w:bCs/>
                <w:sz w:val="24"/>
                <w:szCs w:val="24"/>
                <w:lang w:val="en-US"/>
              </w:rPr>
              <w:t>Severe PPM</w:t>
            </w:r>
          </w:p>
          <w:p w14:paraId="3465B95C" w14:textId="6A4EF971" w:rsidR="00C11826" w:rsidRPr="009635B0" w:rsidRDefault="00C11826" w:rsidP="00043CC3">
            <w:pPr>
              <w:jc w:val="center"/>
              <w:rPr>
                <w:rFonts w:ascii="Times New Roman" w:hAnsi="Times New Roman"/>
                <w:b/>
                <w:bCs/>
                <w:sz w:val="24"/>
                <w:szCs w:val="24"/>
                <w:lang w:val="en-US"/>
              </w:rPr>
            </w:pPr>
            <w:r w:rsidRPr="009635B0">
              <w:rPr>
                <w:rFonts w:ascii="Times New Roman" w:hAnsi="Times New Roman"/>
                <w:b/>
                <w:bCs/>
                <w:sz w:val="24"/>
                <w:szCs w:val="24"/>
                <w:lang w:val="en-US"/>
              </w:rPr>
              <w:t xml:space="preserve">(n = </w:t>
            </w:r>
            <w:r w:rsidR="00043CC3" w:rsidRPr="009635B0">
              <w:rPr>
                <w:rFonts w:ascii="Times New Roman" w:hAnsi="Times New Roman"/>
                <w:b/>
                <w:bCs/>
                <w:sz w:val="24"/>
                <w:szCs w:val="24"/>
                <w:lang w:val="en-US"/>
              </w:rPr>
              <w:t>89)</w:t>
            </w:r>
          </w:p>
        </w:tc>
        <w:tc>
          <w:tcPr>
            <w:tcW w:w="1018" w:type="pct"/>
            <w:tcBorders>
              <w:top w:val="single" w:sz="4" w:space="0" w:color="auto"/>
              <w:bottom w:val="single" w:sz="4" w:space="0" w:color="auto"/>
            </w:tcBorders>
          </w:tcPr>
          <w:p w14:paraId="732464D6" w14:textId="77777777" w:rsidR="00EC2E63" w:rsidRPr="009635B0" w:rsidRDefault="00EC2E63" w:rsidP="00EC2E63">
            <w:pPr>
              <w:jc w:val="center"/>
              <w:rPr>
                <w:rFonts w:ascii="Times New Roman" w:hAnsi="Times New Roman"/>
                <w:b/>
                <w:bCs/>
                <w:sz w:val="24"/>
                <w:szCs w:val="24"/>
                <w:lang w:val="en-US"/>
              </w:rPr>
            </w:pPr>
            <w:r w:rsidRPr="009635B0">
              <w:rPr>
                <w:rFonts w:ascii="Times New Roman" w:hAnsi="Times New Roman"/>
                <w:b/>
                <w:bCs/>
                <w:sz w:val="24"/>
                <w:szCs w:val="24"/>
                <w:lang w:val="en-US"/>
              </w:rPr>
              <w:t>No/Moderate PPM</w:t>
            </w:r>
          </w:p>
          <w:p w14:paraId="3D84DE41" w14:textId="44B6A669" w:rsidR="00C11826" w:rsidRPr="009635B0" w:rsidRDefault="00EC2E63" w:rsidP="0000788A">
            <w:pPr>
              <w:jc w:val="center"/>
              <w:rPr>
                <w:rFonts w:ascii="Times New Roman" w:hAnsi="Times New Roman"/>
                <w:b/>
                <w:bCs/>
                <w:sz w:val="24"/>
                <w:szCs w:val="24"/>
                <w:lang w:val="en-US"/>
              </w:rPr>
            </w:pPr>
            <w:r w:rsidRPr="009635B0">
              <w:rPr>
                <w:rFonts w:ascii="Times New Roman" w:hAnsi="Times New Roman"/>
                <w:b/>
                <w:bCs/>
                <w:sz w:val="24"/>
                <w:szCs w:val="24"/>
                <w:lang w:val="en-US"/>
              </w:rPr>
              <w:t xml:space="preserve"> </w:t>
            </w:r>
            <w:r w:rsidR="00043CC3" w:rsidRPr="009635B0">
              <w:rPr>
                <w:rFonts w:ascii="Times New Roman" w:hAnsi="Times New Roman"/>
                <w:b/>
                <w:bCs/>
                <w:sz w:val="24"/>
                <w:szCs w:val="24"/>
                <w:lang w:val="en-US"/>
              </w:rPr>
              <w:t>(n =</w:t>
            </w:r>
            <w:r w:rsidR="0000788A" w:rsidRPr="009635B0">
              <w:rPr>
                <w:rFonts w:ascii="Times New Roman" w:hAnsi="Times New Roman"/>
                <w:b/>
                <w:bCs/>
                <w:sz w:val="24"/>
                <w:szCs w:val="24"/>
                <w:lang w:val="en-US"/>
              </w:rPr>
              <w:t>1079</w:t>
            </w:r>
            <w:r w:rsidR="00C11826" w:rsidRPr="009635B0">
              <w:rPr>
                <w:rFonts w:ascii="Times New Roman" w:hAnsi="Times New Roman"/>
                <w:b/>
                <w:bCs/>
                <w:sz w:val="24"/>
                <w:szCs w:val="24"/>
                <w:lang w:val="en-US"/>
              </w:rPr>
              <w:t>)</w:t>
            </w:r>
          </w:p>
        </w:tc>
        <w:tc>
          <w:tcPr>
            <w:tcW w:w="593" w:type="pct"/>
            <w:tcBorders>
              <w:top w:val="single" w:sz="4" w:space="0" w:color="auto"/>
              <w:bottom w:val="single" w:sz="4" w:space="0" w:color="auto"/>
            </w:tcBorders>
          </w:tcPr>
          <w:p w14:paraId="55C9E7BB" w14:textId="6DC22F54" w:rsidR="00C11826" w:rsidRPr="009635B0" w:rsidRDefault="00757D30" w:rsidP="00167729">
            <w:pPr>
              <w:jc w:val="center"/>
              <w:rPr>
                <w:rFonts w:ascii="Times New Roman" w:hAnsi="Times New Roman"/>
                <w:b/>
                <w:bCs/>
                <w:sz w:val="24"/>
                <w:szCs w:val="24"/>
                <w:lang w:val="en-US"/>
              </w:rPr>
            </w:pPr>
            <w:r>
              <w:rPr>
                <w:rFonts w:ascii="Times New Roman" w:hAnsi="Times New Roman"/>
                <w:b/>
                <w:bCs/>
                <w:sz w:val="24"/>
                <w:szCs w:val="24"/>
                <w:lang w:val="en-US"/>
              </w:rPr>
              <w:t>p</w:t>
            </w:r>
            <w:r w:rsidR="00EC2E63" w:rsidRPr="009635B0">
              <w:rPr>
                <w:rFonts w:ascii="Times New Roman" w:hAnsi="Times New Roman"/>
                <w:b/>
                <w:bCs/>
                <w:sz w:val="24"/>
                <w:szCs w:val="24"/>
                <w:lang w:val="en-US"/>
              </w:rPr>
              <w:t xml:space="preserve"> V</w:t>
            </w:r>
            <w:r w:rsidR="00C11826" w:rsidRPr="009635B0">
              <w:rPr>
                <w:rFonts w:ascii="Times New Roman" w:hAnsi="Times New Roman"/>
                <w:b/>
                <w:bCs/>
                <w:sz w:val="24"/>
                <w:szCs w:val="24"/>
                <w:lang w:val="en-US"/>
              </w:rPr>
              <w:t>alue</w:t>
            </w:r>
          </w:p>
        </w:tc>
      </w:tr>
      <w:tr w:rsidR="00661E16" w:rsidRPr="009635B0" w14:paraId="4F38A5C2" w14:textId="77777777" w:rsidTr="00E203DA">
        <w:trPr>
          <w:trHeight w:val="20"/>
        </w:trPr>
        <w:tc>
          <w:tcPr>
            <w:tcW w:w="2310" w:type="pct"/>
            <w:tcBorders>
              <w:top w:val="single" w:sz="4" w:space="0" w:color="auto"/>
            </w:tcBorders>
          </w:tcPr>
          <w:p w14:paraId="1E6229DB" w14:textId="77777777" w:rsidR="00661E16" w:rsidRPr="009635B0" w:rsidRDefault="00661E16" w:rsidP="00661E16">
            <w:pPr>
              <w:rPr>
                <w:rFonts w:ascii="Times New Roman" w:hAnsi="Times New Roman"/>
                <w:sz w:val="24"/>
                <w:szCs w:val="24"/>
                <w:lang w:val="en-US"/>
              </w:rPr>
            </w:pPr>
            <w:r w:rsidRPr="009635B0">
              <w:rPr>
                <w:rFonts w:ascii="Times New Roman" w:hAnsi="Times New Roman"/>
                <w:sz w:val="24"/>
                <w:szCs w:val="24"/>
                <w:lang w:val="en-US"/>
              </w:rPr>
              <w:t>Age, mean ± SD, years</w:t>
            </w:r>
          </w:p>
        </w:tc>
        <w:tc>
          <w:tcPr>
            <w:tcW w:w="1079" w:type="pct"/>
            <w:tcBorders>
              <w:top w:val="single" w:sz="4" w:space="0" w:color="auto"/>
            </w:tcBorders>
            <w:vAlign w:val="center"/>
          </w:tcPr>
          <w:p w14:paraId="36EC67A3" w14:textId="7E0577B0" w:rsidR="00661E16" w:rsidRPr="009635B0" w:rsidRDefault="00661E16" w:rsidP="00661E16">
            <w:pPr>
              <w:jc w:val="center"/>
              <w:rPr>
                <w:rFonts w:ascii="Times New Roman" w:hAnsi="Times New Roman"/>
                <w:sz w:val="24"/>
                <w:szCs w:val="24"/>
                <w:lang w:val="en-US"/>
              </w:rPr>
            </w:pPr>
            <w:r w:rsidRPr="009635B0">
              <w:rPr>
                <w:rFonts w:ascii="Times New Roman" w:hAnsi="Times New Roman"/>
                <w:color w:val="000000"/>
                <w:sz w:val="24"/>
                <w:szCs w:val="24"/>
              </w:rPr>
              <w:t>78 ± 7.6</w:t>
            </w:r>
          </w:p>
        </w:tc>
        <w:tc>
          <w:tcPr>
            <w:tcW w:w="1018" w:type="pct"/>
            <w:tcBorders>
              <w:top w:val="single" w:sz="4" w:space="0" w:color="auto"/>
            </w:tcBorders>
            <w:vAlign w:val="center"/>
          </w:tcPr>
          <w:p w14:paraId="2650B115" w14:textId="137814D4" w:rsidR="00661E16" w:rsidRPr="009635B0" w:rsidRDefault="00661E16" w:rsidP="00661E16">
            <w:pPr>
              <w:jc w:val="center"/>
              <w:rPr>
                <w:rFonts w:ascii="Times New Roman" w:hAnsi="Times New Roman"/>
                <w:sz w:val="24"/>
                <w:szCs w:val="24"/>
                <w:lang w:val="en-US"/>
              </w:rPr>
            </w:pPr>
            <w:r w:rsidRPr="009635B0">
              <w:rPr>
                <w:rFonts w:ascii="Times New Roman" w:hAnsi="Times New Roman"/>
                <w:color w:val="000000"/>
                <w:sz w:val="24"/>
                <w:szCs w:val="24"/>
              </w:rPr>
              <w:t>78.6 ± 8.5</w:t>
            </w:r>
          </w:p>
        </w:tc>
        <w:tc>
          <w:tcPr>
            <w:tcW w:w="593" w:type="pct"/>
            <w:tcBorders>
              <w:top w:val="single" w:sz="4" w:space="0" w:color="auto"/>
            </w:tcBorders>
            <w:vAlign w:val="center"/>
          </w:tcPr>
          <w:p w14:paraId="03834F4B" w14:textId="73C375AC" w:rsidR="00661E16" w:rsidRPr="009635B0" w:rsidRDefault="00661E16" w:rsidP="00661E16">
            <w:pPr>
              <w:jc w:val="center"/>
              <w:rPr>
                <w:rFonts w:ascii="Times New Roman" w:hAnsi="Times New Roman"/>
                <w:sz w:val="24"/>
                <w:szCs w:val="24"/>
                <w:lang w:val="en-US"/>
              </w:rPr>
            </w:pPr>
            <w:r w:rsidRPr="009635B0">
              <w:rPr>
                <w:rFonts w:ascii="Times New Roman" w:hAnsi="Times New Roman"/>
                <w:color w:val="000000"/>
                <w:sz w:val="24"/>
                <w:szCs w:val="24"/>
              </w:rPr>
              <w:t>0.48</w:t>
            </w:r>
          </w:p>
        </w:tc>
      </w:tr>
      <w:tr w:rsidR="00661E16" w:rsidRPr="009635B0" w14:paraId="32EDCA2C" w14:textId="77777777" w:rsidTr="00E203DA">
        <w:trPr>
          <w:trHeight w:val="20"/>
        </w:trPr>
        <w:tc>
          <w:tcPr>
            <w:tcW w:w="2310" w:type="pct"/>
          </w:tcPr>
          <w:p w14:paraId="4B3BDE37" w14:textId="3F3030F2" w:rsidR="00661E16" w:rsidRPr="009635B0" w:rsidRDefault="00661E16" w:rsidP="00661E16">
            <w:pPr>
              <w:rPr>
                <w:rFonts w:ascii="Times New Roman" w:hAnsi="Times New Roman"/>
                <w:sz w:val="24"/>
                <w:szCs w:val="24"/>
                <w:lang w:val="en-US"/>
              </w:rPr>
            </w:pPr>
            <w:r w:rsidRPr="009635B0">
              <w:rPr>
                <w:rFonts w:ascii="Times New Roman" w:hAnsi="Times New Roman"/>
                <w:sz w:val="24"/>
                <w:szCs w:val="24"/>
                <w:lang w:val="en-US"/>
              </w:rPr>
              <w:t xml:space="preserve">Male, n (%) </w:t>
            </w:r>
          </w:p>
        </w:tc>
        <w:tc>
          <w:tcPr>
            <w:tcW w:w="1079" w:type="pct"/>
            <w:vAlign w:val="center"/>
          </w:tcPr>
          <w:p w14:paraId="52C8BC8B" w14:textId="659EA240" w:rsidR="00661E16" w:rsidRPr="009635B0" w:rsidRDefault="00661E16" w:rsidP="00661E16">
            <w:pPr>
              <w:jc w:val="center"/>
              <w:rPr>
                <w:rFonts w:ascii="Times New Roman" w:hAnsi="Times New Roman"/>
                <w:sz w:val="24"/>
                <w:szCs w:val="24"/>
                <w:lang w:val="en-US"/>
              </w:rPr>
            </w:pPr>
            <w:r w:rsidRPr="009635B0">
              <w:rPr>
                <w:rFonts w:ascii="Times New Roman" w:hAnsi="Times New Roman"/>
                <w:color w:val="000000"/>
                <w:sz w:val="24"/>
                <w:szCs w:val="24"/>
              </w:rPr>
              <w:t>51 (57.3%)</w:t>
            </w:r>
          </w:p>
        </w:tc>
        <w:tc>
          <w:tcPr>
            <w:tcW w:w="1018" w:type="pct"/>
            <w:vAlign w:val="center"/>
          </w:tcPr>
          <w:p w14:paraId="79F61528" w14:textId="0F2F7FFC" w:rsidR="00661E16" w:rsidRPr="009635B0" w:rsidRDefault="00661E16" w:rsidP="00661E16">
            <w:pPr>
              <w:jc w:val="center"/>
              <w:rPr>
                <w:rFonts w:ascii="Times New Roman" w:hAnsi="Times New Roman"/>
                <w:sz w:val="24"/>
                <w:szCs w:val="24"/>
                <w:lang w:val="en-US"/>
              </w:rPr>
            </w:pPr>
            <w:r w:rsidRPr="009635B0">
              <w:rPr>
                <w:rFonts w:ascii="Times New Roman" w:hAnsi="Times New Roman"/>
                <w:color w:val="000000"/>
                <w:sz w:val="24"/>
                <w:szCs w:val="24"/>
              </w:rPr>
              <w:t>604 (56.1%)</w:t>
            </w:r>
          </w:p>
        </w:tc>
        <w:tc>
          <w:tcPr>
            <w:tcW w:w="593" w:type="pct"/>
            <w:vAlign w:val="center"/>
          </w:tcPr>
          <w:p w14:paraId="5C69AD41" w14:textId="37659200" w:rsidR="00661E16" w:rsidRPr="009635B0" w:rsidRDefault="00661E16" w:rsidP="00661E16">
            <w:pPr>
              <w:jc w:val="center"/>
              <w:rPr>
                <w:rFonts w:ascii="Times New Roman" w:hAnsi="Times New Roman"/>
                <w:sz w:val="24"/>
                <w:szCs w:val="24"/>
                <w:lang w:val="en-US"/>
              </w:rPr>
            </w:pPr>
            <w:r w:rsidRPr="009635B0">
              <w:rPr>
                <w:rFonts w:ascii="Times New Roman" w:hAnsi="Times New Roman"/>
                <w:color w:val="000000"/>
                <w:sz w:val="24"/>
                <w:szCs w:val="24"/>
              </w:rPr>
              <w:t>0.82</w:t>
            </w:r>
          </w:p>
        </w:tc>
      </w:tr>
      <w:tr w:rsidR="00661E16" w:rsidRPr="009635B0" w14:paraId="56CB8EF7" w14:textId="77777777" w:rsidTr="00E203DA">
        <w:trPr>
          <w:trHeight w:val="20"/>
        </w:trPr>
        <w:tc>
          <w:tcPr>
            <w:tcW w:w="2310" w:type="pct"/>
          </w:tcPr>
          <w:p w14:paraId="6771CCEE" w14:textId="77777777" w:rsidR="00661E16" w:rsidRPr="009635B0" w:rsidRDefault="00661E16" w:rsidP="00661E16">
            <w:pPr>
              <w:rPr>
                <w:rFonts w:ascii="Times New Roman" w:hAnsi="Times New Roman"/>
                <w:sz w:val="24"/>
                <w:szCs w:val="24"/>
                <w:lang w:val="en-US"/>
              </w:rPr>
            </w:pPr>
            <w:r w:rsidRPr="009635B0">
              <w:rPr>
                <w:rFonts w:ascii="Times New Roman" w:hAnsi="Times New Roman"/>
                <w:sz w:val="24"/>
                <w:szCs w:val="24"/>
                <w:lang w:val="en-US"/>
              </w:rPr>
              <w:t>Height, mean ± SD, cm</w:t>
            </w:r>
          </w:p>
        </w:tc>
        <w:tc>
          <w:tcPr>
            <w:tcW w:w="1079" w:type="pct"/>
            <w:vAlign w:val="center"/>
          </w:tcPr>
          <w:p w14:paraId="13CFA33A" w14:textId="74BED736" w:rsidR="00661E16" w:rsidRPr="009635B0" w:rsidRDefault="00661E16" w:rsidP="00661E16">
            <w:pPr>
              <w:jc w:val="center"/>
              <w:rPr>
                <w:rFonts w:ascii="Times New Roman" w:hAnsi="Times New Roman"/>
                <w:sz w:val="24"/>
                <w:szCs w:val="24"/>
                <w:lang w:val="en-US"/>
              </w:rPr>
            </w:pPr>
            <w:r w:rsidRPr="009635B0">
              <w:rPr>
                <w:rFonts w:ascii="Times New Roman" w:hAnsi="Times New Roman"/>
                <w:color w:val="000000"/>
                <w:sz w:val="24"/>
                <w:szCs w:val="24"/>
              </w:rPr>
              <w:t>171.3 ± 9.4</w:t>
            </w:r>
          </w:p>
        </w:tc>
        <w:tc>
          <w:tcPr>
            <w:tcW w:w="1018" w:type="pct"/>
            <w:vAlign w:val="center"/>
          </w:tcPr>
          <w:p w14:paraId="1FB5969A" w14:textId="08984DA5" w:rsidR="00661E16" w:rsidRPr="009635B0" w:rsidRDefault="00661E16" w:rsidP="00661E16">
            <w:pPr>
              <w:jc w:val="center"/>
              <w:rPr>
                <w:rFonts w:ascii="Times New Roman" w:hAnsi="Times New Roman"/>
                <w:sz w:val="24"/>
                <w:szCs w:val="24"/>
                <w:lang w:val="en-US"/>
              </w:rPr>
            </w:pPr>
            <w:r w:rsidRPr="009635B0">
              <w:rPr>
                <w:rFonts w:ascii="Times New Roman" w:hAnsi="Times New Roman"/>
                <w:color w:val="000000"/>
                <w:sz w:val="24"/>
                <w:szCs w:val="24"/>
              </w:rPr>
              <w:t>166.8 ± 9.5</w:t>
            </w:r>
          </w:p>
        </w:tc>
        <w:tc>
          <w:tcPr>
            <w:tcW w:w="593" w:type="pct"/>
            <w:vAlign w:val="center"/>
          </w:tcPr>
          <w:p w14:paraId="2A8EBD03" w14:textId="2BD7AB72" w:rsidR="00661E16" w:rsidRPr="009635B0" w:rsidRDefault="00661E16" w:rsidP="00661E16">
            <w:pPr>
              <w:jc w:val="center"/>
              <w:rPr>
                <w:rFonts w:ascii="Times New Roman" w:hAnsi="Times New Roman"/>
                <w:sz w:val="24"/>
                <w:szCs w:val="24"/>
                <w:lang w:val="en-US"/>
              </w:rPr>
            </w:pPr>
            <w:r w:rsidRPr="009635B0">
              <w:rPr>
                <w:rFonts w:ascii="Times New Roman" w:hAnsi="Times New Roman"/>
                <w:color w:val="000000"/>
                <w:sz w:val="24"/>
                <w:szCs w:val="24"/>
              </w:rPr>
              <w:t>&lt; 0.001</w:t>
            </w:r>
          </w:p>
        </w:tc>
      </w:tr>
      <w:tr w:rsidR="00661E16" w:rsidRPr="009635B0" w14:paraId="7CE4F544" w14:textId="77777777" w:rsidTr="00E203DA">
        <w:trPr>
          <w:trHeight w:val="20"/>
        </w:trPr>
        <w:tc>
          <w:tcPr>
            <w:tcW w:w="2310" w:type="pct"/>
          </w:tcPr>
          <w:p w14:paraId="5A3878F7" w14:textId="77777777" w:rsidR="00661E16" w:rsidRPr="009635B0" w:rsidRDefault="00661E16" w:rsidP="00661E16">
            <w:pPr>
              <w:rPr>
                <w:rFonts w:ascii="Times New Roman" w:hAnsi="Times New Roman"/>
                <w:sz w:val="24"/>
                <w:szCs w:val="24"/>
                <w:lang w:val="en-US"/>
              </w:rPr>
            </w:pPr>
            <w:r w:rsidRPr="009635B0">
              <w:rPr>
                <w:rFonts w:ascii="Times New Roman" w:hAnsi="Times New Roman"/>
                <w:sz w:val="24"/>
                <w:szCs w:val="24"/>
                <w:lang w:val="en-US"/>
              </w:rPr>
              <w:t>Weight, mean ± SD, kg</w:t>
            </w:r>
          </w:p>
        </w:tc>
        <w:tc>
          <w:tcPr>
            <w:tcW w:w="1079" w:type="pct"/>
            <w:vAlign w:val="center"/>
          </w:tcPr>
          <w:p w14:paraId="43857066" w14:textId="22E2A15C" w:rsidR="00661E16" w:rsidRPr="009635B0" w:rsidRDefault="00661E16" w:rsidP="00661E16">
            <w:pPr>
              <w:jc w:val="center"/>
              <w:rPr>
                <w:rFonts w:ascii="Times New Roman" w:hAnsi="Times New Roman"/>
                <w:sz w:val="24"/>
                <w:szCs w:val="24"/>
                <w:lang w:val="en-US"/>
              </w:rPr>
            </w:pPr>
            <w:r w:rsidRPr="009635B0">
              <w:rPr>
                <w:rFonts w:ascii="Times New Roman" w:hAnsi="Times New Roman"/>
                <w:color w:val="000000"/>
                <w:sz w:val="24"/>
                <w:szCs w:val="24"/>
              </w:rPr>
              <w:t>87.7 ± 16.5</w:t>
            </w:r>
          </w:p>
        </w:tc>
        <w:tc>
          <w:tcPr>
            <w:tcW w:w="1018" w:type="pct"/>
            <w:vAlign w:val="center"/>
          </w:tcPr>
          <w:p w14:paraId="7135DCA2" w14:textId="385103B7" w:rsidR="00661E16" w:rsidRPr="009635B0" w:rsidRDefault="00661E16" w:rsidP="00661E16">
            <w:pPr>
              <w:jc w:val="center"/>
              <w:rPr>
                <w:rFonts w:ascii="Times New Roman" w:hAnsi="Times New Roman"/>
                <w:sz w:val="24"/>
                <w:szCs w:val="24"/>
                <w:lang w:val="en-US"/>
              </w:rPr>
            </w:pPr>
            <w:r w:rsidRPr="009635B0">
              <w:rPr>
                <w:rFonts w:ascii="Times New Roman" w:hAnsi="Times New Roman"/>
                <w:color w:val="000000"/>
                <w:sz w:val="24"/>
                <w:szCs w:val="24"/>
              </w:rPr>
              <w:t>73.9 ± 15.5</w:t>
            </w:r>
          </w:p>
        </w:tc>
        <w:tc>
          <w:tcPr>
            <w:tcW w:w="593" w:type="pct"/>
            <w:vAlign w:val="center"/>
          </w:tcPr>
          <w:p w14:paraId="4766F976" w14:textId="36C2E688" w:rsidR="00661E16" w:rsidRPr="009635B0" w:rsidRDefault="00661E16" w:rsidP="00661E16">
            <w:pPr>
              <w:jc w:val="center"/>
              <w:rPr>
                <w:rFonts w:ascii="Times New Roman" w:hAnsi="Times New Roman"/>
                <w:sz w:val="24"/>
                <w:szCs w:val="24"/>
                <w:lang w:val="en-US"/>
              </w:rPr>
            </w:pPr>
            <w:r w:rsidRPr="009635B0">
              <w:rPr>
                <w:rFonts w:ascii="Times New Roman" w:hAnsi="Times New Roman"/>
                <w:color w:val="000000"/>
                <w:sz w:val="24"/>
                <w:szCs w:val="24"/>
              </w:rPr>
              <w:t>&lt; 0.001</w:t>
            </w:r>
          </w:p>
        </w:tc>
      </w:tr>
      <w:tr w:rsidR="00661E16" w:rsidRPr="009635B0" w14:paraId="0A2AC1A8" w14:textId="77777777" w:rsidTr="00E203DA">
        <w:trPr>
          <w:trHeight w:val="20"/>
        </w:trPr>
        <w:tc>
          <w:tcPr>
            <w:tcW w:w="2310" w:type="pct"/>
          </w:tcPr>
          <w:p w14:paraId="46E2B495" w14:textId="12A576BD" w:rsidR="00661E16" w:rsidRPr="009635B0" w:rsidRDefault="0000788A" w:rsidP="007C0075">
            <w:pPr>
              <w:rPr>
                <w:rFonts w:ascii="Times New Roman" w:hAnsi="Times New Roman"/>
                <w:sz w:val="24"/>
                <w:szCs w:val="24"/>
                <w:lang w:val="en-US"/>
              </w:rPr>
            </w:pPr>
            <w:r w:rsidRPr="009635B0">
              <w:rPr>
                <w:rFonts w:ascii="Times New Roman" w:hAnsi="Times New Roman"/>
                <w:sz w:val="24"/>
                <w:szCs w:val="24"/>
                <w:lang w:val="en-US"/>
              </w:rPr>
              <w:t>B</w:t>
            </w:r>
            <w:r w:rsidR="007C0075" w:rsidRPr="009635B0">
              <w:rPr>
                <w:rFonts w:ascii="Times New Roman" w:hAnsi="Times New Roman"/>
                <w:sz w:val="24"/>
                <w:szCs w:val="24"/>
                <w:lang w:val="en-US"/>
              </w:rPr>
              <w:t>ody surface area</w:t>
            </w:r>
            <w:r w:rsidR="00661E16" w:rsidRPr="009635B0">
              <w:rPr>
                <w:rFonts w:ascii="Times New Roman" w:hAnsi="Times New Roman"/>
                <w:sz w:val="24"/>
                <w:szCs w:val="24"/>
                <w:lang w:val="en-US"/>
              </w:rPr>
              <w:t>, mean ± SD, m</w:t>
            </w:r>
            <w:r w:rsidR="00661E16" w:rsidRPr="009635B0">
              <w:rPr>
                <w:rFonts w:ascii="Times New Roman" w:hAnsi="Times New Roman"/>
                <w:sz w:val="24"/>
                <w:szCs w:val="24"/>
                <w:vertAlign w:val="superscript"/>
                <w:lang w:val="en-US"/>
              </w:rPr>
              <w:t>2</w:t>
            </w:r>
          </w:p>
        </w:tc>
        <w:tc>
          <w:tcPr>
            <w:tcW w:w="1079" w:type="pct"/>
            <w:vAlign w:val="center"/>
          </w:tcPr>
          <w:p w14:paraId="0236998A" w14:textId="56C7A187" w:rsidR="00661E16" w:rsidRPr="009635B0" w:rsidRDefault="00661E16" w:rsidP="00661E16">
            <w:pPr>
              <w:jc w:val="center"/>
              <w:rPr>
                <w:rFonts w:ascii="Times New Roman" w:hAnsi="Times New Roman"/>
                <w:sz w:val="24"/>
                <w:szCs w:val="24"/>
                <w:lang w:val="en-US"/>
              </w:rPr>
            </w:pPr>
            <w:r w:rsidRPr="009635B0">
              <w:rPr>
                <w:rFonts w:ascii="Times New Roman" w:hAnsi="Times New Roman"/>
                <w:color w:val="000000"/>
                <w:sz w:val="24"/>
                <w:szCs w:val="24"/>
              </w:rPr>
              <w:t>2.00 ± 0.20</w:t>
            </w:r>
          </w:p>
        </w:tc>
        <w:tc>
          <w:tcPr>
            <w:tcW w:w="1018" w:type="pct"/>
            <w:vAlign w:val="center"/>
          </w:tcPr>
          <w:p w14:paraId="03ACFBB5" w14:textId="04CAC580" w:rsidR="00661E16" w:rsidRPr="009635B0" w:rsidRDefault="00661E16" w:rsidP="00661E16">
            <w:pPr>
              <w:jc w:val="center"/>
              <w:rPr>
                <w:rFonts w:ascii="Times New Roman" w:hAnsi="Times New Roman"/>
                <w:sz w:val="24"/>
                <w:szCs w:val="24"/>
                <w:lang w:val="en-US"/>
              </w:rPr>
            </w:pPr>
            <w:r w:rsidRPr="009635B0">
              <w:rPr>
                <w:rFonts w:ascii="Times New Roman" w:hAnsi="Times New Roman"/>
                <w:color w:val="000000"/>
                <w:sz w:val="24"/>
                <w:szCs w:val="24"/>
              </w:rPr>
              <w:t>1.84 ± 0.20</w:t>
            </w:r>
          </w:p>
        </w:tc>
        <w:tc>
          <w:tcPr>
            <w:tcW w:w="593" w:type="pct"/>
            <w:vAlign w:val="center"/>
          </w:tcPr>
          <w:p w14:paraId="3FCB90EB" w14:textId="20D30984" w:rsidR="00661E16" w:rsidRPr="009635B0" w:rsidRDefault="00661E16" w:rsidP="00661E16">
            <w:pPr>
              <w:jc w:val="center"/>
              <w:rPr>
                <w:rFonts w:ascii="Times New Roman" w:hAnsi="Times New Roman"/>
                <w:sz w:val="24"/>
                <w:szCs w:val="24"/>
                <w:lang w:val="en-US"/>
              </w:rPr>
            </w:pPr>
            <w:r w:rsidRPr="009635B0">
              <w:rPr>
                <w:rFonts w:ascii="Times New Roman" w:hAnsi="Times New Roman"/>
                <w:color w:val="000000"/>
                <w:sz w:val="24"/>
                <w:szCs w:val="24"/>
              </w:rPr>
              <w:t>&lt; 0.001</w:t>
            </w:r>
          </w:p>
        </w:tc>
      </w:tr>
      <w:tr w:rsidR="00661E16" w:rsidRPr="009635B0" w14:paraId="2321114D" w14:textId="77777777" w:rsidTr="00E203DA">
        <w:trPr>
          <w:trHeight w:val="20"/>
        </w:trPr>
        <w:tc>
          <w:tcPr>
            <w:tcW w:w="2310" w:type="pct"/>
          </w:tcPr>
          <w:p w14:paraId="22E3E28C" w14:textId="713DFD8C" w:rsidR="00661E16" w:rsidRPr="009635B0" w:rsidRDefault="0000788A" w:rsidP="007C0075">
            <w:pPr>
              <w:rPr>
                <w:rFonts w:ascii="Times New Roman" w:hAnsi="Times New Roman"/>
                <w:sz w:val="24"/>
                <w:szCs w:val="24"/>
                <w:lang w:val="en-US"/>
              </w:rPr>
            </w:pPr>
            <w:r w:rsidRPr="009635B0">
              <w:rPr>
                <w:rFonts w:ascii="Times New Roman" w:hAnsi="Times New Roman"/>
                <w:sz w:val="24"/>
                <w:szCs w:val="24"/>
                <w:lang w:val="en-US"/>
              </w:rPr>
              <w:t>B</w:t>
            </w:r>
            <w:r w:rsidR="007C0075" w:rsidRPr="009635B0">
              <w:rPr>
                <w:rFonts w:ascii="Times New Roman" w:hAnsi="Times New Roman"/>
                <w:sz w:val="24"/>
                <w:szCs w:val="24"/>
                <w:lang w:val="en-US"/>
              </w:rPr>
              <w:t>ody mass index</w:t>
            </w:r>
            <w:r w:rsidR="00661E16" w:rsidRPr="009635B0">
              <w:rPr>
                <w:rFonts w:ascii="Times New Roman" w:hAnsi="Times New Roman"/>
                <w:sz w:val="24"/>
                <w:szCs w:val="24"/>
                <w:lang w:val="en-US"/>
              </w:rPr>
              <w:t>, mean ± SD, kg/m</w:t>
            </w:r>
            <w:r w:rsidR="00661E16" w:rsidRPr="009635B0">
              <w:rPr>
                <w:rFonts w:ascii="Times New Roman" w:hAnsi="Times New Roman"/>
                <w:sz w:val="24"/>
                <w:szCs w:val="24"/>
                <w:vertAlign w:val="superscript"/>
                <w:lang w:val="en-US"/>
              </w:rPr>
              <w:t>2</w:t>
            </w:r>
          </w:p>
        </w:tc>
        <w:tc>
          <w:tcPr>
            <w:tcW w:w="1079" w:type="pct"/>
            <w:vAlign w:val="center"/>
          </w:tcPr>
          <w:p w14:paraId="1B76DE84" w14:textId="77777777" w:rsidR="00661E16" w:rsidRPr="009635B0" w:rsidRDefault="00661E16" w:rsidP="00EC2E63">
            <w:pPr>
              <w:jc w:val="center"/>
              <w:rPr>
                <w:rFonts w:ascii="Times New Roman" w:hAnsi="Times New Roman"/>
                <w:sz w:val="24"/>
                <w:szCs w:val="24"/>
                <w:lang w:val="en-US"/>
              </w:rPr>
            </w:pPr>
            <w:r w:rsidRPr="009635B0">
              <w:rPr>
                <w:rFonts w:ascii="Times New Roman" w:hAnsi="Times New Roman"/>
                <w:color w:val="000000"/>
                <w:sz w:val="24"/>
                <w:szCs w:val="24"/>
              </w:rPr>
              <w:t>30 ± 5.7</w:t>
            </w:r>
          </w:p>
        </w:tc>
        <w:tc>
          <w:tcPr>
            <w:tcW w:w="1018" w:type="pct"/>
            <w:vAlign w:val="center"/>
          </w:tcPr>
          <w:p w14:paraId="3A4336A2" w14:textId="77777777" w:rsidR="00661E16" w:rsidRPr="009635B0" w:rsidRDefault="00661E16" w:rsidP="00EC2E63">
            <w:pPr>
              <w:jc w:val="center"/>
              <w:rPr>
                <w:rFonts w:ascii="Times New Roman" w:hAnsi="Times New Roman"/>
                <w:sz w:val="24"/>
                <w:szCs w:val="24"/>
                <w:lang w:val="en-US"/>
              </w:rPr>
            </w:pPr>
            <w:r w:rsidRPr="009635B0">
              <w:rPr>
                <w:rFonts w:ascii="Times New Roman" w:hAnsi="Times New Roman"/>
                <w:color w:val="000000"/>
                <w:sz w:val="24"/>
                <w:szCs w:val="24"/>
              </w:rPr>
              <w:t>26.6 ± 5.6</w:t>
            </w:r>
          </w:p>
        </w:tc>
        <w:tc>
          <w:tcPr>
            <w:tcW w:w="593" w:type="pct"/>
            <w:vAlign w:val="center"/>
          </w:tcPr>
          <w:p w14:paraId="3F93C609" w14:textId="77777777" w:rsidR="00661E16" w:rsidRPr="009635B0" w:rsidRDefault="00661E16" w:rsidP="00EC2E63">
            <w:pPr>
              <w:jc w:val="center"/>
              <w:rPr>
                <w:rFonts w:ascii="Times New Roman" w:hAnsi="Times New Roman"/>
                <w:sz w:val="24"/>
                <w:szCs w:val="24"/>
                <w:lang w:val="en-US"/>
              </w:rPr>
            </w:pPr>
            <w:r w:rsidRPr="009635B0">
              <w:rPr>
                <w:rFonts w:ascii="Times New Roman" w:hAnsi="Times New Roman"/>
                <w:color w:val="000000"/>
                <w:sz w:val="24"/>
                <w:szCs w:val="24"/>
              </w:rPr>
              <w:t>&lt; 0.001</w:t>
            </w:r>
          </w:p>
        </w:tc>
      </w:tr>
      <w:tr w:rsidR="00E203DA" w:rsidRPr="009635B0" w14:paraId="74FCC991" w14:textId="77777777" w:rsidTr="00E203DA">
        <w:trPr>
          <w:trHeight w:val="20"/>
        </w:trPr>
        <w:tc>
          <w:tcPr>
            <w:tcW w:w="2310" w:type="pct"/>
          </w:tcPr>
          <w:p w14:paraId="77CD7A36" w14:textId="77777777" w:rsidR="00E203DA" w:rsidRPr="009635B0" w:rsidRDefault="00E203DA" w:rsidP="00FB6CAA">
            <w:pPr>
              <w:rPr>
                <w:rFonts w:ascii="Times New Roman" w:hAnsi="Times New Roman"/>
                <w:lang w:val="en-US"/>
              </w:rPr>
            </w:pPr>
            <w:r w:rsidRPr="009635B0">
              <w:rPr>
                <w:rFonts w:ascii="Times New Roman" w:hAnsi="Times New Roman"/>
                <w:lang w:val="en-US"/>
              </w:rPr>
              <w:t>Obesity, n (%)</w:t>
            </w:r>
          </w:p>
        </w:tc>
        <w:tc>
          <w:tcPr>
            <w:tcW w:w="1079" w:type="pct"/>
          </w:tcPr>
          <w:p w14:paraId="20D6615B" w14:textId="77777777" w:rsidR="00E203DA" w:rsidRPr="009635B0" w:rsidRDefault="00E203DA" w:rsidP="00FB6CAA">
            <w:pPr>
              <w:jc w:val="center"/>
              <w:rPr>
                <w:rFonts w:ascii="Times New Roman" w:hAnsi="Times New Roman"/>
                <w:color w:val="000000"/>
              </w:rPr>
            </w:pPr>
            <w:r w:rsidRPr="009635B0">
              <w:rPr>
                <w:rFonts w:ascii="Times New Roman" w:hAnsi="Times New Roman"/>
                <w:sz w:val="24"/>
                <w:szCs w:val="24"/>
                <w:lang w:val="en-US"/>
              </w:rPr>
              <w:t>28 (31.5%)</w:t>
            </w:r>
          </w:p>
        </w:tc>
        <w:tc>
          <w:tcPr>
            <w:tcW w:w="1018" w:type="pct"/>
          </w:tcPr>
          <w:p w14:paraId="5B619DB9" w14:textId="77777777" w:rsidR="00E203DA" w:rsidRPr="009635B0" w:rsidRDefault="00E203DA" w:rsidP="00FB6CAA">
            <w:pPr>
              <w:jc w:val="center"/>
              <w:rPr>
                <w:rFonts w:ascii="Times New Roman" w:hAnsi="Times New Roman"/>
                <w:color w:val="000000"/>
              </w:rPr>
            </w:pPr>
            <w:r w:rsidRPr="009635B0">
              <w:rPr>
                <w:rFonts w:ascii="Times New Roman" w:hAnsi="Times New Roman"/>
                <w:sz w:val="24"/>
                <w:szCs w:val="24"/>
                <w:lang w:val="en-US"/>
              </w:rPr>
              <w:t>230 (21.3%)</w:t>
            </w:r>
          </w:p>
        </w:tc>
        <w:tc>
          <w:tcPr>
            <w:tcW w:w="593" w:type="pct"/>
            <w:vAlign w:val="center"/>
          </w:tcPr>
          <w:p w14:paraId="4AECAEDA" w14:textId="77777777" w:rsidR="00E203DA" w:rsidRPr="009635B0" w:rsidRDefault="00E203DA" w:rsidP="00FB6CAA">
            <w:pPr>
              <w:jc w:val="center"/>
              <w:rPr>
                <w:rFonts w:ascii="Times New Roman" w:hAnsi="Times New Roman"/>
                <w:color w:val="000000"/>
              </w:rPr>
            </w:pPr>
            <w:r w:rsidRPr="009635B0">
              <w:rPr>
                <w:rFonts w:ascii="Times New Roman" w:hAnsi="Times New Roman"/>
                <w:color w:val="000000"/>
                <w:sz w:val="24"/>
                <w:szCs w:val="24"/>
              </w:rPr>
              <w:t>0.03</w:t>
            </w:r>
          </w:p>
        </w:tc>
      </w:tr>
      <w:tr w:rsidR="00661E16" w:rsidRPr="009635B0" w14:paraId="77A5F178" w14:textId="77777777" w:rsidTr="00E203DA">
        <w:trPr>
          <w:trHeight w:val="20"/>
        </w:trPr>
        <w:tc>
          <w:tcPr>
            <w:tcW w:w="2310" w:type="pct"/>
          </w:tcPr>
          <w:p w14:paraId="3E550613" w14:textId="0C9B2970" w:rsidR="00661E16" w:rsidRPr="009635B0" w:rsidRDefault="0000788A" w:rsidP="00661E16">
            <w:pPr>
              <w:rPr>
                <w:rFonts w:ascii="Times New Roman" w:hAnsi="Times New Roman"/>
                <w:sz w:val="24"/>
                <w:szCs w:val="24"/>
                <w:lang w:val="en-US"/>
              </w:rPr>
            </w:pPr>
            <w:r w:rsidRPr="009635B0">
              <w:rPr>
                <w:rFonts w:ascii="Times New Roman" w:hAnsi="Times New Roman"/>
                <w:sz w:val="24"/>
                <w:szCs w:val="24"/>
                <w:lang w:val="en-US"/>
              </w:rPr>
              <w:t>NYHA</w:t>
            </w:r>
          </w:p>
        </w:tc>
        <w:tc>
          <w:tcPr>
            <w:tcW w:w="1079" w:type="pct"/>
            <w:vAlign w:val="center"/>
          </w:tcPr>
          <w:p w14:paraId="5ED6CDC8" w14:textId="023AC2AF" w:rsidR="00661E16" w:rsidRPr="009635B0" w:rsidRDefault="00661E16" w:rsidP="00661E16">
            <w:pPr>
              <w:jc w:val="center"/>
              <w:rPr>
                <w:rFonts w:ascii="Times New Roman" w:hAnsi="Times New Roman"/>
                <w:sz w:val="24"/>
                <w:szCs w:val="24"/>
                <w:lang w:val="en-US"/>
              </w:rPr>
            </w:pPr>
            <w:r w:rsidRPr="009635B0">
              <w:rPr>
                <w:rFonts w:ascii="Times New Roman" w:hAnsi="Times New Roman"/>
                <w:sz w:val="24"/>
                <w:szCs w:val="24"/>
              </w:rPr>
              <w:t> </w:t>
            </w:r>
          </w:p>
        </w:tc>
        <w:tc>
          <w:tcPr>
            <w:tcW w:w="1018" w:type="pct"/>
            <w:vAlign w:val="center"/>
          </w:tcPr>
          <w:p w14:paraId="71A16B69" w14:textId="20DDE6E4" w:rsidR="00661E16" w:rsidRPr="009635B0" w:rsidRDefault="00661E16" w:rsidP="00661E16">
            <w:pPr>
              <w:jc w:val="center"/>
              <w:rPr>
                <w:rFonts w:ascii="Times New Roman" w:hAnsi="Times New Roman"/>
                <w:sz w:val="24"/>
                <w:szCs w:val="24"/>
                <w:lang w:val="en-US"/>
              </w:rPr>
            </w:pPr>
            <w:r w:rsidRPr="009635B0">
              <w:rPr>
                <w:rFonts w:ascii="Times New Roman" w:hAnsi="Times New Roman"/>
                <w:sz w:val="24"/>
                <w:szCs w:val="24"/>
              </w:rPr>
              <w:t> </w:t>
            </w:r>
          </w:p>
        </w:tc>
        <w:tc>
          <w:tcPr>
            <w:tcW w:w="593" w:type="pct"/>
            <w:vAlign w:val="center"/>
          </w:tcPr>
          <w:p w14:paraId="7222CC02" w14:textId="2F4F3D94" w:rsidR="00661E16" w:rsidRPr="009635B0" w:rsidRDefault="00661E16" w:rsidP="00661E16">
            <w:pPr>
              <w:jc w:val="center"/>
              <w:rPr>
                <w:rFonts w:ascii="Times New Roman" w:hAnsi="Times New Roman"/>
                <w:sz w:val="24"/>
                <w:szCs w:val="24"/>
                <w:lang w:val="en-US"/>
              </w:rPr>
            </w:pPr>
            <w:r w:rsidRPr="009635B0">
              <w:rPr>
                <w:rFonts w:ascii="Times New Roman" w:hAnsi="Times New Roman"/>
                <w:color w:val="000000"/>
                <w:sz w:val="24"/>
                <w:szCs w:val="24"/>
              </w:rPr>
              <w:t>0.15</w:t>
            </w:r>
          </w:p>
        </w:tc>
      </w:tr>
      <w:tr w:rsidR="00661E16" w:rsidRPr="009635B0" w14:paraId="1809A430" w14:textId="77777777" w:rsidTr="00E203DA">
        <w:trPr>
          <w:trHeight w:val="20"/>
        </w:trPr>
        <w:tc>
          <w:tcPr>
            <w:tcW w:w="2310" w:type="pct"/>
          </w:tcPr>
          <w:p w14:paraId="342D7BE9" w14:textId="44216CAD" w:rsidR="00661E16" w:rsidRPr="009635B0" w:rsidRDefault="00661E16" w:rsidP="00661E16">
            <w:pPr>
              <w:rPr>
                <w:rFonts w:ascii="Times New Roman" w:hAnsi="Times New Roman"/>
                <w:sz w:val="24"/>
                <w:szCs w:val="24"/>
                <w:lang w:val="en-US"/>
              </w:rPr>
            </w:pPr>
            <w:r w:rsidRPr="009635B0">
              <w:rPr>
                <w:rFonts w:ascii="Times New Roman" w:hAnsi="Times New Roman"/>
                <w:sz w:val="24"/>
                <w:szCs w:val="24"/>
                <w:lang w:val="en-US"/>
              </w:rPr>
              <w:t xml:space="preserve">   I, n (%)</w:t>
            </w:r>
          </w:p>
        </w:tc>
        <w:tc>
          <w:tcPr>
            <w:tcW w:w="1079" w:type="pct"/>
            <w:vAlign w:val="center"/>
          </w:tcPr>
          <w:p w14:paraId="4FF76219" w14:textId="4DE8ECDD" w:rsidR="00661E16" w:rsidRPr="009635B0" w:rsidRDefault="00661E16" w:rsidP="00661E16">
            <w:pPr>
              <w:jc w:val="center"/>
              <w:rPr>
                <w:rFonts w:ascii="Times New Roman" w:hAnsi="Times New Roman"/>
                <w:sz w:val="24"/>
                <w:szCs w:val="24"/>
                <w:lang w:val="en-US"/>
              </w:rPr>
            </w:pPr>
            <w:r w:rsidRPr="009635B0">
              <w:rPr>
                <w:rFonts w:ascii="Times New Roman" w:hAnsi="Times New Roman"/>
                <w:color w:val="000000"/>
                <w:sz w:val="24"/>
                <w:szCs w:val="24"/>
              </w:rPr>
              <w:t>0 (0%)</w:t>
            </w:r>
          </w:p>
        </w:tc>
        <w:tc>
          <w:tcPr>
            <w:tcW w:w="1018" w:type="pct"/>
            <w:vAlign w:val="center"/>
          </w:tcPr>
          <w:p w14:paraId="607B4BB8" w14:textId="071BD9FC" w:rsidR="00661E16" w:rsidRPr="009635B0" w:rsidRDefault="00661E16" w:rsidP="00661E16">
            <w:pPr>
              <w:jc w:val="center"/>
              <w:rPr>
                <w:rFonts w:ascii="Times New Roman" w:hAnsi="Times New Roman"/>
                <w:sz w:val="24"/>
                <w:szCs w:val="24"/>
                <w:lang w:val="en-US"/>
              </w:rPr>
            </w:pPr>
            <w:r w:rsidRPr="009635B0">
              <w:rPr>
                <w:rFonts w:ascii="Times New Roman" w:hAnsi="Times New Roman"/>
                <w:color w:val="000000"/>
                <w:sz w:val="24"/>
                <w:szCs w:val="24"/>
              </w:rPr>
              <w:t>9 (0.9%)</w:t>
            </w:r>
          </w:p>
        </w:tc>
        <w:tc>
          <w:tcPr>
            <w:tcW w:w="593" w:type="pct"/>
            <w:vAlign w:val="center"/>
          </w:tcPr>
          <w:p w14:paraId="3A46ADFB" w14:textId="528658E9" w:rsidR="00661E16" w:rsidRPr="009635B0" w:rsidRDefault="00661E16" w:rsidP="00661E16">
            <w:pPr>
              <w:jc w:val="center"/>
              <w:rPr>
                <w:rFonts w:ascii="Times New Roman" w:hAnsi="Times New Roman"/>
                <w:sz w:val="24"/>
                <w:szCs w:val="24"/>
                <w:lang w:val="en-US"/>
              </w:rPr>
            </w:pPr>
            <w:r w:rsidRPr="009635B0">
              <w:rPr>
                <w:rFonts w:ascii="Times New Roman" w:hAnsi="Times New Roman"/>
                <w:sz w:val="24"/>
                <w:szCs w:val="24"/>
              </w:rPr>
              <w:t> </w:t>
            </w:r>
          </w:p>
        </w:tc>
      </w:tr>
      <w:tr w:rsidR="00661E16" w:rsidRPr="009635B0" w14:paraId="328BFEAF" w14:textId="77777777" w:rsidTr="00E203DA">
        <w:trPr>
          <w:trHeight w:val="20"/>
        </w:trPr>
        <w:tc>
          <w:tcPr>
            <w:tcW w:w="2310" w:type="pct"/>
          </w:tcPr>
          <w:p w14:paraId="44EC73D1" w14:textId="06A54E90" w:rsidR="00661E16" w:rsidRPr="009635B0" w:rsidRDefault="00661E16" w:rsidP="00661E16">
            <w:pPr>
              <w:rPr>
                <w:rFonts w:ascii="Times New Roman" w:hAnsi="Times New Roman"/>
                <w:sz w:val="24"/>
                <w:szCs w:val="24"/>
                <w:lang w:val="en-US"/>
              </w:rPr>
            </w:pPr>
            <w:r w:rsidRPr="009635B0">
              <w:rPr>
                <w:rFonts w:ascii="Times New Roman" w:hAnsi="Times New Roman"/>
                <w:sz w:val="24"/>
                <w:szCs w:val="24"/>
                <w:lang w:val="en-US"/>
              </w:rPr>
              <w:t xml:space="preserve">   II, n (%) </w:t>
            </w:r>
          </w:p>
        </w:tc>
        <w:tc>
          <w:tcPr>
            <w:tcW w:w="1079" w:type="pct"/>
            <w:vAlign w:val="center"/>
          </w:tcPr>
          <w:p w14:paraId="3E240379" w14:textId="352FD0C8" w:rsidR="00661E16" w:rsidRPr="009635B0" w:rsidRDefault="00661E16" w:rsidP="00661E16">
            <w:pPr>
              <w:jc w:val="center"/>
              <w:rPr>
                <w:rFonts w:ascii="Times New Roman" w:hAnsi="Times New Roman"/>
                <w:sz w:val="24"/>
                <w:szCs w:val="24"/>
                <w:lang w:val="en-US"/>
              </w:rPr>
            </w:pPr>
            <w:r w:rsidRPr="009635B0">
              <w:rPr>
                <w:rFonts w:ascii="Times New Roman" w:hAnsi="Times New Roman"/>
                <w:color w:val="000000"/>
                <w:sz w:val="24"/>
                <w:szCs w:val="24"/>
              </w:rPr>
              <w:t>5 (5.8%)</w:t>
            </w:r>
          </w:p>
        </w:tc>
        <w:tc>
          <w:tcPr>
            <w:tcW w:w="1018" w:type="pct"/>
            <w:vAlign w:val="center"/>
          </w:tcPr>
          <w:p w14:paraId="06A61E0A" w14:textId="105F7D11" w:rsidR="00661E16" w:rsidRPr="009635B0" w:rsidRDefault="00661E16" w:rsidP="00661E16">
            <w:pPr>
              <w:jc w:val="center"/>
              <w:rPr>
                <w:rFonts w:ascii="Times New Roman" w:hAnsi="Times New Roman"/>
                <w:sz w:val="24"/>
                <w:szCs w:val="24"/>
                <w:lang w:val="en-US"/>
              </w:rPr>
            </w:pPr>
            <w:r w:rsidRPr="009635B0">
              <w:rPr>
                <w:rFonts w:ascii="Times New Roman" w:hAnsi="Times New Roman"/>
                <w:color w:val="000000"/>
                <w:sz w:val="24"/>
                <w:szCs w:val="24"/>
              </w:rPr>
              <w:t>106 (10.1%)</w:t>
            </w:r>
          </w:p>
        </w:tc>
        <w:tc>
          <w:tcPr>
            <w:tcW w:w="593" w:type="pct"/>
            <w:vAlign w:val="center"/>
          </w:tcPr>
          <w:p w14:paraId="498FF6A5" w14:textId="3A4DB278" w:rsidR="00661E16" w:rsidRPr="009635B0" w:rsidRDefault="00661E16" w:rsidP="00661E16">
            <w:pPr>
              <w:jc w:val="center"/>
              <w:rPr>
                <w:rFonts w:ascii="Times New Roman" w:hAnsi="Times New Roman"/>
                <w:sz w:val="24"/>
                <w:szCs w:val="24"/>
                <w:lang w:val="en-US"/>
              </w:rPr>
            </w:pPr>
            <w:r w:rsidRPr="009635B0">
              <w:rPr>
                <w:rFonts w:ascii="Times New Roman" w:hAnsi="Times New Roman"/>
                <w:sz w:val="24"/>
                <w:szCs w:val="24"/>
              </w:rPr>
              <w:t> </w:t>
            </w:r>
          </w:p>
        </w:tc>
      </w:tr>
      <w:tr w:rsidR="00661E16" w:rsidRPr="009635B0" w14:paraId="13521873" w14:textId="77777777" w:rsidTr="00E203DA">
        <w:trPr>
          <w:trHeight w:val="20"/>
        </w:trPr>
        <w:tc>
          <w:tcPr>
            <w:tcW w:w="2310" w:type="pct"/>
          </w:tcPr>
          <w:p w14:paraId="3FB63C44" w14:textId="0138A3AE" w:rsidR="00661E16" w:rsidRPr="009635B0" w:rsidRDefault="00661E16" w:rsidP="00661E16">
            <w:pPr>
              <w:rPr>
                <w:rFonts w:ascii="Times New Roman" w:hAnsi="Times New Roman"/>
                <w:sz w:val="24"/>
                <w:szCs w:val="24"/>
                <w:lang w:val="en-US"/>
              </w:rPr>
            </w:pPr>
            <w:r w:rsidRPr="009635B0">
              <w:rPr>
                <w:rFonts w:ascii="Times New Roman" w:hAnsi="Times New Roman"/>
                <w:sz w:val="24"/>
                <w:szCs w:val="24"/>
                <w:lang w:val="en-US"/>
              </w:rPr>
              <w:t xml:space="preserve">   III, n (%) </w:t>
            </w:r>
          </w:p>
        </w:tc>
        <w:tc>
          <w:tcPr>
            <w:tcW w:w="1079" w:type="pct"/>
            <w:vAlign w:val="center"/>
          </w:tcPr>
          <w:p w14:paraId="4D32DB7D" w14:textId="77F272AB" w:rsidR="00661E16" w:rsidRPr="009635B0" w:rsidRDefault="00661E16" w:rsidP="00661E16">
            <w:pPr>
              <w:jc w:val="center"/>
              <w:rPr>
                <w:rFonts w:ascii="Times New Roman" w:hAnsi="Times New Roman"/>
                <w:sz w:val="24"/>
                <w:szCs w:val="24"/>
                <w:lang w:val="en-US"/>
              </w:rPr>
            </w:pPr>
            <w:r w:rsidRPr="009635B0">
              <w:rPr>
                <w:rFonts w:ascii="Times New Roman" w:hAnsi="Times New Roman"/>
                <w:color w:val="000000"/>
                <w:sz w:val="24"/>
                <w:szCs w:val="24"/>
              </w:rPr>
              <w:t>51 (59.3%)</w:t>
            </w:r>
          </w:p>
        </w:tc>
        <w:tc>
          <w:tcPr>
            <w:tcW w:w="1018" w:type="pct"/>
            <w:vAlign w:val="center"/>
          </w:tcPr>
          <w:p w14:paraId="331B1BA2" w14:textId="6D446573" w:rsidR="00661E16" w:rsidRPr="009635B0" w:rsidRDefault="00661E16" w:rsidP="00661E16">
            <w:pPr>
              <w:jc w:val="center"/>
              <w:rPr>
                <w:rFonts w:ascii="Times New Roman" w:hAnsi="Times New Roman"/>
                <w:sz w:val="24"/>
                <w:szCs w:val="24"/>
                <w:lang w:val="en-US"/>
              </w:rPr>
            </w:pPr>
            <w:r w:rsidRPr="009635B0">
              <w:rPr>
                <w:rFonts w:ascii="Times New Roman" w:hAnsi="Times New Roman"/>
                <w:color w:val="000000"/>
                <w:sz w:val="24"/>
                <w:szCs w:val="24"/>
              </w:rPr>
              <w:t>674 (63.9%)</w:t>
            </w:r>
          </w:p>
        </w:tc>
        <w:tc>
          <w:tcPr>
            <w:tcW w:w="593" w:type="pct"/>
            <w:vAlign w:val="center"/>
          </w:tcPr>
          <w:p w14:paraId="4205B1B3" w14:textId="73F4D839" w:rsidR="00661E16" w:rsidRPr="009635B0" w:rsidRDefault="00661E16" w:rsidP="00661E16">
            <w:pPr>
              <w:jc w:val="center"/>
              <w:rPr>
                <w:rFonts w:ascii="Times New Roman" w:hAnsi="Times New Roman"/>
                <w:sz w:val="24"/>
                <w:szCs w:val="24"/>
                <w:lang w:val="en-US"/>
              </w:rPr>
            </w:pPr>
            <w:r w:rsidRPr="009635B0">
              <w:rPr>
                <w:rFonts w:ascii="Times New Roman" w:hAnsi="Times New Roman"/>
                <w:sz w:val="24"/>
                <w:szCs w:val="24"/>
              </w:rPr>
              <w:t> </w:t>
            </w:r>
          </w:p>
        </w:tc>
      </w:tr>
      <w:tr w:rsidR="00661E16" w:rsidRPr="009635B0" w14:paraId="64539A22" w14:textId="77777777" w:rsidTr="00E203DA">
        <w:trPr>
          <w:trHeight w:val="20"/>
        </w:trPr>
        <w:tc>
          <w:tcPr>
            <w:tcW w:w="2310" w:type="pct"/>
          </w:tcPr>
          <w:p w14:paraId="4F809FAF" w14:textId="1C6A5ADF" w:rsidR="00661E16" w:rsidRPr="009635B0" w:rsidRDefault="00661E16" w:rsidP="00661E16">
            <w:pPr>
              <w:rPr>
                <w:rFonts w:ascii="Times New Roman" w:hAnsi="Times New Roman"/>
                <w:sz w:val="24"/>
                <w:szCs w:val="24"/>
                <w:lang w:val="en-US"/>
              </w:rPr>
            </w:pPr>
            <w:r w:rsidRPr="009635B0">
              <w:rPr>
                <w:rFonts w:ascii="Times New Roman" w:hAnsi="Times New Roman"/>
                <w:sz w:val="24"/>
                <w:szCs w:val="24"/>
                <w:lang w:val="en-US"/>
              </w:rPr>
              <w:t xml:space="preserve">   IV, n (%) </w:t>
            </w:r>
          </w:p>
        </w:tc>
        <w:tc>
          <w:tcPr>
            <w:tcW w:w="1079" w:type="pct"/>
            <w:vAlign w:val="center"/>
          </w:tcPr>
          <w:p w14:paraId="147AE75A" w14:textId="1832190E" w:rsidR="00661E16" w:rsidRPr="009635B0" w:rsidRDefault="00661E16" w:rsidP="00661E16">
            <w:pPr>
              <w:jc w:val="center"/>
              <w:rPr>
                <w:rFonts w:ascii="Times New Roman" w:hAnsi="Times New Roman"/>
                <w:sz w:val="24"/>
                <w:szCs w:val="24"/>
                <w:lang w:val="en-US"/>
              </w:rPr>
            </w:pPr>
            <w:r w:rsidRPr="009635B0">
              <w:rPr>
                <w:rFonts w:ascii="Times New Roman" w:hAnsi="Times New Roman"/>
                <w:color w:val="000000"/>
                <w:sz w:val="24"/>
                <w:szCs w:val="24"/>
              </w:rPr>
              <w:t>30 (34.9%)</w:t>
            </w:r>
          </w:p>
        </w:tc>
        <w:tc>
          <w:tcPr>
            <w:tcW w:w="1018" w:type="pct"/>
            <w:vAlign w:val="center"/>
          </w:tcPr>
          <w:p w14:paraId="4A0A14F4" w14:textId="4458C5B3" w:rsidR="00661E16" w:rsidRPr="009635B0" w:rsidRDefault="00661E16" w:rsidP="00661E16">
            <w:pPr>
              <w:jc w:val="center"/>
              <w:rPr>
                <w:rFonts w:ascii="Times New Roman" w:hAnsi="Times New Roman"/>
                <w:sz w:val="24"/>
                <w:szCs w:val="24"/>
                <w:lang w:val="en-US"/>
              </w:rPr>
            </w:pPr>
            <w:r w:rsidRPr="009635B0">
              <w:rPr>
                <w:rFonts w:ascii="Times New Roman" w:hAnsi="Times New Roman"/>
                <w:color w:val="000000"/>
                <w:sz w:val="24"/>
                <w:szCs w:val="24"/>
              </w:rPr>
              <w:t>265 (25.1%)</w:t>
            </w:r>
          </w:p>
        </w:tc>
        <w:tc>
          <w:tcPr>
            <w:tcW w:w="593" w:type="pct"/>
            <w:vAlign w:val="center"/>
          </w:tcPr>
          <w:p w14:paraId="4ED3097F" w14:textId="1CA5473C" w:rsidR="00661E16" w:rsidRPr="009635B0" w:rsidRDefault="00661E16" w:rsidP="00661E16">
            <w:pPr>
              <w:jc w:val="center"/>
              <w:rPr>
                <w:rFonts w:ascii="Times New Roman" w:hAnsi="Times New Roman"/>
                <w:sz w:val="24"/>
                <w:szCs w:val="24"/>
                <w:lang w:val="en-US"/>
              </w:rPr>
            </w:pPr>
            <w:r w:rsidRPr="009635B0">
              <w:rPr>
                <w:rFonts w:ascii="Times New Roman" w:hAnsi="Times New Roman"/>
                <w:sz w:val="24"/>
                <w:szCs w:val="24"/>
              </w:rPr>
              <w:t> </w:t>
            </w:r>
          </w:p>
        </w:tc>
      </w:tr>
      <w:tr w:rsidR="00C636E8" w:rsidRPr="009635B0" w14:paraId="4A4D8A31" w14:textId="77777777" w:rsidTr="00E203DA">
        <w:trPr>
          <w:trHeight w:val="20"/>
        </w:trPr>
        <w:tc>
          <w:tcPr>
            <w:tcW w:w="2310" w:type="pct"/>
          </w:tcPr>
          <w:p w14:paraId="612AC66A" w14:textId="0B45589D" w:rsidR="00C636E8" w:rsidRPr="009635B0" w:rsidRDefault="00C636E8" w:rsidP="00C636E8">
            <w:pPr>
              <w:rPr>
                <w:rFonts w:ascii="Times New Roman" w:hAnsi="Times New Roman"/>
                <w:sz w:val="24"/>
                <w:szCs w:val="24"/>
                <w:lang w:val="en-US"/>
              </w:rPr>
            </w:pPr>
            <w:r w:rsidRPr="009635B0">
              <w:rPr>
                <w:rFonts w:ascii="Times New Roman" w:hAnsi="Times New Roman"/>
                <w:sz w:val="24"/>
                <w:szCs w:val="24"/>
                <w:lang w:val="en-US"/>
              </w:rPr>
              <w:t>STS Score, median (IQR), %</w:t>
            </w:r>
          </w:p>
        </w:tc>
        <w:tc>
          <w:tcPr>
            <w:tcW w:w="1079" w:type="pct"/>
          </w:tcPr>
          <w:p w14:paraId="410ABF2D" w14:textId="23012B7C" w:rsidR="00C636E8" w:rsidRPr="009635B0" w:rsidRDefault="00C636E8" w:rsidP="00C636E8">
            <w:pPr>
              <w:jc w:val="center"/>
              <w:rPr>
                <w:rFonts w:ascii="Times New Roman" w:hAnsi="Times New Roman"/>
                <w:sz w:val="24"/>
                <w:szCs w:val="24"/>
                <w:lang w:val="en-US"/>
              </w:rPr>
            </w:pPr>
            <w:r w:rsidRPr="009635B0">
              <w:rPr>
                <w:rFonts w:ascii="Times New Roman" w:hAnsi="Times New Roman"/>
                <w:sz w:val="24"/>
                <w:szCs w:val="24"/>
                <w:lang w:val="en-US"/>
              </w:rPr>
              <w:t>9.9 (5-16.1)</w:t>
            </w:r>
          </w:p>
        </w:tc>
        <w:tc>
          <w:tcPr>
            <w:tcW w:w="1018" w:type="pct"/>
          </w:tcPr>
          <w:p w14:paraId="5455060D" w14:textId="0902C3E8" w:rsidR="00C636E8" w:rsidRPr="009635B0" w:rsidRDefault="00C636E8" w:rsidP="00C636E8">
            <w:pPr>
              <w:jc w:val="center"/>
              <w:rPr>
                <w:rFonts w:ascii="Times New Roman" w:hAnsi="Times New Roman"/>
                <w:sz w:val="24"/>
                <w:szCs w:val="24"/>
                <w:lang w:val="en-US"/>
              </w:rPr>
            </w:pPr>
            <w:r w:rsidRPr="009635B0">
              <w:rPr>
                <w:rFonts w:ascii="Times New Roman" w:hAnsi="Times New Roman"/>
                <w:sz w:val="24"/>
                <w:szCs w:val="24"/>
                <w:lang w:val="en-US"/>
              </w:rPr>
              <w:t>7.3 (4.6-11.5)</w:t>
            </w:r>
          </w:p>
        </w:tc>
        <w:tc>
          <w:tcPr>
            <w:tcW w:w="593" w:type="pct"/>
          </w:tcPr>
          <w:p w14:paraId="18B22FB6" w14:textId="4A598F41" w:rsidR="00C636E8" w:rsidRPr="009635B0" w:rsidRDefault="00C636E8" w:rsidP="00C636E8">
            <w:pPr>
              <w:jc w:val="center"/>
              <w:rPr>
                <w:rFonts w:ascii="Times New Roman" w:hAnsi="Times New Roman"/>
                <w:sz w:val="24"/>
                <w:szCs w:val="24"/>
                <w:lang w:val="en-US"/>
              </w:rPr>
            </w:pPr>
            <w:r w:rsidRPr="009635B0">
              <w:rPr>
                <w:rFonts w:ascii="Times New Roman" w:hAnsi="Times New Roman"/>
                <w:sz w:val="24"/>
                <w:szCs w:val="24"/>
                <w:lang w:val="en-US"/>
              </w:rPr>
              <w:t>0.002</w:t>
            </w:r>
          </w:p>
        </w:tc>
      </w:tr>
      <w:tr w:rsidR="0000788A" w:rsidRPr="009635B0" w14:paraId="4908DAA2" w14:textId="77777777" w:rsidTr="00E203DA">
        <w:trPr>
          <w:trHeight w:val="20"/>
        </w:trPr>
        <w:tc>
          <w:tcPr>
            <w:tcW w:w="2310" w:type="pct"/>
          </w:tcPr>
          <w:p w14:paraId="1BBB6660" w14:textId="18523A60" w:rsidR="0000788A" w:rsidRPr="009635B0" w:rsidRDefault="0000788A" w:rsidP="0000788A">
            <w:pPr>
              <w:rPr>
                <w:rFonts w:ascii="Times New Roman" w:hAnsi="Times New Roman"/>
                <w:sz w:val="24"/>
                <w:szCs w:val="24"/>
                <w:lang w:val="en-US"/>
              </w:rPr>
            </w:pPr>
            <w:r w:rsidRPr="009635B0">
              <w:rPr>
                <w:rFonts w:ascii="Times New Roman" w:hAnsi="Times New Roman"/>
                <w:sz w:val="24"/>
                <w:szCs w:val="24"/>
                <w:lang w:val="en-US"/>
              </w:rPr>
              <w:t xml:space="preserve">Diabetes mellitus, n (%) </w:t>
            </w:r>
          </w:p>
        </w:tc>
        <w:tc>
          <w:tcPr>
            <w:tcW w:w="1079" w:type="pct"/>
            <w:vAlign w:val="center"/>
          </w:tcPr>
          <w:p w14:paraId="7F532BEA" w14:textId="3A7DFB60" w:rsidR="0000788A" w:rsidRPr="009635B0" w:rsidRDefault="0000788A" w:rsidP="0000788A">
            <w:pPr>
              <w:jc w:val="center"/>
              <w:rPr>
                <w:rFonts w:ascii="Times New Roman" w:hAnsi="Times New Roman"/>
                <w:sz w:val="24"/>
                <w:szCs w:val="24"/>
                <w:lang w:val="en-US"/>
              </w:rPr>
            </w:pPr>
            <w:r w:rsidRPr="009635B0">
              <w:rPr>
                <w:rFonts w:ascii="Times New Roman" w:hAnsi="Times New Roman"/>
                <w:color w:val="000000"/>
                <w:sz w:val="24"/>
                <w:szCs w:val="24"/>
              </w:rPr>
              <w:t>38 (42.7%)</w:t>
            </w:r>
          </w:p>
        </w:tc>
        <w:tc>
          <w:tcPr>
            <w:tcW w:w="1018" w:type="pct"/>
            <w:vAlign w:val="center"/>
          </w:tcPr>
          <w:p w14:paraId="34C8B54E" w14:textId="303FDEE8" w:rsidR="0000788A" w:rsidRPr="009635B0" w:rsidRDefault="0000788A" w:rsidP="0000788A">
            <w:pPr>
              <w:jc w:val="center"/>
              <w:rPr>
                <w:rFonts w:ascii="Times New Roman" w:hAnsi="Times New Roman"/>
                <w:sz w:val="24"/>
                <w:szCs w:val="24"/>
                <w:lang w:val="en-US"/>
              </w:rPr>
            </w:pPr>
            <w:r w:rsidRPr="009635B0">
              <w:rPr>
                <w:rFonts w:ascii="Times New Roman" w:hAnsi="Times New Roman"/>
                <w:color w:val="000000"/>
                <w:sz w:val="24"/>
                <w:szCs w:val="24"/>
              </w:rPr>
              <w:t>267 (24.8%)</w:t>
            </w:r>
          </w:p>
        </w:tc>
        <w:tc>
          <w:tcPr>
            <w:tcW w:w="593" w:type="pct"/>
            <w:vAlign w:val="center"/>
          </w:tcPr>
          <w:p w14:paraId="427FC5B5" w14:textId="38028941" w:rsidR="0000788A" w:rsidRPr="009635B0" w:rsidRDefault="0000788A" w:rsidP="0000788A">
            <w:pPr>
              <w:jc w:val="center"/>
              <w:rPr>
                <w:rFonts w:ascii="Times New Roman" w:hAnsi="Times New Roman"/>
                <w:sz w:val="24"/>
                <w:szCs w:val="24"/>
                <w:lang w:val="en-US"/>
              </w:rPr>
            </w:pPr>
            <w:r w:rsidRPr="009635B0">
              <w:rPr>
                <w:rFonts w:ascii="Times New Roman" w:hAnsi="Times New Roman"/>
                <w:color w:val="000000"/>
                <w:sz w:val="24"/>
                <w:szCs w:val="24"/>
              </w:rPr>
              <w:t>&lt; 0.001</w:t>
            </w:r>
          </w:p>
        </w:tc>
      </w:tr>
      <w:tr w:rsidR="0000788A" w:rsidRPr="009635B0" w14:paraId="71B4B0BD" w14:textId="77777777" w:rsidTr="00E203DA">
        <w:trPr>
          <w:trHeight w:val="20"/>
        </w:trPr>
        <w:tc>
          <w:tcPr>
            <w:tcW w:w="2310" w:type="pct"/>
          </w:tcPr>
          <w:p w14:paraId="73B84799" w14:textId="61B5D45C" w:rsidR="0000788A" w:rsidRPr="009635B0" w:rsidRDefault="0000788A" w:rsidP="0000788A">
            <w:pPr>
              <w:rPr>
                <w:rFonts w:ascii="Times New Roman" w:hAnsi="Times New Roman"/>
                <w:sz w:val="24"/>
                <w:szCs w:val="24"/>
                <w:lang w:val="en-US"/>
              </w:rPr>
            </w:pPr>
            <w:r w:rsidRPr="009635B0">
              <w:rPr>
                <w:rFonts w:ascii="Times New Roman" w:hAnsi="Times New Roman"/>
                <w:sz w:val="24"/>
                <w:szCs w:val="24"/>
                <w:lang w:val="en-US"/>
              </w:rPr>
              <w:t>Peripheral vascular disease, n (%)</w:t>
            </w:r>
          </w:p>
        </w:tc>
        <w:tc>
          <w:tcPr>
            <w:tcW w:w="1079" w:type="pct"/>
            <w:vAlign w:val="center"/>
          </w:tcPr>
          <w:p w14:paraId="7F9FB51C" w14:textId="523643A4" w:rsidR="0000788A" w:rsidRPr="009635B0" w:rsidRDefault="0000788A" w:rsidP="0000788A">
            <w:pPr>
              <w:jc w:val="center"/>
              <w:rPr>
                <w:rFonts w:ascii="Times New Roman" w:hAnsi="Times New Roman"/>
                <w:sz w:val="24"/>
                <w:szCs w:val="24"/>
                <w:lang w:val="en-US"/>
              </w:rPr>
            </w:pPr>
            <w:r w:rsidRPr="009635B0">
              <w:rPr>
                <w:rFonts w:ascii="Times New Roman" w:hAnsi="Times New Roman"/>
                <w:color w:val="000000"/>
                <w:sz w:val="24"/>
                <w:szCs w:val="24"/>
              </w:rPr>
              <w:t>16 (18.4%)</w:t>
            </w:r>
          </w:p>
        </w:tc>
        <w:tc>
          <w:tcPr>
            <w:tcW w:w="1018" w:type="pct"/>
            <w:vAlign w:val="center"/>
          </w:tcPr>
          <w:p w14:paraId="2CF3EF2E" w14:textId="210BB67E" w:rsidR="0000788A" w:rsidRPr="009635B0" w:rsidRDefault="0000788A" w:rsidP="0000788A">
            <w:pPr>
              <w:jc w:val="center"/>
              <w:rPr>
                <w:rFonts w:ascii="Times New Roman" w:hAnsi="Times New Roman"/>
                <w:sz w:val="24"/>
                <w:szCs w:val="24"/>
                <w:lang w:val="en-US"/>
              </w:rPr>
            </w:pPr>
            <w:r w:rsidRPr="009635B0">
              <w:rPr>
                <w:rFonts w:ascii="Times New Roman" w:hAnsi="Times New Roman"/>
                <w:color w:val="000000"/>
                <w:sz w:val="24"/>
                <w:szCs w:val="24"/>
              </w:rPr>
              <w:t>232 (21.7%)</w:t>
            </w:r>
          </w:p>
        </w:tc>
        <w:tc>
          <w:tcPr>
            <w:tcW w:w="593" w:type="pct"/>
            <w:vAlign w:val="center"/>
          </w:tcPr>
          <w:p w14:paraId="1148393F" w14:textId="0748EF69" w:rsidR="0000788A" w:rsidRPr="009635B0" w:rsidRDefault="0000788A" w:rsidP="0000788A">
            <w:pPr>
              <w:jc w:val="center"/>
              <w:rPr>
                <w:rFonts w:ascii="Times New Roman" w:hAnsi="Times New Roman"/>
                <w:sz w:val="24"/>
                <w:szCs w:val="24"/>
                <w:lang w:val="en-US"/>
              </w:rPr>
            </w:pPr>
            <w:r w:rsidRPr="009635B0">
              <w:rPr>
                <w:rFonts w:ascii="Times New Roman" w:hAnsi="Times New Roman"/>
                <w:color w:val="000000"/>
                <w:sz w:val="24"/>
                <w:szCs w:val="24"/>
              </w:rPr>
              <w:t>0.47</w:t>
            </w:r>
          </w:p>
        </w:tc>
      </w:tr>
      <w:tr w:rsidR="0000788A" w:rsidRPr="009635B0" w14:paraId="4BC88353" w14:textId="77777777" w:rsidTr="00E203DA">
        <w:trPr>
          <w:trHeight w:val="20"/>
        </w:trPr>
        <w:tc>
          <w:tcPr>
            <w:tcW w:w="2310" w:type="pct"/>
          </w:tcPr>
          <w:p w14:paraId="3BED3C0B" w14:textId="7E65246C" w:rsidR="0000788A" w:rsidRPr="009635B0" w:rsidRDefault="0000788A" w:rsidP="0000788A">
            <w:pPr>
              <w:rPr>
                <w:rFonts w:ascii="Times New Roman" w:hAnsi="Times New Roman"/>
                <w:sz w:val="24"/>
                <w:szCs w:val="24"/>
                <w:lang w:val="en-US"/>
              </w:rPr>
            </w:pPr>
            <w:r w:rsidRPr="009635B0">
              <w:rPr>
                <w:rFonts w:ascii="Times New Roman" w:hAnsi="Times New Roman"/>
                <w:sz w:val="24"/>
                <w:szCs w:val="24"/>
                <w:lang w:val="en-US"/>
              </w:rPr>
              <w:t xml:space="preserve">Renal failure, n (%) </w:t>
            </w:r>
          </w:p>
        </w:tc>
        <w:tc>
          <w:tcPr>
            <w:tcW w:w="1079" w:type="pct"/>
            <w:vAlign w:val="center"/>
          </w:tcPr>
          <w:p w14:paraId="172555BA" w14:textId="58D779C2" w:rsidR="0000788A" w:rsidRPr="009635B0" w:rsidRDefault="0000788A" w:rsidP="0000788A">
            <w:pPr>
              <w:jc w:val="center"/>
              <w:rPr>
                <w:rFonts w:ascii="Times New Roman" w:hAnsi="Times New Roman"/>
                <w:sz w:val="24"/>
                <w:szCs w:val="24"/>
                <w:lang w:val="en-US"/>
              </w:rPr>
            </w:pPr>
            <w:r w:rsidRPr="009635B0">
              <w:rPr>
                <w:rFonts w:ascii="Times New Roman" w:hAnsi="Times New Roman"/>
                <w:color w:val="000000"/>
                <w:sz w:val="24"/>
                <w:szCs w:val="24"/>
              </w:rPr>
              <w:t>53 (60.2%)</w:t>
            </w:r>
          </w:p>
        </w:tc>
        <w:tc>
          <w:tcPr>
            <w:tcW w:w="1018" w:type="pct"/>
            <w:vAlign w:val="center"/>
          </w:tcPr>
          <w:p w14:paraId="0E569159" w14:textId="4F37CE17" w:rsidR="0000788A" w:rsidRPr="009635B0" w:rsidRDefault="0000788A" w:rsidP="0000788A">
            <w:pPr>
              <w:jc w:val="center"/>
              <w:rPr>
                <w:rFonts w:ascii="Times New Roman" w:hAnsi="Times New Roman"/>
                <w:sz w:val="24"/>
                <w:szCs w:val="24"/>
                <w:lang w:val="en-US"/>
              </w:rPr>
            </w:pPr>
            <w:r w:rsidRPr="009635B0">
              <w:rPr>
                <w:rFonts w:ascii="Times New Roman" w:hAnsi="Times New Roman"/>
                <w:color w:val="000000"/>
                <w:sz w:val="24"/>
                <w:szCs w:val="24"/>
              </w:rPr>
              <w:t>528 (49.3%)</w:t>
            </w:r>
          </w:p>
        </w:tc>
        <w:tc>
          <w:tcPr>
            <w:tcW w:w="593" w:type="pct"/>
            <w:vAlign w:val="center"/>
          </w:tcPr>
          <w:p w14:paraId="29E2418C" w14:textId="7137A077" w:rsidR="0000788A" w:rsidRPr="009635B0" w:rsidRDefault="0000788A" w:rsidP="0000788A">
            <w:pPr>
              <w:jc w:val="center"/>
              <w:rPr>
                <w:rFonts w:ascii="Times New Roman" w:hAnsi="Times New Roman"/>
                <w:sz w:val="24"/>
                <w:szCs w:val="24"/>
                <w:lang w:val="en-US"/>
              </w:rPr>
            </w:pPr>
            <w:r w:rsidRPr="009635B0">
              <w:rPr>
                <w:rFonts w:ascii="Times New Roman" w:hAnsi="Times New Roman"/>
                <w:color w:val="000000"/>
                <w:sz w:val="24"/>
                <w:szCs w:val="24"/>
              </w:rPr>
              <w:t>0.049</w:t>
            </w:r>
          </w:p>
        </w:tc>
      </w:tr>
      <w:tr w:rsidR="0000788A" w:rsidRPr="009635B0" w14:paraId="00DB4E32" w14:textId="77777777" w:rsidTr="00E203DA">
        <w:trPr>
          <w:trHeight w:val="20"/>
        </w:trPr>
        <w:tc>
          <w:tcPr>
            <w:tcW w:w="2310" w:type="pct"/>
          </w:tcPr>
          <w:p w14:paraId="6662DAEC" w14:textId="17A0AC22" w:rsidR="0000788A" w:rsidRPr="009635B0" w:rsidRDefault="0000788A" w:rsidP="0000788A">
            <w:pPr>
              <w:rPr>
                <w:rFonts w:ascii="Times New Roman" w:hAnsi="Times New Roman"/>
                <w:sz w:val="24"/>
                <w:szCs w:val="24"/>
                <w:lang w:val="en-US"/>
              </w:rPr>
            </w:pPr>
            <w:r w:rsidRPr="009635B0">
              <w:rPr>
                <w:rFonts w:ascii="Times New Roman" w:hAnsi="Times New Roman"/>
                <w:sz w:val="24"/>
                <w:szCs w:val="24"/>
                <w:lang w:val="en-US"/>
              </w:rPr>
              <w:t xml:space="preserve">Prior cerebrovascular event, n (%) </w:t>
            </w:r>
          </w:p>
        </w:tc>
        <w:tc>
          <w:tcPr>
            <w:tcW w:w="1079" w:type="pct"/>
            <w:vAlign w:val="center"/>
          </w:tcPr>
          <w:p w14:paraId="79756C6B" w14:textId="1F63E9BC" w:rsidR="0000788A" w:rsidRPr="009635B0" w:rsidRDefault="0000788A" w:rsidP="0000788A">
            <w:pPr>
              <w:jc w:val="center"/>
              <w:rPr>
                <w:rFonts w:ascii="Times New Roman" w:hAnsi="Times New Roman"/>
                <w:sz w:val="24"/>
                <w:szCs w:val="24"/>
                <w:lang w:val="en-US"/>
              </w:rPr>
            </w:pPr>
            <w:r w:rsidRPr="009635B0">
              <w:rPr>
                <w:rFonts w:ascii="Times New Roman" w:hAnsi="Times New Roman"/>
                <w:color w:val="000000"/>
                <w:sz w:val="24"/>
                <w:szCs w:val="24"/>
              </w:rPr>
              <w:t>19 (21.3%)</w:t>
            </w:r>
          </w:p>
        </w:tc>
        <w:tc>
          <w:tcPr>
            <w:tcW w:w="1018" w:type="pct"/>
            <w:vAlign w:val="center"/>
          </w:tcPr>
          <w:p w14:paraId="28CD3929" w14:textId="4A8E865A" w:rsidR="0000788A" w:rsidRPr="009635B0" w:rsidRDefault="0000788A" w:rsidP="0000788A">
            <w:pPr>
              <w:jc w:val="center"/>
              <w:rPr>
                <w:rFonts w:ascii="Times New Roman" w:hAnsi="Times New Roman"/>
                <w:sz w:val="24"/>
                <w:szCs w:val="24"/>
                <w:lang w:val="en-US"/>
              </w:rPr>
            </w:pPr>
            <w:r w:rsidRPr="009635B0">
              <w:rPr>
                <w:rFonts w:ascii="Times New Roman" w:hAnsi="Times New Roman"/>
                <w:color w:val="000000"/>
                <w:sz w:val="24"/>
                <w:szCs w:val="24"/>
              </w:rPr>
              <w:t>145 (13.5%)</w:t>
            </w:r>
          </w:p>
        </w:tc>
        <w:tc>
          <w:tcPr>
            <w:tcW w:w="593" w:type="pct"/>
            <w:vAlign w:val="center"/>
          </w:tcPr>
          <w:p w14:paraId="55700B2D" w14:textId="173DC51C" w:rsidR="0000788A" w:rsidRPr="009635B0" w:rsidRDefault="0000788A" w:rsidP="0000788A">
            <w:pPr>
              <w:jc w:val="center"/>
              <w:rPr>
                <w:rFonts w:ascii="Times New Roman" w:hAnsi="Times New Roman"/>
                <w:sz w:val="24"/>
                <w:szCs w:val="24"/>
                <w:lang w:val="en-US"/>
              </w:rPr>
            </w:pPr>
            <w:r w:rsidRPr="009635B0">
              <w:rPr>
                <w:rFonts w:ascii="Times New Roman" w:hAnsi="Times New Roman"/>
                <w:color w:val="000000"/>
                <w:sz w:val="24"/>
                <w:szCs w:val="24"/>
              </w:rPr>
              <w:t>0.04</w:t>
            </w:r>
          </w:p>
        </w:tc>
      </w:tr>
      <w:tr w:rsidR="00C636E8" w:rsidRPr="009635B0" w14:paraId="5F5A5517" w14:textId="77777777" w:rsidTr="00E203DA">
        <w:trPr>
          <w:trHeight w:val="20"/>
        </w:trPr>
        <w:tc>
          <w:tcPr>
            <w:tcW w:w="2310" w:type="pct"/>
          </w:tcPr>
          <w:p w14:paraId="78538384" w14:textId="0E7F8063" w:rsidR="00C636E8" w:rsidRPr="009635B0" w:rsidRDefault="00C636E8" w:rsidP="00C636E8">
            <w:pPr>
              <w:rPr>
                <w:rFonts w:ascii="Times New Roman" w:hAnsi="Times New Roman"/>
                <w:sz w:val="24"/>
                <w:szCs w:val="24"/>
                <w:lang w:val="en-US"/>
              </w:rPr>
            </w:pPr>
            <w:r w:rsidRPr="009635B0">
              <w:rPr>
                <w:rFonts w:ascii="Times New Roman" w:hAnsi="Times New Roman"/>
                <w:sz w:val="24"/>
                <w:szCs w:val="24"/>
                <w:lang w:val="en-US"/>
              </w:rPr>
              <w:t xml:space="preserve">Chronic lung disease, n (%) </w:t>
            </w:r>
          </w:p>
        </w:tc>
        <w:tc>
          <w:tcPr>
            <w:tcW w:w="1079" w:type="pct"/>
          </w:tcPr>
          <w:p w14:paraId="36E9575D" w14:textId="3C308922" w:rsidR="00C636E8" w:rsidRPr="009635B0" w:rsidRDefault="00C636E8" w:rsidP="00C636E8">
            <w:pPr>
              <w:jc w:val="center"/>
              <w:rPr>
                <w:rFonts w:ascii="Times New Roman" w:hAnsi="Times New Roman"/>
                <w:sz w:val="24"/>
                <w:szCs w:val="24"/>
                <w:lang w:val="en-US"/>
              </w:rPr>
            </w:pPr>
            <w:r w:rsidRPr="009635B0">
              <w:rPr>
                <w:rFonts w:ascii="Times New Roman" w:hAnsi="Times New Roman"/>
                <w:sz w:val="24"/>
                <w:szCs w:val="24"/>
                <w:lang w:val="en-US"/>
              </w:rPr>
              <w:t>10 (16.9%)</w:t>
            </w:r>
          </w:p>
        </w:tc>
        <w:tc>
          <w:tcPr>
            <w:tcW w:w="1018" w:type="pct"/>
          </w:tcPr>
          <w:p w14:paraId="30C96C45" w14:textId="6991BB4A" w:rsidR="00C636E8" w:rsidRPr="009635B0" w:rsidRDefault="00C636E8" w:rsidP="00C636E8">
            <w:pPr>
              <w:jc w:val="center"/>
              <w:rPr>
                <w:rFonts w:ascii="Times New Roman" w:hAnsi="Times New Roman"/>
                <w:sz w:val="24"/>
                <w:szCs w:val="24"/>
                <w:lang w:val="en-US"/>
              </w:rPr>
            </w:pPr>
            <w:r w:rsidRPr="009635B0">
              <w:rPr>
                <w:rFonts w:ascii="Times New Roman" w:hAnsi="Times New Roman"/>
                <w:sz w:val="24"/>
                <w:szCs w:val="24"/>
                <w:lang w:val="en-US"/>
              </w:rPr>
              <w:t>168 (22.9%)</w:t>
            </w:r>
          </w:p>
        </w:tc>
        <w:tc>
          <w:tcPr>
            <w:tcW w:w="593" w:type="pct"/>
            <w:vAlign w:val="center"/>
          </w:tcPr>
          <w:p w14:paraId="76ACDF58" w14:textId="020955F5" w:rsidR="00C636E8" w:rsidRPr="009635B0" w:rsidRDefault="00C636E8" w:rsidP="00C636E8">
            <w:pPr>
              <w:jc w:val="center"/>
              <w:rPr>
                <w:rFonts w:ascii="Times New Roman" w:hAnsi="Times New Roman"/>
                <w:sz w:val="24"/>
                <w:szCs w:val="24"/>
                <w:lang w:val="en-US"/>
              </w:rPr>
            </w:pPr>
            <w:r w:rsidRPr="009635B0">
              <w:rPr>
                <w:rFonts w:ascii="Times New Roman" w:hAnsi="Times New Roman"/>
                <w:color w:val="000000"/>
                <w:sz w:val="24"/>
                <w:szCs w:val="24"/>
              </w:rPr>
              <w:t>0.29</w:t>
            </w:r>
          </w:p>
        </w:tc>
      </w:tr>
      <w:tr w:rsidR="0000788A" w:rsidRPr="009635B0" w14:paraId="7A229440" w14:textId="77777777" w:rsidTr="00E203DA">
        <w:trPr>
          <w:trHeight w:val="20"/>
        </w:trPr>
        <w:tc>
          <w:tcPr>
            <w:tcW w:w="2310" w:type="pct"/>
          </w:tcPr>
          <w:p w14:paraId="277F4B2B" w14:textId="0C7D97D5" w:rsidR="0000788A" w:rsidRPr="009635B0" w:rsidRDefault="0000788A" w:rsidP="0000788A">
            <w:pPr>
              <w:rPr>
                <w:rFonts w:ascii="Times New Roman" w:hAnsi="Times New Roman"/>
                <w:sz w:val="24"/>
                <w:szCs w:val="24"/>
                <w:lang w:val="en-US"/>
              </w:rPr>
            </w:pPr>
            <w:r w:rsidRPr="009635B0">
              <w:rPr>
                <w:rFonts w:ascii="Times New Roman" w:hAnsi="Times New Roman"/>
                <w:sz w:val="24"/>
                <w:szCs w:val="24"/>
                <w:lang w:val="en-US"/>
              </w:rPr>
              <w:t xml:space="preserve">Previous permanent pacemaker, n (%) </w:t>
            </w:r>
          </w:p>
        </w:tc>
        <w:tc>
          <w:tcPr>
            <w:tcW w:w="1079" w:type="pct"/>
            <w:vAlign w:val="center"/>
          </w:tcPr>
          <w:p w14:paraId="5973751B" w14:textId="6FA86B4B" w:rsidR="0000788A" w:rsidRPr="009635B0" w:rsidRDefault="0000788A" w:rsidP="0000788A">
            <w:pPr>
              <w:jc w:val="center"/>
              <w:rPr>
                <w:rFonts w:ascii="Times New Roman" w:hAnsi="Times New Roman"/>
                <w:sz w:val="24"/>
                <w:szCs w:val="24"/>
                <w:lang w:val="en-US"/>
              </w:rPr>
            </w:pPr>
            <w:r w:rsidRPr="009635B0">
              <w:rPr>
                <w:rFonts w:ascii="Times New Roman" w:hAnsi="Times New Roman"/>
                <w:color w:val="000000"/>
                <w:sz w:val="24"/>
                <w:szCs w:val="24"/>
              </w:rPr>
              <w:t>10 (12.7%)</w:t>
            </w:r>
          </w:p>
        </w:tc>
        <w:tc>
          <w:tcPr>
            <w:tcW w:w="1018" w:type="pct"/>
            <w:vAlign w:val="center"/>
          </w:tcPr>
          <w:p w14:paraId="3D606766" w14:textId="63073B97" w:rsidR="0000788A" w:rsidRPr="009635B0" w:rsidRDefault="0000788A" w:rsidP="0000788A">
            <w:pPr>
              <w:jc w:val="center"/>
              <w:rPr>
                <w:rFonts w:ascii="Times New Roman" w:hAnsi="Times New Roman"/>
                <w:sz w:val="24"/>
                <w:szCs w:val="24"/>
                <w:lang w:val="en-US"/>
              </w:rPr>
            </w:pPr>
            <w:r w:rsidRPr="009635B0">
              <w:rPr>
                <w:rFonts w:ascii="Times New Roman" w:hAnsi="Times New Roman"/>
                <w:color w:val="000000"/>
                <w:sz w:val="24"/>
                <w:szCs w:val="24"/>
              </w:rPr>
              <w:t>129 (13.7%)</w:t>
            </w:r>
          </w:p>
        </w:tc>
        <w:tc>
          <w:tcPr>
            <w:tcW w:w="593" w:type="pct"/>
            <w:vAlign w:val="center"/>
          </w:tcPr>
          <w:p w14:paraId="54E7D61E" w14:textId="5C7F087E" w:rsidR="0000788A" w:rsidRPr="009635B0" w:rsidRDefault="0000788A" w:rsidP="0000788A">
            <w:pPr>
              <w:jc w:val="center"/>
              <w:rPr>
                <w:rFonts w:ascii="Times New Roman" w:hAnsi="Times New Roman"/>
                <w:sz w:val="24"/>
                <w:szCs w:val="24"/>
                <w:lang w:val="en-US"/>
              </w:rPr>
            </w:pPr>
            <w:r w:rsidRPr="009635B0">
              <w:rPr>
                <w:rFonts w:ascii="Times New Roman" w:hAnsi="Times New Roman"/>
                <w:color w:val="000000"/>
                <w:sz w:val="24"/>
                <w:szCs w:val="24"/>
              </w:rPr>
              <w:t>0.8</w:t>
            </w:r>
          </w:p>
        </w:tc>
      </w:tr>
      <w:tr w:rsidR="00C636E8" w:rsidRPr="009635B0" w14:paraId="278E028B" w14:textId="77777777" w:rsidTr="00E203DA">
        <w:trPr>
          <w:trHeight w:val="20"/>
        </w:trPr>
        <w:tc>
          <w:tcPr>
            <w:tcW w:w="2310" w:type="pct"/>
          </w:tcPr>
          <w:p w14:paraId="1B9E5CCE" w14:textId="672F3EDF" w:rsidR="00C636E8" w:rsidRPr="009635B0" w:rsidRDefault="00C636E8" w:rsidP="00C636E8">
            <w:pPr>
              <w:rPr>
                <w:rFonts w:ascii="Times New Roman" w:hAnsi="Times New Roman"/>
                <w:sz w:val="24"/>
                <w:szCs w:val="24"/>
                <w:lang w:val="en-US"/>
              </w:rPr>
            </w:pPr>
            <w:r w:rsidRPr="009635B0">
              <w:rPr>
                <w:rFonts w:ascii="Times New Roman" w:hAnsi="Times New Roman"/>
                <w:sz w:val="24"/>
                <w:szCs w:val="24"/>
                <w:lang w:val="en-US"/>
              </w:rPr>
              <w:t xml:space="preserve">More than one cardiac surgery, n (%) </w:t>
            </w:r>
          </w:p>
        </w:tc>
        <w:tc>
          <w:tcPr>
            <w:tcW w:w="1079" w:type="pct"/>
          </w:tcPr>
          <w:p w14:paraId="255B0090" w14:textId="53981895" w:rsidR="00C636E8" w:rsidRPr="009635B0" w:rsidRDefault="00C636E8" w:rsidP="00C636E8">
            <w:pPr>
              <w:jc w:val="center"/>
              <w:rPr>
                <w:rFonts w:ascii="Times New Roman" w:hAnsi="Times New Roman"/>
                <w:sz w:val="24"/>
                <w:szCs w:val="24"/>
                <w:lang w:val="en-US"/>
              </w:rPr>
            </w:pPr>
            <w:r w:rsidRPr="009635B0">
              <w:rPr>
                <w:rFonts w:ascii="Times New Roman" w:hAnsi="Times New Roman"/>
                <w:sz w:val="24"/>
                <w:szCs w:val="24"/>
                <w:lang w:val="en-US"/>
              </w:rPr>
              <w:t>15 (17.6%)</w:t>
            </w:r>
          </w:p>
        </w:tc>
        <w:tc>
          <w:tcPr>
            <w:tcW w:w="1018" w:type="pct"/>
          </w:tcPr>
          <w:p w14:paraId="2F3150DB" w14:textId="0303D5B1" w:rsidR="00C636E8" w:rsidRPr="009635B0" w:rsidRDefault="00C636E8" w:rsidP="00C636E8">
            <w:pPr>
              <w:jc w:val="center"/>
              <w:rPr>
                <w:rFonts w:ascii="Times New Roman" w:hAnsi="Times New Roman"/>
                <w:sz w:val="24"/>
                <w:szCs w:val="24"/>
                <w:lang w:val="en-US"/>
              </w:rPr>
            </w:pPr>
            <w:r w:rsidRPr="009635B0">
              <w:rPr>
                <w:rFonts w:ascii="Times New Roman" w:hAnsi="Times New Roman"/>
                <w:sz w:val="24"/>
                <w:szCs w:val="24"/>
                <w:lang w:val="en-US"/>
              </w:rPr>
              <w:t>128 (12.3%)</w:t>
            </w:r>
          </w:p>
        </w:tc>
        <w:tc>
          <w:tcPr>
            <w:tcW w:w="593" w:type="pct"/>
            <w:vAlign w:val="center"/>
          </w:tcPr>
          <w:p w14:paraId="6684193E" w14:textId="6A70DB74" w:rsidR="00C636E8" w:rsidRPr="009635B0" w:rsidRDefault="00C636E8" w:rsidP="00C636E8">
            <w:pPr>
              <w:jc w:val="center"/>
              <w:rPr>
                <w:rFonts w:ascii="Times New Roman" w:hAnsi="Times New Roman"/>
                <w:sz w:val="24"/>
                <w:szCs w:val="24"/>
                <w:lang w:val="en-US"/>
              </w:rPr>
            </w:pPr>
            <w:r w:rsidRPr="009635B0">
              <w:rPr>
                <w:rFonts w:ascii="Times New Roman" w:hAnsi="Times New Roman"/>
                <w:color w:val="000000"/>
                <w:sz w:val="24"/>
                <w:szCs w:val="24"/>
              </w:rPr>
              <w:t>0.15</w:t>
            </w:r>
          </w:p>
        </w:tc>
      </w:tr>
      <w:tr w:rsidR="0000788A" w:rsidRPr="009635B0" w14:paraId="387ECE14" w14:textId="77777777" w:rsidTr="00E203DA">
        <w:trPr>
          <w:trHeight w:val="20"/>
        </w:trPr>
        <w:tc>
          <w:tcPr>
            <w:tcW w:w="2310" w:type="pct"/>
          </w:tcPr>
          <w:p w14:paraId="6D079009" w14:textId="39D96F13" w:rsidR="0000788A" w:rsidRPr="009635B0" w:rsidRDefault="0000788A" w:rsidP="0000788A">
            <w:pPr>
              <w:rPr>
                <w:rFonts w:ascii="Times New Roman" w:hAnsi="Times New Roman"/>
                <w:sz w:val="24"/>
                <w:szCs w:val="24"/>
                <w:lang w:val="en-US"/>
              </w:rPr>
            </w:pPr>
            <w:r w:rsidRPr="009635B0">
              <w:rPr>
                <w:rFonts w:ascii="Times New Roman" w:hAnsi="Times New Roman"/>
                <w:sz w:val="24"/>
                <w:szCs w:val="24"/>
                <w:lang w:val="en-US"/>
              </w:rPr>
              <w:t>Label size of surgical valve, mean ± SD, (mm)</w:t>
            </w:r>
          </w:p>
        </w:tc>
        <w:tc>
          <w:tcPr>
            <w:tcW w:w="1079" w:type="pct"/>
            <w:vAlign w:val="center"/>
          </w:tcPr>
          <w:p w14:paraId="562DA1C1" w14:textId="0B0275CE" w:rsidR="0000788A" w:rsidRPr="009635B0" w:rsidRDefault="0000788A" w:rsidP="0000788A">
            <w:pPr>
              <w:jc w:val="center"/>
              <w:rPr>
                <w:rFonts w:ascii="Times New Roman" w:hAnsi="Times New Roman"/>
                <w:sz w:val="24"/>
                <w:szCs w:val="24"/>
                <w:lang w:val="en-US"/>
              </w:rPr>
            </w:pPr>
            <w:r w:rsidRPr="009635B0">
              <w:rPr>
                <w:rFonts w:ascii="Times New Roman" w:hAnsi="Times New Roman"/>
                <w:color w:val="000000"/>
                <w:sz w:val="24"/>
                <w:szCs w:val="24"/>
              </w:rPr>
              <w:t>21 ± 1.5</w:t>
            </w:r>
          </w:p>
        </w:tc>
        <w:tc>
          <w:tcPr>
            <w:tcW w:w="1018" w:type="pct"/>
            <w:vAlign w:val="center"/>
          </w:tcPr>
          <w:p w14:paraId="2FA345F3" w14:textId="786E285D" w:rsidR="0000788A" w:rsidRPr="009635B0" w:rsidRDefault="0000788A" w:rsidP="0000788A">
            <w:pPr>
              <w:jc w:val="center"/>
              <w:rPr>
                <w:rFonts w:ascii="Times New Roman" w:hAnsi="Times New Roman"/>
                <w:sz w:val="24"/>
                <w:szCs w:val="24"/>
                <w:lang w:val="en-US"/>
              </w:rPr>
            </w:pPr>
            <w:r w:rsidRPr="009635B0">
              <w:rPr>
                <w:rFonts w:ascii="Times New Roman" w:hAnsi="Times New Roman"/>
                <w:color w:val="000000"/>
                <w:sz w:val="24"/>
                <w:szCs w:val="24"/>
              </w:rPr>
              <w:t>23.3 ± 2</w:t>
            </w:r>
          </w:p>
        </w:tc>
        <w:tc>
          <w:tcPr>
            <w:tcW w:w="593" w:type="pct"/>
            <w:vAlign w:val="center"/>
          </w:tcPr>
          <w:p w14:paraId="25BF5724" w14:textId="350F7165" w:rsidR="0000788A" w:rsidRPr="009635B0" w:rsidRDefault="0000788A" w:rsidP="0000788A">
            <w:pPr>
              <w:jc w:val="center"/>
              <w:rPr>
                <w:rFonts w:ascii="Times New Roman" w:hAnsi="Times New Roman"/>
                <w:sz w:val="24"/>
                <w:szCs w:val="24"/>
                <w:lang w:val="en-US"/>
              </w:rPr>
            </w:pPr>
            <w:r w:rsidRPr="009635B0">
              <w:rPr>
                <w:rFonts w:ascii="Times New Roman" w:hAnsi="Times New Roman"/>
                <w:color w:val="000000"/>
                <w:sz w:val="24"/>
                <w:szCs w:val="24"/>
              </w:rPr>
              <w:t>&lt; 0.001</w:t>
            </w:r>
          </w:p>
        </w:tc>
      </w:tr>
      <w:tr w:rsidR="003746C7" w:rsidRPr="009635B0" w14:paraId="04A6C776" w14:textId="77777777" w:rsidTr="00E203DA">
        <w:trPr>
          <w:trHeight w:val="20"/>
        </w:trPr>
        <w:tc>
          <w:tcPr>
            <w:tcW w:w="2310" w:type="pct"/>
          </w:tcPr>
          <w:p w14:paraId="0E0461E5" w14:textId="24115D80" w:rsidR="003746C7" w:rsidRPr="009635B0" w:rsidRDefault="003746C7" w:rsidP="003746C7">
            <w:pPr>
              <w:rPr>
                <w:rFonts w:ascii="Times New Roman" w:hAnsi="Times New Roman"/>
                <w:sz w:val="24"/>
                <w:szCs w:val="24"/>
                <w:lang w:val="en-US"/>
              </w:rPr>
            </w:pPr>
            <w:r w:rsidRPr="009635B0">
              <w:rPr>
                <w:rFonts w:ascii="Times New Roman" w:hAnsi="Times New Roman"/>
                <w:sz w:val="24"/>
                <w:szCs w:val="24"/>
                <w:lang w:val="en-US"/>
              </w:rPr>
              <w:t>Label size of surgical valve</w:t>
            </w:r>
          </w:p>
        </w:tc>
        <w:tc>
          <w:tcPr>
            <w:tcW w:w="1079" w:type="pct"/>
          </w:tcPr>
          <w:p w14:paraId="592C4809" w14:textId="0CDBCC64" w:rsidR="003746C7" w:rsidRPr="009635B0" w:rsidRDefault="003746C7" w:rsidP="003746C7">
            <w:pPr>
              <w:jc w:val="center"/>
              <w:rPr>
                <w:rFonts w:ascii="Times New Roman" w:hAnsi="Times New Roman"/>
                <w:sz w:val="24"/>
                <w:szCs w:val="24"/>
                <w:lang w:val="en-US"/>
              </w:rPr>
            </w:pPr>
          </w:p>
        </w:tc>
        <w:tc>
          <w:tcPr>
            <w:tcW w:w="1018" w:type="pct"/>
          </w:tcPr>
          <w:p w14:paraId="12D463CE" w14:textId="56DF6C38" w:rsidR="003746C7" w:rsidRPr="009635B0" w:rsidRDefault="003746C7" w:rsidP="003746C7">
            <w:pPr>
              <w:jc w:val="center"/>
              <w:rPr>
                <w:rFonts w:ascii="Times New Roman" w:hAnsi="Times New Roman"/>
                <w:sz w:val="24"/>
                <w:szCs w:val="24"/>
                <w:lang w:val="en-US"/>
              </w:rPr>
            </w:pPr>
            <w:r w:rsidRPr="009635B0">
              <w:rPr>
                <w:rFonts w:ascii="Times New Roman" w:hAnsi="Times New Roman"/>
                <w:sz w:val="24"/>
                <w:szCs w:val="24"/>
                <w:lang w:val="en-US"/>
              </w:rPr>
              <w:t> </w:t>
            </w:r>
          </w:p>
        </w:tc>
        <w:tc>
          <w:tcPr>
            <w:tcW w:w="593" w:type="pct"/>
          </w:tcPr>
          <w:p w14:paraId="639FBD2C" w14:textId="548BF5BB" w:rsidR="003746C7" w:rsidRPr="009635B0" w:rsidRDefault="003746C7" w:rsidP="003746C7">
            <w:pPr>
              <w:jc w:val="center"/>
              <w:rPr>
                <w:rFonts w:ascii="Times New Roman" w:hAnsi="Times New Roman"/>
                <w:sz w:val="24"/>
                <w:szCs w:val="24"/>
                <w:lang w:val="en-US"/>
              </w:rPr>
            </w:pPr>
            <w:r w:rsidRPr="009635B0">
              <w:rPr>
                <w:rFonts w:ascii="Times New Roman" w:hAnsi="Times New Roman"/>
                <w:sz w:val="24"/>
                <w:szCs w:val="24"/>
                <w:lang w:val="en-US"/>
              </w:rPr>
              <w:t>&lt; 0.001</w:t>
            </w:r>
          </w:p>
        </w:tc>
      </w:tr>
      <w:tr w:rsidR="003746C7" w:rsidRPr="009635B0" w14:paraId="50CD11D7" w14:textId="77777777" w:rsidTr="00E203DA">
        <w:trPr>
          <w:trHeight w:val="20"/>
        </w:trPr>
        <w:tc>
          <w:tcPr>
            <w:tcW w:w="2310" w:type="pct"/>
          </w:tcPr>
          <w:p w14:paraId="0D3EAA59" w14:textId="4B9A8AB4" w:rsidR="003746C7" w:rsidRPr="009635B0" w:rsidRDefault="003746C7" w:rsidP="003746C7">
            <w:pPr>
              <w:rPr>
                <w:rFonts w:ascii="Times New Roman" w:hAnsi="Times New Roman"/>
                <w:sz w:val="24"/>
                <w:szCs w:val="24"/>
                <w:lang w:val="en-US"/>
              </w:rPr>
            </w:pPr>
            <w:r w:rsidRPr="009635B0">
              <w:rPr>
                <w:rFonts w:ascii="Times New Roman" w:hAnsi="Times New Roman"/>
                <w:sz w:val="24"/>
                <w:szCs w:val="24"/>
                <w:lang w:val="en-US"/>
              </w:rPr>
              <w:t xml:space="preserve">   ≤ 21 mm, n (%) </w:t>
            </w:r>
          </w:p>
        </w:tc>
        <w:tc>
          <w:tcPr>
            <w:tcW w:w="1079" w:type="pct"/>
          </w:tcPr>
          <w:p w14:paraId="3819DFD0" w14:textId="09AB6B93" w:rsidR="003746C7" w:rsidRPr="009635B0" w:rsidRDefault="003746C7" w:rsidP="003746C7">
            <w:pPr>
              <w:jc w:val="center"/>
              <w:rPr>
                <w:rFonts w:ascii="Times New Roman" w:hAnsi="Times New Roman"/>
                <w:sz w:val="24"/>
                <w:szCs w:val="24"/>
                <w:lang w:val="en-US"/>
              </w:rPr>
            </w:pPr>
            <w:r w:rsidRPr="009635B0">
              <w:rPr>
                <w:rFonts w:ascii="Times New Roman" w:hAnsi="Times New Roman"/>
                <w:sz w:val="24"/>
                <w:szCs w:val="24"/>
                <w:lang w:val="en-US"/>
              </w:rPr>
              <w:t>69 (77.5%)</w:t>
            </w:r>
          </w:p>
        </w:tc>
        <w:tc>
          <w:tcPr>
            <w:tcW w:w="1018" w:type="pct"/>
          </w:tcPr>
          <w:p w14:paraId="53AC1357" w14:textId="16A27992" w:rsidR="003746C7" w:rsidRPr="009635B0" w:rsidRDefault="003746C7" w:rsidP="003746C7">
            <w:pPr>
              <w:jc w:val="center"/>
              <w:rPr>
                <w:rFonts w:ascii="Times New Roman" w:hAnsi="Times New Roman"/>
                <w:sz w:val="24"/>
                <w:szCs w:val="24"/>
                <w:lang w:val="en-US"/>
              </w:rPr>
            </w:pPr>
            <w:r w:rsidRPr="009635B0">
              <w:rPr>
                <w:rFonts w:ascii="Times New Roman" w:hAnsi="Times New Roman"/>
                <w:sz w:val="24"/>
                <w:szCs w:val="24"/>
                <w:lang w:val="en-US"/>
              </w:rPr>
              <w:t>287 (26.6%)</w:t>
            </w:r>
          </w:p>
        </w:tc>
        <w:tc>
          <w:tcPr>
            <w:tcW w:w="593" w:type="pct"/>
          </w:tcPr>
          <w:p w14:paraId="361C94C8" w14:textId="207E6B25" w:rsidR="003746C7" w:rsidRPr="009635B0" w:rsidRDefault="003746C7" w:rsidP="003746C7">
            <w:pPr>
              <w:jc w:val="center"/>
              <w:rPr>
                <w:rFonts w:ascii="Times New Roman" w:hAnsi="Times New Roman"/>
                <w:sz w:val="24"/>
                <w:szCs w:val="24"/>
                <w:lang w:val="en-US"/>
              </w:rPr>
            </w:pPr>
          </w:p>
        </w:tc>
      </w:tr>
      <w:tr w:rsidR="003746C7" w:rsidRPr="009635B0" w14:paraId="677DFD9C" w14:textId="77777777" w:rsidTr="00E203DA">
        <w:trPr>
          <w:trHeight w:val="20"/>
        </w:trPr>
        <w:tc>
          <w:tcPr>
            <w:tcW w:w="2310" w:type="pct"/>
          </w:tcPr>
          <w:p w14:paraId="66324CF4" w14:textId="393D43C4" w:rsidR="003746C7" w:rsidRPr="009635B0" w:rsidRDefault="003746C7" w:rsidP="003746C7">
            <w:pPr>
              <w:rPr>
                <w:rFonts w:ascii="Times New Roman" w:hAnsi="Times New Roman"/>
                <w:sz w:val="24"/>
                <w:szCs w:val="24"/>
                <w:lang w:val="en-US"/>
              </w:rPr>
            </w:pPr>
            <w:r w:rsidRPr="009635B0">
              <w:rPr>
                <w:rFonts w:ascii="Times New Roman" w:hAnsi="Times New Roman"/>
                <w:sz w:val="24"/>
                <w:szCs w:val="24"/>
                <w:lang w:val="en-US"/>
              </w:rPr>
              <w:t xml:space="preserve">   &gt; 21 mm and &lt; 25 mm, n (%) </w:t>
            </w:r>
          </w:p>
        </w:tc>
        <w:tc>
          <w:tcPr>
            <w:tcW w:w="1079" w:type="pct"/>
          </w:tcPr>
          <w:p w14:paraId="32BF2367" w14:textId="1BB33A6B" w:rsidR="003746C7" w:rsidRPr="009635B0" w:rsidRDefault="003746C7" w:rsidP="003746C7">
            <w:pPr>
              <w:jc w:val="center"/>
              <w:rPr>
                <w:rFonts w:ascii="Times New Roman" w:hAnsi="Times New Roman"/>
                <w:sz w:val="24"/>
                <w:szCs w:val="24"/>
                <w:lang w:val="en-US"/>
              </w:rPr>
            </w:pPr>
            <w:r w:rsidRPr="009635B0">
              <w:rPr>
                <w:rFonts w:ascii="Times New Roman" w:hAnsi="Times New Roman"/>
                <w:sz w:val="24"/>
                <w:szCs w:val="24"/>
                <w:lang w:val="en-US"/>
              </w:rPr>
              <w:t>18 (20.2%)</w:t>
            </w:r>
          </w:p>
        </w:tc>
        <w:tc>
          <w:tcPr>
            <w:tcW w:w="1018" w:type="pct"/>
          </w:tcPr>
          <w:p w14:paraId="69BDFC6F" w14:textId="0F7E83B3" w:rsidR="003746C7" w:rsidRPr="009635B0" w:rsidRDefault="003746C7" w:rsidP="003746C7">
            <w:pPr>
              <w:jc w:val="center"/>
              <w:rPr>
                <w:rFonts w:ascii="Times New Roman" w:hAnsi="Times New Roman"/>
                <w:sz w:val="24"/>
                <w:szCs w:val="24"/>
                <w:lang w:val="en-US"/>
              </w:rPr>
            </w:pPr>
            <w:r w:rsidRPr="009635B0">
              <w:rPr>
                <w:rFonts w:ascii="Times New Roman" w:hAnsi="Times New Roman"/>
                <w:sz w:val="24"/>
                <w:szCs w:val="24"/>
                <w:lang w:val="en-US"/>
              </w:rPr>
              <w:t>429 (39.8%)</w:t>
            </w:r>
          </w:p>
        </w:tc>
        <w:tc>
          <w:tcPr>
            <w:tcW w:w="593" w:type="pct"/>
          </w:tcPr>
          <w:p w14:paraId="256A6246" w14:textId="2CE13BD1" w:rsidR="003746C7" w:rsidRPr="009635B0" w:rsidRDefault="003746C7" w:rsidP="003746C7">
            <w:pPr>
              <w:jc w:val="center"/>
              <w:rPr>
                <w:rFonts w:ascii="Times New Roman" w:hAnsi="Times New Roman"/>
                <w:sz w:val="24"/>
                <w:szCs w:val="24"/>
                <w:lang w:val="en-US"/>
              </w:rPr>
            </w:pPr>
          </w:p>
        </w:tc>
      </w:tr>
      <w:tr w:rsidR="003746C7" w:rsidRPr="009635B0" w14:paraId="463C913F" w14:textId="77777777" w:rsidTr="00E203DA">
        <w:trPr>
          <w:trHeight w:val="20"/>
        </w:trPr>
        <w:tc>
          <w:tcPr>
            <w:tcW w:w="2310" w:type="pct"/>
          </w:tcPr>
          <w:p w14:paraId="67774022" w14:textId="25546CE0" w:rsidR="003746C7" w:rsidRPr="009635B0" w:rsidRDefault="003746C7" w:rsidP="003746C7">
            <w:pPr>
              <w:rPr>
                <w:rFonts w:ascii="Times New Roman" w:hAnsi="Times New Roman"/>
                <w:sz w:val="24"/>
                <w:szCs w:val="24"/>
                <w:lang w:val="en-US"/>
              </w:rPr>
            </w:pPr>
            <w:r w:rsidRPr="009635B0">
              <w:rPr>
                <w:rFonts w:ascii="Times New Roman" w:hAnsi="Times New Roman"/>
                <w:sz w:val="24"/>
                <w:szCs w:val="24"/>
                <w:lang w:val="en-US"/>
              </w:rPr>
              <w:t xml:space="preserve">   ≥ 25 mm, n (%) </w:t>
            </w:r>
          </w:p>
        </w:tc>
        <w:tc>
          <w:tcPr>
            <w:tcW w:w="1079" w:type="pct"/>
          </w:tcPr>
          <w:p w14:paraId="64E438DB" w14:textId="22C8026B" w:rsidR="003746C7" w:rsidRPr="009635B0" w:rsidRDefault="003746C7" w:rsidP="003746C7">
            <w:pPr>
              <w:jc w:val="center"/>
              <w:rPr>
                <w:rFonts w:ascii="Times New Roman" w:hAnsi="Times New Roman"/>
                <w:sz w:val="24"/>
                <w:szCs w:val="24"/>
                <w:lang w:val="en-US"/>
              </w:rPr>
            </w:pPr>
            <w:r w:rsidRPr="009635B0">
              <w:rPr>
                <w:rFonts w:ascii="Times New Roman" w:hAnsi="Times New Roman"/>
                <w:sz w:val="24"/>
                <w:szCs w:val="24"/>
                <w:lang w:val="en-US"/>
              </w:rPr>
              <w:t>2 (2.2%)</w:t>
            </w:r>
          </w:p>
        </w:tc>
        <w:tc>
          <w:tcPr>
            <w:tcW w:w="1018" w:type="pct"/>
          </w:tcPr>
          <w:p w14:paraId="226627F7" w14:textId="32D2D984" w:rsidR="003746C7" w:rsidRPr="009635B0" w:rsidRDefault="003746C7" w:rsidP="003746C7">
            <w:pPr>
              <w:jc w:val="center"/>
              <w:rPr>
                <w:rFonts w:ascii="Times New Roman" w:hAnsi="Times New Roman"/>
                <w:sz w:val="24"/>
                <w:szCs w:val="24"/>
                <w:lang w:val="en-US"/>
              </w:rPr>
            </w:pPr>
            <w:r w:rsidRPr="009635B0">
              <w:rPr>
                <w:rFonts w:ascii="Times New Roman" w:hAnsi="Times New Roman"/>
                <w:sz w:val="24"/>
                <w:szCs w:val="24"/>
                <w:lang w:val="en-US"/>
              </w:rPr>
              <w:t>363 (33.6%)</w:t>
            </w:r>
          </w:p>
        </w:tc>
        <w:tc>
          <w:tcPr>
            <w:tcW w:w="593" w:type="pct"/>
          </w:tcPr>
          <w:p w14:paraId="65C3609A" w14:textId="57C07E71" w:rsidR="003746C7" w:rsidRPr="009635B0" w:rsidRDefault="003746C7" w:rsidP="003746C7">
            <w:pPr>
              <w:jc w:val="center"/>
              <w:rPr>
                <w:rFonts w:ascii="Times New Roman" w:hAnsi="Times New Roman"/>
                <w:sz w:val="24"/>
                <w:szCs w:val="24"/>
                <w:lang w:val="en-US"/>
              </w:rPr>
            </w:pPr>
          </w:p>
        </w:tc>
      </w:tr>
      <w:tr w:rsidR="003746C7" w:rsidRPr="009635B0" w14:paraId="5B2E9814" w14:textId="77777777" w:rsidTr="00E203DA">
        <w:trPr>
          <w:trHeight w:val="20"/>
        </w:trPr>
        <w:tc>
          <w:tcPr>
            <w:tcW w:w="2310" w:type="pct"/>
          </w:tcPr>
          <w:p w14:paraId="24D424B1" w14:textId="2D778FD6" w:rsidR="003746C7" w:rsidRPr="009635B0" w:rsidRDefault="003746C7" w:rsidP="00E203DA">
            <w:pPr>
              <w:rPr>
                <w:rFonts w:ascii="Times New Roman" w:hAnsi="Times New Roman"/>
                <w:sz w:val="24"/>
                <w:szCs w:val="24"/>
                <w:lang w:val="en-US"/>
              </w:rPr>
            </w:pPr>
            <w:r w:rsidRPr="009635B0">
              <w:rPr>
                <w:rFonts w:ascii="Times New Roman" w:hAnsi="Times New Roman"/>
                <w:sz w:val="24"/>
                <w:szCs w:val="24"/>
                <w:lang w:val="en-US"/>
              </w:rPr>
              <w:t>Predicted EOA, mean ± SD, cm</w:t>
            </w:r>
            <w:r w:rsidRPr="009635B0">
              <w:rPr>
                <w:rFonts w:ascii="Times New Roman" w:hAnsi="Times New Roman"/>
                <w:sz w:val="24"/>
                <w:szCs w:val="24"/>
                <w:vertAlign w:val="superscript"/>
                <w:lang w:val="en-US"/>
              </w:rPr>
              <w:t>2</w:t>
            </w:r>
          </w:p>
        </w:tc>
        <w:tc>
          <w:tcPr>
            <w:tcW w:w="1079" w:type="pct"/>
            <w:vAlign w:val="center"/>
          </w:tcPr>
          <w:p w14:paraId="79904DA0" w14:textId="660EA981" w:rsidR="003746C7" w:rsidRPr="009635B0" w:rsidRDefault="003746C7" w:rsidP="003746C7">
            <w:pPr>
              <w:jc w:val="center"/>
              <w:rPr>
                <w:rFonts w:ascii="Times New Roman" w:hAnsi="Times New Roman"/>
                <w:sz w:val="24"/>
                <w:szCs w:val="24"/>
                <w:lang w:val="en-US"/>
              </w:rPr>
            </w:pPr>
            <w:r w:rsidRPr="009635B0">
              <w:rPr>
                <w:rFonts w:ascii="Times New Roman" w:hAnsi="Times New Roman"/>
                <w:color w:val="000000"/>
                <w:sz w:val="24"/>
                <w:szCs w:val="24"/>
              </w:rPr>
              <w:t>1.22 ± 0.11</w:t>
            </w:r>
          </w:p>
        </w:tc>
        <w:tc>
          <w:tcPr>
            <w:tcW w:w="1018" w:type="pct"/>
            <w:vAlign w:val="center"/>
          </w:tcPr>
          <w:p w14:paraId="2FFEDD3A" w14:textId="4A41778D" w:rsidR="003746C7" w:rsidRPr="009635B0" w:rsidRDefault="003746C7" w:rsidP="003746C7">
            <w:pPr>
              <w:jc w:val="center"/>
              <w:rPr>
                <w:rFonts w:ascii="Times New Roman" w:hAnsi="Times New Roman"/>
                <w:sz w:val="24"/>
                <w:szCs w:val="24"/>
                <w:lang w:val="en-US"/>
              </w:rPr>
            </w:pPr>
            <w:r w:rsidRPr="009635B0">
              <w:rPr>
                <w:rFonts w:ascii="Times New Roman" w:hAnsi="Times New Roman"/>
                <w:color w:val="000000"/>
                <w:sz w:val="24"/>
                <w:szCs w:val="24"/>
              </w:rPr>
              <w:t>1.51 ± 0.26</w:t>
            </w:r>
          </w:p>
        </w:tc>
        <w:tc>
          <w:tcPr>
            <w:tcW w:w="593" w:type="pct"/>
            <w:vAlign w:val="center"/>
          </w:tcPr>
          <w:p w14:paraId="5F79B556" w14:textId="6CB9F7AE" w:rsidR="003746C7" w:rsidRPr="009635B0" w:rsidRDefault="003746C7" w:rsidP="003746C7">
            <w:pPr>
              <w:jc w:val="center"/>
              <w:rPr>
                <w:rFonts w:ascii="Times New Roman" w:hAnsi="Times New Roman"/>
                <w:sz w:val="24"/>
                <w:szCs w:val="24"/>
                <w:lang w:val="en-US"/>
              </w:rPr>
            </w:pPr>
            <w:r w:rsidRPr="009635B0">
              <w:rPr>
                <w:rFonts w:ascii="Times New Roman" w:hAnsi="Times New Roman"/>
                <w:color w:val="000000"/>
                <w:sz w:val="24"/>
                <w:szCs w:val="24"/>
              </w:rPr>
              <w:t>&lt; 0.001</w:t>
            </w:r>
          </w:p>
        </w:tc>
      </w:tr>
      <w:tr w:rsidR="00E203DA" w:rsidRPr="009635B0" w14:paraId="343804DB" w14:textId="77777777" w:rsidTr="00E203DA">
        <w:trPr>
          <w:trHeight w:val="20"/>
        </w:trPr>
        <w:tc>
          <w:tcPr>
            <w:tcW w:w="2310" w:type="pct"/>
          </w:tcPr>
          <w:p w14:paraId="5DA86B1E" w14:textId="77777777" w:rsidR="00E203DA" w:rsidRPr="009635B0" w:rsidRDefault="00E203DA" w:rsidP="00FB6CAA">
            <w:pPr>
              <w:rPr>
                <w:rFonts w:ascii="Times New Roman" w:hAnsi="Times New Roman"/>
                <w:sz w:val="24"/>
                <w:szCs w:val="24"/>
                <w:lang w:val="en-US"/>
              </w:rPr>
            </w:pPr>
            <w:r w:rsidRPr="009635B0">
              <w:rPr>
                <w:rFonts w:ascii="Times New Roman" w:hAnsi="Times New Roman"/>
                <w:sz w:val="24"/>
                <w:szCs w:val="24"/>
                <w:lang w:val="en-US"/>
              </w:rPr>
              <w:t>Predicted indexed EOA, mean ± SD, cm</w:t>
            </w:r>
            <w:r w:rsidRPr="009635B0">
              <w:rPr>
                <w:rFonts w:ascii="Times New Roman" w:hAnsi="Times New Roman"/>
                <w:sz w:val="24"/>
                <w:szCs w:val="24"/>
                <w:vertAlign w:val="superscript"/>
                <w:lang w:val="en-US"/>
              </w:rPr>
              <w:t>2</w:t>
            </w:r>
            <w:r w:rsidRPr="009635B0">
              <w:rPr>
                <w:rFonts w:ascii="Times New Roman" w:hAnsi="Times New Roman"/>
                <w:sz w:val="24"/>
                <w:szCs w:val="24"/>
                <w:lang w:val="en-US"/>
              </w:rPr>
              <w:t>/m</w:t>
            </w:r>
            <w:r w:rsidRPr="009635B0">
              <w:rPr>
                <w:rFonts w:ascii="Times New Roman" w:hAnsi="Times New Roman"/>
                <w:sz w:val="24"/>
                <w:szCs w:val="24"/>
                <w:vertAlign w:val="superscript"/>
                <w:lang w:val="en-US"/>
              </w:rPr>
              <w:t>2</w:t>
            </w:r>
          </w:p>
        </w:tc>
        <w:tc>
          <w:tcPr>
            <w:tcW w:w="1079" w:type="pct"/>
            <w:vAlign w:val="center"/>
          </w:tcPr>
          <w:p w14:paraId="2122418E" w14:textId="77777777" w:rsidR="00E203DA" w:rsidRPr="009635B0" w:rsidRDefault="00E203DA" w:rsidP="00FB6CAA">
            <w:pPr>
              <w:jc w:val="center"/>
              <w:rPr>
                <w:rFonts w:ascii="Times New Roman" w:hAnsi="Times New Roman"/>
                <w:sz w:val="24"/>
                <w:szCs w:val="24"/>
                <w:lang w:val="en-US"/>
              </w:rPr>
            </w:pPr>
            <w:r w:rsidRPr="009635B0">
              <w:rPr>
                <w:rFonts w:ascii="Times New Roman" w:hAnsi="Times New Roman"/>
                <w:color w:val="000000"/>
                <w:sz w:val="24"/>
                <w:szCs w:val="24"/>
              </w:rPr>
              <w:t>0.60 ± 0.04</w:t>
            </w:r>
          </w:p>
        </w:tc>
        <w:tc>
          <w:tcPr>
            <w:tcW w:w="1018" w:type="pct"/>
            <w:vAlign w:val="center"/>
          </w:tcPr>
          <w:p w14:paraId="3A39AE64" w14:textId="77777777" w:rsidR="00E203DA" w:rsidRPr="009635B0" w:rsidRDefault="00E203DA" w:rsidP="00FB6CAA">
            <w:pPr>
              <w:jc w:val="center"/>
              <w:rPr>
                <w:rFonts w:ascii="Times New Roman" w:hAnsi="Times New Roman"/>
                <w:sz w:val="24"/>
                <w:szCs w:val="24"/>
                <w:lang w:val="en-US"/>
              </w:rPr>
            </w:pPr>
            <w:r w:rsidRPr="009635B0">
              <w:rPr>
                <w:rFonts w:ascii="Times New Roman" w:hAnsi="Times New Roman"/>
                <w:color w:val="000000"/>
                <w:sz w:val="24"/>
                <w:szCs w:val="24"/>
              </w:rPr>
              <w:t>0.83 ± 0.14</w:t>
            </w:r>
          </w:p>
        </w:tc>
        <w:tc>
          <w:tcPr>
            <w:tcW w:w="593" w:type="pct"/>
            <w:vAlign w:val="center"/>
          </w:tcPr>
          <w:p w14:paraId="51E408F2" w14:textId="77777777" w:rsidR="00E203DA" w:rsidRPr="009635B0" w:rsidRDefault="00E203DA" w:rsidP="00FB6CAA">
            <w:pPr>
              <w:jc w:val="center"/>
              <w:rPr>
                <w:rFonts w:ascii="Times New Roman" w:hAnsi="Times New Roman"/>
                <w:sz w:val="24"/>
                <w:szCs w:val="24"/>
                <w:lang w:val="en-US"/>
              </w:rPr>
            </w:pPr>
            <w:r w:rsidRPr="009635B0">
              <w:rPr>
                <w:rFonts w:ascii="Times New Roman" w:hAnsi="Times New Roman"/>
                <w:color w:val="000000"/>
                <w:sz w:val="24"/>
                <w:szCs w:val="24"/>
              </w:rPr>
              <w:t>-</w:t>
            </w:r>
          </w:p>
        </w:tc>
      </w:tr>
      <w:tr w:rsidR="00E203DA" w:rsidRPr="009635B0" w14:paraId="34E0B279" w14:textId="77777777" w:rsidTr="00E203DA">
        <w:trPr>
          <w:trHeight w:val="20"/>
        </w:trPr>
        <w:tc>
          <w:tcPr>
            <w:tcW w:w="2310" w:type="pct"/>
          </w:tcPr>
          <w:p w14:paraId="37DC3572" w14:textId="31131A29" w:rsidR="00E203DA" w:rsidRPr="009635B0" w:rsidRDefault="00E203DA" w:rsidP="00E203DA">
            <w:pPr>
              <w:rPr>
                <w:rFonts w:ascii="Times New Roman" w:hAnsi="Times New Roman"/>
                <w:sz w:val="24"/>
                <w:szCs w:val="24"/>
                <w:lang w:val="en-US"/>
              </w:rPr>
            </w:pPr>
            <w:r w:rsidRPr="009635B0">
              <w:rPr>
                <w:rFonts w:ascii="Times New Roman" w:hAnsi="Times New Roman"/>
                <w:sz w:val="24"/>
                <w:szCs w:val="24"/>
                <w:lang w:val="en-US"/>
              </w:rPr>
              <w:t>Time to surgical valve failure, median (IQR), years</w:t>
            </w:r>
          </w:p>
        </w:tc>
        <w:tc>
          <w:tcPr>
            <w:tcW w:w="1079" w:type="pct"/>
            <w:vAlign w:val="center"/>
          </w:tcPr>
          <w:p w14:paraId="15FB3B32" w14:textId="1BDE59D9" w:rsidR="00E203DA" w:rsidRPr="009635B0" w:rsidRDefault="00E203DA" w:rsidP="00E203DA">
            <w:pPr>
              <w:jc w:val="center"/>
              <w:rPr>
                <w:rFonts w:ascii="Times New Roman" w:hAnsi="Times New Roman"/>
                <w:sz w:val="24"/>
                <w:szCs w:val="24"/>
                <w:lang w:val="en-US"/>
              </w:rPr>
            </w:pPr>
            <w:r w:rsidRPr="009635B0">
              <w:rPr>
                <w:rFonts w:ascii="Times New Roman" w:hAnsi="Times New Roman"/>
                <w:color w:val="000000"/>
                <w:sz w:val="24"/>
                <w:szCs w:val="24"/>
              </w:rPr>
              <w:t>7 (5 – 9)</w:t>
            </w:r>
          </w:p>
        </w:tc>
        <w:tc>
          <w:tcPr>
            <w:tcW w:w="1018" w:type="pct"/>
            <w:vAlign w:val="center"/>
          </w:tcPr>
          <w:p w14:paraId="621AAC67" w14:textId="23F90086" w:rsidR="00E203DA" w:rsidRPr="009635B0" w:rsidRDefault="00E203DA" w:rsidP="00E203DA">
            <w:pPr>
              <w:jc w:val="center"/>
              <w:rPr>
                <w:rFonts w:ascii="Times New Roman" w:hAnsi="Times New Roman"/>
                <w:sz w:val="24"/>
                <w:szCs w:val="24"/>
                <w:lang w:val="en-US"/>
              </w:rPr>
            </w:pPr>
            <w:r w:rsidRPr="009635B0">
              <w:rPr>
                <w:rFonts w:ascii="Times New Roman" w:hAnsi="Times New Roman"/>
                <w:color w:val="000000"/>
                <w:sz w:val="24"/>
                <w:szCs w:val="24"/>
              </w:rPr>
              <w:t>9 (6.25 – 12)</w:t>
            </w:r>
          </w:p>
        </w:tc>
        <w:tc>
          <w:tcPr>
            <w:tcW w:w="593" w:type="pct"/>
            <w:vAlign w:val="center"/>
          </w:tcPr>
          <w:p w14:paraId="3454D0F2" w14:textId="6B3749A5" w:rsidR="00E203DA" w:rsidRPr="009635B0" w:rsidRDefault="00E203DA" w:rsidP="00E203DA">
            <w:pPr>
              <w:jc w:val="center"/>
              <w:rPr>
                <w:rFonts w:ascii="Times New Roman" w:hAnsi="Times New Roman"/>
                <w:sz w:val="24"/>
                <w:szCs w:val="24"/>
                <w:lang w:val="en-US"/>
              </w:rPr>
            </w:pPr>
            <w:r w:rsidRPr="009635B0">
              <w:rPr>
                <w:rFonts w:ascii="Times New Roman" w:hAnsi="Times New Roman"/>
                <w:color w:val="000000"/>
                <w:sz w:val="24"/>
                <w:szCs w:val="24"/>
              </w:rPr>
              <w:t>&lt; 0.001</w:t>
            </w:r>
          </w:p>
        </w:tc>
      </w:tr>
      <w:tr w:rsidR="00E203DA" w:rsidRPr="009635B0" w14:paraId="76810EF7" w14:textId="77777777" w:rsidTr="00E203DA">
        <w:trPr>
          <w:trHeight w:val="20"/>
        </w:trPr>
        <w:tc>
          <w:tcPr>
            <w:tcW w:w="2310" w:type="pct"/>
          </w:tcPr>
          <w:p w14:paraId="531865A1" w14:textId="641F1056" w:rsidR="00E203DA" w:rsidRPr="009635B0" w:rsidRDefault="00E203DA" w:rsidP="00FB6CAA">
            <w:pPr>
              <w:rPr>
                <w:rFonts w:ascii="Times New Roman" w:hAnsi="Times New Roman"/>
                <w:sz w:val="24"/>
                <w:szCs w:val="24"/>
                <w:lang w:val="en-US"/>
              </w:rPr>
            </w:pPr>
            <w:r w:rsidRPr="009635B0">
              <w:rPr>
                <w:rFonts w:ascii="Times New Roman" w:hAnsi="Times New Roman"/>
                <w:sz w:val="24"/>
                <w:szCs w:val="24"/>
                <w:lang w:val="en-US"/>
              </w:rPr>
              <w:t>Mechanism of surgical valve failure</w:t>
            </w:r>
          </w:p>
        </w:tc>
        <w:tc>
          <w:tcPr>
            <w:tcW w:w="1079" w:type="pct"/>
            <w:vAlign w:val="center"/>
          </w:tcPr>
          <w:p w14:paraId="69FFA960" w14:textId="77777777" w:rsidR="00E203DA" w:rsidRPr="009635B0" w:rsidRDefault="00E203DA" w:rsidP="00FB6CAA">
            <w:pPr>
              <w:jc w:val="center"/>
              <w:rPr>
                <w:rFonts w:ascii="Times New Roman" w:hAnsi="Times New Roman"/>
                <w:sz w:val="24"/>
                <w:szCs w:val="24"/>
                <w:lang w:val="en-US"/>
              </w:rPr>
            </w:pPr>
            <w:r w:rsidRPr="009635B0">
              <w:rPr>
                <w:rFonts w:ascii="Times New Roman" w:hAnsi="Times New Roman"/>
                <w:sz w:val="24"/>
                <w:szCs w:val="24"/>
              </w:rPr>
              <w:t> </w:t>
            </w:r>
          </w:p>
        </w:tc>
        <w:tc>
          <w:tcPr>
            <w:tcW w:w="1018" w:type="pct"/>
            <w:vAlign w:val="center"/>
          </w:tcPr>
          <w:p w14:paraId="1011CA8E" w14:textId="77777777" w:rsidR="00E203DA" w:rsidRPr="009635B0" w:rsidRDefault="00E203DA" w:rsidP="00FB6CAA">
            <w:pPr>
              <w:jc w:val="center"/>
              <w:rPr>
                <w:rFonts w:ascii="Times New Roman" w:hAnsi="Times New Roman"/>
                <w:sz w:val="24"/>
                <w:szCs w:val="24"/>
                <w:lang w:val="en-US"/>
              </w:rPr>
            </w:pPr>
            <w:r w:rsidRPr="009635B0">
              <w:rPr>
                <w:rFonts w:ascii="Times New Roman" w:hAnsi="Times New Roman"/>
                <w:sz w:val="24"/>
                <w:szCs w:val="24"/>
              </w:rPr>
              <w:t> </w:t>
            </w:r>
          </w:p>
        </w:tc>
        <w:tc>
          <w:tcPr>
            <w:tcW w:w="593" w:type="pct"/>
            <w:vAlign w:val="center"/>
          </w:tcPr>
          <w:p w14:paraId="159454AC" w14:textId="77777777" w:rsidR="00E203DA" w:rsidRPr="009635B0" w:rsidRDefault="00E203DA" w:rsidP="00FB6CAA">
            <w:pPr>
              <w:jc w:val="center"/>
              <w:rPr>
                <w:rFonts w:ascii="Times New Roman" w:hAnsi="Times New Roman"/>
                <w:sz w:val="24"/>
                <w:szCs w:val="24"/>
                <w:lang w:val="en-US"/>
              </w:rPr>
            </w:pPr>
            <w:r w:rsidRPr="009635B0">
              <w:rPr>
                <w:rFonts w:ascii="Times New Roman" w:hAnsi="Times New Roman"/>
                <w:color w:val="000000"/>
                <w:sz w:val="24"/>
                <w:szCs w:val="24"/>
              </w:rPr>
              <w:t>0.14</w:t>
            </w:r>
          </w:p>
        </w:tc>
      </w:tr>
      <w:tr w:rsidR="00E203DA" w:rsidRPr="009635B0" w14:paraId="16755DB7" w14:textId="77777777" w:rsidTr="00E203DA">
        <w:trPr>
          <w:trHeight w:val="20"/>
        </w:trPr>
        <w:tc>
          <w:tcPr>
            <w:tcW w:w="2310" w:type="pct"/>
          </w:tcPr>
          <w:p w14:paraId="50281AAE" w14:textId="77777777" w:rsidR="00E203DA" w:rsidRPr="009635B0" w:rsidRDefault="00E203DA" w:rsidP="00FB6CAA">
            <w:pPr>
              <w:rPr>
                <w:rFonts w:ascii="Times New Roman" w:hAnsi="Times New Roman"/>
                <w:sz w:val="24"/>
                <w:szCs w:val="24"/>
                <w:lang w:val="en-US"/>
              </w:rPr>
            </w:pPr>
            <w:r w:rsidRPr="009635B0">
              <w:rPr>
                <w:rFonts w:ascii="Times New Roman" w:hAnsi="Times New Roman"/>
                <w:sz w:val="24"/>
                <w:szCs w:val="24"/>
                <w:lang w:val="en-US"/>
              </w:rPr>
              <w:t xml:space="preserve">   Regurgitation, N (%) </w:t>
            </w:r>
          </w:p>
        </w:tc>
        <w:tc>
          <w:tcPr>
            <w:tcW w:w="1079" w:type="pct"/>
            <w:vAlign w:val="center"/>
          </w:tcPr>
          <w:p w14:paraId="2D947647" w14:textId="77777777" w:rsidR="00E203DA" w:rsidRPr="009635B0" w:rsidRDefault="00E203DA" w:rsidP="00FB6CAA">
            <w:pPr>
              <w:jc w:val="center"/>
              <w:rPr>
                <w:rFonts w:ascii="Times New Roman" w:hAnsi="Times New Roman"/>
                <w:sz w:val="24"/>
                <w:szCs w:val="24"/>
                <w:lang w:val="en-US"/>
              </w:rPr>
            </w:pPr>
            <w:r w:rsidRPr="009635B0">
              <w:rPr>
                <w:rFonts w:ascii="Times New Roman" w:hAnsi="Times New Roman"/>
                <w:color w:val="000000"/>
                <w:sz w:val="24"/>
                <w:szCs w:val="24"/>
              </w:rPr>
              <w:t>15 (17.9%)</w:t>
            </w:r>
          </w:p>
        </w:tc>
        <w:tc>
          <w:tcPr>
            <w:tcW w:w="1018" w:type="pct"/>
            <w:vAlign w:val="center"/>
          </w:tcPr>
          <w:p w14:paraId="338A5F4E" w14:textId="77777777" w:rsidR="00E203DA" w:rsidRPr="009635B0" w:rsidRDefault="00E203DA" w:rsidP="00FB6CAA">
            <w:pPr>
              <w:jc w:val="center"/>
              <w:rPr>
                <w:rFonts w:ascii="Times New Roman" w:hAnsi="Times New Roman"/>
                <w:sz w:val="24"/>
                <w:szCs w:val="24"/>
                <w:lang w:val="en-US"/>
              </w:rPr>
            </w:pPr>
            <w:r w:rsidRPr="009635B0">
              <w:rPr>
                <w:rFonts w:ascii="Times New Roman" w:hAnsi="Times New Roman"/>
                <w:color w:val="000000"/>
                <w:sz w:val="24"/>
                <w:szCs w:val="24"/>
              </w:rPr>
              <w:t>247 (24.2%)</w:t>
            </w:r>
          </w:p>
        </w:tc>
        <w:tc>
          <w:tcPr>
            <w:tcW w:w="593" w:type="pct"/>
            <w:vAlign w:val="center"/>
          </w:tcPr>
          <w:p w14:paraId="5E77012F" w14:textId="77777777" w:rsidR="00E203DA" w:rsidRPr="009635B0" w:rsidRDefault="00E203DA" w:rsidP="00FB6CAA">
            <w:pPr>
              <w:jc w:val="center"/>
              <w:rPr>
                <w:rFonts w:ascii="Times New Roman" w:hAnsi="Times New Roman"/>
                <w:sz w:val="24"/>
                <w:szCs w:val="24"/>
                <w:lang w:val="en-US"/>
              </w:rPr>
            </w:pPr>
            <w:r w:rsidRPr="009635B0">
              <w:rPr>
                <w:rFonts w:ascii="Times New Roman" w:hAnsi="Times New Roman"/>
                <w:sz w:val="24"/>
                <w:szCs w:val="24"/>
              </w:rPr>
              <w:t> </w:t>
            </w:r>
          </w:p>
        </w:tc>
      </w:tr>
      <w:tr w:rsidR="00E203DA" w:rsidRPr="009635B0" w14:paraId="6790C913" w14:textId="77777777" w:rsidTr="00E203DA">
        <w:trPr>
          <w:trHeight w:val="20"/>
        </w:trPr>
        <w:tc>
          <w:tcPr>
            <w:tcW w:w="2310" w:type="pct"/>
          </w:tcPr>
          <w:p w14:paraId="2F98EFB3" w14:textId="77777777" w:rsidR="00E203DA" w:rsidRPr="009635B0" w:rsidRDefault="00E203DA" w:rsidP="00FB6CAA">
            <w:pPr>
              <w:rPr>
                <w:rFonts w:ascii="Times New Roman" w:hAnsi="Times New Roman"/>
                <w:sz w:val="24"/>
                <w:szCs w:val="24"/>
                <w:lang w:val="en-US"/>
              </w:rPr>
            </w:pPr>
            <w:r w:rsidRPr="009635B0">
              <w:rPr>
                <w:rFonts w:ascii="Times New Roman" w:hAnsi="Times New Roman"/>
                <w:sz w:val="24"/>
                <w:szCs w:val="24"/>
                <w:lang w:val="en-US"/>
              </w:rPr>
              <w:t xml:space="preserve">   Stenosis, N (%) </w:t>
            </w:r>
          </w:p>
        </w:tc>
        <w:tc>
          <w:tcPr>
            <w:tcW w:w="1079" w:type="pct"/>
            <w:vAlign w:val="center"/>
          </w:tcPr>
          <w:p w14:paraId="1930850A" w14:textId="77777777" w:rsidR="00E203DA" w:rsidRPr="009635B0" w:rsidRDefault="00E203DA" w:rsidP="00FB6CAA">
            <w:pPr>
              <w:jc w:val="center"/>
              <w:rPr>
                <w:rFonts w:ascii="Times New Roman" w:hAnsi="Times New Roman"/>
                <w:sz w:val="24"/>
                <w:szCs w:val="24"/>
                <w:lang w:val="en-US"/>
              </w:rPr>
            </w:pPr>
            <w:r w:rsidRPr="009635B0">
              <w:rPr>
                <w:rFonts w:ascii="Times New Roman" w:hAnsi="Times New Roman"/>
                <w:color w:val="000000"/>
                <w:sz w:val="24"/>
                <w:szCs w:val="24"/>
              </w:rPr>
              <w:t>44 (52.4%)</w:t>
            </w:r>
          </w:p>
        </w:tc>
        <w:tc>
          <w:tcPr>
            <w:tcW w:w="1018" w:type="pct"/>
            <w:vAlign w:val="center"/>
          </w:tcPr>
          <w:p w14:paraId="756C9065" w14:textId="77777777" w:rsidR="00E203DA" w:rsidRPr="009635B0" w:rsidRDefault="00E203DA" w:rsidP="00FB6CAA">
            <w:pPr>
              <w:jc w:val="center"/>
              <w:rPr>
                <w:rFonts w:ascii="Times New Roman" w:hAnsi="Times New Roman"/>
                <w:sz w:val="24"/>
                <w:szCs w:val="24"/>
                <w:lang w:val="en-US"/>
              </w:rPr>
            </w:pPr>
            <w:r w:rsidRPr="009635B0">
              <w:rPr>
                <w:rFonts w:ascii="Times New Roman" w:hAnsi="Times New Roman"/>
                <w:color w:val="000000"/>
                <w:sz w:val="24"/>
                <w:szCs w:val="24"/>
              </w:rPr>
              <w:t>423 (41.4%)</w:t>
            </w:r>
          </w:p>
        </w:tc>
        <w:tc>
          <w:tcPr>
            <w:tcW w:w="593" w:type="pct"/>
            <w:vAlign w:val="center"/>
          </w:tcPr>
          <w:p w14:paraId="60EC62A2" w14:textId="77777777" w:rsidR="00E203DA" w:rsidRPr="009635B0" w:rsidRDefault="00E203DA" w:rsidP="00FB6CAA">
            <w:pPr>
              <w:jc w:val="center"/>
              <w:rPr>
                <w:rFonts w:ascii="Times New Roman" w:hAnsi="Times New Roman"/>
                <w:sz w:val="24"/>
                <w:szCs w:val="24"/>
                <w:lang w:val="en-US"/>
              </w:rPr>
            </w:pPr>
            <w:r w:rsidRPr="009635B0">
              <w:rPr>
                <w:rFonts w:ascii="Times New Roman" w:hAnsi="Times New Roman"/>
                <w:sz w:val="24"/>
                <w:szCs w:val="24"/>
              </w:rPr>
              <w:t> </w:t>
            </w:r>
          </w:p>
        </w:tc>
      </w:tr>
      <w:tr w:rsidR="00E203DA" w:rsidRPr="009635B0" w14:paraId="2972F4E8" w14:textId="77777777" w:rsidTr="00E203DA">
        <w:trPr>
          <w:trHeight w:val="20"/>
        </w:trPr>
        <w:tc>
          <w:tcPr>
            <w:tcW w:w="2310" w:type="pct"/>
          </w:tcPr>
          <w:p w14:paraId="387ED125" w14:textId="77777777" w:rsidR="00E203DA" w:rsidRPr="009635B0" w:rsidRDefault="00E203DA" w:rsidP="00FB6CAA">
            <w:pPr>
              <w:rPr>
                <w:rFonts w:ascii="Times New Roman" w:hAnsi="Times New Roman"/>
                <w:sz w:val="24"/>
                <w:szCs w:val="24"/>
                <w:lang w:val="en-US"/>
              </w:rPr>
            </w:pPr>
            <w:r w:rsidRPr="009635B0">
              <w:rPr>
                <w:rFonts w:ascii="Times New Roman" w:hAnsi="Times New Roman"/>
                <w:sz w:val="24"/>
                <w:szCs w:val="24"/>
                <w:lang w:val="en-US"/>
              </w:rPr>
              <w:t xml:space="preserve">   Mixed, N (%) </w:t>
            </w:r>
          </w:p>
        </w:tc>
        <w:tc>
          <w:tcPr>
            <w:tcW w:w="1079" w:type="pct"/>
            <w:vAlign w:val="center"/>
          </w:tcPr>
          <w:p w14:paraId="742A39DA" w14:textId="77777777" w:rsidR="00E203DA" w:rsidRPr="009635B0" w:rsidRDefault="00E203DA" w:rsidP="00FB6CAA">
            <w:pPr>
              <w:jc w:val="center"/>
              <w:rPr>
                <w:rFonts w:ascii="Times New Roman" w:hAnsi="Times New Roman"/>
                <w:sz w:val="24"/>
                <w:szCs w:val="24"/>
                <w:lang w:val="en-US"/>
              </w:rPr>
            </w:pPr>
            <w:r w:rsidRPr="009635B0">
              <w:rPr>
                <w:rFonts w:ascii="Times New Roman" w:hAnsi="Times New Roman"/>
                <w:color w:val="000000"/>
                <w:sz w:val="24"/>
                <w:szCs w:val="24"/>
              </w:rPr>
              <w:t>25 (29.8%)</w:t>
            </w:r>
          </w:p>
        </w:tc>
        <w:tc>
          <w:tcPr>
            <w:tcW w:w="1018" w:type="pct"/>
            <w:vAlign w:val="center"/>
          </w:tcPr>
          <w:p w14:paraId="12FA4FFE" w14:textId="77777777" w:rsidR="00E203DA" w:rsidRPr="009635B0" w:rsidRDefault="00E203DA" w:rsidP="00FB6CAA">
            <w:pPr>
              <w:jc w:val="center"/>
              <w:rPr>
                <w:rFonts w:ascii="Times New Roman" w:hAnsi="Times New Roman"/>
                <w:sz w:val="24"/>
                <w:szCs w:val="24"/>
                <w:lang w:val="en-US"/>
              </w:rPr>
            </w:pPr>
            <w:r w:rsidRPr="009635B0">
              <w:rPr>
                <w:rFonts w:ascii="Times New Roman" w:hAnsi="Times New Roman"/>
                <w:color w:val="000000"/>
                <w:sz w:val="24"/>
                <w:szCs w:val="24"/>
              </w:rPr>
              <w:t>351 (34.4%)</w:t>
            </w:r>
          </w:p>
        </w:tc>
        <w:tc>
          <w:tcPr>
            <w:tcW w:w="593" w:type="pct"/>
            <w:vAlign w:val="center"/>
          </w:tcPr>
          <w:p w14:paraId="27DB770D" w14:textId="77777777" w:rsidR="00E203DA" w:rsidRPr="009635B0" w:rsidRDefault="00E203DA" w:rsidP="00FB6CAA">
            <w:pPr>
              <w:jc w:val="center"/>
              <w:rPr>
                <w:rFonts w:ascii="Times New Roman" w:hAnsi="Times New Roman"/>
                <w:sz w:val="24"/>
                <w:szCs w:val="24"/>
                <w:lang w:val="en-US"/>
              </w:rPr>
            </w:pPr>
            <w:r w:rsidRPr="009635B0">
              <w:rPr>
                <w:rFonts w:ascii="Times New Roman" w:hAnsi="Times New Roman"/>
                <w:sz w:val="24"/>
                <w:szCs w:val="24"/>
              </w:rPr>
              <w:t> </w:t>
            </w:r>
          </w:p>
        </w:tc>
      </w:tr>
      <w:tr w:rsidR="003746C7" w:rsidRPr="009635B0" w14:paraId="7D58469F" w14:textId="77777777" w:rsidTr="00E203DA">
        <w:trPr>
          <w:trHeight w:val="20"/>
        </w:trPr>
        <w:tc>
          <w:tcPr>
            <w:tcW w:w="2310" w:type="pct"/>
          </w:tcPr>
          <w:p w14:paraId="5E873B21" w14:textId="783DE463" w:rsidR="003746C7" w:rsidRPr="009635B0" w:rsidRDefault="003746C7" w:rsidP="003746C7">
            <w:pPr>
              <w:rPr>
                <w:rFonts w:ascii="Times New Roman" w:hAnsi="Times New Roman"/>
                <w:lang w:val="en-US"/>
              </w:rPr>
            </w:pPr>
            <w:r w:rsidRPr="009635B0">
              <w:rPr>
                <w:rFonts w:ascii="Times New Roman" w:hAnsi="Times New Roman"/>
                <w:sz w:val="24"/>
                <w:szCs w:val="24"/>
                <w:lang w:val="en-US"/>
              </w:rPr>
              <w:t>Aortic valve area, mean ± SD, cm</w:t>
            </w:r>
            <w:r w:rsidRPr="009635B0">
              <w:rPr>
                <w:rFonts w:ascii="Times New Roman" w:hAnsi="Times New Roman"/>
                <w:sz w:val="24"/>
                <w:szCs w:val="24"/>
                <w:vertAlign w:val="superscript"/>
                <w:lang w:val="en-US"/>
              </w:rPr>
              <w:t>2</w:t>
            </w:r>
          </w:p>
        </w:tc>
        <w:tc>
          <w:tcPr>
            <w:tcW w:w="1079" w:type="pct"/>
            <w:vAlign w:val="center"/>
          </w:tcPr>
          <w:p w14:paraId="04F4428D" w14:textId="796F9542" w:rsidR="003746C7" w:rsidRPr="009635B0" w:rsidRDefault="003746C7" w:rsidP="003746C7">
            <w:pPr>
              <w:jc w:val="center"/>
              <w:rPr>
                <w:rFonts w:ascii="Times New Roman" w:hAnsi="Times New Roman"/>
                <w:color w:val="000000"/>
              </w:rPr>
            </w:pPr>
            <w:r w:rsidRPr="009635B0">
              <w:rPr>
                <w:rFonts w:ascii="Times New Roman" w:hAnsi="Times New Roman"/>
                <w:color w:val="000000"/>
                <w:sz w:val="24"/>
                <w:szCs w:val="24"/>
              </w:rPr>
              <w:t>0.78 ± 0.28</w:t>
            </w:r>
          </w:p>
        </w:tc>
        <w:tc>
          <w:tcPr>
            <w:tcW w:w="1018" w:type="pct"/>
            <w:vAlign w:val="center"/>
          </w:tcPr>
          <w:p w14:paraId="29A9BB5E" w14:textId="48BE0960" w:rsidR="003746C7" w:rsidRPr="009635B0" w:rsidRDefault="003746C7" w:rsidP="003746C7">
            <w:pPr>
              <w:jc w:val="center"/>
              <w:rPr>
                <w:rFonts w:ascii="Times New Roman" w:hAnsi="Times New Roman"/>
                <w:color w:val="000000"/>
              </w:rPr>
            </w:pPr>
            <w:r w:rsidRPr="009635B0">
              <w:rPr>
                <w:rFonts w:ascii="Times New Roman" w:hAnsi="Times New Roman"/>
                <w:color w:val="000000"/>
                <w:sz w:val="24"/>
                <w:szCs w:val="24"/>
              </w:rPr>
              <w:t>0.91 ± 0.46</w:t>
            </w:r>
          </w:p>
        </w:tc>
        <w:tc>
          <w:tcPr>
            <w:tcW w:w="593" w:type="pct"/>
            <w:vAlign w:val="center"/>
          </w:tcPr>
          <w:p w14:paraId="6F85DC10" w14:textId="3D7A8037" w:rsidR="003746C7" w:rsidRPr="009635B0" w:rsidRDefault="003746C7" w:rsidP="003746C7">
            <w:pPr>
              <w:jc w:val="center"/>
              <w:rPr>
                <w:rFonts w:ascii="Times New Roman" w:hAnsi="Times New Roman"/>
                <w:color w:val="000000"/>
              </w:rPr>
            </w:pPr>
            <w:r w:rsidRPr="009635B0">
              <w:rPr>
                <w:rFonts w:ascii="Times New Roman" w:hAnsi="Times New Roman"/>
                <w:color w:val="000000"/>
                <w:sz w:val="24"/>
                <w:szCs w:val="24"/>
              </w:rPr>
              <w:t>&lt; 0.001</w:t>
            </w:r>
          </w:p>
        </w:tc>
      </w:tr>
      <w:tr w:rsidR="003746C7" w:rsidRPr="009635B0" w14:paraId="31313924" w14:textId="77777777" w:rsidTr="00E203DA">
        <w:trPr>
          <w:trHeight w:val="20"/>
        </w:trPr>
        <w:tc>
          <w:tcPr>
            <w:tcW w:w="2310" w:type="pct"/>
          </w:tcPr>
          <w:p w14:paraId="0976B43F" w14:textId="1F959DBE" w:rsidR="003746C7" w:rsidRPr="009635B0" w:rsidRDefault="003746C7" w:rsidP="003746C7">
            <w:pPr>
              <w:rPr>
                <w:rFonts w:ascii="Times New Roman" w:hAnsi="Times New Roman"/>
                <w:lang w:val="en-US"/>
              </w:rPr>
            </w:pPr>
            <w:r w:rsidRPr="009635B0">
              <w:rPr>
                <w:rFonts w:ascii="Times New Roman" w:hAnsi="Times New Roman"/>
                <w:sz w:val="24"/>
                <w:szCs w:val="24"/>
                <w:lang w:val="en-US"/>
              </w:rPr>
              <w:t>Indexed aortic valve area, mean ± SD, cm</w:t>
            </w:r>
            <w:r w:rsidRPr="009635B0">
              <w:rPr>
                <w:rFonts w:ascii="Times New Roman" w:hAnsi="Times New Roman"/>
                <w:sz w:val="24"/>
                <w:szCs w:val="24"/>
                <w:vertAlign w:val="superscript"/>
                <w:lang w:val="en-US"/>
              </w:rPr>
              <w:t>2</w:t>
            </w:r>
            <w:r w:rsidRPr="009635B0">
              <w:rPr>
                <w:rFonts w:ascii="Times New Roman" w:hAnsi="Times New Roman"/>
                <w:sz w:val="24"/>
                <w:szCs w:val="24"/>
                <w:lang w:val="en-US"/>
              </w:rPr>
              <w:t>/m</w:t>
            </w:r>
            <w:r w:rsidRPr="009635B0">
              <w:rPr>
                <w:rFonts w:ascii="Times New Roman" w:hAnsi="Times New Roman"/>
                <w:sz w:val="24"/>
                <w:szCs w:val="24"/>
                <w:vertAlign w:val="superscript"/>
                <w:lang w:val="en-US"/>
              </w:rPr>
              <w:t>2</w:t>
            </w:r>
          </w:p>
        </w:tc>
        <w:tc>
          <w:tcPr>
            <w:tcW w:w="1079" w:type="pct"/>
          </w:tcPr>
          <w:p w14:paraId="29ED80DF" w14:textId="49D13ABE" w:rsidR="003746C7" w:rsidRPr="009635B0" w:rsidRDefault="003746C7" w:rsidP="003746C7">
            <w:pPr>
              <w:jc w:val="center"/>
              <w:rPr>
                <w:rFonts w:ascii="Times New Roman" w:hAnsi="Times New Roman"/>
                <w:color w:val="000000"/>
              </w:rPr>
            </w:pPr>
            <w:r w:rsidRPr="009635B0">
              <w:rPr>
                <w:rFonts w:ascii="Times New Roman" w:hAnsi="Times New Roman"/>
                <w:sz w:val="24"/>
                <w:szCs w:val="24"/>
                <w:lang w:val="en-US"/>
              </w:rPr>
              <w:t>0.38 ± 0.14</w:t>
            </w:r>
          </w:p>
        </w:tc>
        <w:tc>
          <w:tcPr>
            <w:tcW w:w="1018" w:type="pct"/>
          </w:tcPr>
          <w:p w14:paraId="1775B664" w14:textId="7AC7781E" w:rsidR="003746C7" w:rsidRPr="009635B0" w:rsidRDefault="003746C7" w:rsidP="003746C7">
            <w:pPr>
              <w:jc w:val="center"/>
              <w:rPr>
                <w:rFonts w:ascii="Times New Roman" w:hAnsi="Times New Roman"/>
                <w:color w:val="000000"/>
              </w:rPr>
            </w:pPr>
            <w:r w:rsidRPr="009635B0">
              <w:rPr>
                <w:rFonts w:ascii="Times New Roman" w:hAnsi="Times New Roman"/>
                <w:sz w:val="24"/>
                <w:szCs w:val="24"/>
                <w:lang w:val="en-US"/>
              </w:rPr>
              <w:t>0.5 ± 0.25</w:t>
            </w:r>
          </w:p>
        </w:tc>
        <w:tc>
          <w:tcPr>
            <w:tcW w:w="593" w:type="pct"/>
          </w:tcPr>
          <w:p w14:paraId="19E2E9D4" w14:textId="515802B8" w:rsidR="003746C7" w:rsidRPr="009635B0" w:rsidRDefault="003746C7" w:rsidP="003746C7">
            <w:pPr>
              <w:jc w:val="center"/>
              <w:rPr>
                <w:rFonts w:ascii="Times New Roman" w:hAnsi="Times New Roman"/>
                <w:color w:val="000000"/>
              </w:rPr>
            </w:pPr>
            <w:r w:rsidRPr="009635B0">
              <w:rPr>
                <w:rFonts w:ascii="Times New Roman" w:hAnsi="Times New Roman"/>
                <w:sz w:val="24"/>
                <w:szCs w:val="24"/>
                <w:lang w:val="en-US"/>
              </w:rPr>
              <w:t>&lt; 0.001</w:t>
            </w:r>
          </w:p>
        </w:tc>
      </w:tr>
      <w:tr w:rsidR="0000788A" w:rsidRPr="009635B0" w14:paraId="33F1E7BC" w14:textId="77777777" w:rsidTr="00E203DA">
        <w:trPr>
          <w:trHeight w:val="20"/>
        </w:trPr>
        <w:tc>
          <w:tcPr>
            <w:tcW w:w="2310" w:type="pct"/>
          </w:tcPr>
          <w:p w14:paraId="44634219" w14:textId="36610601" w:rsidR="0000788A" w:rsidRPr="009635B0" w:rsidRDefault="0000788A" w:rsidP="0000788A">
            <w:pPr>
              <w:rPr>
                <w:rFonts w:ascii="Times New Roman" w:hAnsi="Times New Roman"/>
                <w:sz w:val="24"/>
                <w:szCs w:val="24"/>
                <w:lang w:val="en-US"/>
              </w:rPr>
            </w:pPr>
            <w:r w:rsidRPr="009635B0">
              <w:rPr>
                <w:rFonts w:ascii="Times New Roman" w:hAnsi="Times New Roman"/>
                <w:sz w:val="24"/>
                <w:szCs w:val="24"/>
                <w:lang w:val="en-US"/>
              </w:rPr>
              <w:t>Peak gradient, mean ± SD, mmHg</w:t>
            </w:r>
          </w:p>
        </w:tc>
        <w:tc>
          <w:tcPr>
            <w:tcW w:w="1079" w:type="pct"/>
            <w:vAlign w:val="center"/>
          </w:tcPr>
          <w:p w14:paraId="2EEB88F5" w14:textId="071C40AB" w:rsidR="0000788A" w:rsidRPr="009635B0" w:rsidRDefault="0000788A" w:rsidP="0000788A">
            <w:pPr>
              <w:jc w:val="center"/>
              <w:rPr>
                <w:rFonts w:ascii="Times New Roman" w:hAnsi="Times New Roman"/>
                <w:sz w:val="24"/>
                <w:szCs w:val="24"/>
                <w:lang w:val="en-US"/>
              </w:rPr>
            </w:pPr>
            <w:r w:rsidRPr="009635B0">
              <w:rPr>
                <w:rFonts w:ascii="Times New Roman" w:hAnsi="Times New Roman"/>
                <w:color w:val="000000"/>
                <w:sz w:val="24"/>
                <w:szCs w:val="24"/>
              </w:rPr>
              <w:t>66.5 ± 23.9</w:t>
            </w:r>
          </w:p>
        </w:tc>
        <w:tc>
          <w:tcPr>
            <w:tcW w:w="1018" w:type="pct"/>
            <w:vAlign w:val="center"/>
          </w:tcPr>
          <w:p w14:paraId="1CF1EA9C" w14:textId="5A2636DD" w:rsidR="0000788A" w:rsidRPr="009635B0" w:rsidRDefault="0000788A" w:rsidP="0000788A">
            <w:pPr>
              <w:jc w:val="center"/>
              <w:rPr>
                <w:rFonts w:ascii="Times New Roman" w:hAnsi="Times New Roman"/>
                <w:sz w:val="24"/>
                <w:szCs w:val="24"/>
                <w:lang w:val="en-US"/>
              </w:rPr>
            </w:pPr>
            <w:r w:rsidRPr="009635B0">
              <w:rPr>
                <w:rFonts w:ascii="Times New Roman" w:hAnsi="Times New Roman"/>
                <w:color w:val="000000"/>
                <w:sz w:val="24"/>
                <w:szCs w:val="24"/>
              </w:rPr>
              <w:t>62.6 ± 27.2</w:t>
            </w:r>
          </w:p>
        </w:tc>
        <w:tc>
          <w:tcPr>
            <w:tcW w:w="593" w:type="pct"/>
            <w:vAlign w:val="center"/>
          </w:tcPr>
          <w:p w14:paraId="3D6DCF3E" w14:textId="16A0EDB8" w:rsidR="0000788A" w:rsidRPr="009635B0" w:rsidRDefault="0000788A" w:rsidP="0000788A">
            <w:pPr>
              <w:jc w:val="center"/>
              <w:rPr>
                <w:rFonts w:ascii="Times New Roman" w:hAnsi="Times New Roman"/>
                <w:sz w:val="24"/>
                <w:szCs w:val="24"/>
                <w:lang w:val="en-US"/>
              </w:rPr>
            </w:pPr>
            <w:r w:rsidRPr="009635B0">
              <w:rPr>
                <w:rFonts w:ascii="Times New Roman" w:hAnsi="Times New Roman"/>
                <w:color w:val="000000"/>
                <w:sz w:val="24"/>
                <w:szCs w:val="24"/>
              </w:rPr>
              <w:t>0.21</w:t>
            </w:r>
          </w:p>
        </w:tc>
      </w:tr>
      <w:tr w:rsidR="0000788A" w:rsidRPr="009635B0" w14:paraId="785E7BC1" w14:textId="77777777" w:rsidTr="00E203DA">
        <w:trPr>
          <w:trHeight w:val="20"/>
        </w:trPr>
        <w:tc>
          <w:tcPr>
            <w:tcW w:w="2310" w:type="pct"/>
          </w:tcPr>
          <w:p w14:paraId="6253F6AE" w14:textId="77777777" w:rsidR="0000788A" w:rsidRPr="009635B0" w:rsidRDefault="0000788A" w:rsidP="0000788A">
            <w:pPr>
              <w:rPr>
                <w:rFonts w:ascii="Times New Roman" w:hAnsi="Times New Roman"/>
                <w:sz w:val="24"/>
                <w:szCs w:val="24"/>
                <w:lang w:val="en-US"/>
              </w:rPr>
            </w:pPr>
            <w:r w:rsidRPr="009635B0">
              <w:rPr>
                <w:rFonts w:ascii="Times New Roman" w:hAnsi="Times New Roman"/>
                <w:sz w:val="24"/>
                <w:szCs w:val="24"/>
                <w:lang w:val="en-US"/>
              </w:rPr>
              <w:t>Mean gradient, mean ± SD, mmHg</w:t>
            </w:r>
          </w:p>
        </w:tc>
        <w:tc>
          <w:tcPr>
            <w:tcW w:w="1079" w:type="pct"/>
            <w:vAlign w:val="center"/>
          </w:tcPr>
          <w:p w14:paraId="4A2B53D1" w14:textId="4ECC8C9B" w:rsidR="0000788A" w:rsidRPr="009635B0" w:rsidRDefault="0000788A" w:rsidP="0000788A">
            <w:pPr>
              <w:jc w:val="center"/>
              <w:rPr>
                <w:rFonts w:ascii="Times New Roman" w:hAnsi="Times New Roman"/>
                <w:sz w:val="24"/>
                <w:szCs w:val="24"/>
                <w:lang w:val="en-US"/>
              </w:rPr>
            </w:pPr>
            <w:r w:rsidRPr="009635B0">
              <w:rPr>
                <w:rFonts w:ascii="Times New Roman" w:hAnsi="Times New Roman"/>
                <w:color w:val="000000"/>
                <w:sz w:val="24"/>
                <w:szCs w:val="24"/>
              </w:rPr>
              <w:t>40.2 ± 15.1</w:t>
            </w:r>
          </w:p>
        </w:tc>
        <w:tc>
          <w:tcPr>
            <w:tcW w:w="1018" w:type="pct"/>
            <w:vAlign w:val="center"/>
          </w:tcPr>
          <w:p w14:paraId="7B3B5443" w14:textId="29D65F90" w:rsidR="0000788A" w:rsidRPr="009635B0" w:rsidRDefault="0000788A" w:rsidP="0000788A">
            <w:pPr>
              <w:jc w:val="center"/>
              <w:rPr>
                <w:rFonts w:ascii="Times New Roman" w:hAnsi="Times New Roman"/>
                <w:sz w:val="24"/>
                <w:szCs w:val="24"/>
                <w:lang w:val="en-US"/>
              </w:rPr>
            </w:pPr>
            <w:r w:rsidRPr="009635B0">
              <w:rPr>
                <w:rFonts w:ascii="Times New Roman" w:hAnsi="Times New Roman"/>
                <w:color w:val="000000"/>
                <w:sz w:val="24"/>
                <w:szCs w:val="24"/>
              </w:rPr>
              <w:t>36.7 ± 17.6</w:t>
            </w:r>
          </w:p>
        </w:tc>
        <w:tc>
          <w:tcPr>
            <w:tcW w:w="593" w:type="pct"/>
            <w:vAlign w:val="center"/>
          </w:tcPr>
          <w:p w14:paraId="153F82BB" w14:textId="0E2BDB92" w:rsidR="0000788A" w:rsidRPr="009635B0" w:rsidRDefault="0000788A" w:rsidP="0000788A">
            <w:pPr>
              <w:jc w:val="center"/>
              <w:rPr>
                <w:rFonts w:ascii="Times New Roman" w:hAnsi="Times New Roman"/>
                <w:sz w:val="24"/>
                <w:szCs w:val="24"/>
                <w:lang w:val="en-US"/>
              </w:rPr>
            </w:pPr>
            <w:r w:rsidRPr="009635B0">
              <w:rPr>
                <w:rFonts w:ascii="Times New Roman" w:hAnsi="Times New Roman"/>
                <w:color w:val="000000"/>
                <w:sz w:val="24"/>
                <w:szCs w:val="24"/>
              </w:rPr>
              <w:t>0.09</w:t>
            </w:r>
          </w:p>
        </w:tc>
      </w:tr>
      <w:tr w:rsidR="0000788A" w:rsidRPr="009635B0" w14:paraId="7FFC67D8" w14:textId="77777777" w:rsidTr="00E203DA">
        <w:trPr>
          <w:trHeight w:val="20"/>
        </w:trPr>
        <w:tc>
          <w:tcPr>
            <w:tcW w:w="2310" w:type="pct"/>
            <w:vAlign w:val="center"/>
          </w:tcPr>
          <w:p w14:paraId="6E730331" w14:textId="7C0D7F07" w:rsidR="0000788A" w:rsidRPr="009635B0" w:rsidRDefault="0000788A" w:rsidP="0000788A">
            <w:pPr>
              <w:rPr>
                <w:rFonts w:ascii="Times New Roman" w:hAnsi="Times New Roman"/>
                <w:sz w:val="24"/>
                <w:szCs w:val="24"/>
                <w:lang w:val="en-US"/>
              </w:rPr>
            </w:pPr>
            <w:r w:rsidRPr="009635B0">
              <w:rPr>
                <w:rFonts w:ascii="Times New Roman" w:hAnsi="Times New Roman"/>
                <w:color w:val="000000"/>
                <w:sz w:val="24"/>
                <w:szCs w:val="24"/>
              </w:rPr>
              <w:t xml:space="preserve">  Aortic regurgitation</w:t>
            </w:r>
          </w:p>
        </w:tc>
        <w:tc>
          <w:tcPr>
            <w:tcW w:w="1079" w:type="pct"/>
            <w:vAlign w:val="center"/>
          </w:tcPr>
          <w:p w14:paraId="4D4E5D05" w14:textId="081D4510" w:rsidR="0000788A" w:rsidRPr="009635B0" w:rsidRDefault="0000788A" w:rsidP="0000788A">
            <w:pPr>
              <w:jc w:val="center"/>
              <w:rPr>
                <w:rFonts w:ascii="Times New Roman" w:hAnsi="Times New Roman"/>
                <w:sz w:val="24"/>
                <w:szCs w:val="24"/>
                <w:lang w:val="en-US"/>
              </w:rPr>
            </w:pPr>
            <w:r w:rsidRPr="009635B0">
              <w:rPr>
                <w:rFonts w:ascii="Times New Roman" w:hAnsi="Times New Roman"/>
                <w:sz w:val="24"/>
                <w:szCs w:val="24"/>
              </w:rPr>
              <w:t> </w:t>
            </w:r>
          </w:p>
        </w:tc>
        <w:tc>
          <w:tcPr>
            <w:tcW w:w="1018" w:type="pct"/>
            <w:vAlign w:val="center"/>
          </w:tcPr>
          <w:p w14:paraId="52536A26" w14:textId="65EF3B5F" w:rsidR="0000788A" w:rsidRPr="009635B0" w:rsidRDefault="0000788A" w:rsidP="0000788A">
            <w:pPr>
              <w:jc w:val="center"/>
              <w:rPr>
                <w:rFonts w:ascii="Times New Roman" w:hAnsi="Times New Roman"/>
                <w:sz w:val="24"/>
                <w:szCs w:val="24"/>
                <w:lang w:val="en-US"/>
              </w:rPr>
            </w:pPr>
            <w:r w:rsidRPr="009635B0">
              <w:rPr>
                <w:rFonts w:ascii="Times New Roman" w:hAnsi="Times New Roman"/>
                <w:sz w:val="24"/>
                <w:szCs w:val="24"/>
              </w:rPr>
              <w:t> </w:t>
            </w:r>
          </w:p>
        </w:tc>
        <w:tc>
          <w:tcPr>
            <w:tcW w:w="593" w:type="pct"/>
            <w:vAlign w:val="center"/>
          </w:tcPr>
          <w:p w14:paraId="651C0BC5" w14:textId="25C58D12" w:rsidR="0000788A" w:rsidRPr="009635B0" w:rsidRDefault="0000788A" w:rsidP="0000788A">
            <w:pPr>
              <w:jc w:val="center"/>
              <w:rPr>
                <w:rFonts w:ascii="Times New Roman" w:hAnsi="Times New Roman"/>
                <w:sz w:val="24"/>
                <w:szCs w:val="24"/>
                <w:lang w:val="en-US"/>
              </w:rPr>
            </w:pPr>
            <w:r w:rsidRPr="009635B0">
              <w:rPr>
                <w:rFonts w:ascii="Times New Roman" w:hAnsi="Times New Roman"/>
                <w:color w:val="000000"/>
                <w:sz w:val="24"/>
                <w:szCs w:val="24"/>
              </w:rPr>
              <w:t>&lt; 0.001</w:t>
            </w:r>
          </w:p>
        </w:tc>
      </w:tr>
      <w:tr w:rsidR="0000788A" w:rsidRPr="009635B0" w14:paraId="1FDA647E" w14:textId="77777777" w:rsidTr="00E203DA">
        <w:trPr>
          <w:trHeight w:val="20"/>
        </w:trPr>
        <w:tc>
          <w:tcPr>
            <w:tcW w:w="2310" w:type="pct"/>
            <w:vAlign w:val="center"/>
          </w:tcPr>
          <w:p w14:paraId="29B75081" w14:textId="2CCF2DB9" w:rsidR="0000788A" w:rsidRPr="009635B0" w:rsidRDefault="0000788A" w:rsidP="0000788A">
            <w:pPr>
              <w:rPr>
                <w:rFonts w:ascii="Times New Roman" w:hAnsi="Times New Roman"/>
                <w:sz w:val="24"/>
                <w:szCs w:val="24"/>
                <w:lang w:val="en-US"/>
              </w:rPr>
            </w:pPr>
            <w:r w:rsidRPr="009635B0">
              <w:rPr>
                <w:rFonts w:ascii="Times New Roman" w:hAnsi="Times New Roman"/>
                <w:color w:val="000000"/>
                <w:sz w:val="24"/>
                <w:szCs w:val="24"/>
              </w:rPr>
              <w:t xml:space="preserve">        None</w:t>
            </w:r>
          </w:p>
        </w:tc>
        <w:tc>
          <w:tcPr>
            <w:tcW w:w="1079" w:type="pct"/>
            <w:vAlign w:val="center"/>
          </w:tcPr>
          <w:p w14:paraId="789820E1" w14:textId="26C1B20C" w:rsidR="0000788A" w:rsidRPr="009635B0" w:rsidRDefault="0000788A" w:rsidP="0000788A">
            <w:pPr>
              <w:jc w:val="center"/>
              <w:rPr>
                <w:rFonts w:ascii="Times New Roman" w:hAnsi="Times New Roman"/>
                <w:sz w:val="24"/>
                <w:szCs w:val="24"/>
                <w:lang w:val="en-US"/>
              </w:rPr>
            </w:pPr>
            <w:r w:rsidRPr="009635B0">
              <w:rPr>
                <w:rFonts w:ascii="Times New Roman" w:hAnsi="Times New Roman"/>
                <w:color w:val="000000"/>
                <w:sz w:val="24"/>
                <w:szCs w:val="24"/>
              </w:rPr>
              <w:t>25 (30.5%)</w:t>
            </w:r>
          </w:p>
        </w:tc>
        <w:tc>
          <w:tcPr>
            <w:tcW w:w="1018" w:type="pct"/>
            <w:vAlign w:val="center"/>
          </w:tcPr>
          <w:p w14:paraId="7F324488" w14:textId="6FD84D46" w:rsidR="0000788A" w:rsidRPr="009635B0" w:rsidRDefault="0000788A" w:rsidP="0000788A">
            <w:pPr>
              <w:jc w:val="center"/>
              <w:rPr>
                <w:rFonts w:ascii="Times New Roman" w:hAnsi="Times New Roman"/>
                <w:sz w:val="24"/>
                <w:szCs w:val="24"/>
                <w:lang w:val="en-US"/>
              </w:rPr>
            </w:pPr>
            <w:r w:rsidRPr="009635B0">
              <w:rPr>
                <w:rFonts w:ascii="Times New Roman" w:hAnsi="Times New Roman"/>
                <w:color w:val="000000"/>
                <w:sz w:val="24"/>
                <w:szCs w:val="24"/>
              </w:rPr>
              <w:t>159 (15.4%)</w:t>
            </w:r>
          </w:p>
        </w:tc>
        <w:tc>
          <w:tcPr>
            <w:tcW w:w="593" w:type="pct"/>
            <w:vAlign w:val="center"/>
          </w:tcPr>
          <w:p w14:paraId="467C0BB8" w14:textId="58196B3E" w:rsidR="0000788A" w:rsidRPr="009635B0" w:rsidRDefault="0000788A" w:rsidP="0000788A">
            <w:pPr>
              <w:jc w:val="center"/>
              <w:rPr>
                <w:rFonts w:ascii="Times New Roman" w:hAnsi="Times New Roman"/>
                <w:sz w:val="24"/>
                <w:szCs w:val="24"/>
                <w:lang w:val="en-US"/>
              </w:rPr>
            </w:pPr>
            <w:r w:rsidRPr="009635B0">
              <w:rPr>
                <w:rFonts w:ascii="Times New Roman" w:hAnsi="Times New Roman"/>
                <w:sz w:val="24"/>
                <w:szCs w:val="24"/>
              </w:rPr>
              <w:t> </w:t>
            </w:r>
          </w:p>
        </w:tc>
      </w:tr>
      <w:tr w:rsidR="0000788A" w:rsidRPr="009635B0" w14:paraId="51B31D5D" w14:textId="77777777" w:rsidTr="00E203DA">
        <w:trPr>
          <w:trHeight w:val="20"/>
        </w:trPr>
        <w:tc>
          <w:tcPr>
            <w:tcW w:w="2310" w:type="pct"/>
            <w:vAlign w:val="center"/>
          </w:tcPr>
          <w:p w14:paraId="04E489B8" w14:textId="2319E78D" w:rsidR="0000788A" w:rsidRPr="009635B0" w:rsidRDefault="0000788A" w:rsidP="0000788A">
            <w:pPr>
              <w:rPr>
                <w:rFonts w:ascii="Times New Roman" w:hAnsi="Times New Roman"/>
                <w:sz w:val="24"/>
                <w:szCs w:val="24"/>
                <w:lang w:val="en-US"/>
              </w:rPr>
            </w:pPr>
            <w:r w:rsidRPr="009635B0">
              <w:rPr>
                <w:rFonts w:ascii="Times New Roman" w:hAnsi="Times New Roman"/>
                <w:color w:val="000000"/>
                <w:sz w:val="24"/>
                <w:szCs w:val="24"/>
              </w:rPr>
              <w:t xml:space="preserve">        Mild</w:t>
            </w:r>
          </w:p>
        </w:tc>
        <w:tc>
          <w:tcPr>
            <w:tcW w:w="1079" w:type="pct"/>
            <w:vAlign w:val="center"/>
          </w:tcPr>
          <w:p w14:paraId="4E841A88" w14:textId="62340A41" w:rsidR="0000788A" w:rsidRPr="009635B0" w:rsidRDefault="0000788A" w:rsidP="0000788A">
            <w:pPr>
              <w:jc w:val="center"/>
              <w:rPr>
                <w:rFonts w:ascii="Times New Roman" w:hAnsi="Times New Roman"/>
                <w:sz w:val="24"/>
                <w:szCs w:val="24"/>
                <w:lang w:val="en-US"/>
              </w:rPr>
            </w:pPr>
            <w:r w:rsidRPr="009635B0">
              <w:rPr>
                <w:rFonts w:ascii="Times New Roman" w:hAnsi="Times New Roman"/>
                <w:color w:val="000000"/>
                <w:sz w:val="24"/>
                <w:szCs w:val="24"/>
              </w:rPr>
              <w:t>19 (23.2%)</w:t>
            </w:r>
          </w:p>
        </w:tc>
        <w:tc>
          <w:tcPr>
            <w:tcW w:w="1018" w:type="pct"/>
            <w:vAlign w:val="center"/>
          </w:tcPr>
          <w:p w14:paraId="3CFAA035" w14:textId="017A4C90" w:rsidR="0000788A" w:rsidRPr="009635B0" w:rsidRDefault="0000788A" w:rsidP="0000788A">
            <w:pPr>
              <w:jc w:val="center"/>
              <w:rPr>
                <w:rFonts w:ascii="Times New Roman" w:hAnsi="Times New Roman"/>
                <w:sz w:val="24"/>
                <w:szCs w:val="24"/>
                <w:lang w:val="en-US"/>
              </w:rPr>
            </w:pPr>
            <w:r w:rsidRPr="009635B0">
              <w:rPr>
                <w:rFonts w:ascii="Times New Roman" w:hAnsi="Times New Roman"/>
                <w:color w:val="000000"/>
                <w:sz w:val="24"/>
                <w:szCs w:val="24"/>
              </w:rPr>
              <w:t>250 (24.2%)</w:t>
            </w:r>
          </w:p>
        </w:tc>
        <w:tc>
          <w:tcPr>
            <w:tcW w:w="593" w:type="pct"/>
            <w:vAlign w:val="center"/>
          </w:tcPr>
          <w:p w14:paraId="75E0F20F" w14:textId="4BD7E7D5" w:rsidR="0000788A" w:rsidRPr="009635B0" w:rsidRDefault="0000788A" w:rsidP="0000788A">
            <w:pPr>
              <w:jc w:val="center"/>
              <w:rPr>
                <w:rFonts w:ascii="Times New Roman" w:hAnsi="Times New Roman"/>
                <w:sz w:val="24"/>
                <w:szCs w:val="24"/>
                <w:lang w:val="en-US"/>
              </w:rPr>
            </w:pPr>
            <w:r w:rsidRPr="009635B0">
              <w:rPr>
                <w:rFonts w:ascii="Times New Roman" w:hAnsi="Times New Roman"/>
                <w:sz w:val="24"/>
                <w:szCs w:val="24"/>
              </w:rPr>
              <w:t> </w:t>
            </w:r>
          </w:p>
        </w:tc>
      </w:tr>
      <w:tr w:rsidR="0000788A" w:rsidRPr="009635B0" w14:paraId="686F1F7E" w14:textId="77777777" w:rsidTr="00E203DA">
        <w:trPr>
          <w:trHeight w:val="20"/>
        </w:trPr>
        <w:tc>
          <w:tcPr>
            <w:tcW w:w="2310" w:type="pct"/>
            <w:vAlign w:val="center"/>
          </w:tcPr>
          <w:p w14:paraId="519920FF" w14:textId="33D4E1CB" w:rsidR="0000788A" w:rsidRPr="009635B0" w:rsidRDefault="0000788A" w:rsidP="0000788A">
            <w:pPr>
              <w:rPr>
                <w:rFonts w:ascii="Times New Roman" w:hAnsi="Times New Roman"/>
                <w:sz w:val="24"/>
                <w:szCs w:val="24"/>
                <w:lang w:val="en-US"/>
              </w:rPr>
            </w:pPr>
            <w:r w:rsidRPr="009635B0">
              <w:rPr>
                <w:rFonts w:ascii="Times New Roman" w:hAnsi="Times New Roman"/>
                <w:color w:val="000000"/>
                <w:sz w:val="24"/>
                <w:szCs w:val="24"/>
              </w:rPr>
              <w:t xml:space="preserve">        Moderate</w:t>
            </w:r>
          </w:p>
        </w:tc>
        <w:tc>
          <w:tcPr>
            <w:tcW w:w="1079" w:type="pct"/>
            <w:vAlign w:val="center"/>
          </w:tcPr>
          <w:p w14:paraId="7A93B6FE" w14:textId="34E5C713" w:rsidR="0000788A" w:rsidRPr="009635B0" w:rsidRDefault="0000788A" w:rsidP="0000788A">
            <w:pPr>
              <w:jc w:val="center"/>
              <w:rPr>
                <w:rFonts w:ascii="Times New Roman" w:hAnsi="Times New Roman"/>
                <w:sz w:val="24"/>
                <w:szCs w:val="24"/>
                <w:lang w:val="en-US"/>
              </w:rPr>
            </w:pPr>
            <w:r w:rsidRPr="009635B0">
              <w:rPr>
                <w:rFonts w:ascii="Times New Roman" w:hAnsi="Times New Roman"/>
                <w:color w:val="000000"/>
                <w:sz w:val="24"/>
                <w:szCs w:val="24"/>
              </w:rPr>
              <w:t>10 (12.2%)</w:t>
            </w:r>
          </w:p>
        </w:tc>
        <w:tc>
          <w:tcPr>
            <w:tcW w:w="1018" w:type="pct"/>
            <w:vAlign w:val="center"/>
          </w:tcPr>
          <w:p w14:paraId="0FE01EBE" w14:textId="6E12EA08" w:rsidR="0000788A" w:rsidRPr="009635B0" w:rsidRDefault="0000788A" w:rsidP="0000788A">
            <w:pPr>
              <w:jc w:val="center"/>
              <w:rPr>
                <w:rFonts w:ascii="Times New Roman" w:hAnsi="Times New Roman"/>
                <w:sz w:val="24"/>
                <w:szCs w:val="24"/>
                <w:lang w:val="en-US"/>
              </w:rPr>
            </w:pPr>
            <w:r w:rsidRPr="009635B0">
              <w:rPr>
                <w:rFonts w:ascii="Times New Roman" w:hAnsi="Times New Roman"/>
                <w:color w:val="000000"/>
                <w:sz w:val="24"/>
                <w:szCs w:val="24"/>
              </w:rPr>
              <w:t>149 (14.4%)</w:t>
            </w:r>
          </w:p>
        </w:tc>
        <w:tc>
          <w:tcPr>
            <w:tcW w:w="593" w:type="pct"/>
            <w:vAlign w:val="center"/>
          </w:tcPr>
          <w:p w14:paraId="24082B3A" w14:textId="66A935B5" w:rsidR="0000788A" w:rsidRPr="009635B0" w:rsidRDefault="0000788A" w:rsidP="0000788A">
            <w:pPr>
              <w:jc w:val="center"/>
              <w:rPr>
                <w:rFonts w:ascii="Times New Roman" w:hAnsi="Times New Roman"/>
                <w:sz w:val="24"/>
                <w:szCs w:val="24"/>
                <w:lang w:val="en-US"/>
              </w:rPr>
            </w:pPr>
            <w:r w:rsidRPr="009635B0">
              <w:rPr>
                <w:rFonts w:ascii="Times New Roman" w:hAnsi="Times New Roman"/>
                <w:sz w:val="24"/>
                <w:szCs w:val="24"/>
              </w:rPr>
              <w:t> </w:t>
            </w:r>
          </w:p>
        </w:tc>
      </w:tr>
      <w:tr w:rsidR="0000788A" w:rsidRPr="009635B0" w14:paraId="424730B3" w14:textId="77777777" w:rsidTr="00E203DA">
        <w:trPr>
          <w:trHeight w:val="20"/>
        </w:trPr>
        <w:tc>
          <w:tcPr>
            <w:tcW w:w="2310" w:type="pct"/>
            <w:vAlign w:val="center"/>
          </w:tcPr>
          <w:p w14:paraId="4F83D0ED" w14:textId="08E6ECDC" w:rsidR="0000788A" w:rsidRPr="009635B0" w:rsidRDefault="0000788A" w:rsidP="0000788A">
            <w:pPr>
              <w:rPr>
                <w:rFonts w:ascii="Times New Roman" w:hAnsi="Times New Roman"/>
                <w:sz w:val="24"/>
                <w:szCs w:val="24"/>
                <w:lang w:val="en-US"/>
              </w:rPr>
            </w:pPr>
            <w:r w:rsidRPr="009635B0">
              <w:rPr>
                <w:rFonts w:ascii="Times New Roman" w:hAnsi="Times New Roman"/>
                <w:color w:val="000000"/>
                <w:sz w:val="24"/>
                <w:szCs w:val="24"/>
              </w:rPr>
              <w:t xml:space="preserve">        Moderately Severe</w:t>
            </w:r>
          </w:p>
        </w:tc>
        <w:tc>
          <w:tcPr>
            <w:tcW w:w="1079" w:type="pct"/>
            <w:vAlign w:val="center"/>
          </w:tcPr>
          <w:p w14:paraId="0EF2F3A2" w14:textId="047E43E3" w:rsidR="0000788A" w:rsidRPr="009635B0" w:rsidRDefault="0000788A" w:rsidP="0000788A">
            <w:pPr>
              <w:jc w:val="center"/>
              <w:rPr>
                <w:rFonts w:ascii="Times New Roman" w:hAnsi="Times New Roman"/>
                <w:sz w:val="24"/>
                <w:szCs w:val="24"/>
                <w:lang w:val="en-US"/>
              </w:rPr>
            </w:pPr>
            <w:r w:rsidRPr="009635B0">
              <w:rPr>
                <w:rFonts w:ascii="Times New Roman" w:hAnsi="Times New Roman"/>
                <w:color w:val="000000"/>
                <w:sz w:val="24"/>
                <w:szCs w:val="24"/>
              </w:rPr>
              <w:t>20 (24.4%)</w:t>
            </w:r>
          </w:p>
        </w:tc>
        <w:tc>
          <w:tcPr>
            <w:tcW w:w="1018" w:type="pct"/>
            <w:vAlign w:val="center"/>
          </w:tcPr>
          <w:p w14:paraId="19795809" w14:textId="7AFF1ADA" w:rsidR="0000788A" w:rsidRPr="009635B0" w:rsidRDefault="0000788A" w:rsidP="0000788A">
            <w:pPr>
              <w:jc w:val="center"/>
              <w:rPr>
                <w:rFonts w:ascii="Times New Roman" w:hAnsi="Times New Roman"/>
                <w:sz w:val="24"/>
                <w:szCs w:val="24"/>
                <w:lang w:val="en-US"/>
              </w:rPr>
            </w:pPr>
            <w:r w:rsidRPr="009635B0">
              <w:rPr>
                <w:rFonts w:ascii="Times New Roman" w:hAnsi="Times New Roman"/>
                <w:color w:val="000000"/>
                <w:sz w:val="24"/>
                <w:szCs w:val="24"/>
              </w:rPr>
              <w:t>224 (21.6%)</w:t>
            </w:r>
          </w:p>
        </w:tc>
        <w:tc>
          <w:tcPr>
            <w:tcW w:w="593" w:type="pct"/>
            <w:vAlign w:val="center"/>
          </w:tcPr>
          <w:p w14:paraId="5F32FE00" w14:textId="27B610A9" w:rsidR="0000788A" w:rsidRPr="009635B0" w:rsidRDefault="0000788A" w:rsidP="0000788A">
            <w:pPr>
              <w:jc w:val="center"/>
              <w:rPr>
                <w:rFonts w:ascii="Times New Roman" w:hAnsi="Times New Roman"/>
                <w:sz w:val="24"/>
                <w:szCs w:val="24"/>
                <w:lang w:val="en-US"/>
              </w:rPr>
            </w:pPr>
            <w:r w:rsidRPr="009635B0">
              <w:rPr>
                <w:rFonts w:ascii="Times New Roman" w:hAnsi="Times New Roman"/>
                <w:sz w:val="24"/>
                <w:szCs w:val="24"/>
              </w:rPr>
              <w:t> </w:t>
            </w:r>
          </w:p>
        </w:tc>
      </w:tr>
      <w:tr w:rsidR="0000788A" w:rsidRPr="009635B0" w14:paraId="5B5E9C31" w14:textId="77777777" w:rsidTr="00E203DA">
        <w:trPr>
          <w:trHeight w:val="20"/>
        </w:trPr>
        <w:tc>
          <w:tcPr>
            <w:tcW w:w="2310" w:type="pct"/>
            <w:vAlign w:val="center"/>
          </w:tcPr>
          <w:p w14:paraId="452C833A" w14:textId="1E196BAC" w:rsidR="0000788A" w:rsidRPr="009635B0" w:rsidRDefault="0000788A" w:rsidP="0000788A">
            <w:pPr>
              <w:rPr>
                <w:rFonts w:ascii="Times New Roman" w:hAnsi="Times New Roman"/>
                <w:sz w:val="24"/>
                <w:szCs w:val="24"/>
                <w:lang w:val="en-US"/>
              </w:rPr>
            </w:pPr>
            <w:r w:rsidRPr="009635B0">
              <w:rPr>
                <w:rFonts w:ascii="Times New Roman" w:hAnsi="Times New Roman"/>
                <w:color w:val="000000"/>
                <w:sz w:val="24"/>
                <w:szCs w:val="24"/>
              </w:rPr>
              <w:t xml:space="preserve">        Severe</w:t>
            </w:r>
          </w:p>
        </w:tc>
        <w:tc>
          <w:tcPr>
            <w:tcW w:w="1079" w:type="pct"/>
            <w:vAlign w:val="center"/>
          </w:tcPr>
          <w:p w14:paraId="57B3334B" w14:textId="0EA9F9CA" w:rsidR="0000788A" w:rsidRPr="009635B0" w:rsidRDefault="0000788A" w:rsidP="0000788A">
            <w:pPr>
              <w:jc w:val="center"/>
              <w:rPr>
                <w:rFonts w:ascii="Times New Roman" w:hAnsi="Times New Roman"/>
                <w:sz w:val="24"/>
                <w:szCs w:val="24"/>
                <w:lang w:val="en-US"/>
              </w:rPr>
            </w:pPr>
            <w:r w:rsidRPr="009635B0">
              <w:rPr>
                <w:rFonts w:ascii="Times New Roman" w:hAnsi="Times New Roman"/>
                <w:color w:val="000000"/>
                <w:sz w:val="24"/>
                <w:szCs w:val="24"/>
              </w:rPr>
              <w:t>8 (9.8%)</w:t>
            </w:r>
          </w:p>
        </w:tc>
        <w:tc>
          <w:tcPr>
            <w:tcW w:w="1018" w:type="pct"/>
            <w:vAlign w:val="center"/>
          </w:tcPr>
          <w:p w14:paraId="10C39B51" w14:textId="29E07E6B" w:rsidR="0000788A" w:rsidRPr="009635B0" w:rsidRDefault="0000788A" w:rsidP="0000788A">
            <w:pPr>
              <w:jc w:val="center"/>
              <w:rPr>
                <w:rFonts w:ascii="Times New Roman" w:hAnsi="Times New Roman"/>
                <w:sz w:val="24"/>
                <w:szCs w:val="24"/>
                <w:lang w:val="en-US"/>
              </w:rPr>
            </w:pPr>
            <w:r w:rsidRPr="009635B0">
              <w:rPr>
                <w:rFonts w:ascii="Times New Roman" w:hAnsi="Times New Roman"/>
                <w:color w:val="000000"/>
                <w:sz w:val="24"/>
                <w:szCs w:val="24"/>
              </w:rPr>
              <w:t>253 (24.4%)</w:t>
            </w:r>
          </w:p>
        </w:tc>
        <w:tc>
          <w:tcPr>
            <w:tcW w:w="593" w:type="pct"/>
            <w:vAlign w:val="center"/>
          </w:tcPr>
          <w:p w14:paraId="3B2A2873" w14:textId="245EA604" w:rsidR="0000788A" w:rsidRPr="009635B0" w:rsidRDefault="0000788A" w:rsidP="0000788A">
            <w:pPr>
              <w:jc w:val="center"/>
              <w:rPr>
                <w:rFonts w:ascii="Times New Roman" w:hAnsi="Times New Roman"/>
                <w:sz w:val="24"/>
                <w:szCs w:val="24"/>
                <w:lang w:val="en-US"/>
              </w:rPr>
            </w:pPr>
            <w:r w:rsidRPr="009635B0">
              <w:rPr>
                <w:rFonts w:ascii="Times New Roman" w:hAnsi="Times New Roman"/>
                <w:sz w:val="24"/>
                <w:szCs w:val="24"/>
              </w:rPr>
              <w:t> </w:t>
            </w:r>
          </w:p>
        </w:tc>
      </w:tr>
      <w:tr w:rsidR="0000788A" w:rsidRPr="009635B0" w14:paraId="01832D67" w14:textId="77777777" w:rsidTr="00E203DA">
        <w:trPr>
          <w:trHeight w:val="20"/>
        </w:trPr>
        <w:tc>
          <w:tcPr>
            <w:tcW w:w="2310" w:type="pct"/>
            <w:tcBorders>
              <w:bottom w:val="single" w:sz="4" w:space="0" w:color="auto"/>
            </w:tcBorders>
          </w:tcPr>
          <w:p w14:paraId="72B28744" w14:textId="72838AB4" w:rsidR="0000788A" w:rsidRPr="009635B0" w:rsidRDefault="0000788A" w:rsidP="0000788A">
            <w:pPr>
              <w:rPr>
                <w:rFonts w:ascii="Times New Roman" w:hAnsi="Times New Roman"/>
                <w:sz w:val="24"/>
                <w:szCs w:val="24"/>
                <w:lang w:val="en-US"/>
              </w:rPr>
            </w:pPr>
            <w:r w:rsidRPr="009635B0">
              <w:rPr>
                <w:rFonts w:ascii="Times New Roman" w:hAnsi="Times New Roman"/>
                <w:sz w:val="24"/>
                <w:szCs w:val="24"/>
                <w:lang w:val="en-US"/>
              </w:rPr>
              <w:t>LVEF, mean ± SD, %</w:t>
            </w:r>
          </w:p>
        </w:tc>
        <w:tc>
          <w:tcPr>
            <w:tcW w:w="1079" w:type="pct"/>
            <w:tcBorders>
              <w:bottom w:val="single" w:sz="4" w:space="0" w:color="auto"/>
            </w:tcBorders>
            <w:vAlign w:val="center"/>
          </w:tcPr>
          <w:p w14:paraId="45FC3BAE" w14:textId="6BE35CCE" w:rsidR="0000788A" w:rsidRPr="009635B0" w:rsidRDefault="0000788A" w:rsidP="0000788A">
            <w:pPr>
              <w:jc w:val="center"/>
              <w:rPr>
                <w:rFonts w:ascii="Times New Roman" w:hAnsi="Times New Roman"/>
                <w:sz w:val="24"/>
                <w:szCs w:val="24"/>
                <w:lang w:val="en-US"/>
              </w:rPr>
            </w:pPr>
            <w:r w:rsidRPr="009635B0">
              <w:rPr>
                <w:rFonts w:ascii="Times New Roman" w:hAnsi="Times New Roman"/>
                <w:color w:val="000000"/>
                <w:sz w:val="24"/>
                <w:szCs w:val="24"/>
              </w:rPr>
              <w:t>51.6 ± 12.7</w:t>
            </w:r>
          </w:p>
        </w:tc>
        <w:tc>
          <w:tcPr>
            <w:tcW w:w="1018" w:type="pct"/>
            <w:tcBorders>
              <w:bottom w:val="single" w:sz="4" w:space="0" w:color="auto"/>
            </w:tcBorders>
            <w:vAlign w:val="center"/>
          </w:tcPr>
          <w:p w14:paraId="788A6557" w14:textId="306DDD0E" w:rsidR="0000788A" w:rsidRPr="009635B0" w:rsidRDefault="0000788A" w:rsidP="0000788A">
            <w:pPr>
              <w:jc w:val="center"/>
              <w:rPr>
                <w:rFonts w:ascii="Times New Roman" w:hAnsi="Times New Roman"/>
                <w:sz w:val="24"/>
                <w:szCs w:val="24"/>
                <w:lang w:val="en-US"/>
              </w:rPr>
            </w:pPr>
            <w:r w:rsidRPr="009635B0">
              <w:rPr>
                <w:rFonts w:ascii="Times New Roman" w:hAnsi="Times New Roman"/>
                <w:color w:val="000000"/>
                <w:sz w:val="24"/>
                <w:szCs w:val="24"/>
              </w:rPr>
              <w:t>52.4 ± 13</w:t>
            </w:r>
          </w:p>
        </w:tc>
        <w:tc>
          <w:tcPr>
            <w:tcW w:w="593" w:type="pct"/>
            <w:tcBorders>
              <w:bottom w:val="single" w:sz="4" w:space="0" w:color="auto"/>
            </w:tcBorders>
            <w:vAlign w:val="center"/>
          </w:tcPr>
          <w:p w14:paraId="793AB6AB" w14:textId="2B3838D1" w:rsidR="0000788A" w:rsidRPr="009635B0" w:rsidRDefault="0000788A" w:rsidP="0000788A">
            <w:pPr>
              <w:jc w:val="center"/>
              <w:rPr>
                <w:rFonts w:ascii="Times New Roman" w:hAnsi="Times New Roman"/>
                <w:sz w:val="24"/>
                <w:szCs w:val="24"/>
                <w:lang w:val="en-US"/>
              </w:rPr>
            </w:pPr>
            <w:r w:rsidRPr="009635B0">
              <w:rPr>
                <w:rFonts w:ascii="Times New Roman" w:hAnsi="Times New Roman"/>
                <w:color w:val="000000"/>
                <w:sz w:val="24"/>
                <w:szCs w:val="24"/>
              </w:rPr>
              <w:t>0.61</w:t>
            </w:r>
          </w:p>
        </w:tc>
      </w:tr>
    </w:tbl>
    <w:p w14:paraId="0250CCE9" w14:textId="77777777" w:rsidR="00775D5D" w:rsidRPr="009635B0" w:rsidRDefault="00775D5D" w:rsidP="00EC2E63">
      <w:pPr>
        <w:rPr>
          <w:rFonts w:ascii="Times New Roman" w:hAnsi="Times New Roman"/>
          <w:b/>
          <w:sz w:val="6"/>
          <w:lang w:val="en-US"/>
        </w:rPr>
      </w:pPr>
    </w:p>
    <w:p w14:paraId="6AD1A12B" w14:textId="0F75BE03" w:rsidR="00EC2E63" w:rsidRPr="00EC2E63" w:rsidRDefault="00EC2E63" w:rsidP="00EC2E63">
      <w:pPr>
        <w:rPr>
          <w:rFonts w:ascii="Times New Roman" w:hAnsi="Times New Roman"/>
          <w:lang w:val="en-US"/>
        </w:rPr>
        <w:sectPr w:rsidR="00EC2E63" w:rsidRPr="00EC2E63" w:rsidSect="00023EB2">
          <w:headerReference w:type="even" r:id="rId13"/>
          <w:headerReference w:type="default" r:id="rId14"/>
          <w:footerReference w:type="default" r:id="rId15"/>
          <w:type w:val="continuous"/>
          <w:pgSz w:w="12240" w:h="15840"/>
          <w:pgMar w:top="1440" w:right="1440" w:bottom="1440" w:left="1440" w:header="720" w:footer="720" w:gutter="0"/>
          <w:cols w:space="720"/>
          <w:docGrid w:linePitch="360"/>
        </w:sectPr>
      </w:pPr>
      <w:r w:rsidRPr="009635B0">
        <w:rPr>
          <w:rFonts w:ascii="Times New Roman" w:hAnsi="Times New Roman"/>
          <w:b/>
          <w:lang w:val="en-US"/>
        </w:rPr>
        <w:t xml:space="preserve">Legend: </w:t>
      </w:r>
      <w:r w:rsidR="003746C7" w:rsidRPr="009635B0">
        <w:rPr>
          <w:rFonts w:ascii="Times New Roman" w:hAnsi="Times New Roman"/>
          <w:lang w:val="en-US"/>
        </w:rPr>
        <w:t>EOA: effective orifice area;</w:t>
      </w:r>
      <w:r w:rsidR="003746C7" w:rsidRPr="009635B0">
        <w:rPr>
          <w:rFonts w:ascii="Times New Roman" w:hAnsi="Times New Roman"/>
          <w:b/>
          <w:lang w:val="en-US"/>
        </w:rPr>
        <w:t xml:space="preserve"> </w:t>
      </w:r>
      <w:r w:rsidRPr="009635B0">
        <w:rPr>
          <w:rFonts w:ascii="Times New Roman" w:hAnsi="Times New Roman"/>
          <w:lang w:val="en-US"/>
        </w:rPr>
        <w:t xml:space="preserve">LVEF: </w:t>
      </w:r>
      <w:r w:rsidR="00DB7426">
        <w:rPr>
          <w:rFonts w:ascii="Times New Roman" w:hAnsi="Times New Roman"/>
          <w:lang w:val="en-US"/>
        </w:rPr>
        <w:t>left ventricular</w:t>
      </w:r>
      <w:r w:rsidRPr="009635B0">
        <w:rPr>
          <w:rFonts w:ascii="Times New Roman" w:hAnsi="Times New Roman"/>
          <w:lang w:val="en-US"/>
        </w:rPr>
        <w:t xml:space="preserve"> ejection fraction; NYHA: New York Heart Association; SD: Standard Deviation; STS: Society of Thoracic Surgeon</w:t>
      </w:r>
      <w:r w:rsidR="00DB7426">
        <w:rPr>
          <w:rFonts w:ascii="Times New Roman" w:hAnsi="Times New Roman"/>
          <w:lang w:val="en-US"/>
        </w:rPr>
        <w:t>s</w:t>
      </w:r>
      <w:r w:rsidRPr="009635B0">
        <w:rPr>
          <w:rFonts w:ascii="Times New Roman" w:hAnsi="Times New Roman"/>
          <w:lang w:val="en-US"/>
        </w:rPr>
        <w:t>;</w:t>
      </w:r>
    </w:p>
    <w:p w14:paraId="016C2C64" w14:textId="77777777" w:rsidR="00C70F5A" w:rsidRDefault="00C70F5A">
      <w:pPr>
        <w:rPr>
          <w:rFonts w:ascii="Times New Roman" w:hAnsi="Times New Roman"/>
          <w:b/>
          <w:bCs/>
          <w:lang w:val="en-US"/>
        </w:rPr>
      </w:pPr>
      <w:r>
        <w:rPr>
          <w:rFonts w:ascii="Times New Roman" w:hAnsi="Times New Roman"/>
          <w:lang w:val="en-US"/>
        </w:rPr>
        <w:lastRenderedPageBreak/>
        <w:br w:type="page"/>
      </w:r>
    </w:p>
    <w:p w14:paraId="10C6A4FC" w14:textId="02EB5787" w:rsidR="00D4471B" w:rsidRDefault="0000788A" w:rsidP="00D4471B">
      <w:pPr>
        <w:pStyle w:val="Caption"/>
        <w:keepNext/>
        <w:rPr>
          <w:rFonts w:ascii="Times New Roman" w:hAnsi="Times New Roman"/>
          <w:b w:val="0"/>
          <w:color w:val="auto"/>
          <w:sz w:val="24"/>
          <w:szCs w:val="24"/>
          <w:lang w:val="en-US"/>
        </w:rPr>
      </w:pPr>
      <w:r w:rsidRPr="00EC2E63">
        <w:rPr>
          <w:rFonts w:ascii="Times New Roman" w:hAnsi="Times New Roman"/>
          <w:color w:val="auto"/>
          <w:sz w:val="24"/>
          <w:szCs w:val="24"/>
          <w:lang w:val="en-US"/>
        </w:rPr>
        <w:lastRenderedPageBreak/>
        <w:t>TABLE 2</w:t>
      </w:r>
      <w:r w:rsidR="00D4471B" w:rsidRPr="00EC2E63">
        <w:rPr>
          <w:rFonts w:ascii="Times New Roman" w:hAnsi="Times New Roman"/>
          <w:color w:val="auto"/>
          <w:sz w:val="24"/>
          <w:szCs w:val="24"/>
          <w:lang w:val="en-US"/>
        </w:rPr>
        <w:t xml:space="preserve"> - </w:t>
      </w:r>
      <w:r w:rsidR="004B5E6C">
        <w:rPr>
          <w:rFonts w:ascii="Times New Roman" w:hAnsi="Times New Roman"/>
          <w:b w:val="0"/>
          <w:color w:val="auto"/>
          <w:sz w:val="24"/>
          <w:szCs w:val="24"/>
          <w:lang w:val="en-US"/>
        </w:rPr>
        <w:t>ViV procedural characteristics a</w:t>
      </w:r>
      <w:r w:rsidR="00D4471B" w:rsidRPr="00EC2E63">
        <w:rPr>
          <w:rFonts w:ascii="Times New Roman" w:hAnsi="Times New Roman"/>
          <w:b w:val="0"/>
          <w:color w:val="auto"/>
          <w:sz w:val="24"/>
          <w:szCs w:val="24"/>
          <w:lang w:val="en-US"/>
        </w:rPr>
        <w:t xml:space="preserve">ccording to </w:t>
      </w:r>
      <w:r w:rsidR="004B5E6C">
        <w:rPr>
          <w:rFonts w:ascii="Times New Roman" w:hAnsi="Times New Roman"/>
          <w:b w:val="0"/>
          <w:color w:val="auto"/>
          <w:sz w:val="24"/>
          <w:szCs w:val="24"/>
          <w:lang w:val="en-US"/>
        </w:rPr>
        <w:t>p</w:t>
      </w:r>
      <w:r w:rsidR="00D4471B" w:rsidRPr="00EC2E63">
        <w:rPr>
          <w:rFonts w:ascii="Times New Roman" w:hAnsi="Times New Roman"/>
          <w:b w:val="0"/>
          <w:color w:val="auto"/>
          <w:sz w:val="24"/>
          <w:szCs w:val="24"/>
          <w:lang w:val="en-US"/>
        </w:rPr>
        <w:t xml:space="preserve">re-existent </w:t>
      </w:r>
      <w:r w:rsidR="004B5E6C">
        <w:rPr>
          <w:rFonts w:ascii="Times New Roman" w:hAnsi="Times New Roman"/>
          <w:b w:val="0"/>
          <w:color w:val="auto"/>
          <w:sz w:val="24"/>
          <w:szCs w:val="24"/>
          <w:lang w:val="en-US"/>
        </w:rPr>
        <w:t>PPM.</w:t>
      </w:r>
    </w:p>
    <w:tbl>
      <w:tblPr>
        <w:tblW w:w="11505" w:type="dxa"/>
        <w:tblInd w:w="-882" w:type="dxa"/>
        <w:tblLook w:val="04A0" w:firstRow="1" w:lastRow="0" w:firstColumn="1" w:lastColumn="0" w:noHBand="0" w:noVBand="1"/>
      </w:tblPr>
      <w:tblGrid>
        <w:gridCol w:w="4155"/>
        <w:gridCol w:w="2872"/>
        <w:gridCol w:w="2873"/>
        <w:gridCol w:w="1605"/>
      </w:tblGrid>
      <w:tr w:rsidR="00757D30" w:rsidRPr="00761FB9" w14:paraId="40D99B81" w14:textId="77777777" w:rsidTr="00384ACA">
        <w:trPr>
          <w:trHeight w:val="300"/>
        </w:trPr>
        <w:tc>
          <w:tcPr>
            <w:tcW w:w="4155" w:type="dxa"/>
            <w:vMerge w:val="restart"/>
            <w:tcBorders>
              <w:top w:val="single" w:sz="8" w:space="0" w:color="auto"/>
              <w:left w:val="nil"/>
              <w:bottom w:val="single" w:sz="8" w:space="0" w:color="000000"/>
              <w:right w:val="nil"/>
            </w:tcBorders>
            <w:shd w:val="clear" w:color="auto" w:fill="auto"/>
            <w:vAlign w:val="center"/>
            <w:hideMark/>
          </w:tcPr>
          <w:p w14:paraId="471383AE" w14:textId="77777777" w:rsidR="00761FB9" w:rsidRPr="00761FB9" w:rsidRDefault="00761FB9" w:rsidP="00761FB9">
            <w:pPr>
              <w:jc w:val="center"/>
              <w:rPr>
                <w:rFonts w:ascii="Times New Roman" w:eastAsia="Times New Roman" w:hAnsi="Times New Roman"/>
                <w:b/>
                <w:bCs/>
                <w:color w:val="000000"/>
                <w:lang w:val="en-US"/>
              </w:rPr>
            </w:pPr>
            <w:r w:rsidRPr="00761FB9">
              <w:rPr>
                <w:rFonts w:ascii="Times New Roman" w:eastAsia="Times New Roman" w:hAnsi="Times New Roman"/>
                <w:b/>
                <w:bCs/>
                <w:color w:val="000000"/>
                <w:lang w:val="en-US"/>
              </w:rPr>
              <w:t>Procedural Characteristics</w:t>
            </w:r>
          </w:p>
        </w:tc>
        <w:tc>
          <w:tcPr>
            <w:tcW w:w="2872" w:type="dxa"/>
            <w:tcBorders>
              <w:top w:val="single" w:sz="8" w:space="0" w:color="auto"/>
              <w:left w:val="nil"/>
              <w:bottom w:val="nil"/>
              <w:right w:val="nil"/>
            </w:tcBorders>
            <w:shd w:val="clear" w:color="auto" w:fill="auto"/>
            <w:vAlign w:val="center"/>
            <w:hideMark/>
          </w:tcPr>
          <w:p w14:paraId="52AF8566" w14:textId="77777777" w:rsidR="00761FB9" w:rsidRPr="00761FB9" w:rsidRDefault="00761FB9" w:rsidP="00761FB9">
            <w:pPr>
              <w:jc w:val="center"/>
              <w:rPr>
                <w:rFonts w:ascii="Times New Roman" w:eastAsia="Times New Roman" w:hAnsi="Times New Roman"/>
                <w:b/>
                <w:bCs/>
                <w:color w:val="000000"/>
                <w:lang w:val="en-US"/>
              </w:rPr>
            </w:pPr>
            <w:r w:rsidRPr="00761FB9">
              <w:rPr>
                <w:rFonts w:ascii="Times New Roman" w:eastAsia="Times New Roman" w:hAnsi="Times New Roman"/>
                <w:b/>
                <w:bCs/>
                <w:color w:val="000000"/>
                <w:lang w:val="en-US"/>
              </w:rPr>
              <w:t>Severe PPM</w:t>
            </w:r>
          </w:p>
        </w:tc>
        <w:tc>
          <w:tcPr>
            <w:tcW w:w="2873" w:type="dxa"/>
            <w:tcBorders>
              <w:top w:val="single" w:sz="8" w:space="0" w:color="auto"/>
              <w:left w:val="nil"/>
              <w:bottom w:val="nil"/>
              <w:right w:val="nil"/>
            </w:tcBorders>
            <w:shd w:val="clear" w:color="auto" w:fill="auto"/>
            <w:vAlign w:val="center"/>
            <w:hideMark/>
          </w:tcPr>
          <w:p w14:paraId="329D7611" w14:textId="77777777" w:rsidR="00761FB9" w:rsidRPr="00761FB9" w:rsidRDefault="00761FB9" w:rsidP="00761FB9">
            <w:pPr>
              <w:jc w:val="center"/>
              <w:rPr>
                <w:rFonts w:ascii="Times New Roman" w:eastAsia="Times New Roman" w:hAnsi="Times New Roman"/>
                <w:b/>
                <w:bCs/>
                <w:color w:val="000000"/>
                <w:lang w:val="en-US"/>
              </w:rPr>
            </w:pPr>
            <w:r w:rsidRPr="00761FB9">
              <w:rPr>
                <w:rFonts w:ascii="Times New Roman" w:eastAsia="Times New Roman" w:hAnsi="Times New Roman"/>
                <w:b/>
                <w:bCs/>
                <w:color w:val="000000"/>
                <w:lang w:val="en-US"/>
              </w:rPr>
              <w:t>No/Moderate PPM</w:t>
            </w:r>
          </w:p>
        </w:tc>
        <w:tc>
          <w:tcPr>
            <w:tcW w:w="1605" w:type="dxa"/>
            <w:vMerge w:val="restart"/>
            <w:tcBorders>
              <w:top w:val="single" w:sz="8" w:space="0" w:color="auto"/>
              <w:left w:val="nil"/>
              <w:bottom w:val="single" w:sz="8" w:space="0" w:color="000000"/>
              <w:right w:val="nil"/>
            </w:tcBorders>
            <w:shd w:val="clear" w:color="auto" w:fill="auto"/>
            <w:vAlign w:val="center"/>
            <w:hideMark/>
          </w:tcPr>
          <w:p w14:paraId="5DC7461C" w14:textId="77777777" w:rsidR="00761FB9" w:rsidRPr="00761FB9" w:rsidRDefault="00761FB9" w:rsidP="00384ACA">
            <w:pPr>
              <w:ind w:left="-108"/>
              <w:jc w:val="center"/>
              <w:rPr>
                <w:rFonts w:ascii="Times New Roman" w:eastAsia="Times New Roman" w:hAnsi="Times New Roman"/>
                <w:b/>
                <w:bCs/>
                <w:color w:val="000000"/>
                <w:lang w:val="en-US"/>
              </w:rPr>
            </w:pPr>
            <w:r w:rsidRPr="00761FB9">
              <w:rPr>
                <w:rFonts w:ascii="Times New Roman" w:eastAsia="Times New Roman" w:hAnsi="Times New Roman"/>
                <w:b/>
                <w:bCs/>
                <w:color w:val="000000"/>
                <w:lang w:val="en-US"/>
              </w:rPr>
              <w:t>p Value</w:t>
            </w:r>
          </w:p>
        </w:tc>
      </w:tr>
      <w:tr w:rsidR="00757D30" w:rsidRPr="00761FB9" w14:paraId="37E7D0E8" w14:textId="77777777" w:rsidTr="00384ACA">
        <w:trPr>
          <w:trHeight w:val="320"/>
        </w:trPr>
        <w:tc>
          <w:tcPr>
            <w:tcW w:w="4155" w:type="dxa"/>
            <w:vMerge/>
            <w:tcBorders>
              <w:top w:val="single" w:sz="8" w:space="0" w:color="auto"/>
              <w:left w:val="nil"/>
              <w:bottom w:val="single" w:sz="8" w:space="0" w:color="000000"/>
              <w:right w:val="nil"/>
            </w:tcBorders>
            <w:vAlign w:val="center"/>
            <w:hideMark/>
          </w:tcPr>
          <w:p w14:paraId="772F7CF3" w14:textId="77777777" w:rsidR="00761FB9" w:rsidRPr="00761FB9" w:rsidRDefault="00761FB9" w:rsidP="00761FB9">
            <w:pPr>
              <w:rPr>
                <w:rFonts w:ascii="Times New Roman" w:eastAsia="Times New Roman" w:hAnsi="Times New Roman"/>
                <w:b/>
                <w:bCs/>
                <w:color w:val="000000"/>
                <w:lang w:val="en-US"/>
              </w:rPr>
            </w:pPr>
          </w:p>
        </w:tc>
        <w:tc>
          <w:tcPr>
            <w:tcW w:w="2872" w:type="dxa"/>
            <w:tcBorders>
              <w:top w:val="nil"/>
              <w:left w:val="nil"/>
              <w:bottom w:val="single" w:sz="8" w:space="0" w:color="auto"/>
              <w:right w:val="nil"/>
            </w:tcBorders>
            <w:shd w:val="clear" w:color="auto" w:fill="auto"/>
            <w:vAlign w:val="center"/>
            <w:hideMark/>
          </w:tcPr>
          <w:p w14:paraId="73D9755A" w14:textId="77777777" w:rsidR="00761FB9" w:rsidRPr="00761FB9" w:rsidRDefault="00761FB9" w:rsidP="00761FB9">
            <w:pPr>
              <w:jc w:val="center"/>
              <w:rPr>
                <w:rFonts w:ascii="Times New Roman" w:eastAsia="Times New Roman" w:hAnsi="Times New Roman"/>
                <w:b/>
                <w:bCs/>
                <w:color w:val="000000"/>
                <w:lang w:val="en-US"/>
              </w:rPr>
            </w:pPr>
            <w:r w:rsidRPr="00761FB9">
              <w:rPr>
                <w:rFonts w:ascii="Times New Roman" w:eastAsia="Times New Roman" w:hAnsi="Times New Roman"/>
                <w:b/>
                <w:bCs/>
                <w:color w:val="000000"/>
                <w:lang w:val="en-US"/>
              </w:rPr>
              <w:t>(n = 89)</w:t>
            </w:r>
          </w:p>
        </w:tc>
        <w:tc>
          <w:tcPr>
            <w:tcW w:w="2873" w:type="dxa"/>
            <w:tcBorders>
              <w:top w:val="nil"/>
              <w:left w:val="nil"/>
              <w:bottom w:val="single" w:sz="8" w:space="0" w:color="auto"/>
              <w:right w:val="nil"/>
            </w:tcBorders>
            <w:shd w:val="clear" w:color="auto" w:fill="auto"/>
            <w:vAlign w:val="center"/>
            <w:hideMark/>
          </w:tcPr>
          <w:p w14:paraId="7878004B" w14:textId="77777777" w:rsidR="00761FB9" w:rsidRPr="00761FB9" w:rsidRDefault="00761FB9" w:rsidP="00761FB9">
            <w:pPr>
              <w:jc w:val="center"/>
              <w:rPr>
                <w:rFonts w:ascii="Times New Roman" w:eastAsia="Times New Roman" w:hAnsi="Times New Roman"/>
                <w:b/>
                <w:bCs/>
                <w:color w:val="000000"/>
                <w:lang w:val="en-US"/>
              </w:rPr>
            </w:pPr>
            <w:r w:rsidRPr="00761FB9">
              <w:rPr>
                <w:rFonts w:ascii="Times New Roman" w:eastAsia="Times New Roman" w:hAnsi="Times New Roman"/>
                <w:b/>
                <w:bCs/>
                <w:color w:val="000000"/>
                <w:lang w:val="en-US"/>
              </w:rPr>
              <w:t xml:space="preserve"> (n =1079)</w:t>
            </w:r>
          </w:p>
        </w:tc>
        <w:tc>
          <w:tcPr>
            <w:tcW w:w="1605" w:type="dxa"/>
            <w:vMerge/>
            <w:tcBorders>
              <w:top w:val="single" w:sz="8" w:space="0" w:color="auto"/>
              <w:left w:val="nil"/>
              <w:bottom w:val="single" w:sz="8" w:space="0" w:color="000000"/>
              <w:right w:val="nil"/>
            </w:tcBorders>
            <w:vAlign w:val="center"/>
            <w:hideMark/>
          </w:tcPr>
          <w:p w14:paraId="2EB02E2A" w14:textId="77777777" w:rsidR="00761FB9" w:rsidRPr="00761FB9" w:rsidRDefault="00761FB9" w:rsidP="00384ACA">
            <w:pPr>
              <w:ind w:left="-108"/>
              <w:rPr>
                <w:rFonts w:ascii="Times New Roman" w:eastAsia="Times New Roman" w:hAnsi="Times New Roman"/>
                <w:b/>
                <w:bCs/>
                <w:color w:val="000000"/>
                <w:lang w:val="en-US"/>
              </w:rPr>
            </w:pPr>
          </w:p>
        </w:tc>
      </w:tr>
      <w:tr w:rsidR="00757D30" w:rsidRPr="00761FB9" w14:paraId="31929BE0" w14:textId="77777777" w:rsidTr="00384ACA">
        <w:trPr>
          <w:trHeight w:val="300"/>
        </w:trPr>
        <w:tc>
          <w:tcPr>
            <w:tcW w:w="4155" w:type="dxa"/>
            <w:tcBorders>
              <w:top w:val="single" w:sz="8" w:space="0" w:color="auto"/>
              <w:left w:val="nil"/>
              <w:bottom w:val="nil"/>
              <w:right w:val="nil"/>
            </w:tcBorders>
            <w:shd w:val="clear" w:color="auto" w:fill="auto"/>
            <w:vAlign w:val="center"/>
            <w:hideMark/>
          </w:tcPr>
          <w:p w14:paraId="53463157" w14:textId="77777777" w:rsidR="00761FB9" w:rsidRPr="00761FB9" w:rsidRDefault="00761FB9" w:rsidP="00761FB9">
            <w:pPr>
              <w:rPr>
                <w:rFonts w:ascii="Times New Roman" w:eastAsia="Times New Roman" w:hAnsi="Times New Roman"/>
                <w:color w:val="000000"/>
                <w:lang w:val="en-US"/>
              </w:rPr>
            </w:pPr>
            <w:r w:rsidRPr="00761FB9">
              <w:rPr>
                <w:rFonts w:ascii="Times New Roman" w:eastAsia="Times New Roman" w:hAnsi="Times New Roman"/>
                <w:color w:val="000000"/>
                <w:lang w:val="en-US"/>
              </w:rPr>
              <w:t>THV Type</w:t>
            </w:r>
          </w:p>
        </w:tc>
        <w:tc>
          <w:tcPr>
            <w:tcW w:w="2872" w:type="dxa"/>
            <w:tcBorders>
              <w:top w:val="single" w:sz="8" w:space="0" w:color="auto"/>
              <w:left w:val="nil"/>
              <w:bottom w:val="nil"/>
              <w:right w:val="nil"/>
            </w:tcBorders>
            <w:shd w:val="clear" w:color="auto" w:fill="auto"/>
            <w:vAlign w:val="center"/>
            <w:hideMark/>
          </w:tcPr>
          <w:p w14:paraId="46DFC75F" w14:textId="77777777" w:rsidR="00761FB9" w:rsidRPr="00761FB9" w:rsidRDefault="00761FB9" w:rsidP="00761FB9">
            <w:pPr>
              <w:jc w:val="center"/>
              <w:rPr>
                <w:rFonts w:ascii="Times New Roman" w:eastAsia="Times New Roman" w:hAnsi="Times New Roman"/>
                <w:color w:val="000000"/>
                <w:lang w:val="en-US"/>
              </w:rPr>
            </w:pPr>
            <w:r w:rsidRPr="00761FB9">
              <w:rPr>
                <w:rFonts w:ascii="Times New Roman" w:eastAsia="Times New Roman" w:hAnsi="Times New Roman"/>
                <w:color w:val="000000"/>
                <w:lang w:val="en-US"/>
              </w:rPr>
              <w:t> </w:t>
            </w:r>
          </w:p>
        </w:tc>
        <w:tc>
          <w:tcPr>
            <w:tcW w:w="2873" w:type="dxa"/>
            <w:tcBorders>
              <w:top w:val="single" w:sz="8" w:space="0" w:color="auto"/>
              <w:left w:val="nil"/>
              <w:bottom w:val="nil"/>
              <w:right w:val="nil"/>
            </w:tcBorders>
            <w:shd w:val="clear" w:color="auto" w:fill="auto"/>
            <w:vAlign w:val="center"/>
            <w:hideMark/>
          </w:tcPr>
          <w:p w14:paraId="11F06F84" w14:textId="77777777" w:rsidR="00761FB9" w:rsidRPr="00761FB9" w:rsidRDefault="00761FB9" w:rsidP="00761FB9">
            <w:pPr>
              <w:jc w:val="center"/>
              <w:rPr>
                <w:rFonts w:ascii="Times New Roman" w:eastAsia="Times New Roman" w:hAnsi="Times New Roman"/>
                <w:color w:val="000000"/>
                <w:lang w:val="en-US"/>
              </w:rPr>
            </w:pPr>
            <w:r w:rsidRPr="00761FB9">
              <w:rPr>
                <w:rFonts w:ascii="Times New Roman" w:eastAsia="Times New Roman" w:hAnsi="Times New Roman"/>
                <w:color w:val="000000"/>
                <w:lang w:val="en-US"/>
              </w:rPr>
              <w:t> </w:t>
            </w:r>
          </w:p>
        </w:tc>
        <w:tc>
          <w:tcPr>
            <w:tcW w:w="1605" w:type="dxa"/>
            <w:tcBorders>
              <w:top w:val="nil"/>
              <w:left w:val="nil"/>
              <w:bottom w:val="nil"/>
              <w:right w:val="nil"/>
            </w:tcBorders>
            <w:shd w:val="clear" w:color="auto" w:fill="auto"/>
            <w:vAlign w:val="center"/>
            <w:hideMark/>
          </w:tcPr>
          <w:p w14:paraId="4FF2D2ED" w14:textId="77777777" w:rsidR="00761FB9" w:rsidRPr="00761FB9" w:rsidRDefault="00761FB9" w:rsidP="00384ACA">
            <w:pPr>
              <w:ind w:left="-108"/>
              <w:jc w:val="center"/>
              <w:rPr>
                <w:rFonts w:ascii="Times New Roman" w:eastAsia="Times New Roman" w:hAnsi="Times New Roman"/>
                <w:color w:val="000000"/>
                <w:lang w:val="en-US"/>
              </w:rPr>
            </w:pPr>
            <w:r w:rsidRPr="00761FB9">
              <w:rPr>
                <w:rFonts w:ascii="Times New Roman" w:eastAsia="Times New Roman" w:hAnsi="Times New Roman"/>
                <w:color w:val="000000"/>
                <w:lang w:val="en-US"/>
              </w:rPr>
              <w:t>&lt; 0.001</w:t>
            </w:r>
          </w:p>
        </w:tc>
      </w:tr>
      <w:tr w:rsidR="00757D30" w:rsidRPr="00761FB9" w14:paraId="02459A69" w14:textId="77777777" w:rsidTr="00384ACA">
        <w:trPr>
          <w:trHeight w:val="300"/>
        </w:trPr>
        <w:tc>
          <w:tcPr>
            <w:tcW w:w="4155" w:type="dxa"/>
            <w:tcBorders>
              <w:top w:val="nil"/>
              <w:left w:val="nil"/>
              <w:bottom w:val="nil"/>
              <w:right w:val="nil"/>
            </w:tcBorders>
            <w:shd w:val="clear" w:color="auto" w:fill="auto"/>
            <w:vAlign w:val="center"/>
            <w:hideMark/>
          </w:tcPr>
          <w:p w14:paraId="6072A8AE" w14:textId="7EE8F177" w:rsidR="00761FB9" w:rsidRPr="00761FB9" w:rsidRDefault="00761FB9" w:rsidP="00761FB9">
            <w:pPr>
              <w:rPr>
                <w:rFonts w:ascii="Times New Roman" w:eastAsia="Times New Roman" w:hAnsi="Times New Roman"/>
                <w:color w:val="000000"/>
                <w:lang w:val="en-US"/>
              </w:rPr>
            </w:pPr>
            <w:r w:rsidRPr="00761FB9">
              <w:rPr>
                <w:rFonts w:ascii="Times New Roman" w:eastAsia="Times New Roman" w:hAnsi="Times New Roman"/>
                <w:color w:val="000000"/>
                <w:lang w:val="en-US"/>
              </w:rPr>
              <w:t xml:space="preserve">     CoreValve</w:t>
            </w:r>
            <w:r w:rsidR="00E87472">
              <w:rPr>
                <w:rFonts w:ascii="Times New Roman" w:eastAsia="Times New Roman" w:hAnsi="Times New Roman"/>
                <w:color w:val="000000"/>
                <w:lang w:val="en-US"/>
              </w:rPr>
              <w:t>/Evolut</w:t>
            </w:r>
            <w:r w:rsidRPr="00761FB9">
              <w:rPr>
                <w:rFonts w:ascii="Times New Roman" w:eastAsia="Times New Roman" w:hAnsi="Times New Roman"/>
                <w:color w:val="000000"/>
                <w:lang w:val="en-US"/>
              </w:rPr>
              <w:t>, n (%)</w:t>
            </w:r>
          </w:p>
        </w:tc>
        <w:tc>
          <w:tcPr>
            <w:tcW w:w="2872" w:type="dxa"/>
            <w:tcBorders>
              <w:top w:val="nil"/>
              <w:left w:val="nil"/>
              <w:bottom w:val="nil"/>
              <w:right w:val="nil"/>
            </w:tcBorders>
            <w:shd w:val="clear" w:color="auto" w:fill="auto"/>
            <w:vAlign w:val="center"/>
            <w:hideMark/>
          </w:tcPr>
          <w:p w14:paraId="29BDFFEB" w14:textId="77777777" w:rsidR="00761FB9" w:rsidRPr="00761FB9" w:rsidRDefault="00761FB9" w:rsidP="00761FB9">
            <w:pPr>
              <w:jc w:val="center"/>
              <w:rPr>
                <w:rFonts w:ascii="Times New Roman" w:eastAsia="Times New Roman" w:hAnsi="Times New Roman"/>
                <w:color w:val="000000"/>
                <w:lang w:val="en-US"/>
              </w:rPr>
            </w:pPr>
            <w:r w:rsidRPr="00761FB9">
              <w:rPr>
                <w:rFonts w:ascii="Times New Roman" w:eastAsia="Times New Roman" w:hAnsi="Times New Roman"/>
                <w:color w:val="000000"/>
                <w:lang w:val="en-US"/>
              </w:rPr>
              <w:t>63 (70.8%)</w:t>
            </w:r>
          </w:p>
        </w:tc>
        <w:tc>
          <w:tcPr>
            <w:tcW w:w="2873" w:type="dxa"/>
            <w:tcBorders>
              <w:top w:val="nil"/>
              <w:left w:val="nil"/>
              <w:bottom w:val="nil"/>
              <w:right w:val="nil"/>
            </w:tcBorders>
            <w:shd w:val="clear" w:color="auto" w:fill="auto"/>
            <w:vAlign w:val="center"/>
            <w:hideMark/>
          </w:tcPr>
          <w:p w14:paraId="790F92A4" w14:textId="77777777" w:rsidR="00761FB9" w:rsidRPr="00761FB9" w:rsidRDefault="00761FB9" w:rsidP="00761FB9">
            <w:pPr>
              <w:jc w:val="center"/>
              <w:rPr>
                <w:rFonts w:ascii="Times New Roman" w:eastAsia="Times New Roman" w:hAnsi="Times New Roman"/>
                <w:color w:val="000000"/>
                <w:lang w:val="en-US"/>
              </w:rPr>
            </w:pPr>
            <w:r w:rsidRPr="00761FB9">
              <w:rPr>
                <w:rFonts w:ascii="Times New Roman" w:eastAsia="Times New Roman" w:hAnsi="Times New Roman"/>
                <w:color w:val="000000"/>
                <w:lang w:val="en-US"/>
              </w:rPr>
              <w:t>516 (47.8%)</w:t>
            </w:r>
          </w:p>
        </w:tc>
        <w:tc>
          <w:tcPr>
            <w:tcW w:w="1605" w:type="dxa"/>
            <w:tcBorders>
              <w:top w:val="nil"/>
              <w:left w:val="nil"/>
              <w:bottom w:val="nil"/>
              <w:right w:val="nil"/>
            </w:tcBorders>
            <w:shd w:val="clear" w:color="auto" w:fill="auto"/>
            <w:vAlign w:val="center"/>
            <w:hideMark/>
          </w:tcPr>
          <w:p w14:paraId="6579873A" w14:textId="77777777" w:rsidR="00761FB9" w:rsidRPr="00761FB9" w:rsidRDefault="00761FB9" w:rsidP="00384ACA">
            <w:pPr>
              <w:ind w:left="-108"/>
              <w:jc w:val="center"/>
              <w:rPr>
                <w:rFonts w:ascii="Times New Roman" w:eastAsia="Times New Roman" w:hAnsi="Times New Roman"/>
                <w:color w:val="000000"/>
                <w:lang w:val="en-US"/>
              </w:rPr>
            </w:pPr>
          </w:p>
        </w:tc>
      </w:tr>
      <w:tr w:rsidR="00757D30" w:rsidRPr="00761FB9" w14:paraId="55A584AE" w14:textId="77777777" w:rsidTr="00384ACA">
        <w:trPr>
          <w:trHeight w:val="300"/>
        </w:trPr>
        <w:tc>
          <w:tcPr>
            <w:tcW w:w="4155" w:type="dxa"/>
            <w:tcBorders>
              <w:top w:val="nil"/>
              <w:left w:val="nil"/>
              <w:bottom w:val="nil"/>
              <w:right w:val="nil"/>
            </w:tcBorders>
            <w:shd w:val="clear" w:color="auto" w:fill="auto"/>
            <w:vAlign w:val="center"/>
            <w:hideMark/>
          </w:tcPr>
          <w:p w14:paraId="4341558F" w14:textId="77777777" w:rsidR="00761FB9" w:rsidRPr="00761FB9" w:rsidRDefault="00761FB9" w:rsidP="00761FB9">
            <w:pPr>
              <w:rPr>
                <w:rFonts w:ascii="Times New Roman" w:eastAsia="Times New Roman" w:hAnsi="Times New Roman"/>
                <w:color w:val="000000"/>
                <w:lang w:val="en-US"/>
              </w:rPr>
            </w:pPr>
            <w:r w:rsidRPr="00761FB9">
              <w:rPr>
                <w:rFonts w:ascii="Times New Roman" w:eastAsia="Times New Roman" w:hAnsi="Times New Roman"/>
                <w:color w:val="000000"/>
                <w:lang w:val="en-US"/>
              </w:rPr>
              <w:t xml:space="preserve">     SAPIEN/SXT/S3, n (%)  </w:t>
            </w:r>
          </w:p>
        </w:tc>
        <w:tc>
          <w:tcPr>
            <w:tcW w:w="2872" w:type="dxa"/>
            <w:tcBorders>
              <w:top w:val="nil"/>
              <w:left w:val="nil"/>
              <w:bottom w:val="nil"/>
              <w:right w:val="nil"/>
            </w:tcBorders>
            <w:shd w:val="clear" w:color="auto" w:fill="auto"/>
            <w:vAlign w:val="center"/>
            <w:hideMark/>
          </w:tcPr>
          <w:p w14:paraId="3C7C1742" w14:textId="77777777" w:rsidR="00761FB9" w:rsidRPr="00761FB9" w:rsidRDefault="00761FB9" w:rsidP="00761FB9">
            <w:pPr>
              <w:jc w:val="center"/>
              <w:rPr>
                <w:rFonts w:ascii="Times New Roman" w:eastAsia="Times New Roman" w:hAnsi="Times New Roman"/>
                <w:color w:val="000000"/>
                <w:lang w:val="en-US"/>
              </w:rPr>
            </w:pPr>
            <w:r w:rsidRPr="00761FB9">
              <w:rPr>
                <w:rFonts w:ascii="Times New Roman" w:eastAsia="Times New Roman" w:hAnsi="Times New Roman"/>
                <w:color w:val="000000"/>
                <w:lang w:val="en-US"/>
              </w:rPr>
              <w:t>25 (28.1%)</w:t>
            </w:r>
          </w:p>
        </w:tc>
        <w:tc>
          <w:tcPr>
            <w:tcW w:w="2873" w:type="dxa"/>
            <w:tcBorders>
              <w:top w:val="nil"/>
              <w:left w:val="nil"/>
              <w:bottom w:val="nil"/>
              <w:right w:val="nil"/>
            </w:tcBorders>
            <w:shd w:val="clear" w:color="auto" w:fill="auto"/>
            <w:vAlign w:val="center"/>
            <w:hideMark/>
          </w:tcPr>
          <w:p w14:paraId="7F951451" w14:textId="77777777" w:rsidR="00761FB9" w:rsidRPr="00761FB9" w:rsidRDefault="00761FB9" w:rsidP="00761FB9">
            <w:pPr>
              <w:jc w:val="center"/>
              <w:rPr>
                <w:rFonts w:ascii="Times New Roman" w:eastAsia="Times New Roman" w:hAnsi="Times New Roman"/>
                <w:color w:val="000000"/>
                <w:lang w:val="en-US"/>
              </w:rPr>
            </w:pPr>
            <w:r w:rsidRPr="00761FB9">
              <w:rPr>
                <w:rFonts w:ascii="Times New Roman" w:eastAsia="Times New Roman" w:hAnsi="Times New Roman"/>
                <w:color w:val="000000"/>
                <w:lang w:val="en-US"/>
              </w:rPr>
              <w:t>507 (47%)</w:t>
            </w:r>
          </w:p>
        </w:tc>
        <w:tc>
          <w:tcPr>
            <w:tcW w:w="1605" w:type="dxa"/>
            <w:tcBorders>
              <w:top w:val="nil"/>
              <w:left w:val="nil"/>
              <w:bottom w:val="nil"/>
              <w:right w:val="nil"/>
            </w:tcBorders>
            <w:shd w:val="clear" w:color="auto" w:fill="auto"/>
            <w:vAlign w:val="center"/>
            <w:hideMark/>
          </w:tcPr>
          <w:p w14:paraId="1539635C" w14:textId="77777777" w:rsidR="00761FB9" w:rsidRPr="00761FB9" w:rsidRDefault="00761FB9" w:rsidP="00384ACA">
            <w:pPr>
              <w:ind w:left="-108"/>
              <w:jc w:val="center"/>
              <w:rPr>
                <w:rFonts w:ascii="Times New Roman" w:eastAsia="Times New Roman" w:hAnsi="Times New Roman"/>
                <w:color w:val="000000"/>
                <w:lang w:val="en-US"/>
              </w:rPr>
            </w:pPr>
          </w:p>
        </w:tc>
      </w:tr>
      <w:tr w:rsidR="00757D30" w:rsidRPr="00761FB9" w14:paraId="2E73B40E" w14:textId="77777777" w:rsidTr="00384ACA">
        <w:trPr>
          <w:trHeight w:val="300"/>
        </w:trPr>
        <w:tc>
          <w:tcPr>
            <w:tcW w:w="4155" w:type="dxa"/>
            <w:tcBorders>
              <w:top w:val="nil"/>
              <w:left w:val="nil"/>
              <w:bottom w:val="nil"/>
              <w:right w:val="nil"/>
            </w:tcBorders>
            <w:shd w:val="clear" w:color="auto" w:fill="auto"/>
            <w:vAlign w:val="center"/>
            <w:hideMark/>
          </w:tcPr>
          <w:p w14:paraId="49DFF342" w14:textId="77777777" w:rsidR="00761FB9" w:rsidRPr="00761FB9" w:rsidRDefault="00761FB9" w:rsidP="00761FB9">
            <w:pPr>
              <w:rPr>
                <w:rFonts w:ascii="Times New Roman" w:eastAsia="Times New Roman" w:hAnsi="Times New Roman"/>
                <w:color w:val="000000"/>
                <w:lang w:val="en-US"/>
              </w:rPr>
            </w:pPr>
            <w:r w:rsidRPr="00761FB9">
              <w:rPr>
                <w:rFonts w:ascii="Times New Roman" w:eastAsia="Times New Roman" w:hAnsi="Times New Roman"/>
                <w:color w:val="000000"/>
                <w:lang w:val="en-US"/>
              </w:rPr>
              <w:t xml:space="preserve">     Others, n (%)</w:t>
            </w:r>
          </w:p>
        </w:tc>
        <w:tc>
          <w:tcPr>
            <w:tcW w:w="2872" w:type="dxa"/>
            <w:tcBorders>
              <w:top w:val="nil"/>
              <w:left w:val="nil"/>
              <w:bottom w:val="nil"/>
              <w:right w:val="nil"/>
            </w:tcBorders>
            <w:shd w:val="clear" w:color="auto" w:fill="auto"/>
            <w:vAlign w:val="center"/>
            <w:hideMark/>
          </w:tcPr>
          <w:p w14:paraId="2F8401F8" w14:textId="77777777" w:rsidR="00761FB9" w:rsidRPr="00761FB9" w:rsidRDefault="00761FB9" w:rsidP="00761FB9">
            <w:pPr>
              <w:jc w:val="center"/>
              <w:rPr>
                <w:rFonts w:ascii="Times New Roman" w:eastAsia="Times New Roman" w:hAnsi="Times New Roman"/>
                <w:color w:val="000000"/>
                <w:lang w:val="en-US"/>
              </w:rPr>
            </w:pPr>
            <w:r w:rsidRPr="00761FB9">
              <w:rPr>
                <w:rFonts w:ascii="Times New Roman" w:eastAsia="Times New Roman" w:hAnsi="Times New Roman"/>
                <w:color w:val="000000"/>
                <w:lang w:val="en-US"/>
              </w:rPr>
              <w:t>1 (1.1%)</w:t>
            </w:r>
          </w:p>
        </w:tc>
        <w:tc>
          <w:tcPr>
            <w:tcW w:w="2873" w:type="dxa"/>
            <w:tcBorders>
              <w:top w:val="nil"/>
              <w:left w:val="nil"/>
              <w:bottom w:val="nil"/>
              <w:right w:val="nil"/>
            </w:tcBorders>
            <w:shd w:val="clear" w:color="auto" w:fill="auto"/>
            <w:vAlign w:val="center"/>
            <w:hideMark/>
          </w:tcPr>
          <w:p w14:paraId="764C5C82" w14:textId="77777777" w:rsidR="00761FB9" w:rsidRPr="00761FB9" w:rsidRDefault="00761FB9" w:rsidP="00761FB9">
            <w:pPr>
              <w:jc w:val="center"/>
              <w:rPr>
                <w:rFonts w:ascii="Times New Roman" w:eastAsia="Times New Roman" w:hAnsi="Times New Roman"/>
                <w:color w:val="000000"/>
                <w:lang w:val="en-US"/>
              </w:rPr>
            </w:pPr>
            <w:r w:rsidRPr="00761FB9">
              <w:rPr>
                <w:rFonts w:ascii="Times New Roman" w:eastAsia="Times New Roman" w:hAnsi="Times New Roman"/>
                <w:color w:val="000000"/>
                <w:lang w:val="en-US"/>
              </w:rPr>
              <w:t>56 (5.2%)</w:t>
            </w:r>
          </w:p>
        </w:tc>
        <w:tc>
          <w:tcPr>
            <w:tcW w:w="1605" w:type="dxa"/>
            <w:tcBorders>
              <w:top w:val="nil"/>
              <w:left w:val="nil"/>
              <w:bottom w:val="nil"/>
              <w:right w:val="nil"/>
            </w:tcBorders>
            <w:shd w:val="clear" w:color="auto" w:fill="auto"/>
            <w:vAlign w:val="center"/>
            <w:hideMark/>
          </w:tcPr>
          <w:p w14:paraId="6A85EA20" w14:textId="77777777" w:rsidR="00761FB9" w:rsidRPr="00761FB9" w:rsidRDefault="00761FB9" w:rsidP="00384ACA">
            <w:pPr>
              <w:ind w:left="-108"/>
              <w:jc w:val="center"/>
              <w:rPr>
                <w:rFonts w:ascii="Times New Roman" w:eastAsia="Times New Roman" w:hAnsi="Times New Roman"/>
                <w:color w:val="000000"/>
                <w:lang w:val="en-US"/>
              </w:rPr>
            </w:pPr>
          </w:p>
        </w:tc>
      </w:tr>
      <w:tr w:rsidR="00757D30" w:rsidRPr="00761FB9" w14:paraId="5A674A74" w14:textId="77777777" w:rsidTr="00384ACA">
        <w:trPr>
          <w:trHeight w:val="300"/>
        </w:trPr>
        <w:tc>
          <w:tcPr>
            <w:tcW w:w="4155" w:type="dxa"/>
            <w:tcBorders>
              <w:top w:val="nil"/>
              <w:left w:val="nil"/>
              <w:bottom w:val="nil"/>
              <w:right w:val="nil"/>
            </w:tcBorders>
            <w:shd w:val="clear" w:color="auto" w:fill="auto"/>
            <w:vAlign w:val="center"/>
            <w:hideMark/>
          </w:tcPr>
          <w:p w14:paraId="27CF3C2D" w14:textId="77777777" w:rsidR="00761FB9" w:rsidRPr="00761FB9" w:rsidRDefault="00761FB9" w:rsidP="00761FB9">
            <w:pPr>
              <w:rPr>
                <w:rFonts w:ascii="Times New Roman" w:eastAsia="Times New Roman" w:hAnsi="Times New Roman"/>
                <w:color w:val="000000"/>
                <w:lang w:val="en-US"/>
              </w:rPr>
            </w:pPr>
            <w:r w:rsidRPr="00761FB9">
              <w:rPr>
                <w:rFonts w:ascii="Times New Roman" w:eastAsia="Times New Roman" w:hAnsi="Times New Roman"/>
                <w:color w:val="000000"/>
                <w:lang w:val="en-US"/>
              </w:rPr>
              <w:t>THV size, mean ± SD, (mm)</w:t>
            </w:r>
          </w:p>
        </w:tc>
        <w:tc>
          <w:tcPr>
            <w:tcW w:w="2872" w:type="dxa"/>
            <w:tcBorders>
              <w:top w:val="nil"/>
              <w:left w:val="nil"/>
              <w:bottom w:val="nil"/>
              <w:right w:val="nil"/>
            </w:tcBorders>
            <w:shd w:val="clear" w:color="auto" w:fill="auto"/>
            <w:vAlign w:val="center"/>
            <w:hideMark/>
          </w:tcPr>
          <w:p w14:paraId="544461F0" w14:textId="77777777" w:rsidR="00761FB9" w:rsidRPr="00761FB9" w:rsidRDefault="00761FB9" w:rsidP="00761FB9">
            <w:pPr>
              <w:jc w:val="center"/>
              <w:rPr>
                <w:rFonts w:ascii="Times New Roman" w:eastAsia="Times New Roman" w:hAnsi="Times New Roman"/>
                <w:color w:val="000000"/>
                <w:lang w:val="en-US"/>
              </w:rPr>
            </w:pPr>
            <w:r w:rsidRPr="00761FB9">
              <w:rPr>
                <w:rFonts w:ascii="Times New Roman" w:eastAsia="Times New Roman" w:hAnsi="Times New Roman"/>
                <w:color w:val="000000"/>
                <w:lang w:val="en-US"/>
              </w:rPr>
              <w:t>24.0 ± 1.6</w:t>
            </w:r>
          </w:p>
        </w:tc>
        <w:tc>
          <w:tcPr>
            <w:tcW w:w="2873" w:type="dxa"/>
            <w:tcBorders>
              <w:top w:val="nil"/>
              <w:left w:val="nil"/>
              <w:bottom w:val="nil"/>
              <w:right w:val="nil"/>
            </w:tcBorders>
            <w:shd w:val="clear" w:color="auto" w:fill="auto"/>
            <w:vAlign w:val="center"/>
            <w:hideMark/>
          </w:tcPr>
          <w:p w14:paraId="5E6E1AFD" w14:textId="77777777" w:rsidR="00761FB9" w:rsidRPr="00761FB9" w:rsidRDefault="00761FB9" w:rsidP="00761FB9">
            <w:pPr>
              <w:jc w:val="center"/>
              <w:rPr>
                <w:rFonts w:ascii="Times New Roman" w:eastAsia="Times New Roman" w:hAnsi="Times New Roman"/>
                <w:color w:val="000000"/>
                <w:lang w:val="en-US"/>
              </w:rPr>
            </w:pPr>
            <w:r w:rsidRPr="00761FB9">
              <w:rPr>
                <w:rFonts w:ascii="Times New Roman" w:eastAsia="Times New Roman" w:hAnsi="Times New Roman"/>
                <w:color w:val="000000"/>
                <w:lang w:val="en-US"/>
              </w:rPr>
              <w:t>24.4 ± 1.9</w:t>
            </w:r>
          </w:p>
        </w:tc>
        <w:tc>
          <w:tcPr>
            <w:tcW w:w="1605" w:type="dxa"/>
            <w:tcBorders>
              <w:top w:val="nil"/>
              <w:left w:val="nil"/>
              <w:bottom w:val="nil"/>
              <w:right w:val="nil"/>
            </w:tcBorders>
            <w:shd w:val="clear" w:color="auto" w:fill="auto"/>
            <w:vAlign w:val="center"/>
            <w:hideMark/>
          </w:tcPr>
          <w:p w14:paraId="410E3DD7" w14:textId="77777777" w:rsidR="00761FB9" w:rsidRPr="00761FB9" w:rsidRDefault="00761FB9" w:rsidP="00384ACA">
            <w:pPr>
              <w:ind w:left="-108"/>
              <w:jc w:val="center"/>
              <w:rPr>
                <w:rFonts w:ascii="Times New Roman" w:eastAsia="Times New Roman" w:hAnsi="Times New Roman"/>
                <w:color w:val="000000"/>
                <w:lang w:val="en-US"/>
              </w:rPr>
            </w:pPr>
            <w:r w:rsidRPr="00761FB9">
              <w:rPr>
                <w:rFonts w:ascii="Times New Roman" w:eastAsia="Times New Roman" w:hAnsi="Times New Roman"/>
                <w:color w:val="000000"/>
                <w:lang w:val="en-US"/>
              </w:rPr>
              <w:t>0.04</w:t>
            </w:r>
          </w:p>
        </w:tc>
      </w:tr>
      <w:tr w:rsidR="00757D30" w:rsidRPr="00761FB9" w14:paraId="6B6358AD" w14:textId="77777777" w:rsidTr="00384ACA">
        <w:trPr>
          <w:trHeight w:val="300"/>
        </w:trPr>
        <w:tc>
          <w:tcPr>
            <w:tcW w:w="4155" w:type="dxa"/>
            <w:tcBorders>
              <w:top w:val="nil"/>
              <w:left w:val="nil"/>
              <w:bottom w:val="nil"/>
              <w:right w:val="nil"/>
            </w:tcBorders>
            <w:shd w:val="clear" w:color="auto" w:fill="auto"/>
            <w:vAlign w:val="center"/>
            <w:hideMark/>
          </w:tcPr>
          <w:p w14:paraId="47A02CD1" w14:textId="77777777" w:rsidR="00761FB9" w:rsidRPr="00761FB9" w:rsidRDefault="00761FB9" w:rsidP="00761FB9">
            <w:pPr>
              <w:rPr>
                <w:rFonts w:ascii="Times New Roman" w:eastAsia="Times New Roman" w:hAnsi="Times New Roman"/>
                <w:color w:val="000000"/>
                <w:lang w:val="en-US"/>
              </w:rPr>
            </w:pPr>
            <w:r w:rsidRPr="00761FB9">
              <w:rPr>
                <w:rFonts w:ascii="Times New Roman" w:eastAsia="Times New Roman" w:hAnsi="Times New Roman"/>
                <w:color w:val="000000"/>
                <w:lang w:val="en-US"/>
              </w:rPr>
              <w:t>THV Size</w:t>
            </w:r>
          </w:p>
        </w:tc>
        <w:tc>
          <w:tcPr>
            <w:tcW w:w="2872" w:type="dxa"/>
            <w:tcBorders>
              <w:top w:val="nil"/>
              <w:left w:val="nil"/>
              <w:bottom w:val="nil"/>
              <w:right w:val="nil"/>
            </w:tcBorders>
            <w:shd w:val="clear" w:color="auto" w:fill="auto"/>
            <w:vAlign w:val="center"/>
            <w:hideMark/>
          </w:tcPr>
          <w:p w14:paraId="66E41E3F" w14:textId="77777777" w:rsidR="00761FB9" w:rsidRPr="00761FB9" w:rsidRDefault="00761FB9" w:rsidP="00761FB9">
            <w:pPr>
              <w:jc w:val="center"/>
              <w:rPr>
                <w:rFonts w:ascii="Times New Roman" w:eastAsia="Times New Roman" w:hAnsi="Times New Roman"/>
                <w:color w:val="000000"/>
                <w:lang w:val="en-US"/>
              </w:rPr>
            </w:pPr>
          </w:p>
        </w:tc>
        <w:tc>
          <w:tcPr>
            <w:tcW w:w="2873" w:type="dxa"/>
            <w:tcBorders>
              <w:top w:val="nil"/>
              <w:left w:val="nil"/>
              <w:bottom w:val="nil"/>
              <w:right w:val="nil"/>
            </w:tcBorders>
            <w:shd w:val="clear" w:color="auto" w:fill="auto"/>
            <w:vAlign w:val="center"/>
            <w:hideMark/>
          </w:tcPr>
          <w:p w14:paraId="58694C4C" w14:textId="77777777" w:rsidR="00761FB9" w:rsidRPr="00761FB9" w:rsidRDefault="00761FB9" w:rsidP="00761FB9">
            <w:pPr>
              <w:jc w:val="center"/>
              <w:rPr>
                <w:rFonts w:ascii="Times New Roman" w:eastAsia="Times New Roman" w:hAnsi="Times New Roman"/>
                <w:color w:val="000000"/>
                <w:lang w:val="en-US"/>
              </w:rPr>
            </w:pPr>
          </w:p>
        </w:tc>
        <w:tc>
          <w:tcPr>
            <w:tcW w:w="1605" w:type="dxa"/>
            <w:tcBorders>
              <w:top w:val="nil"/>
              <w:left w:val="nil"/>
              <w:bottom w:val="nil"/>
              <w:right w:val="nil"/>
            </w:tcBorders>
            <w:shd w:val="clear" w:color="auto" w:fill="auto"/>
            <w:vAlign w:val="center"/>
            <w:hideMark/>
          </w:tcPr>
          <w:p w14:paraId="5AA0F1A6" w14:textId="77777777" w:rsidR="00761FB9" w:rsidRPr="00761FB9" w:rsidRDefault="00761FB9" w:rsidP="00384ACA">
            <w:pPr>
              <w:ind w:left="-108"/>
              <w:jc w:val="center"/>
              <w:rPr>
                <w:rFonts w:ascii="Times New Roman" w:eastAsia="Times New Roman" w:hAnsi="Times New Roman"/>
                <w:color w:val="000000"/>
                <w:lang w:val="en-US"/>
              </w:rPr>
            </w:pPr>
            <w:r w:rsidRPr="00761FB9">
              <w:rPr>
                <w:rFonts w:ascii="Times New Roman" w:eastAsia="Times New Roman" w:hAnsi="Times New Roman"/>
                <w:color w:val="000000"/>
                <w:lang w:val="en-US"/>
              </w:rPr>
              <w:t>0.15</w:t>
            </w:r>
          </w:p>
        </w:tc>
      </w:tr>
      <w:tr w:rsidR="00757D30" w:rsidRPr="00761FB9" w14:paraId="1E23265E" w14:textId="77777777" w:rsidTr="00384ACA">
        <w:trPr>
          <w:trHeight w:val="300"/>
        </w:trPr>
        <w:tc>
          <w:tcPr>
            <w:tcW w:w="4155" w:type="dxa"/>
            <w:tcBorders>
              <w:top w:val="nil"/>
              <w:left w:val="nil"/>
              <w:bottom w:val="nil"/>
              <w:right w:val="nil"/>
            </w:tcBorders>
            <w:shd w:val="clear" w:color="auto" w:fill="auto"/>
            <w:vAlign w:val="center"/>
            <w:hideMark/>
          </w:tcPr>
          <w:p w14:paraId="5D4DC9D9" w14:textId="77777777" w:rsidR="00761FB9" w:rsidRPr="00761FB9" w:rsidRDefault="00761FB9" w:rsidP="00761FB9">
            <w:pPr>
              <w:rPr>
                <w:rFonts w:ascii="Times New Roman" w:eastAsia="Times New Roman" w:hAnsi="Times New Roman"/>
                <w:color w:val="000000"/>
                <w:lang w:val="en-US"/>
              </w:rPr>
            </w:pPr>
            <w:r w:rsidRPr="00761FB9">
              <w:rPr>
                <w:rFonts w:ascii="Times New Roman" w:eastAsia="Times New Roman" w:hAnsi="Times New Roman"/>
                <w:color w:val="000000"/>
                <w:lang w:val="en-US"/>
              </w:rPr>
              <w:t xml:space="preserve">     20 mm, n (%)</w:t>
            </w:r>
          </w:p>
        </w:tc>
        <w:tc>
          <w:tcPr>
            <w:tcW w:w="2872" w:type="dxa"/>
            <w:tcBorders>
              <w:top w:val="nil"/>
              <w:left w:val="nil"/>
              <w:bottom w:val="nil"/>
              <w:right w:val="nil"/>
            </w:tcBorders>
            <w:shd w:val="clear" w:color="auto" w:fill="auto"/>
            <w:vAlign w:val="center"/>
            <w:hideMark/>
          </w:tcPr>
          <w:p w14:paraId="0C458458" w14:textId="77777777" w:rsidR="00761FB9" w:rsidRPr="00761FB9" w:rsidRDefault="00761FB9" w:rsidP="00761FB9">
            <w:pPr>
              <w:jc w:val="center"/>
              <w:rPr>
                <w:rFonts w:ascii="Times New Roman" w:eastAsia="Times New Roman" w:hAnsi="Times New Roman"/>
                <w:color w:val="000000"/>
                <w:lang w:val="en-US"/>
              </w:rPr>
            </w:pPr>
            <w:r w:rsidRPr="00761FB9">
              <w:rPr>
                <w:rFonts w:ascii="Times New Roman" w:eastAsia="Times New Roman" w:hAnsi="Times New Roman"/>
                <w:color w:val="000000"/>
                <w:lang w:val="en-US"/>
              </w:rPr>
              <w:t>3 (3.4%)</w:t>
            </w:r>
          </w:p>
        </w:tc>
        <w:tc>
          <w:tcPr>
            <w:tcW w:w="2873" w:type="dxa"/>
            <w:tcBorders>
              <w:top w:val="nil"/>
              <w:left w:val="nil"/>
              <w:bottom w:val="nil"/>
              <w:right w:val="nil"/>
            </w:tcBorders>
            <w:shd w:val="clear" w:color="auto" w:fill="auto"/>
            <w:vAlign w:val="center"/>
            <w:hideMark/>
          </w:tcPr>
          <w:p w14:paraId="61F2D6C5" w14:textId="77777777" w:rsidR="00761FB9" w:rsidRPr="00761FB9" w:rsidRDefault="00761FB9" w:rsidP="00761FB9">
            <w:pPr>
              <w:jc w:val="center"/>
              <w:rPr>
                <w:rFonts w:ascii="Times New Roman" w:eastAsia="Times New Roman" w:hAnsi="Times New Roman"/>
                <w:color w:val="000000"/>
                <w:lang w:val="en-US"/>
              </w:rPr>
            </w:pPr>
            <w:r w:rsidRPr="00761FB9">
              <w:rPr>
                <w:rFonts w:ascii="Times New Roman" w:eastAsia="Times New Roman" w:hAnsi="Times New Roman"/>
                <w:color w:val="000000"/>
                <w:lang w:val="en-US"/>
              </w:rPr>
              <w:t>13 (1.2%)</w:t>
            </w:r>
          </w:p>
        </w:tc>
        <w:tc>
          <w:tcPr>
            <w:tcW w:w="1605" w:type="dxa"/>
            <w:tcBorders>
              <w:top w:val="nil"/>
              <w:left w:val="nil"/>
              <w:bottom w:val="nil"/>
              <w:right w:val="nil"/>
            </w:tcBorders>
            <w:shd w:val="clear" w:color="auto" w:fill="auto"/>
            <w:vAlign w:val="center"/>
            <w:hideMark/>
          </w:tcPr>
          <w:p w14:paraId="3C262340" w14:textId="77777777" w:rsidR="00761FB9" w:rsidRPr="00761FB9" w:rsidRDefault="00761FB9" w:rsidP="00384ACA">
            <w:pPr>
              <w:ind w:left="-108"/>
              <w:jc w:val="center"/>
              <w:rPr>
                <w:rFonts w:ascii="Times New Roman" w:eastAsia="Times New Roman" w:hAnsi="Times New Roman"/>
                <w:color w:val="000000"/>
                <w:lang w:val="en-US"/>
              </w:rPr>
            </w:pPr>
          </w:p>
        </w:tc>
      </w:tr>
      <w:tr w:rsidR="00757D30" w:rsidRPr="00761FB9" w14:paraId="2ACAF373" w14:textId="77777777" w:rsidTr="00384ACA">
        <w:trPr>
          <w:trHeight w:val="300"/>
        </w:trPr>
        <w:tc>
          <w:tcPr>
            <w:tcW w:w="4155" w:type="dxa"/>
            <w:tcBorders>
              <w:top w:val="nil"/>
              <w:left w:val="nil"/>
              <w:bottom w:val="nil"/>
              <w:right w:val="nil"/>
            </w:tcBorders>
            <w:shd w:val="clear" w:color="auto" w:fill="auto"/>
            <w:vAlign w:val="center"/>
            <w:hideMark/>
          </w:tcPr>
          <w:p w14:paraId="4583AF00" w14:textId="77777777" w:rsidR="00761FB9" w:rsidRPr="00761FB9" w:rsidRDefault="00761FB9" w:rsidP="00761FB9">
            <w:pPr>
              <w:rPr>
                <w:rFonts w:ascii="Times New Roman" w:eastAsia="Times New Roman" w:hAnsi="Times New Roman"/>
                <w:color w:val="000000"/>
                <w:lang w:val="en-US"/>
              </w:rPr>
            </w:pPr>
            <w:r w:rsidRPr="00761FB9">
              <w:rPr>
                <w:rFonts w:ascii="Times New Roman" w:eastAsia="Times New Roman" w:hAnsi="Times New Roman"/>
                <w:color w:val="000000"/>
                <w:lang w:val="en-US"/>
              </w:rPr>
              <w:t xml:space="preserve">     23 mm, n (%)</w:t>
            </w:r>
          </w:p>
        </w:tc>
        <w:tc>
          <w:tcPr>
            <w:tcW w:w="2872" w:type="dxa"/>
            <w:tcBorders>
              <w:top w:val="nil"/>
              <w:left w:val="nil"/>
              <w:bottom w:val="nil"/>
              <w:right w:val="nil"/>
            </w:tcBorders>
            <w:shd w:val="clear" w:color="auto" w:fill="auto"/>
            <w:vAlign w:val="center"/>
            <w:hideMark/>
          </w:tcPr>
          <w:p w14:paraId="67DD7E72" w14:textId="77777777" w:rsidR="00761FB9" w:rsidRPr="00761FB9" w:rsidRDefault="00761FB9" w:rsidP="00761FB9">
            <w:pPr>
              <w:jc w:val="center"/>
              <w:rPr>
                <w:rFonts w:ascii="Times New Roman" w:eastAsia="Times New Roman" w:hAnsi="Times New Roman"/>
                <w:color w:val="000000"/>
                <w:lang w:val="en-US"/>
              </w:rPr>
            </w:pPr>
            <w:r w:rsidRPr="00761FB9">
              <w:rPr>
                <w:rFonts w:ascii="Times New Roman" w:eastAsia="Times New Roman" w:hAnsi="Times New Roman"/>
                <w:color w:val="000000"/>
                <w:lang w:val="en-US"/>
              </w:rPr>
              <w:t>53 (59.6%)</w:t>
            </w:r>
          </w:p>
        </w:tc>
        <w:tc>
          <w:tcPr>
            <w:tcW w:w="2873" w:type="dxa"/>
            <w:tcBorders>
              <w:top w:val="nil"/>
              <w:left w:val="nil"/>
              <w:bottom w:val="nil"/>
              <w:right w:val="nil"/>
            </w:tcBorders>
            <w:shd w:val="clear" w:color="auto" w:fill="auto"/>
            <w:vAlign w:val="center"/>
            <w:hideMark/>
          </w:tcPr>
          <w:p w14:paraId="3748C763" w14:textId="77777777" w:rsidR="00761FB9" w:rsidRPr="00761FB9" w:rsidRDefault="00761FB9" w:rsidP="00761FB9">
            <w:pPr>
              <w:jc w:val="center"/>
              <w:rPr>
                <w:rFonts w:ascii="Times New Roman" w:eastAsia="Times New Roman" w:hAnsi="Times New Roman"/>
                <w:color w:val="000000"/>
                <w:lang w:val="en-US"/>
              </w:rPr>
            </w:pPr>
            <w:r w:rsidRPr="00761FB9">
              <w:rPr>
                <w:rFonts w:ascii="Times New Roman" w:eastAsia="Times New Roman" w:hAnsi="Times New Roman"/>
                <w:color w:val="000000"/>
                <w:lang w:val="en-US"/>
              </w:rPr>
              <w:t>587 (55.6%)</w:t>
            </w:r>
          </w:p>
        </w:tc>
        <w:tc>
          <w:tcPr>
            <w:tcW w:w="1605" w:type="dxa"/>
            <w:tcBorders>
              <w:top w:val="nil"/>
              <w:left w:val="nil"/>
              <w:bottom w:val="nil"/>
              <w:right w:val="nil"/>
            </w:tcBorders>
            <w:shd w:val="clear" w:color="auto" w:fill="auto"/>
            <w:vAlign w:val="center"/>
            <w:hideMark/>
          </w:tcPr>
          <w:p w14:paraId="7E15F0FC" w14:textId="77777777" w:rsidR="00761FB9" w:rsidRPr="00761FB9" w:rsidRDefault="00761FB9" w:rsidP="00384ACA">
            <w:pPr>
              <w:ind w:left="-108"/>
              <w:jc w:val="center"/>
              <w:rPr>
                <w:rFonts w:ascii="Times New Roman" w:eastAsia="Times New Roman" w:hAnsi="Times New Roman"/>
                <w:color w:val="000000"/>
                <w:lang w:val="en-US"/>
              </w:rPr>
            </w:pPr>
          </w:p>
        </w:tc>
      </w:tr>
      <w:tr w:rsidR="00757D30" w:rsidRPr="00761FB9" w14:paraId="57C86980" w14:textId="77777777" w:rsidTr="00384ACA">
        <w:trPr>
          <w:trHeight w:val="300"/>
        </w:trPr>
        <w:tc>
          <w:tcPr>
            <w:tcW w:w="4155" w:type="dxa"/>
            <w:tcBorders>
              <w:top w:val="nil"/>
              <w:left w:val="nil"/>
              <w:bottom w:val="nil"/>
              <w:right w:val="nil"/>
            </w:tcBorders>
            <w:shd w:val="clear" w:color="auto" w:fill="auto"/>
            <w:vAlign w:val="center"/>
            <w:hideMark/>
          </w:tcPr>
          <w:p w14:paraId="46EA5F04" w14:textId="77777777" w:rsidR="00761FB9" w:rsidRPr="00761FB9" w:rsidRDefault="00761FB9" w:rsidP="00761FB9">
            <w:pPr>
              <w:rPr>
                <w:rFonts w:ascii="Times New Roman" w:eastAsia="Times New Roman" w:hAnsi="Times New Roman"/>
                <w:color w:val="000000"/>
                <w:lang w:val="en-US"/>
              </w:rPr>
            </w:pPr>
            <w:r w:rsidRPr="00761FB9">
              <w:rPr>
                <w:rFonts w:ascii="Times New Roman" w:eastAsia="Times New Roman" w:hAnsi="Times New Roman"/>
                <w:color w:val="000000"/>
                <w:lang w:val="en-US"/>
              </w:rPr>
              <w:t xml:space="preserve">     25 mm, n (%)</w:t>
            </w:r>
          </w:p>
        </w:tc>
        <w:tc>
          <w:tcPr>
            <w:tcW w:w="2872" w:type="dxa"/>
            <w:tcBorders>
              <w:top w:val="nil"/>
              <w:left w:val="nil"/>
              <w:bottom w:val="nil"/>
              <w:right w:val="nil"/>
            </w:tcBorders>
            <w:shd w:val="clear" w:color="auto" w:fill="auto"/>
            <w:vAlign w:val="center"/>
            <w:hideMark/>
          </w:tcPr>
          <w:p w14:paraId="284BE6EF" w14:textId="77777777" w:rsidR="00761FB9" w:rsidRPr="00761FB9" w:rsidRDefault="00761FB9" w:rsidP="00761FB9">
            <w:pPr>
              <w:jc w:val="center"/>
              <w:rPr>
                <w:rFonts w:ascii="Times New Roman" w:eastAsia="Times New Roman" w:hAnsi="Times New Roman"/>
                <w:color w:val="000000"/>
                <w:lang w:val="en-US"/>
              </w:rPr>
            </w:pPr>
            <w:r w:rsidRPr="00761FB9">
              <w:rPr>
                <w:rFonts w:ascii="Times New Roman" w:eastAsia="Times New Roman" w:hAnsi="Times New Roman"/>
                <w:color w:val="000000"/>
                <w:lang w:val="en-US"/>
              </w:rPr>
              <w:t>0 (0%)</w:t>
            </w:r>
          </w:p>
        </w:tc>
        <w:tc>
          <w:tcPr>
            <w:tcW w:w="2873" w:type="dxa"/>
            <w:tcBorders>
              <w:top w:val="nil"/>
              <w:left w:val="nil"/>
              <w:bottom w:val="nil"/>
              <w:right w:val="nil"/>
            </w:tcBorders>
            <w:shd w:val="clear" w:color="auto" w:fill="auto"/>
            <w:vAlign w:val="center"/>
            <w:hideMark/>
          </w:tcPr>
          <w:p w14:paraId="02E7276F" w14:textId="77777777" w:rsidR="00761FB9" w:rsidRPr="00761FB9" w:rsidRDefault="00761FB9" w:rsidP="00761FB9">
            <w:pPr>
              <w:jc w:val="center"/>
              <w:rPr>
                <w:rFonts w:ascii="Times New Roman" w:eastAsia="Times New Roman" w:hAnsi="Times New Roman"/>
                <w:color w:val="000000"/>
                <w:lang w:val="en-US"/>
              </w:rPr>
            </w:pPr>
            <w:r w:rsidRPr="00761FB9">
              <w:rPr>
                <w:rFonts w:ascii="Times New Roman" w:eastAsia="Times New Roman" w:hAnsi="Times New Roman"/>
                <w:color w:val="000000"/>
                <w:lang w:val="en-US"/>
              </w:rPr>
              <w:t>9 (0.9%)</w:t>
            </w:r>
          </w:p>
        </w:tc>
        <w:tc>
          <w:tcPr>
            <w:tcW w:w="1605" w:type="dxa"/>
            <w:tcBorders>
              <w:top w:val="nil"/>
              <w:left w:val="nil"/>
              <w:bottom w:val="nil"/>
              <w:right w:val="nil"/>
            </w:tcBorders>
            <w:shd w:val="clear" w:color="auto" w:fill="auto"/>
            <w:vAlign w:val="center"/>
            <w:hideMark/>
          </w:tcPr>
          <w:p w14:paraId="78E0812C" w14:textId="77777777" w:rsidR="00761FB9" w:rsidRPr="00761FB9" w:rsidRDefault="00761FB9" w:rsidP="00384ACA">
            <w:pPr>
              <w:ind w:left="-108"/>
              <w:jc w:val="center"/>
              <w:rPr>
                <w:rFonts w:ascii="Times New Roman" w:eastAsia="Times New Roman" w:hAnsi="Times New Roman"/>
                <w:color w:val="000000"/>
                <w:lang w:val="en-US"/>
              </w:rPr>
            </w:pPr>
          </w:p>
        </w:tc>
      </w:tr>
      <w:tr w:rsidR="00757D30" w:rsidRPr="00761FB9" w14:paraId="03341332" w14:textId="77777777" w:rsidTr="00384ACA">
        <w:trPr>
          <w:trHeight w:val="300"/>
        </w:trPr>
        <w:tc>
          <w:tcPr>
            <w:tcW w:w="4155" w:type="dxa"/>
            <w:tcBorders>
              <w:top w:val="nil"/>
              <w:left w:val="nil"/>
              <w:bottom w:val="nil"/>
              <w:right w:val="nil"/>
            </w:tcBorders>
            <w:shd w:val="clear" w:color="auto" w:fill="auto"/>
            <w:vAlign w:val="center"/>
            <w:hideMark/>
          </w:tcPr>
          <w:p w14:paraId="3E842F4A" w14:textId="77777777" w:rsidR="00761FB9" w:rsidRPr="00761FB9" w:rsidRDefault="00761FB9" w:rsidP="00761FB9">
            <w:pPr>
              <w:rPr>
                <w:rFonts w:ascii="Times New Roman" w:eastAsia="Times New Roman" w:hAnsi="Times New Roman"/>
                <w:color w:val="000000"/>
                <w:lang w:val="en-US"/>
              </w:rPr>
            </w:pPr>
            <w:r w:rsidRPr="00761FB9">
              <w:rPr>
                <w:rFonts w:ascii="Times New Roman" w:eastAsia="Times New Roman" w:hAnsi="Times New Roman"/>
                <w:color w:val="000000"/>
                <w:lang w:val="en-US"/>
              </w:rPr>
              <w:t xml:space="preserve">     26 mm, n (%)</w:t>
            </w:r>
          </w:p>
        </w:tc>
        <w:tc>
          <w:tcPr>
            <w:tcW w:w="2872" w:type="dxa"/>
            <w:tcBorders>
              <w:top w:val="nil"/>
              <w:left w:val="nil"/>
              <w:bottom w:val="nil"/>
              <w:right w:val="nil"/>
            </w:tcBorders>
            <w:shd w:val="clear" w:color="auto" w:fill="auto"/>
            <w:vAlign w:val="center"/>
            <w:hideMark/>
          </w:tcPr>
          <w:p w14:paraId="7016F0EA" w14:textId="77777777" w:rsidR="00761FB9" w:rsidRPr="00761FB9" w:rsidRDefault="00761FB9" w:rsidP="00761FB9">
            <w:pPr>
              <w:jc w:val="center"/>
              <w:rPr>
                <w:rFonts w:ascii="Times New Roman" w:eastAsia="Times New Roman" w:hAnsi="Times New Roman"/>
                <w:color w:val="000000"/>
                <w:lang w:val="en-US"/>
              </w:rPr>
            </w:pPr>
            <w:r w:rsidRPr="00761FB9">
              <w:rPr>
                <w:rFonts w:ascii="Times New Roman" w:eastAsia="Times New Roman" w:hAnsi="Times New Roman"/>
                <w:color w:val="000000"/>
                <w:lang w:val="en-US"/>
              </w:rPr>
              <w:t>33 (37.1%)</w:t>
            </w:r>
          </w:p>
        </w:tc>
        <w:tc>
          <w:tcPr>
            <w:tcW w:w="2873" w:type="dxa"/>
            <w:tcBorders>
              <w:top w:val="nil"/>
              <w:left w:val="nil"/>
              <w:bottom w:val="nil"/>
              <w:right w:val="nil"/>
            </w:tcBorders>
            <w:shd w:val="clear" w:color="auto" w:fill="auto"/>
            <w:vAlign w:val="center"/>
            <w:hideMark/>
          </w:tcPr>
          <w:p w14:paraId="3B252257" w14:textId="77777777" w:rsidR="00761FB9" w:rsidRPr="00761FB9" w:rsidRDefault="00761FB9" w:rsidP="00761FB9">
            <w:pPr>
              <w:jc w:val="center"/>
              <w:rPr>
                <w:rFonts w:ascii="Times New Roman" w:eastAsia="Times New Roman" w:hAnsi="Times New Roman"/>
                <w:color w:val="000000"/>
                <w:lang w:val="en-US"/>
              </w:rPr>
            </w:pPr>
            <w:r w:rsidRPr="00761FB9">
              <w:rPr>
                <w:rFonts w:ascii="Times New Roman" w:eastAsia="Times New Roman" w:hAnsi="Times New Roman"/>
                <w:color w:val="000000"/>
                <w:lang w:val="en-US"/>
              </w:rPr>
              <w:t>377 (35.7%)</w:t>
            </w:r>
          </w:p>
        </w:tc>
        <w:tc>
          <w:tcPr>
            <w:tcW w:w="1605" w:type="dxa"/>
            <w:tcBorders>
              <w:top w:val="nil"/>
              <w:left w:val="nil"/>
              <w:bottom w:val="nil"/>
              <w:right w:val="nil"/>
            </w:tcBorders>
            <w:shd w:val="clear" w:color="auto" w:fill="auto"/>
            <w:vAlign w:val="center"/>
            <w:hideMark/>
          </w:tcPr>
          <w:p w14:paraId="1AA33BA6" w14:textId="77777777" w:rsidR="00761FB9" w:rsidRPr="00761FB9" w:rsidRDefault="00761FB9" w:rsidP="00384ACA">
            <w:pPr>
              <w:ind w:left="-108"/>
              <w:jc w:val="center"/>
              <w:rPr>
                <w:rFonts w:ascii="Times New Roman" w:eastAsia="Times New Roman" w:hAnsi="Times New Roman"/>
                <w:color w:val="000000"/>
                <w:lang w:val="en-US"/>
              </w:rPr>
            </w:pPr>
          </w:p>
        </w:tc>
      </w:tr>
      <w:tr w:rsidR="00757D30" w:rsidRPr="00761FB9" w14:paraId="4EB00AFF" w14:textId="77777777" w:rsidTr="00384ACA">
        <w:trPr>
          <w:trHeight w:val="300"/>
        </w:trPr>
        <w:tc>
          <w:tcPr>
            <w:tcW w:w="4155" w:type="dxa"/>
            <w:tcBorders>
              <w:top w:val="nil"/>
              <w:left w:val="nil"/>
              <w:bottom w:val="nil"/>
              <w:right w:val="nil"/>
            </w:tcBorders>
            <w:shd w:val="clear" w:color="auto" w:fill="auto"/>
            <w:vAlign w:val="center"/>
            <w:hideMark/>
          </w:tcPr>
          <w:p w14:paraId="7FD10801" w14:textId="77777777" w:rsidR="00761FB9" w:rsidRPr="00761FB9" w:rsidRDefault="00761FB9" w:rsidP="00761FB9">
            <w:pPr>
              <w:rPr>
                <w:rFonts w:ascii="Times New Roman" w:eastAsia="Times New Roman" w:hAnsi="Times New Roman"/>
                <w:color w:val="000000"/>
                <w:lang w:val="en-US"/>
              </w:rPr>
            </w:pPr>
            <w:r w:rsidRPr="00761FB9">
              <w:rPr>
                <w:rFonts w:ascii="Times New Roman" w:eastAsia="Times New Roman" w:hAnsi="Times New Roman"/>
                <w:color w:val="000000"/>
                <w:lang w:val="en-US"/>
              </w:rPr>
              <w:t xml:space="preserve">     27 mm, n (%)</w:t>
            </w:r>
          </w:p>
        </w:tc>
        <w:tc>
          <w:tcPr>
            <w:tcW w:w="2872" w:type="dxa"/>
            <w:tcBorders>
              <w:top w:val="nil"/>
              <w:left w:val="nil"/>
              <w:bottom w:val="nil"/>
              <w:right w:val="nil"/>
            </w:tcBorders>
            <w:shd w:val="clear" w:color="auto" w:fill="auto"/>
            <w:vAlign w:val="center"/>
            <w:hideMark/>
          </w:tcPr>
          <w:p w14:paraId="112CF9F7" w14:textId="77777777" w:rsidR="00761FB9" w:rsidRPr="00761FB9" w:rsidRDefault="00761FB9" w:rsidP="00761FB9">
            <w:pPr>
              <w:jc w:val="center"/>
              <w:rPr>
                <w:rFonts w:ascii="Times New Roman" w:eastAsia="Times New Roman" w:hAnsi="Times New Roman"/>
                <w:color w:val="000000"/>
                <w:lang w:val="en-US"/>
              </w:rPr>
            </w:pPr>
            <w:r w:rsidRPr="00761FB9">
              <w:rPr>
                <w:rFonts w:ascii="Times New Roman" w:eastAsia="Times New Roman" w:hAnsi="Times New Roman"/>
                <w:color w:val="000000"/>
                <w:lang w:val="en-US"/>
              </w:rPr>
              <w:t>0 (0%)</w:t>
            </w:r>
          </w:p>
        </w:tc>
        <w:tc>
          <w:tcPr>
            <w:tcW w:w="2873" w:type="dxa"/>
            <w:tcBorders>
              <w:top w:val="nil"/>
              <w:left w:val="nil"/>
              <w:bottom w:val="nil"/>
              <w:right w:val="nil"/>
            </w:tcBorders>
            <w:shd w:val="clear" w:color="auto" w:fill="auto"/>
            <w:vAlign w:val="center"/>
            <w:hideMark/>
          </w:tcPr>
          <w:p w14:paraId="057E3CFE" w14:textId="77777777" w:rsidR="00761FB9" w:rsidRPr="00761FB9" w:rsidRDefault="00761FB9" w:rsidP="00761FB9">
            <w:pPr>
              <w:jc w:val="center"/>
              <w:rPr>
                <w:rFonts w:ascii="Times New Roman" w:eastAsia="Times New Roman" w:hAnsi="Times New Roman"/>
                <w:color w:val="000000"/>
                <w:lang w:val="en-US"/>
              </w:rPr>
            </w:pPr>
            <w:r w:rsidRPr="00761FB9">
              <w:rPr>
                <w:rFonts w:ascii="Times New Roman" w:eastAsia="Times New Roman" w:hAnsi="Times New Roman"/>
                <w:color w:val="000000"/>
                <w:lang w:val="en-US"/>
              </w:rPr>
              <w:t>2 (0.2%)</w:t>
            </w:r>
          </w:p>
        </w:tc>
        <w:tc>
          <w:tcPr>
            <w:tcW w:w="1605" w:type="dxa"/>
            <w:tcBorders>
              <w:top w:val="nil"/>
              <w:left w:val="nil"/>
              <w:bottom w:val="nil"/>
              <w:right w:val="nil"/>
            </w:tcBorders>
            <w:shd w:val="clear" w:color="auto" w:fill="auto"/>
            <w:vAlign w:val="center"/>
            <w:hideMark/>
          </w:tcPr>
          <w:p w14:paraId="56F6A1F5" w14:textId="77777777" w:rsidR="00761FB9" w:rsidRPr="00761FB9" w:rsidRDefault="00761FB9" w:rsidP="00384ACA">
            <w:pPr>
              <w:ind w:left="-108"/>
              <w:jc w:val="center"/>
              <w:rPr>
                <w:rFonts w:ascii="Times New Roman" w:eastAsia="Times New Roman" w:hAnsi="Times New Roman"/>
                <w:color w:val="000000"/>
                <w:lang w:val="en-US"/>
              </w:rPr>
            </w:pPr>
          </w:p>
        </w:tc>
      </w:tr>
      <w:tr w:rsidR="00757D30" w:rsidRPr="00761FB9" w14:paraId="0225779C" w14:textId="77777777" w:rsidTr="00384ACA">
        <w:trPr>
          <w:trHeight w:val="300"/>
        </w:trPr>
        <w:tc>
          <w:tcPr>
            <w:tcW w:w="4155" w:type="dxa"/>
            <w:tcBorders>
              <w:top w:val="nil"/>
              <w:left w:val="nil"/>
              <w:bottom w:val="nil"/>
              <w:right w:val="nil"/>
            </w:tcBorders>
            <w:shd w:val="clear" w:color="auto" w:fill="auto"/>
            <w:vAlign w:val="center"/>
            <w:hideMark/>
          </w:tcPr>
          <w:p w14:paraId="52A2AE0E" w14:textId="77777777" w:rsidR="00761FB9" w:rsidRPr="00761FB9" w:rsidRDefault="00761FB9" w:rsidP="00761FB9">
            <w:pPr>
              <w:rPr>
                <w:rFonts w:ascii="Times New Roman" w:eastAsia="Times New Roman" w:hAnsi="Times New Roman"/>
                <w:color w:val="000000"/>
                <w:lang w:val="en-US"/>
              </w:rPr>
            </w:pPr>
            <w:r w:rsidRPr="00761FB9">
              <w:rPr>
                <w:rFonts w:ascii="Times New Roman" w:eastAsia="Times New Roman" w:hAnsi="Times New Roman"/>
                <w:color w:val="000000"/>
                <w:lang w:val="en-US"/>
              </w:rPr>
              <w:t xml:space="preserve">     29 mm, n (%)</w:t>
            </w:r>
          </w:p>
        </w:tc>
        <w:tc>
          <w:tcPr>
            <w:tcW w:w="2872" w:type="dxa"/>
            <w:tcBorders>
              <w:top w:val="nil"/>
              <w:left w:val="nil"/>
              <w:bottom w:val="nil"/>
              <w:right w:val="nil"/>
            </w:tcBorders>
            <w:shd w:val="clear" w:color="auto" w:fill="auto"/>
            <w:vAlign w:val="center"/>
            <w:hideMark/>
          </w:tcPr>
          <w:p w14:paraId="45FC2B9F" w14:textId="77777777" w:rsidR="00761FB9" w:rsidRPr="00761FB9" w:rsidRDefault="00761FB9" w:rsidP="00761FB9">
            <w:pPr>
              <w:jc w:val="center"/>
              <w:rPr>
                <w:rFonts w:ascii="Times New Roman" w:eastAsia="Times New Roman" w:hAnsi="Times New Roman"/>
                <w:color w:val="000000"/>
                <w:lang w:val="en-US"/>
              </w:rPr>
            </w:pPr>
            <w:r w:rsidRPr="00761FB9">
              <w:rPr>
                <w:rFonts w:ascii="Times New Roman" w:eastAsia="Times New Roman" w:hAnsi="Times New Roman"/>
                <w:color w:val="000000"/>
                <w:lang w:val="en-US"/>
              </w:rPr>
              <w:t>0 (0%)</w:t>
            </w:r>
          </w:p>
        </w:tc>
        <w:tc>
          <w:tcPr>
            <w:tcW w:w="2873" w:type="dxa"/>
            <w:tcBorders>
              <w:top w:val="nil"/>
              <w:left w:val="nil"/>
              <w:bottom w:val="nil"/>
              <w:right w:val="nil"/>
            </w:tcBorders>
            <w:shd w:val="clear" w:color="auto" w:fill="auto"/>
            <w:vAlign w:val="center"/>
            <w:hideMark/>
          </w:tcPr>
          <w:p w14:paraId="7622591C" w14:textId="77777777" w:rsidR="00761FB9" w:rsidRPr="00761FB9" w:rsidRDefault="00761FB9" w:rsidP="00761FB9">
            <w:pPr>
              <w:jc w:val="center"/>
              <w:rPr>
                <w:rFonts w:ascii="Times New Roman" w:eastAsia="Times New Roman" w:hAnsi="Times New Roman"/>
                <w:color w:val="000000"/>
                <w:lang w:val="en-US"/>
              </w:rPr>
            </w:pPr>
            <w:r w:rsidRPr="00761FB9">
              <w:rPr>
                <w:rFonts w:ascii="Times New Roman" w:eastAsia="Times New Roman" w:hAnsi="Times New Roman"/>
                <w:color w:val="000000"/>
                <w:lang w:val="en-US"/>
              </w:rPr>
              <w:t>65 (6.2%)</w:t>
            </w:r>
          </w:p>
        </w:tc>
        <w:tc>
          <w:tcPr>
            <w:tcW w:w="1605" w:type="dxa"/>
            <w:tcBorders>
              <w:top w:val="nil"/>
              <w:left w:val="nil"/>
              <w:bottom w:val="nil"/>
              <w:right w:val="nil"/>
            </w:tcBorders>
            <w:shd w:val="clear" w:color="auto" w:fill="auto"/>
            <w:vAlign w:val="center"/>
            <w:hideMark/>
          </w:tcPr>
          <w:p w14:paraId="1EC18C06" w14:textId="77777777" w:rsidR="00761FB9" w:rsidRPr="00761FB9" w:rsidRDefault="00761FB9" w:rsidP="00384ACA">
            <w:pPr>
              <w:ind w:left="-108"/>
              <w:jc w:val="center"/>
              <w:rPr>
                <w:rFonts w:ascii="Times New Roman" w:eastAsia="Times New Roman" w:hAnsi="Times New Roman"/>
                <w:color w:val="000000"/>
                <w:lang w:val="en-US"/>
              </w:rPr>
            </w:pPr>
          </w:p>
        </w:tc>
      </w:tr>
      <w:tr w:rsidR="00757D30" w:rsidRPr="00761FB9" w14:paraId="1577E969" w14:textId="77777777" w:rsidTr="00384ACA">
        <w:trPr>
          <w:trHeight w:val="300"/>
        </w:trPr>
        <w:tc>
          <w:tcPr>
            <w:tcW w:w="4155" w:type="dxa"/>
            <w:tcBorders>
              <w:top w:val="nil"/>
              <w:left w:val="nil"/>
              <w:bottom w:val="nil"/>
              <w:right w:val="nil"/>
            </w:tcBorders>
            <w:shd w:val="clear" w:color="auto" w:fill="auto"/>
            <w:vAlign w:val="center"/>
            <w:hideMark/>
          </w:tcPr>
          <w:p w14:paraId="726A3C56" w14:textId="77777777" w:rsidR="00761FB9" w:rsidRPr="00761FB9" w:rsidRDefault="00761FB9" w:rsidP="00761FB9">
            <w:pPr>
              <w:rPr>
                <w:rFonts w:ascii="Times New Roman" w:eastAsia="Times New Roman" w:hAnsi="Times New Roman"/>
                <w:color w:val="000000"/>
                <w:lang w:val="en-US"/>
              </w:rPr>
            </w:pPr>
            <w:r w:rsidRPr="00761FB9">
              <w:rPr>
                <w:rFonts w:ascii="Times New Roman" w:eastAsia="Times New Roman" w:hAnsi="Times New Roman"/>
                <w:color w:val="000000"/>
                <w:lang w:val="en-US"/>
              </w:rPr>
              <w:t xml:space="preserve">     31 mm, n (%)</w:t>
            </w:r>
          </w:p>
        </w:tc>
        <w:tc>
          <w:tcPr>
            <w:tcW w:w="2872" w:type="dxa"/>
            <w:tcBorders>
              <w:top w:val="nil"/>
              <w:left w:val="nil"/>
              <w:bottom w:val="nil"/>
              <w:right w:val="nil"/>
            </w:tcBorders>
            <w:shd w:val="clear" w:color="auto" w:fill="auto"/>
            <w:vAlign w:val="center"/>
            <w:hideMark/>
          </w:tcPr>
          <w:p w14:paraId="7099B6F0" w14:textId="77777777" w:rsidR="00761FB9" w:rsidRPr="00761FB9" w:rsidRDefault="00761FB9" w:rsidP="00761FB9">
            <w:pPr>
              <w:jc w:val="center"/>
              <w:rPr>
                <w:rFonts w:ascii="Times New Roman" w:eastAsia="Times New Roman" w:hAnsi="Times New Roman"/>
                <w:color w:val="000000"/>
                <w:lang w:val="en-US"/>
              </w:rPr>
            </w:pPr>
            <w:r w:rsidRPr="00761FB9">
              <w:rPr>
                <w:rFonts w:ascii="Times New Roman" w:eastAsia="Times New Roman" w:hAnsi="Times New Roman"/>
                <w:color w:val="000000"/>
                <w:lang w:val="en-US"/>
              </w:rPr>
              <w:t>0 (0%)</w:t>
            </w:r>
          </w:p>
        </w:tc>
        <w:tc>
          <w:tcPr>
            <w:tcW w:w="2873" w:type="dxa"/>
            <w:tcBorders>
              <w:top w:val="nil"/>
              <w:left w:val="nil"/>
              <w:bottom w:val="nil"/>
              <w:right w:val="nil"/>
            </w:tcBorders>
            <w:shd w:val="clear" w:color="auto" w:fill="auto"/>
            <w:vAlign w:val="center"/>
            <w:hideMark/>
          </w:tcPr>
          <w:p w14:paraId="540C0428" w14:textId="77777777" w:rsidR="00761FB9" w:rsidRPr="00761FB9" w:rsidRDefault="00761FB9" w:rsidP="00761FB9">
            <w:pPr>
              <w:jc w:val="center"/>
              <w:rPr>
                <w:rFonts w:ascii="Times New Roman" w:eastAsia="Times New Roman" w:hAnsi="Times New Roman"/>
                <w:color w:val="000000"/>
                <w:lang w:val="en-US"/>
              </w:rPr>
            </w:pPr>
            <w:r w:rsidRPr="00761FB9">
              <w:rPr>
                <w:rFonts w:ascii="Times New Roman" w:eastAsia="Times New Roman" w:hAnsi="Times New Roman"/>
                <w:color w:val="000000"/>
                <w:lang w:val="en-US"/>
              </w:rPr>
              <w:t>2 (0.2%)</w:t>
            </w:r>
          </w:p>
        </w:tc>
        <w:tc>
          <w:tcPr>
            <w:tcW w:w="1605" w:type="dxa"/>
            <w:tcBorders>
              <w:top w:val="nil"/>
              <w:left w:val="nil"/>
              <w:bottom w:val="nil"/>
              <w:right w:val="nil"/>
            </w:tcBorders>
            <w:shd w:val="clear" w:color="auto" w:fill="auto"/>
            <w:vAlign w:val="center"/>
            <w:hideMark/>
          </w:tcPr>
          <w:p w14:paraId="6C084CD1" w14:textId="77777777" w:rsidR="00761FB9" w:rsidRPr="00761FB9" w:rsidRDefault="00761FB9" w:rsidP="00384ACA">
            <w:pPr>
              <w:ind w:left="-108"/>
              <w:jc w:val="center"/>
              <w:rPr>
                <w:rFonts w:ascii="Times New Roman" w:eastAsia="Times New Roman" w:hAnsi="Times New Roman"/>
                <w:color w:val="000000"/>
                <w:lang w:val="en-US"/>
              </w:rPr>
            </w:pPr>
          </w:p>
        </w:tc>
      </w:tr>
      <w:tr w:rsidR="00757D30" w:rsidRPr="00761FB9" w14:paraId="3A872E73" w14:textId="77777777" w:rsidTr="00384ACA">
        <w:trPr>
          <w:trHeight w:val="300"/>
        </w:trPr>
        <w:tc>
          <w:tcPr>
            <w:tcW w:w="4155" w:type="dxa"/>
            <w:tcBorders>
              <w:top w:val="nil"/>
              <w:left w:val="nil"/>
              <w:bottom w:val="nil"/>
              <w:right w:val="nil"/>
            </w:tcBorders>
            <w:shd w:val="clear" w:color="auto" w:fill="auto"/>
            <w:vAlign w:val="center"/>
            <w:hideMark/>
          </w:tcPr>
          <w:p w14:paraId="344221CF" w14:textId="77777777" w:rsidR="00761FB9" w:rsidRPr="00761FB9" w:rsidRDefault="00761FB9" w:rsidP="00761FB9">
            <w:pPr>
              <w:rPr>
                <w:rFonts w:ascii="Times New Roman" w:eastAsia="Times New Roman" w:hAnsi="Times New Roman"/>
                <w:color w:val="000000"/>
                <w:lang w:val="en-US"/>
              </w:rPr>
            </w:pPr>
            <w:r w:rsidRPr="00761FB9">
              <w:rPr>
                <w:rFonts w:ascii="Times New Roman" w:eastAsia="Times New Roman" w:hAnsi="Times New Roman"/>
                <w:color w:val="000000"/>
                <w:lang w:val="en-US"/>
              </w:rPr>
              <w:t>Access</w:t>
            </w:r>
          </w:p>
        </w:tc>
        <w:tc>
          <w:tcPr>
            <w:tcW w:w="2872" w:type="dxa"/>
            <w:tcBorders>
              <w:top w:val="nil"/>
              <w:left w:val="nil"/>
              <w:bottom w:val="nil"/>
              <w:right w:val="nil"/>
            </w:tcBorders>
            <w:shd w:val="clear" w:color="auto" w:fill="auto"/>
            <w:vAlign w:val="center"/>
            <w:hideMark/>
          </w:tcPr>
          <w:p w14:paraId="6817D2AC" w14:textId="77777777" w:rsidR="00761FB9" w:rsidRPr="00761FB9" w:rsidRDefault="00761FB9" w:rsidP="00761FB9">
            <w:pPr>
              <w:jc w:val="center"/>
              <w:rPr>
                <w:rFonts w:ascii="Times New Roman" w:eastAsia="Times New Roman" w:hAnsi="Times New Roman"/>
                <w:color w:val="000000"/>
                <w:lang w:val="en-US"/>
              </w:rPr>
            </w:pPr>
          </w:p>
        </w:tc>
        <w:tc>
          <w:tcPr>
            <w:tcW w:w="2873" w:type="dxa"/>
            <w:tcBorders>
              <w:top w:val="nil"/>
              <w:left w:val="nil"/>
              <w:bottom w:val="nil"/>
              <w:right w:val="nil"/>
            </w:tcBorders>
            <w:shd w:val="clear" w:color="auto" w:fill="auto"/>
            <w:vAlign w:val="center"/>
            <w:hideMark/>
          </w:tcPr>
          <w:p w14:paraId="74F9ED78" w14:textId="77777777" w:rsidR="00761FB9" w:rsidRPr="00761FB9" w:rsidRDefault="00761FB9" w:rsidP="00761FB9">
            <w:pPr>
              <w:jc w:val="center"/>
              <w:rPr>
                <w:rFonts w:ascii="Times New Roman" w:eastAsia="Times New Roman" w:hAnsi="Times New Roman"/>
                <w:color w:val="000000"/>
                <w:lang w:val="en-US"/>
              </w:rPr>
            </w:pPr>
          </w:p>
        </w:tc>
        <w:tc>
          <w:tcPr>
            <w:tcW w:w="1605" w:type="dxa"/>
            <w:tcBorders>
              <w:top w:val="nil"/>
              <w:left w:val="nil"/>
              <w:bottom w:val="nil"/>
              <w:right w:val="nil"/>
            </w:tcBorders>
            <w:shd w:val="clear" w:color="auto" w:fill="auto"/>
            <w:vAlign w:val="center"/>
            <w:hideMark/>
          </w:tcPr>
          <w:p w14:paraId="3317FE65" w14:textId="77777777" w:rsidR="00761FB9" w:rsidRPr="00761FB9" w:rsidRDefault="00761FB9" w:rsidP="00384ACA">
            <w:pPr>
              <w:ind w:left="-108"/>
              <w:jc w:val="center"/>
              <w:rPr>
                <w:rFonts w:ascii="Times New Roman" w:eastAsia="Times New Roman" w:hAnsi="Times New Roman"/>
                <w:color w:val="000000"/>
                <w:lang w:val="en-US"/>
              </w:rPr>
            </w:pPr>
            <w:r w:rsidRPr="00761FB9">
              <w:rPr>
                <w:rFonts w:ascii="Times New Roman" w:eastAsia="Times New Roman" w:hAnsi="Times New Roman"/>
                <w:color w:val="000000"/>
                <w:lang w:val="en-US"/>
              </w:rPr>
              <w:t>0.02</w:t>
            </w:r>
          </w:p>
        </w:tc>
      </w:tr>
      <w:tr w:rsidR="00757D30" w:rsidRPr="00761FB9" w14:paraId="451BABBF" w14:textId="77777777" w:rsidTr="00384ACA">
        <w:trPr>
          <w:trHeight w:val="300"/>
        </w:trPr>
        <w:tc>
          <w:tcPr>
            <w:tcW w:w="4155" w:type="dxa"/>
            <w:tcBorders>
              <w:top w:val="nil"/>
              <w:left w:val="nil"/>
              <w:bottom w:val="nil"/>
              <w:right w:val="nil"/>
            </w:tcBorders>
            <w:shd w:val="clear" w:color="auto" w:fill="auto"/>
            <w:vAlign w:val="center"/>
            <w:hideMark/>
          </w:tcPr>
          <w:p w14:paraId="6F0DCFBC" w14:textId="4D7264D7" w:rsidR="00761FB9" w:rsidRPr="00761FB9" w:rsidRDefault="00761FB9" w:rsidP="00761FB9">
            <w:pPr>
              <w:rPr>
                <w:rFonts w:ascii="Times New Roman" w:eastAsia="Times New Roman" w:hAnsi="Times New Roman"/>
                <w:color w:val="000000"/>
                <w:lang w:val="en-US"/>
              </w:rPr>
            </w:pPr>
            <w:r>
              <w:rPr>
                <w:rFonts w:ascii="Times New Roman" w:eastAsia="Times New Roman" w:hAnsi="Times New Roman"/>
                <w:color w:val="000000"/>
                <w:lang w:val="en-US"/>
              </w:rPr>
              <w:t xml:space="preserve">     </w:t>
            </w:r>
            <w:r w:rsidRPr="00761FB9">
              <w:rPr>
                <w:rFonts w:ascii="Times New Roman" w:eastAsia="Times New Roman" w:hAnsi="Times New Roman"/>
                <w:color w:val="000000"/>
                <w:lang w:val="en-US"/>
              </w:rPr>
              <w:t>Transfemoral, n (%)</w:t>
            </w:r>
          </w:p>
        </w:tc>
        <w:tc>
          <w:tcPr>
            <w:tcW w:w="2872" w:type="dxa"/>
            <w:tcBorders>
              <w:top w:val="nil"/>
              <w:left w:val="nil"/>
              <w:bottom w:val="nil"/>
              <w:right w:val="nil"/>
            </w:tcBorders>
            <w:shd w:val="clear" w:color="auto" w:fill="auto"/>
            <w:vAlign w:val="center"/>
            <w:hideMark/>
          </w:tcPr>
          <w:p w14:paraId="7FE756F4" w14:textId="77777777" w:rsidR="00761FB9" w:rsidRPr="00761FB9" w:rsidRDefault="00761FB9" w:rsidP="00761FB9">
            <w:pPr>
              <w:jc w:val="center"/>
              <w:rPr>
                <w:rFonts w:ascii="Times New Roman" w:eastAsia="Times New Roman" w:hAnsi="Times New Roman"/>
                <w:color w:val="000000"/>
                <w:lang w:val="en-US"/>
              </w:rPr>
            </w:pPr>
            <w:r w:rsidRPr="00761FB9">
              <w:rPr>
                <w:rFonts w:ascii="Times New Roman" w:eastAsia="Times New Roman" w:hAnsi="Times New Roman"/>
                <w:color w:val="000000"/>
                <w:lang w:val="en-US"/>
              </w:rPr>
              <w:t>75 (84.3%)</w:t>
            </w:r>
          </w:p>
        </w:tc>
        <w:tc>
          <w:tcPr>
            <w:tcW w:w="2873" w:type="dxa"/>
            <w:tcBorders>
              <w:top w:val="nil"/>
              <w:left w:val="nil"/>
              <w:bottom w:val="nil"/>
              <w:right w:val="nil"/>
            </w:tcBorders>
            <w:shd w:val="clear" w:color="auto" w:fill="auto"/>
            <w:vAlign w:val="center"/>
            <w:hideMark/>
          </w:tcPr>
          <w:p w14:paraId="68FFD1FD" w14:textId="77777777" w:rsidR="00761FB9" w:rsidRPr="00761FB9" w:rsidRDefault="00761FB9" w:rsidP="00761FB9">
            <w:pPr>
              <w:jc w:val="center"/>
              <w:rPr>
                <w:rFonts w:ascii="Times New Roman" w:eastAsia="Times New Roman" w:hAnsi="Times New Roman"/>
                <w:color w:val="000000"/>
                <w:lang w:val="en-US"/>
              </w:rPr>
            </w:pPr>
            <w:r w:rsidRPr="00761FB9">
              <w:rPr>
                <w:rFonts w:ascii="Times New Roman" w:eastAsia="Times New Roman" w:hAnsi="Times New Roman"/>
                <w:color w:val="000000"/>
                <w:lang w:val="en-US"/>
              </w:rPr>
              <w:t>768 (71.2%)</w:t>
            </w:r>
          </w:p>
        </w:tc>
        <w:tc>
          <w:tcPr>
            <w:tcW w:w="1605" w:type="dxa"/>
            <w:tcBorders>
              <w:top w:val="nil"/>
              <w:left w:val="nil"/>
              <w:bottom w:val="nil"/>
              <w:right w:val="nil"/>
            </w:tcBorders>
            <w:shd w:val="clear" w:color="auto" w:fill="auto"/>
            <w:vAlign w:val="center"/>
            <w:hideMark/>
          </w:tcPr>
          <w:p w14:paraId="3927C0C9" w14:textId="77777777" w:rsidR="00761FB9" w:rsidRPr="00761FB9" w:rsidRDefault="00761FB9" w:rsidP="00384ACA">
            <w:pPr>
              <w:ind w:left="-108"/>
              <w:jc w:val="center"/>
              <w:rPr>
                <w:rFonts w:ascii="Times New Roman" w:eastAsia="Times New Roman" w:hAnsi="Times New Roman"/>
                <w:color w:val="000000"/>
                <w:lang w:val="en-US"/>
              </w:rPr>
            </w:pPr>
          </w:p>
        </w:tc>
      </w:tr>
      <w:tr w:rsidR="00757D30" w:rsidRPr="00761FB9" w14:paraId="3767EC0D" w14:textId="77777777" w:rsidTr="00384ACA">
        <w:trPr>
          <w:trHeight w:val="300"/>
        </w:trPr>
        <w:tc>
          <w:tcPr>
            <w:tcW w:w="4155" w:type="dxa"/>
            <w:tcBorders>
              <w:top w:val="nil"/>
              <w:left w:val="nil"/>
              <w:bottom w:val="nil"/>
              <w:right w:val="nil"/>
            </w:tcBorders>
            <w:shd w:val="clear" w:color="auto" w:fill="auto"/>
            <w:vAlign w:val="center"/>
            <w:hideMark/>
          </w:tcPr>
          <w:p w14:paraId="5198983A" w14:textId="36CB0859" w:rsidR="00761FB9" w:rsidRPr="00761FB9" w:rsidRDefault="00761FB9" w:rsidP="00761FB9">
            <w:pPr>
              <w:rPr>
                <w:rFonts w:ascii="Times New Roman" w:eastAsia="Times New Roman" w:hAnsi="Times New Roman"/>
                <w:color w:val="000000"/>
                <w:lang w:val="en-US"/>
              </w:rPr>
            </w:pPr>
            <w:r>
              <w:rPr>
                <w:rFonts w:ascii="Times New Roman" w:eastAsia="Times New Roman" w:hAnsi="Times New Roman"/>
                <w:color w:val="000000"/>
                <w:lang w:val="en-US"/>
              </w:rPr>
              <w:t xml:space="preserve">   </w:t>
            </w:r>
            <w:r w:rsidRPr="00761FB9">
              <w:rPr>
                <w:rFonts w:ascii="Times New Roman" w:eastAsia="Times New Roman" w:hAnsi="Times New Roman"/>
                <w:color w:val="000000"/>
                <w:lang w:val="en-US"/>
              </w:rPr>
              <w:t xml:space="preserve">  Transapical, n (%) </w:t>
            </w:r>
          </w:p>
        </w:tc>
        <w:tc>
          <w:tcPr>
            <w:tcW w:w="2872" w:type="dxa"/>
            <w:tcBorders>
              <w:top w:val="nil"/>
              <w:left w:val="nil"/>
              <w:bottom w:val="nil"/>
              <w:right w:val="nil"/>
            </w:tcBorders>
            <w:shd w:val="clear" w:color="auto" w:fill="auto"/>
            <w:vAlign w:val="center"/>
            <w:hideMark/>
          </w:tcPr>
          <w:p w14:paraId="6614BABD" w14:textId="77777777" w:rsidR="00761FB9" w:rsidRPr="00761FB9" w:rsidRDefault="00761FB9" w:rsidP="00761FB9">
            <w:pPr>
              <w:jc w:val="center"/>
              <w:rPr>
                <w:rFonts w:ascii="Times New Roman" w:eastAsia="Times New Roman" w:hAnsi="Times New Roman"/>
                <w:color w:val="000000"/>
                <w:lang w:val="en-US"/>
              </w:rPr>
            </w:pPr>
            <w:r w:rsidRPr="00761FB9">
              <w:rPr>
                <w:rFonts w:ascii="Times New Roman" w:eastAsia="Times New Roman" w:hAnsi="Times New Roman"/>
                <w:color w:val="000000"/>
                <w:lang w:val="en-US"/>
              </w:rPr>
              <w:t>10 (11.2%)</w:t>
            </w:r>
          </w:p>
        </w:tc>
        <w:tc>
          <w:tcPr>
            <w:tcW w:w="2873" w:type="dxa"/>
            <w:tcBorders>
              <w:top w:val="nil"/>
              <w:left w:val="nil"/>
              <w:bottom w:val="nil"/>
              <w:right w:val="nil"/>
            </w:tcBorders>
            <w:shd w:val="clear" w:color="auto" w:fill="auto"/>
            <w:vAlign w:val="center"/>
            <w:hideMark/>
          </w:tcPr>
          <w:p w14:paraId="444CE46A" w14:textId="77777777" w:rsidR="00761FB9" w:rsidRPr="00761FB9" w:rsidRDefault="00761FB9" w:rsidP="00761FB9">
            <w:pPr>
              <w:jc w:val="center"/>
              <w:rPr>
                <w:rFonts w:ascii="Times New Roman" w:eastAsia="Times New Roman" w:hAnsi="Times New Roman"/>
                <w:color w:val="000000"/>
                <w:lang w:val="en-US"/>
              </w:rPr>
            </w:pPr>
            <w:r w:rsidRPr="00761FB9">
              <w:rPr>
                <w:rFonts w:ascii="Times New Roman" w:eastAsia="Times New Roman" w:hAnsi="Times New Roman"/>
                <w:color w:val="000000"/>
                <w:lang w:val="en-US"/>
              </w:rPr>
              <w:t>266 (24.7%)</w:t>
            </w:r>
          </w:p>
        </w:tc>
        <w:tc>
          <w:tcPr>
            <w:tcW w:w="1605" w:type="dxa"/>
            <w:tcBorders>
              <w:top w:val="nil"/>
              <w:left w:val="nil"/>
              <w:bottom w:val="nil"/>
              <w:right w:val="nil"/>
            </w:tcBorders>
            <w:shd w:val="clear" w:color="auto" w:fill="auto"/>
            <w:vAlign w:val="center"/>
            <w:hideMark/>
          </w:tcPr>
          <w:p w14:paraId="54E384BB" w14:textId="77777777" w:rsidR="00761FB9" w:rsidRPr="00761FB9" w:rsidRDefault="00761FB9" w:rsidP="00384ACA">
            <w:pPr>
              <w:ind w:left="-108"/>
              <w:jc w:val="center"/>
              <w:rPr>
                <w:rFonts w:ascii="Times New Roman" w:eastAsia="Times New Roman" w:hAnsi="Times New Roman"/>
                <w:color w:val="000000"/>
                <w:lang w:val="en-US"/>
              </w:rPr>
            </w:pPr>
          </w:p>
        </w:tc>
      </w:tr>
      <w:tr w:rsidR="00757D30" w:rsidRPr="00761FB9" w14:paraId="400118FF" w14:textId="77777777" w:rsidTr="00384ACA">
        <w:trPr>
          <w:trHeight w:val="300"/>
        </w:trPr>
        <w:tc>
          <w:tcPr>
            <w:tcW w:w="4155" w:type="dxa"/>
            <w:tcBorders>
              <w:top w:val="nil"/>
              <w:left w:val="nil"/>
              <w:bottom w:val="nil"/>
              <w:right w:val="nil"/>
            </w:tcBorders>
            <w:shd w:val="clear" w:color="auto" w:fill="auto"/>
            <w:vAlign w:val="center"/>
            <w:hideMark/>
          </w:tcPr>
          <w:p w14:paraId="28D77AB4" w14:textId="056E48BD" w:rsidR="00761FB9" w:rsidRPr="00761FB9" w:rsidRDefault="00761FB9" w:rsidP="00761FB9">
            <w:pPr>
              <w:rPr>
                <w:rFonts w:ascii="Times New Roman" w:eastAsia="Times New Roman" w:hAnsi="Times New Roman"/>
                <w:color w:val="000000"/>
                <w:lang w:val="en-US"/>
              </w:rPr>
            </w:pPr>
            <w:r>
              <w:rPr>
                <w:rFonts w:ascii="Times New Roman" w:eastAsia="Times New Roman" w:hAnsi="Times New Roman"/>
                <w:color w:val="000000"/>
                <w:lang w:val="en-US"/>
              </w:rPr>
              <w:t xml:space="preserve"> </w:t>
            </w:r>
            <w:r w:rsidRPr="00761FB9">
              <w:rPr>
                <w:rFonts w:ascii="Times New Roman" w:eastAsia="Times New Roman" w:hAnsi="Times New Roman"/>
                <w:color w:val="000000"/>
                <w:lang w:val="en-US"/>
              </w:rPr>
              <w:t xml:space="preserve">    Others, n (%)</w:t>
            </w:r>
          </w:p>
        </w:tc>
        <w:tc>
          <w:tcPr>
            <w:tcW w:w="2872" w:type="dxa"/>
            <w:tcBorders>
              <w:top w:val="nil"/>
              <w:left w:val="nil"/>
              <w:bottom w:val="nil"/>
              <w:right w:val="nil"/>
            </w:tcBorders>
            <w:shd w:val="clear" w:color="auto" w:fill="auto"/>
            <w:vAlign w:val="center"/>
            <w:hideMark/>
          </w:tcPr>
          <w:p w14:paraId="6D8B05E8" w14:textId="77777777" w:rsidR="00761FB9" w:rsidRPr="00761FB9" w:rsidRDefault="00761FB9" w:rsidP="00761FB9">
            <w:pPr>
              <w:jc w:val="center"/>
              <w:rPr>
                <w:rFonts w:ascii="Times New Roman" w:eastAsia="Times New Roman" w:hAnsi="Times New Roman"/>
                <w:color w:val="000000"/>
                <w:lang w:val="en-US"/>
              </w:rPr>
            </w:pPr>
            <w:r w:rsidRPr="00761FB9">
              <w:rPr>
                <w:rFonts w:ascii="Times New Roman" w:eastAsia="Times New Roman" w:hAnsi="Times New Roman"/>
                <w:color w:val="000000"/>
                <w:lang w:val="en-US"/>
              </w:rPr>
              <w:t>4 (4.5%)</w:t>
            </w:r>
          </w:p>
        </w:tc>
        <w:tc>
          <w:tcPr>
            <w:tcW w:w="2873" w:type="dxa"/>
            <w:tcBorders>
              <w:top w:val="nil"/>
              <w:left w:val="nil"/>
              <w:bottom w:val="nil"/>
              <w:right w:val="nil"/>
            </w:tcBorders>
            <w:shd w:val="clear" w:color="auto" w:fill="auto"/>
            <w:vAlign w:val="center"/>
            <w:hideMark/>
          </w:tcPr>
          <w:p w14:paraId="096E902B" w14:textId="77777777" w:rsidR="00761FB9" w:rsidRPr="00761FB9" w:rsidRDefault="00761FB9" w:rsidP="00761FB9">
            <w:pPr>
              <w:jc w:val="center"/>
              <w:rPr>
                <w:rFonts w:ascii="Times New Roman" w:eastAsia="Times New Roman" w:hAnsi="Times New Roman"/>
                <w:color w:val="000000"/>
                <w:lang w:val="en-US"/>
              </w:rPr>
            </w:pPr>
            <w:r w:rsidRPr="00761FB9">
              <w:rPr>
                <w:rFonts w:ascii="Times New Roman" w:eastAsia="Times New Roman" w:hAnsi="Times New Roman"/>
                <w:color w:val="000000"/>
                <w:lang w:val="en-US"/>
              </w:rPr>
              <w:t>45 (4.2%)</w:t>
            </w:r>
          </w:p>
        </w:tc>
        <w:tc>
          <w:tcPr>
            <w:tcW w:w="1605" w:type="dxa"/>
            <w:tcBorders>
              <w:top w:val="nil"/>
              <w:left w:val="nil"/>
              <w:bottom w:val="nil"/>
              <w:right w:val="nil"/>
            </w:tcBorders>
            <w:shd w:val="clear" w:color="auto" w:fill="auto"/>
            <w:vAlign w:val="center"/>
            <w:hideMark/>
          </w:tcPr>
          <w:p w14:paraId="719D70E6" w14:textId="77777777" w:rsidR="00761FB9" w:rsidRPr="00761FB9" w:rsidRDefault="00761FB9" w:rsidP="00384ACA">
            <w:pPr>
              <w:ind w:left="-108"/>
              <w:jc w:val="center"/>
              <w:rPr>
                <w:rFonts w:ascii="Times New Roman" w:eastAsia="Times New Roman" w:hAnsi="Times New Roman"/>
                <w:color w:val="000000"/>
                <w:lang w:val="en-US"/>
              </w:rPr>
            </w:pPr>
          </w:p>
        </w:tc>
      </w:tr>
      <w:tr w:rsidR="00757D30" w:rsidRPr="00761FB9" w14:paraId="160C6DC7" w14:textId="77777777" w:rsidTr="00384ACA">
        <w:trPr>
          <w:trHeight w:val="300"/>
        </w:trPr>
        <w:tc>
          <w:tcPr>
            <w:tcW w:w="4155" w:type="dxa"/>
            <w:tcBorders>
              <w:top w:val="nil"/>
              <w:left w:val="nil"/>
              <w:bottom w:val="nil"/>
              <w:right w:val="nil"/>
            </w:tcBorders>
            <w:shd w:val="clear" w:color="auto" w:fill="auto"/>
            <w:vAlign w:val="center"/>
            <w:hideMark/>
          </w:tcPr>
          <w:p w14:paraId="0528C8C8" w14:textId="77777777" w:rsidR="00761FB9" w:rsidRPr="00761FB9" w:rsidRDefault="00761FB9" w:rsidP="00761FB9">
            <w:pPr>
              <w:rPr>
                <w:rFonts w:ascii="Times New Roman" w:eastAsia="Times New Roman" w:hAnsi="Times New Roman"/>
                <w:color w:val="000000"/>
                <w:lang w:val="en-US"/>
              </w:rPr>
            </w:pPr>
            <w:r w:rsidRPr="00761FB9">
              <w:rPr>
                <w:rFonts w:ascii="Times New Roman" w:eastAsia="Times New Roman" w:hAnsi="Times New Roman"/>
                <w:color w:val="000000"/>
                <w:lang w:val="en-US"/>
              </w:rPr>
              <w:t>General Anesthesia, n (%)</w:t>
            </w:r>
          </w:p>
        </w:tc>
        <w:tc>
          <w:tcPr>
            <w:tcW w:w="2872" w:type="dxa"/>
            <w:tcBorders>
              <w:top w:val="nil"/>
              <w:left w:val="nil"/>
              <w:bottom w:val="nil"/>
              <w:right w:val="nil"/>
            </w:tcBorders>
            <w:shd w:val="clear" w:color="auto" w:fill="auto"/>
            <w:vAlign w:val="center"/>
            <w:hideMark/>
          </w:tcPr>
          <w:p w14:paraId="08AB417B" w14:textId="77777777" w:rsidR="00761FB9" w:rsidRPr="00761FB9" w:rsidRDefault="00761FB9" w:rsidP="00761FB9">
            <w:pPr>
              <w:jc w:val="center"/>
              <w:rPr>
                <w:rFonts w:ascii="Times New Roman" w:eastAsia="Times New Roman" w:hAnsi="Times New Roman"/>
                <w:color w:val="000000"/>
                <w:lang w:val="en-US"/>
              </w:rPr>
            </w:pPr>
            <w:r w:rsidRPr="00761FB9">
              <w:rPr>
                <w:rFonts w:ascii="Times New Roman" w:eastAsia="Times New Roman" w:hAnsi="Times New Roman"/>
                <w:color w:val="000000"/>
                <w:lang w:val="en-US"/>
              </w:rPr>
              <w:t>44 (49.4%)</w:t>
            </w:r>
          </w:p>
        </w:tc>
        <w:tc>
          <w:tcPr>
            <w:tcW w:w="2873" w:type="dxa"/>
            <w:tcBorders>
              <w:top w:val="nil"/>
              <w:left w:val="nil"/>
              <w:bottom w:val="nil"/>
              <w:right w:val="nil"/>
            </w:tcBorders>
            <w:shd w:val="clear" w:color="auto" w:fill="auto"/>
            <w:vAlign w:val="center"/>
            <w:hideMark/>
          </w:tcPr>
          <w:p w14:paraId="2CFBAE3A" w14:textId="77777777" w:rsidR="00761FB9" w:rsidRPr="00761FB9" w:rsidRDefault="00761FB9" w:rsidP="00761FB9">
            <w:pPr>
              <w:jc w:val="center"/>
              <w:rPr>
                <w:rFonts w:ascii="Times New Roman" w:eastAsia="Times New Roman" w:hAnsi="Times New Roman"/>
                <w:color w:val="000000"/>
                <w:lang w:val="en-US"/>
              </w:rPr>
            </w:pPr>
            <w:r w:rsidRPr="00761FB9">
              <w:rPr>
                <w:rFonts w:ascii="Times New Roman" w:eastAsia="Times New Roman" w:hAnsi="Times New Roman"/>
                <w:color w:val="000000"/>
                <w:lang w:val="en-US"/>
              </w:rPr>
              <w:t>704 (65.4%)</w:t>
            </w:r>
          </w:p>
        </w:tc>
        <w:tc>
          <w:tcPr>
            <w:tcW w:w="1605" w:type="dxa"/>
            <w:tcBorders>
              <w:top w:val="nil"/>
              <w:left w:val="nil"/>
              <w:bottom w:val="nil"/>
              <w:right w:val="nil"/>
            </w:tcBorders>
            <w:shd w:val="clear" w:color="auto" w:fill="auto"/>
            <w:vAlign w:val="center"/>
            <w:hideMark/>
          </w:tcPr>
          <w:p w14:paraId="4E57B6CB" w14:textId="77777777" w:rsidR="00761FB9" w:rsidRPr="00761FB9" w:rsidRDefault="00761FB9" w:rsidP="00384ACA">
            <w:pPr>
              <w:ind w:left="-108"/>
              <w:jc w:val="center"/>
              <w:rPr>
                <w:rFonts w:ascii="Times New Roman" w:eastAsia="Times New Roman" w:hAnsi="Times New Roman"/>
                <w:color w:val="000000"/>
                <w:lang w:val="en-US"/>
              </w:rPr>
            </w:pPr>
            <w:r w:rsidRPr="00761FB9">
              <w:rPr>
                <w:rFonts w:ascii="Times New Roman" w:eastAsia="Times New Roman" w:hAnsi="Times New Roman"/>
                <w:color w:val="000000"/>
                <w:lang w:val="en-US"/>
              </w:rPr>
              <w:t>0.003</w:t>
            </w:r>
          </w:p>
        </w:tc>
      </w:tr>
      <w:tr w:rsidR="00757D30" w:rsidRPr="00761FB9" w14:paraId="0A84440B" w14:textId="77777777" w:rsidTr="00384ACA">
        <w:trPr>
          <w:trHeight w:val="300"/>
        </w:trPr>
        <w:tc>
          <w:tcPr>
            <w:tcW w:w="4155" w:type="dxa"/>
            <w:tcBorders>
              <w:top w:val="nil"/>
              <w:left w:val="nil"/>
              <w:bottom w:val="nil"/>
              <w:right w:val="nil"/>
            </w:tcBorders>
            <w:shd w:val="clear" w:color="auto" w:fill="auto"/>
            <w:vAlign w:val="center"/>
            <w:hideMark/>
          </w:tcPr>
          <w:p w14:paraId="75DC3193" w14:textId="77777777" w:rsidR="00761FB9" w:rsidRPr="00761FB9" w:rsidRDefault="00761FB9" w:rsidP="00761FB9">
            <w:pPr>
              <w:rPr>
                <w:rFonts w:ascii="Times New Roman" w:eastAsia="Times New Roman" w:hAnsi="Times New Roman"/>
                <w:color w:val="000000"/>
                <w:lang w:val="en-US"/>
              </w:rPr>
            </w:pPr>
            <w:r w:rsidRPr="00761FB9">
              <w:rPr>
                <w:rFonts w:ascii="Times New Roman" w:eastAsia="Times New Roman" w:hAnsi="Times New Roman"/>
                <w:color w:val="000000"/>
                <w:lang w:val="en-US"/>
              </w:rPr>
              <w:t xml:space="preserve">Transesophageal echocardiogram, n (%) </w:t>
            </w:r>
          </w:p>
        </w:tc>
        <w:tc>
          <w:tcPr>
            <w:tcW w:w="2872" w:type="dxa"/>
            <w:tcBorders>
              <w:top w:val="nil"/>
              <w:left w:val="nil"/>
              <w:bottom w:val="nil"/>
              <w:right w:val="nil"/>
            </w:tcBorders>
            <w:shd w:val="clear" w:color="auto" w:fill="auto"/>
            <w:vAlign w:val="center"/>
            <w:hideMark/>
          </w:tcPr>
          <w:p w14:paraId="1B66BCC8" w14:textId="77777777" w:rsidR="00761FB9" w:rsidRPr="00761FB9" w:rsidRDefault="00761FB9" w:rsidP="00761FB9">
            <w:pPr>
              <w:jc w:val="center"/>
              <w:rPr>
                <w:rFonts w:ascii="Times New Roman" w:eastAsia="Times New Roman" w:hAnsi="Times New Roman"/>
                <w:color w:val="000000"/>
                <w:lang w:val="en-US"/>
              </w:rPr>
            </w:pPr>
            <w:r w:rsidRPr="00761FB9">
              <w:rPr>
                <w:rFonts w:ascii="Times New Roman" w:eastAsia="Times New Roman" w:hAnsi="Times New Roman"/>
                <w:color w:val="000000"/>
                <w:lang w:val="en-US"/>
              </w:rPr>
              <w:t>32 (36.4%)</w:t>
            </w:r>
          </w:p>
        </w:tc>
        <w:tc>
          <w:tcPr>
            <w:tcW w:w="2873" w:type="dxa"/>
            <w:tcBorders>
              <w:top w:val="nil"/>
              <w:left w:val="nil"/>
              <w:bottom w:val="nil"/>
              <w:right w:val="nil"/>
            </w:tcBorders>
            <w:shd w:val="clear" w:color="auto" w:fill="auto"/>
            <w:vAlign w:val="center"/>
            <w:hideMark/>
          </w:tcPr>
          <w:p w14:paraId="4F64F92E" w14:textId="77777777" w:rsidR="00761FB9" w:rsidRPr="00761FB9" w:rsidRDefault="00761FB9" w:rsidP="00761FB9">
            <w:pPr>
              <w:jc w:val="center"/>
              <w:rPr>
                <w:rFonts w:ascii="Times New Roman" w:eastAsia="Times New Roman" w:hAnsi="Times New Roman"/>
                <w:color w:val="000000"/>
                <w:lang w:val="en-US"/>
              </w:rPr>
            </w:pPr>
            <w:r w:rsidRPr="00761FB9">
              <w:rPr>
                <w:rFonts w:ascii="Times New Roman" w:eastAsia="Times New Roman" w:hAnsi="Times New Roman"/>
                <w:color w:val="000000"/>
                <w:lang w:val="en-US"/>
              </w:rPr>
              <w:t>628 (58.5%)</w:t>
            </w:r>
          </w:p>
        </w:tc>
        <w:tc>
          <w:tcPr>
            <w:tcW w:w="1605" w:type="dxa"/>
            <w:tcBorders>
              <w:top w:val="nil"/>
              <w:left w:val="nil"/>
              <w:bottom w:val="nil"/>
              <w:right w:val="nil"/>
            </w:tcBorders>
            <w:shd w:val="clear" w:color="auto" w:fill="auto"/>
            <w:vAlign w:val="center"/>
            <w:hideMark/>
          </w:tcPr>
          <w:p w14:paraId="6FB84036" w14:textId="77777777" w:rsidR="00761FB9" w:rsidRPr="00761FB9" w:rsidRDefault="00761FB9" w:rsidP="00384ACA">
            <w:pPr>
              <w:ind w:left="-108"/>
              <w:jc w:val="center"/>
              <w:rPr>
                <w:rFonts w:ascii="Times New Roman" w:eastAsia="Times New Roman" w:hAnsi="Times New Roman"/>
                <w:color w:val="000000"/>
                <w:lang w:val="en-US"/>
              </w:rPr>
            </w:pPr>
            <w:r w:rsidRPr="00761FB9">
              <w:rPr>
                <w:rFonts w:ascii="Times New Roman" w:eastAsia="Times New Roman" w:hAnsi="Times New Roman"/>
                <w:color w:val="000000"/>
                <w:lang w:val="en-US"/>
              </w:rPr>
              <w:t>&lt; 0.001</w:t>
            </w:r>
          </w:p>
        </w:tc>
      </w:tr>
      <w:tr w:rsidR="00757D30" w:rsidRPr="00761FB9" w14:paraId="2A47527D" w14:textId="77777777" w:rsidTr="00384ACA">
        <w:trPr>
          <w:trHeight w:val="300"/>
        </w:trPr>
        <w:tc>
          <w:tcPr>
            <w:tcW w:w="4155" w:type="dxa"/>
            <w:tcBorders>
              <w:top w:val="nil"/>
              <w:left w:val="nil"/>
              <w:bottom w:val="nil"/>
              <w:right w:val="nil"/>
            </w:tcBorders>
            <w:shd w:val="clear" w:color="auto" w:fill="auto"/>
            <w:vAlign w:val="center"/>
            <w:hideMark/>
          </w:tcPr>
          <w:p w14:paraId="0F33072E" w14:textId="77777777" w:rsidR="00761FB9" w:rsidRPr="00761FB9" w:rsidRDefault="00761FB9" w:rsidP="00761FB9">
            <w:pPr>
              <w:rPr>
                <w:rFonts w:ascii="Times New Roman" w:eastAsia="Times New Roman" w:hAnsi="Times New Roman"/>
                <w:color w:val="000000"/>
                <w:lang w:val="en-US"/>
              </w:rPr>
            </w:pPr>
            <w:r w:rsidRPr="00761FB9">
              <w:rPr>
                <w:rFonts w:ascii="Times New Roman" w:eastAsia="Times New Roman" w:hAnsi="Times New Roman"/>
                <w:color w:val="000000"/>
                <w:lang w:val="en-US"/>
              </w:rPr>
              <w:t xml:space="preserve">Initial device malposition, n (%) </w:t>
            </w:r>
          </w:p>
        </w:tc>
        <w:tc>
          <w:tcPr>
            <w:tcW w:w="2872" w:type="dxa"/>
            <w:tcBorders>
              <w:top w:val="nil"/>
              <w:left w:val="nil"/>
              <w:bottom w:val="nil"/>
              <w:right w:val="nil"/>
            </w:tcBorders>
            <w:shd w:val="clear" w:color="auto" w:fill="auto"/>
            <w:vAlign w:val="center"/>
            <w:hideMark/>
          </w:tcPr>
          <w:p w14:paraId="33A7377E" w14:textId="77777777" w:rsidR="00761FB9" w:rsidRPr="00761FB9" w:rsidRDefault="00761FB9" w:rsidP="00761FB9">
            <w:pPr>
              <w:jc w:val="center"/>
              <w:rPr>
                <w:rFonts w:ascii="Times New Roman" w:eastAsia="Times New Roman" w:hAnsi="Times New Roman"/>
                <w:color w:val="000000"/>
                <w:lang w:val="en-US"/>
              </w:rPr>
            </w:pPr>
            <w:r w:rsidRPr="00761FB9">
              <w:rPr>
                <w:rFonts w:ascii="Times New Roman" w:eastAsia="Times New Roman" w:hAnsi="Times New Roman"/>
                <w:color w:val="000000"/>
                <w:lang w:val="en-US"/>
              </w:rPr>
              <w:t>9 (10.7%)</w:t>
            </w:r>
          </w:p>
        </w:tc>
        <w:tc>
          <w:tcPr>
            <w:tcW w:w="2873" w:type="dxa"/>
            <w:tcBorders>
              <w:top w:val="nil"/>
              <w:left w:val="nil"/>
              <w:bottom w:val="nil"/>
              <w:right w:val="nil"/>
            </w:tcBorders>
            <w:shd w:val="clear" w:color="auto" w:fill="auto"/>
            <w:vAlign w:val="center"/>
            <w:hideMark/>
          </w:tcPr>
          <w:p w14:paraId="3108B710" w14:textId="77777777" w:rsidR="00761FB9" w:rsidRPr="00761FB9" w:rsidRDefault="00761FB9" w:rsidP="00761FB9">
            <w:pPr>
              <w:jc w:val="center"/>
              <w:rPr>
                <w:rFonts w:ascii="Times New Roman" w:eastAsia="Times New Roman" w:hAnsi="Times New Roman"/>
                <w:color w:val="000000"/>
                <w:lang w:val="en-US"/>
              </w:rPr>
            </w:pPr>
            <w:r w:rsidRPr="00761FB9">
              <w:rPr>
                <w:rFonts w:ascii="Times New Roman" w:eastAsia="Times New Roman" w:hAnsi="Times New Roman"/>
                <w:color w:val="000000"/>
                <w:lang w:val="en-US"/>
              </w:rPr>
              <w:t>70 (6.8%)</w:t>
            </w:r>
          </w:p>
        </w:tc>
        <w:tc>
          <w:tcPr>
            <w:tcW w:w="1605" w:type="dxa"/>
            <w:tcBorders>
              <w:top w:val="nil"/>
              <w:left w:val="nil"/>
              <w:bottom w:val="nil"/>
              <w:right w:val="nil"/>
            </w:tcBorders>
            <w:shd w:val="clear" w:color="auto" w:fill="auto"/>
            <w:vAlign w:val="center"/>
            <w:hideMark/>
          </w:tcPr>
          <w:p w14:paraId="3663B5EF" w14:textId="77777777" w:rsidR="00761FB9" w:rsidRPr="00761FB9" w:rsidRDefault="00761FB9" w:rsidP="00384ACA">
            <w:pPr>
              <w:ind w:left="-108"/>
              <w:jc w:val="center"/>
              <w:rPr>
                <w:rFonts w:ascii="Times New Roman" w:eastAsia="Times New Roman" w:hAnsi="Times New Roman"/>
                <w:color w:val="000000"/>
                <w:lang w:val="en-US"/>
              </w:rPr>
            </w:pPr>
            <w:r w:rsidRPr="00761FB9">
              <w:rPr>
                <w:rFonts w:ascii="Times New Roman" w:eastAsia="Times New Roman" w:hAnsi="Times New Roman"/>
                <w:color w:val="000000"/>
                <w:lang w:val="en-US"/>
              </w:rPr>
              <w:t>0.18</w:t>
            </w:r>
          </w:p>
        </w:tc>
      </w:tr>
      <w:tr w:rsidR="00757D30" w:rsidRPr="00761FB9" w14:paraId="45DFA8D3" w14:textId="77777777" w:rsidTr="00384ACA">
        <w:trPr>
          <w:trHeight w:val="300"/>
        </w:trPr>
        <w:tc>
          <w:tcPr>
            <w:tcW w:w="4155" w:type="dxa"/>
            <w:tcBorders>
              <w:top w:val="nil"/>
              <w:left w:val="nil"/>
              <w:bottom w:val="single" w:sz="8" w:space="0" w:color="auto"/>
              <w:right w:val="nil"/>
            </w:tcBorders>
            <w:shd w:val="clear" w:color="auto" w:fill="auto"/>
            <w:vAlign w:val="center"/>
            <w:hideMark/>
          </w:tcPr>
          <w:p w14:paraId="0D3455E3" w14:textId="77777777" w:rsidR="00761FB9" w:rsidRPr="00761FB9" w:rsidRDefault="00761FB9" w:rsidP="00761FB9">
            <w:pPr>
              <w:rPr>
                <w:rFonts w:ascii="Times New Roman" w:eastAsia="Times New Roman" w:hAnsi="Times New Roman"/>
                <w:color w:val="000000"/>
                <w:lang w:val="en-US"/>
              </w:rPr>
            </w:pPr>
            <w:r w:rsidRPr="00761FB9">
              <w:rPr>
                <w:rFonts w:ascii="Times New Roman" w:eastAsia="Times New Roman" w:hAnsi="Times New Roman"/>
                <w:color w:val="000000"/>
                <w:lang w:val="en-US"/>
              </w:rPr>
              <w:t xml:space="preserve">Need for a second THV, n (%) </w:t>
            </w:r>
          </w:p>
        </w:tc>
        <w:tc>
          <w:tcPr>
            <w:tcW w:w="2872" w:type="dxa"/>
            <w:tcBorders>
              <w:top w:val="nil"/>
              <w:left w:val="nil"/>
              <w:bottom w:val="single" w:sz="8" w:space="0" w:color="auto"/>
              <w:right w:val="nil"/>
            </w:tcBorders>
            <w:shd w:val="clear" w:color="auto" w:fill="auto"/>
            <w:vAlign w:val="center"/>
            <w:hideMark/>
          </w:tcPr>
          <w:p w14:paraId="2BCF9C17" w14:textId="77777777" w:rsidR="00761FB9" w:rsidRPr="00761FB9" w:rsidRDefault="00761FB9" w:rsidP="00761FB9">
            <w:pPr>
              <w:jc w:val="center"/>
              <w:rPr>
                <w:rFonts w:ascii="Times New Roman" w:eastAsia="Times New Roman" w:hAnsi="Times New Roman"/>
                <w:color w:val="000000"/>
                <w:lang w:val="en-US"/>
              </w:rPr>
            </w:pPr>
            <w:r w:rsidRPr="00761FB9">
              <w:rPr>
                <w:rFonts w:ascii="Times New Roman" w:eastAsia="Times New Roman" w:hAnsi="Times New Roman"/>
                <w:color w:val="000000"/>
                <w:lang w:val="en-US"/>
              </w:rPr>
              <w:t>6 (6.7%)</w:t>
            </w:r>
          </w:p>
        </w:tc>
        <w:tc>
          <w:tcPr>
            <w:tcW w:w="2873" w:type="dxa"/>
            <w:tcBorders>
              <w:top w:val="nil"/>
              <w:left w:val="nil"/>
              <w:bottom w:val="single" w:sz="8" w:space="0" w:color="auto"/>
              <w:right w:val="nil"/>
            </w:tcBorders>
            <w:shd w:val="clear" w:color="auto" w:fill="auto"/>
            <w:vAlign w:val="center"/>
            <w:hideMark/>
          </w:tcPr>
          <w:p w14:paraId="56A3E1CA" w14:textId="77777777" w:rsidR="00761FB9" w:rsidRPr="00761FB9" w:rsidRDefault="00761FB9" w:rsidP="00761FB9">
            <w:pPr>
              <w:jc w:val="center"/>
              <w:rPr>
                <w:rFonts w:ascii="Times New Roman" w:eastAsia="Times New Roman" w:hAnsi="Times New Roman"/>
                <w:color w:val="000000"/>
                <w:lang w:val="en-US"/>
              </w:rPr>
            </w:pPr>
            <w:r w:rsidRPr="00761FB9">
              <w:rPr>
                <w:rFonts w:ascii="Times New Roman" w:eastAsia="Times New Roman" w:hAnsi="Times New Roman"/>
                <w:color w:val="000000"/>
                <w:lang w:val="en-US"/>
              </w:rPr>
              <w:t>40 (3.7%)</w:t>
            </w:r>
          </w:p>
        </w:tc>
        <w:tc>
          <w:tcPr>
            <w:tcW w:w="1605" w:type="dxa"/>
            <w:tcBorders>
              <w:top w:val="nil"/>
              <w:left w:val="nil"/>
              <w:bottom w:val="single" w:sz="8" w:space="0" w:color="auto"/>
              <w:right w:val="nil"/>
            </w:tcBorders>
            <w:shd w:val="clear" w:color="auto" w:fill="auto"/>
            <w:vAlign w:val="center"/>
            <w:hideMark/>
          </w:tcPr>
          <w:p w14:paraId="6819EE81" w14:textId="77777777" w:rsidR="00761FB9" w:rsidRPr="00761FB9" w:rsidRDefault="00761FB9" w:rsidP="00384ACA">
            <w:pPr>
              <w:ind w:left="-108"/>
              <w:jc w:val="center"/>
              <w:rPr>
                <w:rFonts w:ascii="Times New Roman" w:eastAsia="Times New Roman" w:hAnsi="Times New Roman"/>
                <w:color w:val="000000"/>
                <w:lang w:val="en-US"/>
              </w:rPr>
            </w:pPr>
            <w:r w:rsidRPr="00761FB9">
              <w:rPr>
                <w:rFonts w:ascii="Times New Roman" w:eastAsia="Times New Roman" w:hAnsi="Times New Roman"/>
                <w:color w:val="000000"/>
                <w:lang w:val="en-US"/>
              </w:rPr>
              <w:t>0.16</w:t>
            </w:r>
          </w:p>
        </w:tc>
      </w:tr>
    </w:tbl>
    <w:p w14:paraId="5764D556" w14:textId="77777777" w:rsidR="00761FB9" w:rsidRPr="00775D5D" w:rsidRDefault="00761FB9" w:rsidP="00EC2E63">
      <w:pPr>
        <w:rPr>
          <w:rFonts w:ascii="Times New Roman" w:hAnsi="Times New Roman"/>
          <w:lang w:val="en-US"/>
        </w:rPr>
      </w:pPr>
    </w:p>
    <w:p w14:paraId="78FCF804" w14:textId="2A8B62C4" w:rsidR="00854210" w:rsidRPr="00775D5D" w:rsidRDefault="00EC2E63" w:rsidP="00854210">
      <w:pPr>
        <w:rPr>
          <w:rFonts w:ascii="Times New Roman" w:hAnsi="Times New Roman"/>
          <w:lang w:val="en-US"/>
        </w:rPr>
      </w:pPr>
      <w:r w:rsidRPr="00775D5D">
        <w:rPr>
          <w:rFonts w:ascii="Times New Roman" w:hAnsi="Times New Roman"/>
          <w:b/>
          <w:lang w:val="en-US"/>
        </w:rPr>
        <w:t xml:space="preserve">Legend: </w:t>
      </w:r>
      <w:r w:rsidR="00EF2D7B" w:rsidRPr="00775D5D">
        <w:rPr>
          <w:rFonts w:ascii="Times New Roman" w:hAnsi="Times New Roman"/>
          <w:lang w:val="en-US"/>
        </w:rPr>
        <w:t xml:space="preserve"> THV: transcatheter heart valve</w:t>
      </w:r>
      <w:r w:rsidR="00854210" w:rsidRPr="00775D5D">
        <w:rPr>
          <w:rFonts w:ascii="Times New Roman" w:hAnsi="Times New Roman"/>
          <w:lang w:val="en-US"/>
        </w:rPr>
        <w:t>. Other abbreviations as in Table 1.</w:t>
      </w:r>
      <w:r w:rsidR="005F029D">
        <w:rPr>
          <w:rFonts w:ascii="Times New Roman" w:hAnsi="Times New Roman"/>
          <w:lang w:val="en-US"/>
        </w:rPr>
        <w:t xml:space="preserve"> SXT: SAPIEN XT; S3: SAPIEN 3.</w:t>
      </w:r>
    </w:p>
    <w:p w14:paraId="3235E638" w14:textId="162A8A01" w:rsidR="00EF2D7B" w:rsidRDefault="00EF2D7B" w:rsidP="00EC2E63">
      <w:pPr>
        <w:rPr>
          <w:rFonts w:ascii="Times New Roman" w:hAnsi="Times New Roman"/>
          <w:lang w:val="en-US"/>
        </w:rPr>
      </w:pPr>
    </w:p>
    <w:p w14:paraId="1BCA12D8" w14:textId="77777777" w:rsidR="00EF2D7B" w:rsidRDefault="00EF2D7B">
      <w:pPr>
        <w:rPr>
          <w:rFonts w:ascii="Times New Roman" w:hAnsi="Times New Roman"/>
          <w:lang w:val="en-US"/>
        </w:rPr>
      </w:pPr>
      <w:r>
        <w:rPr>
          <w:rFonts w:ascii="Times New Roman" w:hAnsi="Times New Roman"/>
          <w:lang w:val="en-US"/>
        </w:rPr>
        <w:br w:type="page"/>
      </w:r>
    </w:p>
    <w:p w14:paraId="0B4C2400" w14:textId="5A97976E" w:rsidR="00EF2D7B" w:rsidRPr="00EF2D7B" w:rsidRDefault="00EF2D7B" w:rsidP="00EF2D7B">
      <w:pPr>
        <w:pStyle w:val="Caption"/>
        <w:keepNext/>
        <w:rPr>
          <w:rFonts w:ascii="Times New Roman" w:hAnsi="Times New Roman"/>
          <w:b w:val="0"/>
          <w:color w:val="auto"/>
          <w:sz w:val="24"/>
          <w:szCs w:val="24"/>
          <w:lang w:val="en-US"/>
        </w:rPr>
      </w:pPr>
      <w:r w:rsidRPr="00EF2D7B">
        <w:rPr>
          <w:rFonts w:ascii="Times New Roman" w:hAnsi="Times New Roman"/>
          <w:color w:val="auto"/>
          <w:sz w:val="24"/>
          <w:szCs w:val="24"/>
          <w:lang w:val="en-US"/>
        </w:rPr>
        <w:lastRenderedPageBreak/>
        <w:t>TABLE 3:</w:t>
      </w:r>
      <w:r w:rsidR="004B5E6C">
        <w:rPr>
          <w:rFonts w:ascii="Times New Roman" w:hAnsi="Times New Roman"/>
          <w:b w:val="0"/>
          <w:color w:val="auto"/>
          <w:sz w:val="24"/>
          <w:szCs w:val="24"/>
          <w:lang w:val="en-US"/>
        </w:rPr>
        <w:t xml:space="preserve"> 30-day h</w:t>
      </w:r>
      <w:r w:rsidRPr="00EF2D7B">
        <w:rPr>
          <w:rFonts w:ascii="Times New Roman" w:hAnsi="Times New Roman"/>
          <w:b w:val="0"/>
          <w:color w:val="auto"/>
          <w:sz w:val="24"/>
          <w:szCs w:val="24"/>
          <w:lang w:val="en-US"/>
        </w:rPr>
        <w:t xml:space="preserve">emodynamic and </w:t>
      </w:r>
      <w:r w:rsidR="004B5E6C">
        <w:rPr>
          <w:rFonts w:ascii="Times New Roman" w:hAnsi="Times New Roman"/>
          <w:b w:val="0"/>
          <w:color w:val="auto"/>
          <w:sz w:val="24"/>
          <w:szCs w:val="24"/>
          <w:lang w:val="en-US"/>
        </w:rPr>
        <w:t>c</w:t>
      </w:r>
      <w:r w:rsidRPr="00EF2D7B">
        <w:rPr>
          <w:rFonts w:ascii="Times New Roman" w:hAnsi="Times New Roman"/>
          <w:b w:val="0"/>
          <w:color w:val="auto"/>
          <w:sz w:val="24"/>
          <w:szCs w:val="24"/>
          <w:lang w:val="en-US"/>
        </w:rPr>
        <w:t xml:space="preserve">linical </w:t>
      </w:r>
      <w:r w:rsidR="004B5E6C">
        <w:rPr>
          <w:rFonts w:ascii="Times New Roman" w:hAnsi="Times New Roman"/>
          <w:b w:val="0"/>
          <w:color w:val="auto"/>
          <w:sz w:val="24"/>
          <w:szCs w:val="24"/>
          <w:lang w:val="en-US"/>
        </w:rPr>
        <w:t>o</w:t>
      </w:r>
      <w:r w:rsidRPr="00EF2D7B">
        <w:rPr>
          <w:rFonts w:ascii="Times New Roman" w:hAnsi="Times New Roman"/>
          <w:b w:val="0"/>
          <w:color w:val="auto"/>
          <w:sz w:val="24"/>
          <w:szCs w:val="24"/>
          <w:lang w:val="en-US"/>
        </w:rPr>
        <w:t xml:space="preserve">utcomes </w:t>
      </w:r>
      <w:r w:rsidR="004B5E6C">
        <w:rPr>
          <w:rFonts w:ascii="Times New Roman" w:hAnsi="Times New Roman"/>
          <w:b w:val="0"/>
          <w:color w:val="auto"/>
          <w:sz w:val="24"/>
          <w:szCs w:val="24"/>
          <w:lang w:val="en-US"/>
        </w:rPr>
        <w:t>a</w:t>
      </w:r>
      <w:r w:rsidRPr="00EF2D7B">
        <w:rPr>
          <w:rFonts w:ascii="Times New Roman" w:hAnsi="Times New Roman"/>
          <w:b w:val="0"/>
          <w:color w:val="auto"/>
          <w:sz w:val="24"/>
          <w:szCs w:val="24"/>
          <w:lang w:val="en-US"/>
        </w:rPr>
        <w:t xml:space="preserve">ccording to </w:t>
      </w:r>
      <w:r w:rsidR="004B5E6C">
        <w:rPr>
          <w:rFonts w:ascii="Times New Roman" w:hAnsi="Times New Roman"/>
          <w:b w:val="0"/>
          <w:color w:val="auto"/>
          <w:sz w:val="24"/>
          <w:szCs w:val="24"/>
          <w:lang w:val="en-US"/>
        </w:rPr>
        <w:t>p</w:t>
      </w:r>
      <w:r w:rsidRPr="00EF2D7B">
        <w:rPr>
          <w:rFonts w:ascii="Times New Roman" w:hAnsi="Times New Roman"/>
          <w:b w:val="0"/>
          <w:color w:val="auto"/>
          <w:sz w:val="24"/>
          <w:szCs w:val="24"/>
          <w:lang w:val="en-US"/>
        </w:rPr>
        <w:t xml:space="preserve">re-existent </w:t>
      </w:r>
      <w:r w:rsidR="004B5E6C">
        <w:rPr>
          <w:rFonts w:ascii="Times New Roman" w:hAnsi="Times New Roman"/>
          <w:b w:val="0"/>
          <w:color w:val="auto"/>
          <w:sz w:val="24"/>
          <w:szCs w:val="24"/>
          <w:lang w:val="en-US"/>
        </w:rPr>
        <w:t>PPM.</w:t>
      </w:r>
    </w:p>
    <w:tbl>
      <w:tblPr>
        <w:tblStyle w:val="TableGrid"/>
        <w:tblW w:w="11166"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108"/>
        <w:gridCol w:w="5423"/>
        <w:gridCol w:w="109"/>
        <w:gridCol w:w="1840"/>
        <w:gridCol w:w="33"/>
        <w:gridCol w:w="2269"/>
        <w:gridCol w:w="109"/>
        <w:gridCol w:w="1166"/>
        <w:gridCol w:w="109"/>
      </w:tblGrid>
      <w:tr w:rsidR="00775D5D" w:rsidRPr="00EF2D7B" w14:paraId="2E7E15D8" w14:textId="77777777" w:rsidTr="00C70F5A">
        <w:trPr>
          <w:gridBefore w:val="1"/>
          <w:wBefore w:w="48" w:type="pct"/>
          <w:trHeight w:val="20"/>
        </w:trPr>
        <w:tc>
          <w:tcPr>
            <w:tcW w:w="2477" w:type="pct"/>
            <w:gridSpan w:val="2"/>
            <w:tcBorders>
              <w:top w:val="single" w:sz="4" w:space="0" w:color="auto"/>
            </w:tcBorders>
          </w:tcPr>
          <w:p w14:paraId="7356AE4A" w14:textId="12229E8D" w:rsidR="00775D5D" w:rsidRPr="00384ACA" w:rsidRDefault="00775D5D" w:rsidP="00775D5D">
            <w:pPr>
              <w:rPr>
                <w:rFonts w:ascii="Times New Roman" w:hAnsi="Times New Roman"/>
                <w:sz w:val="24"/>
                <w:szCs w:val="24"/>
                <w:highlight w:val="yellow"/>
                <w:lang w:val="en-US"/>
              </w:rPr>
            </w:pPr>
            <w:r w:rsidRPr="00384ACA">
              <w:rPr>
                <w:rFonts w:ascii="Times New Roman" w:hAnsi="Times New Roman"/>
                <w:b/>
                <w:bCs/>
                <w:sz w:val="24"/>
                <w:szCs w:val="24"/>
                <w:lang w:val="en-US"/>
              </w:rPr>
              <w:t>30-Day Hemodynamic and Clinical Outcomes</w:t>
            </w:r>
          </w:p>
        </w:tc>
        <w:tc>
          <w:tcPr>
            <w:tcW w:w="824" w:type="pct"/>
            <w:tcBorders>
              <w:top w:val="single" w:sz="4" w:space="0" w:color="auto"/>
            </w:tcBorders>
            <w:shd w:val="clear" w:color="auto" w:fill="auto"/>
          </w:tcPr>
          <w:p w14:paraId="55293168" w14:textId="77777777" w:rsidR="00775D5D" w:rsidRPr="00EF2D7B" w:rsidRDefault="00775D5D" w:rsidP="00775D5D">
            <w:pPr>
              <w:jc w:val="center"/>
              <w:rPr>
                <w:rFonts w:ascii="Times New Roman" w:hAnsi="Times New Roman"/>
                <w:b/>
                <w:bCs/>
                <w:sz w:val="24"/>
                <w:szCs w:val="24"/>
                <w:lang w:val="en-US"/>
              </w:rPr>
            </w:pPr>
            <w:r w:rsidRPr="00EF2D7B">
              <w:rPr>
                <w:rFonts w:ascii="Times New Roman" w:hAnsi="Times New Roman"/>
                <w:b/>
                <w:bCs/>
                <w:sz w:val="24"/>
                <w:szCs w:val="24"/>
                <w:lang w:val="en-US"/>
              </w:rPr>
              <w:t>Severe PPM</w:t>
            </w:r>
          </w:p>
          <w:p w14:paraId="5F69431E" w14:textId="285946BD" w:rsidR="00775D5D" w:rsidRPr="00EF2D7B" w:rsidRDefault="00775D5D" w:rsidP="00775D5D">
            <w:pPr>
              <w:jc w:val="center"/>
              <w:rPr>
                <w:rFonts w:ascii="Times New Roman" w:hAnsi="Times New Roman"/>
                <w:highlight w:val="yellow"/>
                <w:lang w:val="en-US"/>
              </w:rPr>
            </w:pPr>
            <w:r w:rsidRPr="00EF2D7B">
              <w:rPr>
                <w:rFonts w:ascii="Times New Roman" w:hAnsi="Times New Roman"/>
                <w:b/>
                <w:bCs/>
                <w:sz w:val="24"/>
                <w:szCs w:val="24"/>
                <w:lang w:val="en-US"/>
              </w:rPr>
              <w:t>(n = 89)</w:t>
            </w:r>
          </w:p>
        </w:tc>
        <w:tc>
          <w:tcPr>
            <w:tcW w:w="1080" w:type="pct"/>
            <w:gridSpan w:val="3"/>
            <w:tcBorders>
              <w:top w:val="single" w:sz="4" w:space="0" w:color="auto"/>
            </w:tcBorders>
            <w:noWrap/>
          </w:tcPr>
          <w:p w14:paraId="03FB7FFB" w14:textId="77777777" w:rsidR="00775D5D" w:rsidRPr="00EF2D7B" w:rsidRDefault="00775D5D" w:rsidP="00775D5D">
            <w:pPr>
              <w:jc w:val="center"/>
              <w:rPr>
                <w:rFonts w:ascii="Times New Roman" w:hAnsi="Times New Roman"/>
                <w:b/>
                <w:bCs/>
                <w:sz w:val="24"/>
                <w:szCs w:val="24"/>
                <w:lang w:val="en-US"/>
              </w:rPr>
            </w:pPr>
            <w:r w:rsidRPr="00EF2D7B">
              <w:rPr>
                <w:rFonts w:ascii="Times New Roman" w:hAnsi="Times New Roman"/>
                <w:b/>
                <w:bCs/>
                <w:sz w:val="24"/>
                <w:szCs w:val="24"/>
                <w:lang w:val="en-US"/>
              </w:rPr>
              <w:t>No/Moderate PPM</w:t>
            </w:r>
          </w:p>
          <w:p w14:paraId="6440C803" w14:textId="62695FF4" w:rsidR="00775D5D" w:rsidRPr="00EF2D7B" w:rsidRDefault="00775D5D" w:rsidP="00775D5D">
            <w:pPr>
              <w:jc w:val="center"/>
              <w:rPr>
                <w:rFonts w:ascii="Times New Roman" w:hAnsi="Times New Roman"/>
                <w:highlight w:val="yellow"/>
                <w:lang w:val="en-US"/>
              </w:rPr>
            </w:pPr>
            <w:r w:rsidRPr="00EF2D7B">
              <w:rPr>
                <w:rFonts w:ascii="Times New Roman" w:hAnsi="Times New Roman"/>
                <w:b/>
                <w:bCs/>
                <w:sz w:val="24"/>
                <w:szCs w:val="24"/>
                <w:lang w:val="en-US"/>
              </w:rPr>
              <w:t xml:space="preserve"> (n =1079)</w:t>
            </w:r>
          </w:p>
        </w:tc>
        <w:tc>
          <w:tcPr>
            <w:tcW w:w="571" w:type="pct"/>
            <w:gridSpan w:val="2"/>
            <w:tcBorders>
              <w:top w:val="single" w:sz="4" w:space="0" w:color="auto"/>
            </w:tcBorders>
            <w:noWrap/>
          </w:tcPr>
          <w:p w14:paraId="24460D6F" w14:textId="7F92EE13" w:rsidR="00775D5D" w:rsidRPr="00EF2D7B" w:rsidRDefault="00775D5D" w:rsidP="00775D5D">
            <w:pPr>
              <w:jc w:val="center"/>
              <w:rPr>
                <w:rFonts w:ascii="Times New Roman" w:hAnsi="Times New Roman"/>
                <w:highlight w:val="yellow"/>
                <w:lang w:val="en-US"/>
              </w:rPr>
            </w:pPr>
            <w:r w:rsidRPr="00EF2D7B">
              <w:rPr>
                <w:rFonts w:ascii="Times New Roman" w:hAnsi="Times New Roman"/>
                <w:b/>
                <w:bCs/>
                <w:sz w:val="24"/>
                <w:szCs w:val="24"/>
                <w:lang w:val="en-US"/>
              </w:rPr>
              <w:t>p Value</w:t>
            </w:r>
          </w:p>
        </w:tc>
      </w:tr>
      <w:tr w:rsidR="00C70F5A" w:rsidRPr="00EF2D7B" w14:paraId="34BE9DF3" w14:textId="77777777" w:rsidTr="00C70F5A">
        <w:trPr>
          <w:gridBefore w:val="1"/>
          <w:wBefore w:w="48" w:type="pct"/>
          <w:trHeight w:val="20"/>
        </w:trPr>
        <w:tc>
          <w:tcPr>
            <w:tcW w:w="2477" w:type="pct"/>
            <w:gridSpan w:val="2"/>
            <w:tcBorders>
              <w:top w:val="single" w:sz="4" w:space="0" w:color="auto"/>
            </w:tcBorders>
          </w:tcPr>
          <w:p w14:paraId="2DE83068" w14:textId="1FD7ECE6" w:rsidR="00C70F5A" w:rsidRPr="00E15039" w:rsidRDefault="00C70F5A" w:rsidP="00C70F5A">
            <w:pPr>
              <w:rPr>
                <w:rFonts w:ascii="Times New Roman" w:hAnsi="Times New Roman"/>
                <w:sz w:val="24"/>
                <w:szCs w:val="24"/>
                <w:highlight w:val="yellow"/>
                <w:lang w:val="en-US"/>
              </w:rPr>
            </w:pPr>
            <w:r w:rsidRPr="00E15039">
              <w:rPr>
                <w:rFonts w:ascii="Times New Roman" w:hAnsi="Times New Roman"/>
                <w:sz w:val="24"/>
                <w:szCs w:val="24"/>
                <w:lang w:val="en-US"/>
              </w:rPr>
              <w:t>Duration of hospital stay, median (IQR), days</w:t>
            </w:r>
          </w:p>
        </w:tc>
        <w:tc>
          <w:tcPr>
            <w:tcW w:w="824" w:type="pct"/>
            <w:tcBorders>
              <w:top w:val="single" w:sz="4" w:space="0" w:color="auto"/>
            </w:tcBorders>
          </w:tcPr>
          <w:p w14:paraId="3F95E41E" w14:textId="794B7018" w:rsidR="00C70F5A" w:rsidRPr="00EF2D7B" w:rsidRDefault="00C70F5A" w:rsidP="00C70F5A">
            <w:pPr>
              <w:jc w:val="center"/>
              <w:rPr>
                <w:rFonts w:ascii="Times New Roman" w:hAnsi="Times New Roman"/>
                <w:sz w:val="24"/>
                <w:szCs w:val="24"/>
                <w:highlight w:val="yellow"/>
                <w:lang w:val="en-US"/>
              </w:rPr>
            </w:pPr>
            <w:r w:rsidRPr="00DB2D9E">
              <w:rPr>
                <w:rFonts w:ascii="Times New Roman" w:hAnsi="Times New Roman"/>
                <w:sz w:val="24"/>
                <w:szCs w:val="24"/>
                <w:lang w:val="en-US"/>
              </w:rPr>
              <w:t>7 (5 – 10)</w:t>
            </w:r>
          </w:p>
        </w:tc>
        <w:tc>
          <w:tcPr>
            <w:tcW w:w="1080" w:type="pct"/>
            <w:gridSpan w:val="3"/>
            <w:tcBorders>
              <w:top w:val="single" w:sz="4" w:space="0" w:color="auto"/>
            </w:tcBorders>
            <w:noWrap/>
          </w:tcPr>
          <w:p w14:paraId="745D20AC" w14:textId="0C4C7C2D" w:rsidR="00C70F5A" w:rsidRPr="00EF2D7B" w:rsidRDefault="00C70F5A" w:rsidP="00C70F5A">
            <w:pPr>
              <w:jc w:val="center"/>
              <w:rPr>
                <w:rFonts w:ascii="Times New Roman" w:hAnsi="Times New Roman"/>
                <w:sz w:val="24"/>
                <w:szCs w:val="24"/>
                <w:highlight w:val="yellow"/>
                <w:lang w:val="en-US"/>
              </w:rPr>
            </w:pPr>
            <w:r w:rsidRPr="00DB2D9E">
              <w:rPr>
                <w:rFonts w:ascii="Times New Roman" w:hAnsi="Times New Roman"/>
                <w:sz w:val="24"/>
                <w:szCs w:val="24"/>
                <w:lang w:val="en-US"/>
              </w:rPr>
              <w:t>7 (5 – 11)</w:t>
            </w:r>
          </w:p>
        </w:tc>
        <w:tc>
          <w:tcPr>
            <w:tcW w:w="571" w:type="pct"/>
            <w:gridSpan w:val="2"/>
            <w:tcBorders>
              <w:top w:val="single" w:sz="4" w:space="0" w:color="auto"/>
            </w:tcBorders>
            <w:noWrap/>
          </w:tcPr>
          <w:p w14:paraId="33BB5528" w14:textId="679415AC" w:rsidR="00C70F5A" w:rsidRPr="00EF2D7B" w:rsidRDefault="00C70F5A" w:rsidP="00C70F5A">
            <w:pPr>
              <w:jc w:val="center"/>
              <w:rPr>
                <w:rFonts w:ascii="Times New Roman" w:hAnsi="Times New Roman"/>
                <w:sz w:val="24"/>
                <w:szCs w:val="24"/>
                <w:lang w:val="en-US"/>
              </w:rPr>
            </w:pPr>
            <w:r>
              <w:rPr>
                <w:rFonts w:ascii="Times New Roman" w:hAnsi="Times New Roman"/>
                <w:sz w:val="24"/>
                <w:szCs w:val="24"/>
                <w:lang w:val="en-US"/>
              </w:rPr>
              <w:t>0.59</w:t>
            </w:r>
          </w:p>
        </w:tc>
      </w:tr>
      <w:tr w:rsidR="00775D5D" w:rsidRPr="00EF2D7B" w14:paraId="5D6DAE32" w14:textId="77777777" w:rsidTr="00C70F5A">
        <w:trPr>
          <w:gridBefore w:val="1"/>
          <w:wBefore w:w="48" w:type="pct"/>
          <w:trHeight w:val="20"/>
        </w:trPr>
        <w:tc>
          <w:tcPr>
            <w:tcW w:w="2477" w:type="pct"/>
            <w:gridSpan w:val="2"/>
            <w:vAlign w:val="center"/>
          </w:tcPr>
          <w:p w14:paraId="0FBE3285" w14:textId="238CC737" w:rsidR="00775D5D" w:rsidRPr="00E15039" w:rsidRDefault="00775D5D" w:rsidP="00775D5D">
            <w:pPr>
              <w:rPr>
                <w:rFonts w:ascii="Times New Roman" w:hAnsi="Times New Roman"/>
                <w:sz w:val="24"/>
                <w:szCs w:val="24"/>
                <w:lang w:val="en-US"/>
              </w:rPr>
            </w:pPr>
            <w:r w:rsidRPr="00E15039">
              <w:rPr>
                <w:rFonts w:ascii="Times New Roman" w:hAnsi="Times New Roman"/>
                <w:color w:val="000000"/>
                <w:sz w:val="24"/>
                <w:szCs w:val="24"/>
              </w:rPr>
              <w:t>Vascular complications</w:t>
            </w:r>
          </w:p>
        </w:tc>
        <w:tc>
          <w:tcPr>
            <w:tcW w:w="824" w:type="pct"/>
            <w:vAlign w:val="center"/>
          </w:tcPr>
          <w:p w14:paraId="0EA4D77C" w14:textId="77777777" w:rsidR="00775D5D" w:rsidRPr="00EF2D7B" w:rsidRDefault="00775D5D" w:rsidP="00775D5D">
            <w:pPr>
              <w:jc w:val="center"/>
              <w:rPr>
                <w:rFonts w:ascii="Times New Roman" w:hAnsi="Times New Roman"/>
                <w:sz w:val="24"/>
                <w:szCs w:val="24"/>
                <w:lang w:val="en-US"/>
              </w:rPr>
            </w:pPr>
            <w:r w:rsidRPr="00EF2D7B">
              <w:rPr>
                <w:rFonts w:ascii="Times New Roman" w:hAnsi="Times New Roman"/>
                <w:sz w:val="24"/>
                <w:szCs w:val="24"/>
              </w:rPr>
              <w:t> </w:t>
            </w:r>
          </w:p>
        </w:tc>
        <w:tc>
          <w:tcPr>
            <w:tcW w:w="1080" w:type="pct"/>
            <w:gridSpan w:val="3"/>
            <w:noWrap/>
            <w:vAlign w:val="center"/>
          </w:tcPr>
          <w:p w14:paraId="64EB683E" w14:textId="77777777" w:rsidR="00775D5D" w:rsidRPr="00EF2D7B" w:rsidRDefault="00775D5D" w:rsidP="00775D5D">
            <w:pPr>
              <w:jc w:val="center"/>
              <w:rPr>
                <w:rFonts w:ascii="Times New Roman" w:hAnsi="Times New Roman"/>
                <w:sz w:val="24"/>
                <w:szCs w:val="24"/>
                <w:lang w:val="en-US"/>
              </w:rPr>
            </w:pPr>
            <w:r w:rsidRPr="00EF2D7B">
              <w:rPr>
                <w:rFonts w:ascii="Times New Roman" w:hAnsi="Times New Roman"/>
                <w:sz w:val="24"/>
                <w:szCs w:val="24"/>
              </w:rPr>
              <w:t> </w:t>
            </w:r>
          </w:p>
        </w:tc>
        <w:tc>
          <w:tcPr>
            <w:tcW w:w="571" w:type="pct"/>
            <w:gridSpan w:val="2"/>
            <w:noWrap/>
            <w:vAlign w:val="center"/>
          </w:tcPr>
          <w:p w14:paraId="360AF534" w14:textId="77777777" w:rsidR="00775D5D" w:rsidRPr="00EF2D7B" w:rsidRDefault="00775D5D" w:rsidP="00775D5D">
            <w:pPr>
              <w:jc w:val="center"/>
              <w:rPr>
                <w:rFonts w:ascii="Times New Roman" w:hAnsi="Times New Roman"/>
                <w:sz w:val="24"/>
                <w:szCs w:val="24"/>
                <w:lang w:val="en-US"/>
              </w:rPr>
            </w:pPr>
            <w:r w:rsidRPr="00EF2D7B">
              <w:rPr>
                <w:rFonts w:ascii="Times New Roman" w:hAnsi="Times New Roman"/>
                <w:color w:val="000000"/>
                <w:sz w:val="24"/>
                <w:szCs w:val="24"/>
              </w:rPr>
              <w:t>0.65</w:t>
            </w:r>
          </w:p>
        </w:tc>
      </w:tr>
      <w:tr w:rsidR="00775D5D" w:rsidRPr="00EF2D7B" w14:paraId="76D13F8D" w14:textId="77777777" w:rsidTr="00C70F5A">
        <w:trPr>
          <w:gridBefore w:val="1"/>
          <w:wBefore w:w="48" w:type="pct"/>
          <w:trHeight w:val="20"/>
        </w:trPr>
        <w:tc>
          <w:tcPr>
            <w:tcW w:w="2477" w:type="pct"/>
            <w:gridSpan w:val="2"/>
            <w:vAlign w:val="center"/>
          </w:tcPr>
          <w:p w14:paraId="53C099FE" w14:textId="77777777" w:rsidR="00775D5D" w:rsidRPr="00384ACA" w:rsidRDefault="00775D5D" w:rsidP="00775D5D">
            <w:pPr>
              <w:rPr>
                <w:rFonts w:ascii="Times New Roman" w:hAnsi="Times New Roman"/>
                <w:sz w:val="24"/>
                <w:szCs w:val="24"/>
                <w:lang w:val="en-US"/>
              </w:rPr>
            </w:pPr>
            <w:r w:rsidRPr="00E15039">
              <w:rPr>
                <w:rFonts w:ascii="Times New Roman" w:hAnsi="Times New Roman"/>
                <w:color w:val="000000"/>
                <w:sz w:val="24"/>
                <w:szCs w:val="24"/>
              </w:rPr>
              <w:t xml:space="preserve">        Minor,</w:t>
            </w:r>
            <w:r w:rsidRPr="00E15039">
              <w:rPr>
                <w:rFonts w:ascii="Times New Roman" w:hAnsi="Times New Roman"/>
                <w:sz w:val="24"/>
                <w:szCs w:val="24"/>
                <w:lang w:val="en-US"/>
              </w:rPr>
              <w:t xml:space="preserve"> n (%)</w:t>
            </w:r>
          </w:p>
        </w:tc>
        <w:tc>
          <w:tcPr>
            <w:tcW w:w="824" w:type="pct"/>
            <w:vAlign w:val="center"/>
          </w:tcPr>
          <w:p w14:paraId="1EE07958" w14:textId="77777777" w:rsidR="00775D5D" w:rsidRPr="00EF2D7B" w:rsidRDefault="00775D5D" w:rsidP="00775D5D">
            <w:pPr>
              <w:jc w:val="center"/>
              <w:rPr>
                <w:rFonts w:ascii="Times New Roman" w:hAnsi="Times New Roman"/>
                <w:sz w:val="24"/>
                <w:szCs w:val="24"/>
                <w:lang w:val="en-US"/>
              </w:rPr>
            </w:pPr>
            <w:r w:rsidRPr="00EF2D7B">
              <w:rPr>
                <w:rFonts w:ascii="Times New Roman" w:hAnsi="Times New Roman"/>
                <w:color w:val="000000"/>
                <w:sz w:val="24"/>
                <w:szCs w:val="24"/>
              </w:rPr>
              <w:t>8 (9%)</w:t>
            </w:r>
          </w:p>
        </w:tc>
        <w:tc>
          <w:tcPr>
            <w:tcW w:w="1080" w:type="pct"/>
            <w:gridSpan w:val="3"/>
            <w:noWrap/>
            <w:vAlign w:val="center"/>
          </w:tcPr>
          <w:p w14:paraId="249BF72B" w14:textId="77777777" w:rsidR="00775D5D" w:rsidRPr="00EF2D7B" w:rsidRDefault="00775D5D" w:rsidP="00775D5D">
            <w:pPr>
              <w:jc w:val="center"/>
              <w:rPr>
                <w:rFonts w:ascii="Times New Roman" w:hAnsi="Times New Roman"/>
                <w:sz w:val="24"/>
                <w:szCs w:val="24"/>
                <w:lang w:val="en-US"/>
              </w:rPr>
            </w:pPr>
            <w:r w:rsidRPr="00EF2D7B">
              <w:rPr>
                <w:rFonts w:ascii="Times New Roman" w:hAnsi="Times New Roman"/>
                <w:color w:val="000000"/>
                <w:sz w:val="24"/>
                <w:szCs w:val="24"/>
              </w:rPr>
              <w:t>73 (6.8%)</w:t>
            </w:r>
          </w:p>
        </w:tc>
        <w:tc>
          <w:tcPr>
            <w:tcW w:w="571" w:type="pct"/>
            <w:gridSpan w:val="2"/>
            <w:noWrap/>
            <w:vAlign w:val="center"/>
          </w:tcPr>
          <w:p w14:paraId="0E65EA11" w14:textId="77777777" w:rsidR="00775D5D" w:rsidRPr="00EF2D7B" w:rsidRDefault="00775D5D" w:rsidP="00775D5D">
            <w:pPr>
              <w:jc w:val="center"/>
              <w:rPr>
                <w:rFonts w:ascii="Times New Roman" w:hAnsi="Times New Roman"/>
                <w:sz w:val="24"/>
                <w:szCs w:val="24"/>
                <w:lang w:val="en-US"/>
              </w:rPr>
            </w:pPr>
            <w:r w:rsidRPr="00EF2D7B">
              <w:rPr>
                <w:rFonts w:ascii="Times New Roman" w:hAnsi="Times New Roman"/>
                <w:sz w:val="24"/>
                <w:szCs w:val="24"/>
              </w:rPr>
              <w:t> </w:t>
            </w:r>
          </w:p>
        </w:tc>
      </w:tr>
      <w:tr w:rsidR="00775D5D" w:rsidRPr="00EF2D7B" w14:paraId="2B37AFA3" w14:textId="77777777" w:rsidTr="00C70F5A">
        <w:trPr>
          <w:gridBefore w:val="1"/>
          <w:wBefore w:w="48" w:type="pct"/>
          <w:trHeight w:val="20"/>
        </w:trPr>
        <w:tc>
          <w:tcPr>
            <w:tcW w:w="2477" w:type="pct"/>
            <w:gridSpan w:val="2"/>
            <w:vAlign w:val="center"/>
          </w:tcPr>
          <w:p w14:paraId="547FF8F6" w14:textId="77777777" w:rsidR="00775D5D" w:rsidRPr="00384ACA" w:rsidRDefault="00775D5D" w:rsidP="00775D5D">
            <w:pPr>
              <w:rPr>
                <w:rFonts w:ascii="Times New Roman" w:hAnsi="Times New Roman"/>
                <w:sz w:val="24"/>
                <w:szCs w:val="24"/>
                <w:lang w:val="en-US"/>
              </w:rPr>
            </w:pPr>
            <w:r w:rsidRPr="00E15039">
              <w:rPr>
                <w:rFonts w:ascii="Times New Roman" w:hAnsi="Times New Roman"/>
                <w:color w:val="000000"/>
                <w:sz w:val="24"/>
                <w:szCs w:val="24"/>
              </w:rPr>
              <w:t xml:space="preserve">        Major,</w:t>
            </w:r>
            <w:r w:rsidRPr="00E15039">
              <w:rPr>
                <w:rFonts w:ascii="Times New Roman" w:hAnsi="Times New Roman"/>
                <w:sz w:val="24"/>
                <w:szCs w:val="24"/>
                <w:lang w:val="en-US"/>
              </w:rPr>
              <w:t xml:space="preserve"> n (%)</w:t>
            </w:r>
          </w:p>
        </w:tc>
        <w:tc>
          <w:tcPr>
            <w:tcW w:w="824" w:type="pct"/>
            <w:vAlign w:val="center"/>
          </w:tcPr>
          <w:p w14:paraId="4C7ECF35" w14:textId="77777777" w:rsidR="00775D5D" w:rsidRPr="00EF2D7B" w:rsidRDefault="00775D5D" w:rsidP="00775D5D">
            <w:pPr>
              <w:jc w:val="center"/>
              <w:rPr>
                <w:rFonts w:ascii="Times New Roman" w:hAnsi="Times New Roman"/>
                <w:sz w:val="24"/>
                <w:szCs w:val="24"/>
                <w:lang w:val="en-US"/>
              </w:rPr>
            </w:pPr>
            <w:r w:rsidRPr="00EF2D7B">
              <w:rPr>
                <w:rFonts w:ascii="Times New Roman" w:hAnsi="Times New Roman"/>
                <w:color w:val="000000"/>
                <w:sz w:val="24"/>
                <w:szCs w:val="24"/>
              </w:rPr>
              <w:t>2 (2.2%)</w:t>
            </w:r>
          </w:p>
        </w:tc>
        <w:tc>
          <w:tcPr>
            <w:tcW w:w="1080" w:type="pct"/>
            <w:gridSpan w:val="3"/>
            <w:noWrap/>
            <w:vAlign w:val="center"/>
          </w:tcPr>
          <w:p w14:paraId="37DFF5ED" w14:textId="77777777" w:rsidR="00775D5D" w:rsidRPr="00EF2D7B" w:rsidRDefault="00775D5D" w:rsidP="00775D5D">
            <w:pPr>
              <w:jc w:val="center"/>
              <w:rPr>
                <w:rFonts w:ascii="Times New Roman" w:hAnsi="Times New Roman"/>
                <w:sz w:val="24"/>
                <w:szCs w:val="24"/>
                <w:lang w:val="en-US"/>
              </w:rPr>
            </w:pPr>
            <w:r w:rsidRPr="00EF2D7B">
              <w:rPr>
                <w:rFonts w:ascii="Times New Roman" w:hAnsi="Times New Roman"/>
                <w:color w:val="000000"/>
                <w:sz w:val="24"/>
                <w:szCs w:val="24"/>
              </w:rPr>
              <w:t>35 (3.2%)</w:t>
            </w:r>
          </w:p>
        </w:tc>
        <w:tc>
          <w:tcPr>
            <w:tcW w:w="571" w:type="pct"/>
            <w:gridSpan w:val="2"/>
            <w:noWrap/>
            <w:vAlign w:val="center"/>
          </w:tcPr>
          <w:p w14:paraId="25EA5E7D" w14:textId="77777777" w:rsidR="00775D5D" w:rsidRPr="00EF2D7B" w:rsidRDefault="00775D5D" w:rsidP="00775D5D">
            <w:pPr>
              <w:jc w:val="center"/>
              <w:rPr>
                <w:rFonts w:ascii="Times New Roman" w:hAnsi="Times New Roman"/>
                <w:sz w:val="24"/>
                <w:szCs w:val="24"/>
                <w:lang w:val="en-US"/>
              </w:rPr>
            </w:pPr>
            <w:r w:rsidRPr="00EF2D7B">
              <w:rPr>
                <w:rFonts w:ascii="Times New Roman" w:hAnsi="Times New Roman"/>
                <w:sz w:val="24"/>
                <w:szCs w:val="24"/>
              </w:rPr>
              <w:t> </w:t>
            </w:r>
          </w:p>
        </w:tc>
      </w:tr>
      <w:tr w:rsidR="00775D5D" w:rsidRPr="00EF2D7B" w14:paraId="7D0CCCC1" w14:textId="77777777" w:rsidTr="00C70F5A">
        <w:trPr>
          <w:gridBefore w:val="1"/>
          <w:wBefore w:w="48" w:type="pct"/>
          <w:trHeight w:val="20"/>
        </w:trPr>
        <w:tc>
          <w:tcPr>
            <w:tcW w:w="2477" w:type="pct"/>
            <w:gridSpan w:val="2"/>
            <w:vAlign w:val="center"/>
          </w:tcPr>
          <w:p w14:paraId="1259CBF8" w14:textId="0FEBDA4E" w:rsidR="00775D5D" w:rsidRPr="00384ACA" w:rsidRDefault="00775D5D" w:rsidP="00775D5D">
            <w:pPr>
              <w:rPr>
                <w:rFonts w:ascii="Times New Roman" w:hAnsi="Times New Roman"/>
                <w:sz w:val="24"/>
                <w:szCs w:val="24"/>
                <w:lang w:val="en-US"/>
              </w:rPr>
            </w:pPr>
            <w:r w:rsidRPr="00E15039">
              <w:rPr>
                <w:rFonts w:ascii="Times New Roman" w:hAnsi="Times New Roman"/>
                <w:color w:val="000000"/>
                <w:sz w:val="24"/>
                <w:szCs w:val="24"/>
              </w:rPr>
              <w:t>Major bleeding,</w:t>
            </w:r>
            <w:r w:rsidRPr="00E15039">
              <w:rPr>
                <w:rFonts w:ascii="Times New Roman" w:hAnsi="Times New Roman"/>
                <w:sz w:val="24"/>
                <w:szCs w:val="24"/>
                <w:lang w:val="en-US"/>
              </w:rPr>
              <w:t xml:space="preserve"> n (%)</w:t>
            </w:r>
          </w:p>
        </w:tc>
        <w:tc>
          <w:tcPr>
            <w:tcW w:w="824" w:type="pct"/>
            <w:vAlign w:val="center"/>
          </w:tcPr>
          <w:p w14:paraId="19F2B513" w14:textId="77777777" w:rsidR="00775D5D" w:rsidRPr="00EF2D7B" w:rsidRDefault="00775D5D" w:rsidP="00775D5D">
            <w:pPr>
              <w:jc w:val="center"/>
              <w:rPr>
                <w:rFonts w:ascii="Times New Roman" w:hAnsi="Times New Roman"/>
                <w:sz w:val="24"/>
                <w:szCs w:val="24"/>
                <w:lang w:val="en-US"/>
              </w:rPr>
            </w:pPr>
            <w:r w:rsidRPr="00EF2D7B">
              <w:rPr>
                <w:rFonts w:ascii="Times New Roman" w:hAnsi="Times New Roman"/>
                <w:color w:val="000000"/>
                <w:sz w:val="24"/>
                <w:szCs w:val="24"/>
              </w:rPr>
              <w:t>2 (2.4%)</w:t>
            </w:r>
          </w:p>
        </w:tc>
        <w:tc>
          <w:tcPr>
            <w:tcW w:w="1080" w:type="pct"/>
            <w:gridSpan w:val="3"/>
            <w:noWrap/>
            <w:vAlign w:val="center"/>
          </w:tcPr>
          <w:p w14:paraId="0F19546D" w14:textId="77777777" w:rsidR="00775D5D" w:rsidRPr="00EF2D7B" w:rsidRDefault="00775D5D" w:rsidP="00775D5D">
            <w:pPr>
              <w:jc w:val="center"/>
              <w:rPr>
                <w:rFonts w:ascii="Times New Roman" w:hAnsi="Times New Roman"/>
                <w:sz w:val="24"/>
                <w:szCs w:val="24"/>
                <w:lang w:val="en-US"/>
              </w:rPr>
            </w:pPr>
            <w:r w:rsidRPr="00EF2D7B">
              <w:rPr>
                <w:rFonts w:ascii="Times New Roman" w:hAnsi="Times New Roman"/>
                <w:color w:val="000000"/>
                <w:sz w:val="24"/>
                <w:szCs w:val="24"/>
              </w:rPr>
              <w:t>62 (5.9%)</w:t>
            </w:r>
          </w:p>
        </w:tc>
        <w:tc>
          <w:tcPr>
            <w:tcW w:w="571" w:type="pct"/>
            <w:gridSpan w:val="2"/>
            <w:noWrap/>
            <w:vAlign w:val="center"/>
          </w:tcPr>
          <w:p w14:paraId="59C887C1" w14:textId="77777777" w:rsidR="00775D5D" w:rsidRPr="00EF2D7B" w:rsidRDefault="00775D5D" w:rsidP="00775D5D">
            <w:pPr>
              <w:jc w:val="center"/>
              <w:rPr>
                <w:rFonts w:ascii="Times New Roman" w:hAnsi="Times New Roman"/>
                <w:sz w:val="24"/>
                <w:szCs w:val="24"/>
                <w:lang w:val="en-US"/>
              </w:rPr>
            </w:pPr>
            <w:r w:rsidRPr="00EF2D7B">
              <w:rPr>
                <w:rFonts w:ascii="Times New Roman" w:hAnsi="Times New Roman"/>
                <w:color w:val="000000"/>
                <w:sz w:val="24"/>
                <w:szCs w:val="24"/>
              </w:rPr>
              <w:t>0.17</w:t>
            </w:r>
          </w:p>
        </w:tc>
      </w:tr>
      <w:tr w:rsidR="00775D5D" w:rsidRPr="00EF2D7B" w14:paraId="2404FE6F" w14:textId="77777777" w:rsidTr="00C70F5A">
        <w:trPr>
          <w:gridBefore w:val="1"/>
          <w:wBefore w:w="48" w:type="pct"/>
          <w:trHeight w:val="20"/>
        </w:trPr>
        <w:tc>
          <w:tcPr>
            <w:tcW w:w="2477" w:type="pct"/>
            <w:gridSpan w:val="2"/>
            <w:vAlign w:val="center"/>
          </w:tcPr>
          <w:p w14:paraId="6F17F98D" w14:textId="6622A432" w:rsidR="00775D5D" w:rsidRPr="00384ACA" w:rsidRDefault="00775D5D" w:rsidP="00775D5D">
            <w:pPr>
              <w:rPr>
                <w:rFonts w:ascii="Times New Roman" w:hAnsi="Times New Roman"/>
                <w:sz w:val="24"/>
                <w:szCs w:val="24"/>
                <w:lang w:val="en-US"/>
              </w:rPr>
            </w:pPr>
            <w:r w:rsidRPr="00E15039">
              <w:rPr>
                <w:rFonts w:ascii="Times New Roman" w:hAnsi="Times New Roman"/>
                <w:color w:val="000000"/>
                <w:sz w:val="24"/>
                <w:szCs w:val="24"/>
              </w:rPr>
              <w:t>Major stroke,</w:t>
            </w:r>
            <w:r w:rsidRPr="00E15039">
              <w:rPr>
                <w:rFonts w:ascii="Times New Roman" w:hAnsi="Times New Roman"/>
                <w:sz w:val="24"/>
                <w:szCs w:val="24"/>
                <w:lang w:val="en-US"/>
              </w:rPr>
              <w:t xml:space="preserve"> n (%)</w:t>
            </w:r>
          </w:p>
        </w:tc>
        <w:tc>
          <w:tcPr>
            <w:tcW w:w="824" w:type="pct"/>
            <w:vAlign w:val="center"/>
          </w:tcPr>
          <w:p w14:paraId="05CD96BB" w14:textId="77777777" w:rsidR="00775D5D" w:rsidRPr="00EF2D7B" w:rsidRDefault="00775D5D" w:rsidP="00775D5D">
            <w:pPr>
              <w:jc w:val="center"/>
              <w:rPr>
                <w:rFonts w:ascii="Times New Roman" w:hAnsi="Times New Roman"/>
                <w:sz w:val="24"/>
                <w:szCs w:val="24"/>
                <w:lang w:val="en-US"/>
              </w:rPr>
            </w:pPr>
            <w:r w:rsidRPr="00EF2D7B">
              <w:rPr>
                <w:rFonts w:ascii="Times New Roman" w:hAnsi="Times New Roman"/>
                <w:color w:val="000000"/>
                <w:sz w:val="24"/>
                <w:szCs w:val="24"/>
              </w:rPr>
              <w:t>1 (1.2%)</w:t>
            </w:r>
          </w:p>
        </w:tc>
        <w:tc>
          <w:tcPr>
            <w:tcW w:w="1080" w:type="pct"/>
            <w:gridSpan w:val="3"/>
            <w:noWrap/>
            <w:vAlign w:val="center"/>
          </w:tcPr>
          <w:p w14:paraId="3B1C24D4" w14:textId="77777777" w:rsidR="00775D5D" w:rsidRPr="00EF2D7B" w:rsidRDefault="00775D5D" w:rsidP="00775D5D">
            <w:pPr>
              <w:jc w:val="center"/>
              <w:rPr>
                <w:rFonts w:ascii="Times New Roman" w:hAnsi="Times New Roman"/>
                <w:sz w:val="24"/>
                <w:szCs w:val="24"/>
                <w:lang w:val="en-US"/>
              </w:rPr>
            </w:pPr>
            <w:r w:rsidRPr="00EF2D7B">
              <w:rPr>
                <w:rFonts w:ascii="Times New Roman" w:hAnsi="Times New Roman"/>
                <w:color w:val="000000"/>
                <w:sz w:val="24"/>
                <w:szCs w:val="24"/>
              </w:rPr>
              <w:t>14 (1.3%)</w:t>
            </w:r>
          </w:p>
        </w:tc>
        <w:tc>
          <w:tcPr>
            <w:tcW w:w="571" w:type="pct"/>
            <w:gridSpan w:val="2"/>
            <w:noWrap/>
            <w:vAlign w:val="center"/>
          </w:tcPr>
          <w:p w14:paraId="41BDA8E4" w14:textId="77777777" w:rsidR="00775D5D" w:rsidRPr="00EF2D7B" w:rsidRDefault="00775D5D" w:rsidP="00775D5D">
            <w:pPr>
              <w:jc w:val="center"/>
              <w:rPr>
                <w:rFonts w:ascii="Times New Roman" w:hAnsi="Times New Roman"/>
                <w:sz w:val="24"/>
                <w:szCs w:val="24"/>
                <w:lang w:val="en-US"/>
              </w:rPr>
            </w:pPr>
            <w:r w:rsidRPr="00EF2D7B">
              <w:rPr>
                <w:rFonts w:ascii="Times New Roman" w:hAnsi="Times New Roman"/>
                <w:color w:val="000000"/>
                <w:sz w:val="24"/>
                <w:szCs w:val="24"/>
              </w:rPr>
              <w:t>0.92</w:t>
            </w:r>
          </w:p>
        </w:tc>
      </w:tr>
      <w:tr w:rsidR="00775D5D" w:rsidRPr="00EF2D7B" w14:paraId="24F10522" w14:textId="77777777" w:rsidTr="00C70F5A">
        <w:trPr>
          <w:gridBefore w:val="1"/>
          <w:wBefore w:w="48" w:type="pct"/>
          <w:trHeight w:val="20"/>
        </w:trPr>
        <w:tc>
          <w:tcPr>
            <w:tcW w:w="2477" w:type="pct"/>
            <w:gridSpan w:val="2"/>
            <w:vAlign w:val="center"/>
          </w:tcPr>
          <w:p w14:paraId="6EA1A65D" w14:textId="5A020567" w:rsidR="00775D5D" w:rsidRPr="00384ACA" w:rsidRDefault="00775D5D" w:rsidP="00775D5D">
            <w:pPr>
              <w:rPr>
                <w:rFonts w:ascii="Times New Roman" w:hAnsi="Times New Roman"/>
                <w:sz w:val="24"/>
                <w:szCs w:val="24"/>
                <w:lang w:val="en-US"/>
              </w:rPr>
            </w:pPr>
            <w:r w:rsidRPr="00E15039">
              <w:rPr>
                <w:rFonts w:ascii="Times New Roman" w:hAnsi="Times New Roman"/>
                <w:color w:val="000000"/>
                <w:sz w:val="24"/>
                <w:szCs w:val="24"/>
              </w:rPr>
              <w:t>Acute kidney injury,</w:t>
            </w:r>
            <w:r w:rsidRPr="00E15039">
              <w:rPr>
                <w:rFonts w:ascii="Times New Roman" w:hAnsi="Times New Roman"/>
                <w:sz w:val="24"/>
                <w:szCs w:val="24"/>
                <w:lang w:val="en-US"/>
              </w:rPr>
              <w:t xml:space="preserve"> n (%)</w:t>
            </w:r>
          </w:p>
        </w:tc>
        <w:tc>
          <w:tcPr>
            <w:tcW w:w="824" w:type="pct"/>
            <w:vAlign w:val="center"/>
          </w:tcPr>
          <w:p w14:paraId="4A7826E9" w14:textId="77777777" w:rsidR="00775D5D" w:rsidRPr="00EF2D7B" w:rsidRDefault="00775D5D" w:rsidP="00775D5D">
            <w:pPr>
              <w:jc w:val="center"/>
              <w:rPr>
                <w:rFonts w:ascii="Times New Roman" w:hAnsi="Times New Roman"/>
                <w:sz w:val="24"/>
                <w:szCs w:val="24"/>
                <w:lang w:val="en-US"/>
              </w:rPr>
            </w:pPr>
            <w:r w:rsidRPr="00EF2D7B">
              <w:rPr>
                <w:rFonts w:ascii="Times New Roman" w:hAnsi="Times New Roman"/>
                <w:color w:val="000000"/>
                <w:sz w:val="24"/>
                <w:szCs w:val="24"/>
              </w:rPr>
              <w:t>6 (7.1%)</w:t>
            </w:r>
          </w:p>
        </w:tc>
        <w:tc>
          <w:tcPr>
            <w:tcW w:w="1080" w:type="pct"/>
            <w:gridSpan w:val="3"/>
            <w:noWrap/>
            <w:vAlign w:val="center"/>
          </w:tcPr>
          <w:p w14:paraId="7E798C7C" w14:textId="77777777" w:rsidR="00775D5D" w:rsidRPr="00EF2D7B" w:rsidRDefault="00775D5D" w:rsidP="00775D5D">
            <w:pPr>
              <w:jc w:val="center"/>
              <w:rPr>
                <w:rFonts w:ascii="Times New Roman" w:hAnsi="Times New Roman"/>
                <w:sz w:val="24"/>
                <w:szCs w:val="24"/>
                <w:lang w:val="en-US"/>
              </w:rPr>
            </w:pPr>
            <w:r w:rsidRPr="00EF2D7B">
              <w:rPr>
                <w:rFonts w:ascii="Times New Roman" w:hAnsi="Times New Roman"/>
                <w:color w:val="000000"/>
                <w:sz w:val="24"/>
                <w:szCs w:val="24"/>
              </w:rPr>
              <w:t>65 (6.1%)</w:t>
            </w:r>
          </w:p>
        </w:tc>
        <w:tc>
          <w:tcPr>
            <w:tcW w:w="571" w:type="pct"/>
            <w:gridSpan w:val="2"/>
            <w:noWrap/>
            <w:vAlign w:val="center"/>
          </w:tcPr>
          <w:p w14:paraId="180F7B11" w14:textId="77777777" w:rsidR="00775D5D" w:rsidRPr="00EF2D7B" w:rsidRDefault="00775D5D" w:rsidP="00775D5D">
            <w:pPr>
              <w:jc w:val="center"/>
              <w:rPr>
                <w:rFonts w:ascii="Times New Roman" w:hAnsi="Times New Roman"/>
                <w:sz w:val="24"/>
                <w:szCs w:val="24"/>
                <w:lang w:val="en-US"/>
              </w:rPr>
            </w:pPr>
            <w:r w:rsidRPr="00EF2D7B">
              <w:rPr>
                <w:rFonts w:ascii="Times New Roman" w:hAnsi="Times New Roman"/>
                <w:color w:val="000000"/>
                <w:sz w:val="24"/>
                <w:szCs w:val="24"/>
              </w:rPr>
              <w:t>0.74</w:t>
            </w:r>
          </w:p>
        </w:tc>
      </w:tr>
      <w:tr w:rsidR="00775D5D" w:rsidRPr="00EF2D7B" w14:paraId="7403F18A" w14:textId="77777777" w:rsidTr="00C70F5A">
        <w:trPr>
          <w:gridBefore w:val="1"/>
          <w:wBefore w:w="48" w:type="pct"/>
          <w:trHeight w:val="20"/>
        </w:trPr>
        <w:tc>
          <w:tcPr>
            <w:tcW w:w="2477" w:type="pct"/>
            <w:gridSpan w:val="2"/>
            <w:vAlign w:val="center"/>
          </w:tcPr>
          <w:p w14:paraId="4D5EA78B" w14:textId="0D90CF99" w:rsidR="00775D5D" w:rsidRPr="00384ACA" w:rsidRDefault="00775D5D" w:rsidP="00775D5D">
            <w:pPr>
              <w:rPr>
                <w:rFonts w:ascii="Times New Roman" w:hAnsi="Times New Roman"/>
                <w:sz w:val="24"/>
                <w:szCs w:val="24"/>
                <w:lang w:val="en-US"/>
              </w:rPr>
            </w:pPr>
            <w:r w:rsidRPr="00E15039">
              <w:rPr>
                <w:rFonts w:ascii="Times New Roman" w:hAnsi="Times New Roman"/>
                <w:color w:val="000000"/>
                <w:sz w:val="24"/>
                <w:szCs w:val="24"/>
              </w:rPr>
              <w:t>Coronary obstruction,</w:t>
            </w:r>
            <w:r w:rsidRPr="00E15039">
              <w:rPr>
                <w:rFonts w:ascii="Times New Roman" w:hAnsi="Times New Roman"/>
                <w:sz w:val="24"/>
                <w:szCs w:val="24"/>
                <w:lang w:val="en-US"/>
              </w:rPr>
              <w:t xml:space="preserve"> n (%)</w:t>
            </w:r>
          </w:p>
        </w:tc>
        <w:tc>
          <w:tcPr>
            <w:tcW w:w="824" w:type="pct"/>
            <w:vAlign w:val="center"/>
          </w:tcPr>
          <w:p w14:paraId="434E5032" w14:textId="77777777" w:rsidR="00775D5D" w:rsidRPr="00EF2D7B" w:rsidRDefault="00775D5D" w:rsidP="00775D5D">
            <w:pPr>
              <w:jc w:val="center"/>
              <w:rPr>
                <w:rFonts w:ascii="Times New Roman" w:hAnsi="Times New Roman"/>
                <w:sz w:val="24"/>
                <w:szCs w:val="24"/>
                <w:lang w:val="en-US"/>
              </w:rPr>
            </w:pPr>
            <w:r w:rsidRPr="00EF2D7B">
              <w:rPr>
                <w:rFonts w:ascii="Times New Roman" w:hAnsi="Times New Roman"/>
                <w:color w:val="000000"/>
                <w:sz w:val="24"/>
                <w:szCs w:val="24"/>
              </w:rPr>
              <w:t>1 (1.1%)</w:t>
            </w:r>
          </w:p>
        </w:tc>
        <w:tc>
          <w:tcPr>
            <w:tcW w:w="1080" w:type="pct"/>
            <w:gridSpan w:val="3"/>
            <w:noWrap/>
            <w:vAlign w:val="center"/>
          </w:tcPr>
          <w:p w14:paraId="2E6759B1" w14:textId="77777777" w:rsidR="00775D5D" w:rsidRPr="00EF2D7B" w:rsidRDefault="00775D5D" w:rsidP="00775D5D">
            <w:pPr>
              <w:jc w:val="center"/>
              <w:rPr>
                <w:rFonts w:ascii="Times New Roman" w:hAnsi="Times New Roman"/>
                <w:sz w:val="24"/>
                <w:szCs w:val="24"/>
                <w:lang w:val="en-US"/>
              </w:rPr>
            </w:pPr>
            <w:r w:rsidRPr="00EF2D7B">
              <w:rPr>
                <w:rFonts w:ascii="Times New Roman" w:hAnsi="Times New Roman"/>
                <w:color w:val="000000"/>
                <w:sz w:val="24"/>
                <w:szCs w:val="24"/>
              </w:rPr>
              <w:t>21 (2%)</w:t>
            </w:r>
          </w:p>
        </w:tc>
        <w:tc>
          <w:tcPr>
            <w:tcW w:w="571" w:type="pct"/>
            <w:gridSpan w:val="2"/>
            <w:noWrap/>
            <w:vAlign w:val="center"/>
          </w:tcPr>
          <w:p w14:paraId="4DE8B8BC" w14:textId="77777777" w:rsidR="00775D5D" w:rsidRPr="00EF2D7B" w:rsidRDefault="00775D5D" w:rsidP="00775D5D">
            <w:pPr>
              <w:jc w:val="center"/>
              <w:rPr>
                <w:rFonts w:ascii="Times New Roman" w:hAnsi="Times New Roman"/>
                <w:sz w:val="24"/>
                <w:szCs w:val="24"/>
                <w:lang w:val="en-US"/>
              </w:rPr>
            </w:pPr>
            <w:r w:rsidRPr="00EF2D7B">
              <w:rPr>
                <w:rFonts w:ascii="Times New Roman" w:hAnsi="Times New Roman"/>
                <w:color w:val="000000"/>
                <w:sz w:val="24"/>
                <w:szCs w:val="24"/>
              </w:rPr>
              <w:t>0.58</w:t>
            </w:r>
          </w:p>
        </w:tc>
      </w:tr>
      <w:tr w:rsidR="00775D5D" w:rsidRPr="00EF2D7B" w14:paraId="12DCD684" w14:textId="77777777" w:rsidTr="00C70F5A">
        <w:trPr>
          <w:gridBefore w:val="1"/>
          <w:wBefore w:w="48" w:type="pct"/>
          <w:trHeight w:val="20"/>
        </w:trPr>
        <w:tc>
          <w:tcPr>
            <w:tcW w:w="2477" w:type="pct"/>
            <w:gridSpan w:val="2"/>
            <w:vAlign w:val="center"/>
          </w:tcPr>
          <w:p w14:paraId="2BEBE9A4" w14:textId="0778D45C" w:rsidR="00775D5D" w:rsidRPr="00E15039" w:rsidRDefault="00775D5D" w:rsidP="00775D5D">
            <w:pPr>
              <w:rPr>
                <w:rFonts w:ascii="Times New Roman" w:hAnsi="Times New Roman"/>
                <w:color w:val="000000"/>
                <w:sz w:val="24"/>
                <w:szCs w:val="24"/>
              </w:rPr>
            </w:pPr>
            <w:r w:rsidRPr="00384ACA">
              <w:rPr>
                <w:rFonts w:ascii="Times New Roman" w:hAnsi="Times New Roman"/>
                <w:color w:val="000000"/>
                <w:sz w:val="24"/>
                <w:szCs w:val="24"/>
              </w:rPr>
              <w:t>Pacemaker need, n (%)</w:t>
            </w:r>
          </w:p>
        </w:tc>
        <w:tc>
          <w:tcPr>
            <w:tcW w:w="824" w:type="pct"/>
            <w:vAlign w:val="center"/>
          </w:tcPr>
          <w:p w14:paraId="146EFD4A" w14:textId="00DE80A6" w:rsidR="00775D5D" w:rsidRPr="00EF2D7B" w:rsidRDefault="00492946" w:rsidP="00775D5D">
            <w:pPr>
              <w:jc w:val="center"/>
              <w:rPr>
                <w:rFonts w:ascii="Times New Roman" w:hAnsi="Times New Roman"/>
                <w:color w:val="000000"/>
                <w:sz w:val="24"/>
                <w:szCs w:val="24"/>
              </w:rPr>
            </w:pPr>
            <w:r>
              <w:rPr>
                <w:rFonts w:ascii="Times New Roman" w:hAnsi="Times New Roman"/>
                <w:color w:val="000000"/>
                <w:sz w:val="24"/>
                <w:szCs w:val="24"/>
              </w:rPr>
              <w:t>4 (5.1%)</w:t>
            </w:r>
          </w:p>
        </w:tc>
        <w:tc>
          <w:tcPr>
            <w:tcW w:w="1080" w:type="pct"/>
            <w:gridSpan w:val="3"/>
            <w:noWrap/>
            <w:vAlign w:val="center"/>
          </w:tcPr>
          <w:p w14:paraId="00F7C904" w14:textId="73EC79DE" w:rsidR="00775D5D" w:rsidRPr="00EF2D7B" w:rsidRDefault="00492946" w:rsidP="00775D5D">
            <w:pPr>
              <w:jc w:val="center"/>
              <w:rPr>
                <w:rFonts w:ascii="Times New Roman" w:hAnsi="Times New Roman"/>
                <w:color w:val="000000"/>
                <w:sz w:val="24"/>
                <w:szCs w:val="24"/>
              </w:rPr>
            </w:pPr>
            <w:r>
              <w:rPr>
                <w:rFonts w:ascii="Times New Roman" w:hAnsi="Times New Roman"/>
                <w:color w:val="000000"/>
                <w:sz w:val="24"/>
                <w:szCs w:val="24"/>
              </w:rPr>
              <w:t>60 (6.4%)</w:t>
            </w:r>
          </w:p>
        </w:tc>
        <w:tc>
          <w:tcPr>
            <w:tcW w:w="571" w:type="pct"/>
            <w:gridSpan w:val="2"/>
            <w:noWrap/>
            <w:vAlign w:val="center"/>
          </w:tcPr>
          <w:p w14:paraId="3CE75CB8" w14:textId="38B581B8" w:rsidR="00775D5D" w:rsidRPr="00EF2D7B" w:rsidRDefault="00492946" w:rsidP="00775D5D">
            <w:pPr>
              <w:jc w:val="center"/>
              <w:rPr>
                <w:rFonts w:ascii="Times New Roman" w:hAnsi="Times New Roman"/>
                <w:color w:val="000000"/>
                <w:sz w:val="24"/>
                <w:szCs w:val="24"/>
              </w:rPr>
            </w:pPr>
            <w:r>
              <w:rPr>
                <w:rFonts w:ascii="Times New Roman" w:hAnsi="Times New Roman"/>
                <w:color w:val="000000"/>
                <w:sz w:val="24"/>
                <w:szCs w:val="24"/>
              </w:rPr>
              <w:t>0.66</w:t>
            </w:r>
          </w:p>
        </w:tc>
      </w:tr>
      <w:tr w:rsidR="00775D5D" w:rsidRPr="00EF2D7B" w14:paraId="3D9E5061" w14:textId="77777777" w:rsidTr="00C70F5A">
        <w:trPr>
          <w:gridBefore w:val="1"/>
          <w:wBefore w:w="48" w:type="pct"/>
          <w:trHeight w:val="20"/>
        </w:trPr>
        <w:tc>
          <w:tcPr>
            <w:tcW w:w="2477" w:type="pct"/>
            <w:gridSpan w:val="2"/>
            <w:vAlign w:val="center"/>
          </w:tcPr>
          <w:p w14:paraId="565634E4" w14:textId="4177949B" w:rsidR="00775D5D" w:rsidRPr="00384ACA" w:rsidRDefault="00775D5D" w:rsidP="00775D5D">
            <w:pPr>
              <w:rPr>
                <w:rFonts w:ascii="Times New Roman" w:hAnsi="Times New Roman"/>
                <w:sz w:val="24"/>
                <w:szCs w:val="24"/>
                <w:lang w:val="en-US"/>
              </w:rPr>
            </w:pPr>
            <w:r w:rsidRPr="00E15039">
              <w:rPr>
                <w:rFonts w:ascii="Times New Roman" w:hAnsi="Times New Roman"/>
                <w:color w:val="000000"/>
                <w:sz w:val="24"/>
                <w:szCs w:val="24"/>
              </w:rPr>
              <w:t>Death,</w:t>
            </w:r>
            <w:r w:rsidRPr="00E15039">
              <w:rPr>
                <w:rFonts w:ascii="Times New Roman" w:hAnsi="Times New Roman"/>
                <w:sz w:val="24"/>
                <w:szCs w:val="24"/>
                <w:lang w:val="en-US"/>
              </w:rPr>
              <w:t xml:space="preserve"> n (%)</w:t>
            </w:r>
          </w:p>
        </w:tc>
        <w:tc>
          <w:tcPr>
            <w:tcW w:w="824" w:type="pct"/>
            <w:vAlign w:val="center"/>
          </w:tcPr>
          <w:p w14:paraId="4437EF1C" w14:textId="77777777" w:rsidR="00775D5D" w:rsidRPr="00EF2D7B" w:rsidRDefault="00775D5D" w:rsidP="00775D5D">
            <w:pPr>
              <w:jc w:val="center"/>
              <w:rPr>
                <w:rFonts w:ascii="Times New Roman" w:hAnsi="Times New Roman"/>
                <w:sz w:val="24"/>
                <w:szCs w:val="24"/>
                <w:lang w:val="en-US"/>
              </w:rPr>
            </w:pPr>
            <w:r w:rsidRPr="00EF2D7B">
              <w:rPr>
                <w:rFonts w:ascii="Times New Roman" w:hAnsi="Times New Roman"/>
                <w:color w:val="000000"/>
                <w:sz w:val="24"/>
                <w:szCs w:val="24"/>
              </w:rPr>
              <w:t>9 (10.3%)</w:t>
            </w:r>
          </w:p>
        </w:tc>
        <w:tc>
          <w:tcPr>
            <w:tcW w:w="1080" w:type="pct"/>
            <w:gridSpan w:val="3"/>
            <w:noWrap/>
            <w:vAlign w:val="center"/>
          </w:tcPr>
          <w:p w14:paraId="30DCEEAC" w14:textId="77777777" w:rsidR="00775D5D" w:rsidRPr="00EF2D7B" w:rsidRDefault="00775D5D" w:rsidP="00775D5D">
            <w:pPr>
              <w:jc w:val="center"/>
              <w:rPr>
                <w:rFonts w:ascii="Times New Roman" w:hAnsi="Times New Roman"/>
                <w:sz w:val="24"/>
                <w:szCs w:val="24"/>
                <w:lang w:val="en-US"/>
              </w:rPr>
            </w:pPr>
            <w:r w:rsidRPr="00EF2D7B">
              <w:rPr>
                <w:rFonts w:ascii="Times New Roman" w:hAnsi="Times New Roman"/>
                <w:color w:val="000000"/>
                <w:sz w:val="24"/>
                <w:szCs w:val="24"/>
              </w:rPr>
              <w:t>45 (4.3%)</w:t>
            </w:r>
          </w:p>
        </w:tc>
        <w:tc>
          <w:tcPr>
            <w:tcW w:w="571" w:type="pct"/>
            <w:gridSpan w:val="2"/>
            <w:noWrap/>
            <w:vAlign w:val="center"/>
          </w:tcPr>
          <w:p w14:paraId="26BD0CBC" w14:textId="77777777" w:rsidR="00775D5D" w:rsidRPr="00EF2D7B" w:rsidRDefault="00775D5D" w:rsidP="00775D5D">
            <w:pPr>
              <w:jc w:val="center"/>
              <w:rPr>
                <w:rFonts w:ascii="Times New Roman" w:hAnsi="Times New Roman"/>
                <w:sz w:val="24"/>
                <w:szCs w:val="24"/>
                <w:lang w:val="en-US"/>
              </w:rPr>
            </w:pPr>
            <w:r w:rsidRPr="00EF2D7B">
              <w:rPr>
                <w:rFonts w:ascii="Times New Roman" w:hAnsi="Times New Roman"/>
                <w:color w:val="000000"/>
                <w:sz w:val="24"/>
                <w:szCs w:val="24"/>
              </w:rPr>
              <w:t>0.01</w:t>
            </w:r>
          </w:p>
        </w:tc>
      </w:tr>
      <w:tr w:rsidR="00775D5D" w:rsidRPr="00EF2D7B" w14:paraId="492F7273" w14:textId="77777777" w:rsidTr="00C70F5A">
        <w:trPr>
          <w:gridBefore w:val="1"/>
          <w:wBefore w:w="48" w:type="pct"/>
          <w:trHeight w:val="20"/>
        </w:trPr>
        <w:tc>
          <w:tcPr>
            <w:tcW w:w="2477" w:type="pct"/>
            <w:gridSpan w:val="2"/>
          </w:tcPr>
          <w:p w14:paraId="7D7E6909" w14:textId="2187EC20" w:rsidR="00775D5D" w:rsidRPr="00384ACA" w:rsidRDefault="00775D5D" w:rsidP="00775D5D">
            <w:pPr>
              <w:rPr>
                <w:rFonts w:ascii="Times New Roman" w:hAnsi="Times New Roman"/>
                <w:sz w:val="24"/>
                <w:szCs w:val="24"/>
                <w:lang w:val="en-US"/>
              </w:rPr>
            </w:pPr>
            <w:r w:rsidRPr="00E15039">
              <w:rPr>
                <w:rFonts w:ascii="Times New Roman" w:hAnsi="Times New Roman"/>
                <w:sz w:val="24"/>
                <w:szCs w:val="24"/>
                <w:lang w:val="en-US"/>
              </w:rPr>
              <w:t>Aortic valve area, mean ± SD, cm</w:t>
            </w:r>
            <w:r w:rsidRPr="00E15039">
              <w:rPr>
                <w:rFonts w:ascii="Times New Roman" w:hAnsi="Times New Roman"/>
                <w:sz w:val="24"/>
                <w:szCs w:val="24"/>
                <w:vertAlign w:val="superscript"/>
                <w:lang w:val="en-US"/>
              </w:rPr>
              <w:t>2</w:t>
            </w:r>
          </w:p>
        </w:tc>
        <w:tc>
          <w:tcPr>
            <w:tcW w:w="824" w:type="pct"/>
            <w:vAlign w:val="center"/>
          </w:tcPr>
          <w:p w14:paraId="75906944" w14:textId="77777777" w:rsidR="00775D5D" w:rsidRPr="00EF2D7B" w:rsidRDefault="00775D5D" w:rsidP="00775D5D">
            <w:pPr>
              <w:jc w:val="center"/>
              <w:rPr>
                <w:rFonts w:ascii="Times New Roman" w:hAnsi="Times New Roman"/>
                <w:sz w:val="24"/>
                <w:szCs w:val="24"/>
                <w:lang w:val="en-US"/>
              </w:rPr>
            </w:pPr>
            <w:r w:rsidRPr="00EF2D7B">
              <w:rPr>
                <w:rFonts w:ascii="Times New Roman" w:hAnsi="Times New Roman"/>
                <w:color w:val="000000"/>
                <w:sz w:val="24"/>
                <w:szCs w:val="24"/>
              </w:rPr>
              <w:t>1.47 ± 0.54</w:t>
            </w:r>
          </w:p>
        </w:tc>
        <w:tc>
          <w:tcPr>
            <w:tcW w:w="1080" w:type="pct"/>
            <w:gridSpan w:val="3"/>
            <w:noWrap/>
            <w:vAlign w:val="center"/>
          </w:tcPr>
          <w:p w14:paraId="40233E3A" w14:textId="77777777" w:rsidR="00775D5D" w:rsidRPr="00EF2D7B" w:rsidRDefault="00775D5D" w:rsidP="00775D5D">
            <w:pPr>
              <w:jc w:val="center"/>
              <w:rPr>
                <w:rFonts w:ascii="Times New Roman" w:hAnsi="Times New Roman"/>
                <w:sz w:val="24"/>
                <w:szCs w:val="24"/>
                <w:lang w:val="en-US"/>
              </w:rPr>
            </w:pPr>
            <w:r w:rsidRPr="00EF2D7B">
              <w:rPr>
                <w:rFonts w:ascii="Times New Roman" w:hAnsi="Times New Roman"/>
                <w:color w:val="000000"/>
                <w:sz w:val="24"/>
                <w:szCs w:val="24"/>
              </w:rPr>
              <w:t>1.43 ± 0.44</w:t>
            </w:r>
          </w:p>
        </w:tc>
        <w:tc>
          <w:tcPr>
            <w:tcW w:w="571" w:type="pct"/>
            <w:gridSpan w:val="2"/>
            <w:noWrap/>
            <w:vAlign w:val="center"/>
          </w:tcPr>
          <w:p w14:paraId="23171FE6" w14:textId="77777777" w:rsidR="00775D5D" w:rsidRPr="00EF2D7B" w:rsidRDefault="00775D5D" w:rsidP="00775D5D">
            <w:pPr>
              <w:jc w:val="center"/>
              <w:rPr>
                <w:rFonts w:ascii="Times New Roman" w:hAnsi="Times New Roman"/>
                <w:sz w:val="24"/>
                <w:szCs w:val="24"/>
                <w:lang w:val="en-US"/>
              </w:rPr>
            </w:pPr>
            <w:r w:rsidRPr="00EF2D7B">
              <w:rPr>
                <w:rFonts w:ascii="Times New Roman" w:hAnsi="Times New Roman"/>
                <w:color w:val="000000"/>
                <w:sz w:val="24"/>
                <w:szCs w:val="24"/>
              </w:rPr>
              <w:t>0.43</w:t>
            </w:r>
          </w:p>
        </w:tc>
      </w:tr>
      <w:tr w:rsidR="00C70F5A" w:rsidRPr="00EF2D7B" w14:paraId="1BDFA33C" w14:textId="77777777" w:rsidTr="00C70F5A">
        <w:trPr>
          <w:gridAfter w:val="1"/>
          <w:wAfter w:w="49" w:type="pct"/>
          <w:trHeight w:val="20"/>
        </w:trPr>
        <w:tc>
          <w:tcPr>
            <w:tcW w:w="2476" w:type="pct"/>
            <w:gridSpan w:val="2"/>
          </w:tcPr>
          <w:p w14:paraId="6EF32D20" w14:textId="6D8606D7" w:rsidR="00C70F5A" w:rsidRPr="00384ACA" w:rsidRDefault="00C70F5A" w:rsidP="00FB6CAA">
            <w:pPr>
              <w:rPr>
                <w:rFonts w:ascii="Times New Roman" w:hAnsi="Times New Roman"/>
                <w:sz w:val="24"/>
                <w:szCs w:val="24"/>
                <w:lang w:val="en-US"/>
              </w:rPr>
            </w:pPr>
            <w:r w:rsidRPr="00E15039">
              <w:rPr>
                <w:rFonts w:ascii="Times New Roman" w:hAnsi="Times New Roman"/>
                <w:sz w:val="24"/>
                <w:szCs w:val="24"/>
                <w:lang w:val="en-US"/>
              </w:rPr>
              <w:t xml:space="preserve">  Indexed aortic valve area, </w:t>
            </w:r>
            <w:r w:rsidRPr="00384ACA">
              <w:rPr>
                <w:rFonts w:ascii="Times New Roman" w:hAnsi="Times New Roman"/>
                <w:sz w:val="24"/>
                <w:szCs w:val="24"/>
                <w:lang w:val="en-US"/>
              </w:rPr>
              <w:t>mean ± SD, cm</w:t>
            </w:r>
            <w:r w:rsidRPr="00384ACA">
              <w:rPr>
                <w:rFonts w:ascii="Times New Roman" w:hAnsi="Times New Roman"/>
                <w:sz w:val="24"/>
                <w:szCs w:val="24"/>
                <w:vertAlign w:val="superscript"/>
                <w:lang w:val="en-US"/>
              </w:rPr>
              <w:t>2</w:t>
            </w:r>
            <w:r w:rsidRPr="00384ACA">
              <w:rPr>
                <w:rFonts w:ascii="Times New Roman" w:hAnsi="Times New Roman"/>
                <w:sz w:val="24"/>
                <w:szCs w:val="24"/>
                <w:lang w:val="en-US"/>
              </w:rPr>
              <w:t>/m</w:t>
            </w:r>
            <w:r w:rsidRPr="00384ACA">
              <w:rPr>
                <w:rFonts w:ascii="Times New Roman" w:hAnsi="Times New Roman"/>
                <w:sz w:val="24"/>
                <w:szCs w:val="24"/>
                <w:vertAlign w:val="superscript"/>
                <w:lang w:val="en-US"/>
              </w:rPr>
              <w:t>2</w:t>
            </w:r>
          </w:p>
        </w:tc>
        <w:tc>
          <w:tcPr>
            <w:tcW w:w="888" w:type="pct"/>
            <w:gridSpan w:val="3"/>
          </w:tcPr>
          <w:p w14:paraId="02172A3A" w14:textId="77777777" w:rsidR="00C70F5A" w:rsidRPr="00384ACA" w:rsidRDefault="00C70F5A" w:rsidP="00FB6CAA">
            <w:pPr>
              <w:jc w:val="center"/>
              <w:rPr>
                <w:rFonts w:ascii="Times New Roman" w:hAnsi="Times New Roman"/>
                <w:sz w:val="24"/>
                <w:szCs w:val="24"/>
                <w:lang w:val="en-US"/>
              </w:rPr>
            </w:pPr>
            <w:r w:rsidRPr="00384ACA">
              <w:rPr>
                <w:rFonts w:ascii="Times New Roman" w:hAnsi="Times New Roman"/>
                <w:sz w:val="24"/>
                <w:szCs w:val="24"/>
                <w:lang w:val="en-US"/>
              </w:rPr>
              <w:t>0.72 ± 0.26</w:t>
            </w:r>
          </w:p>
        </w:tc>
        <w:tc>
          <w:tcPr>
            <w:tcW w:w="1016" w:type="pct"/>
            <w:noWrap/>
          </w:tcPr>
          <w:p w14:paraId="4DBBA173" w14:textId="77777777" w:rsidR="00C70F5A" w:rsidRPr="006D3F2A" w:rsidRDefault="00C70F5A" w:rsidP="00FB6CAA">
            <w:pPr>
              <w:jc w:val="center"/>
              <w:rPr>
                <w:rFonts w:ascii="Times New Roman" w:hAnsi="Times New Roman"/>
                <w:sz w:val="24"/>
                <w:szCs w:val="24"/>
                <w:lang w:val="en-US"/>
              </w:rPr>
            </w:pPr>
            <w:r w:rsidRPr="006D3F2A">
              <w:rPr>
                <w:rFonts w:ascii="Times New Roman" w:hAnsi="Times New Roman"/>
                <w:sz w:val="24"/>
                <w:szCs w:val="24"/>
                <w:lang w:val="en-US"/>
              </w:rPr>
              <w:t>0.78 ± 0.25</w:t>
            </w:r>
          </w:p>
        </w:tc>
        <w:tc>
          <w:tcPr>
            <w:tcW w:w="571" w:type="pct"/>
            <w:gridSpan w:val="2"/>
            <w:noWrap/>
          </w:tcPr>
          <w:p w14:paraId="322DA354" w14:textId="49C16256" w:rsidR="00C70F5A" w:rsidRPr="006D3F2A" w:rsidRDefault="00C70F5A" w:rsidP="00C70F5A">
            <w:pPr>
              <w:jc w:val="center"/>
              <w:rPr>
                <w:rFonts w:ascii="Times New Roman" w:hAnsi="Times New Roman"/>
                <w:sz w:val="24"/>
                <w:szCs w:val="24"/>
                <w:lang w:val="en-US"/>
              </w:rPr>
            </w:pPr>
            <w:r>
              <w:rPr>
                <w:rFonts w:ascii="Times New Roman" w:hAnsi="Times New Roman"/>
                <w:sz w:val="24"/>
                <w:szCs w:val="24"/>
                <w:lang w:val="en-US"/>
              </w:rPr>
              <w:t xml:space="preserve">   </w:t>
            </w:r>
            <w:r w:rsidRPr="006D3F2A">
              <w:rPr>
                <w:rFonts w:ascii="Times New Roman" w:hAnsi="Times New Roman"/>
                <w:sz w:val="24"/>
                <w:szCs w:val="24"/>
                <w:lang w:val="en-US"/>
              </w:rPr>
              <w:t>0.07</w:t>
            </w:r>
          </w:p>
        </w:tc>
      </w:tr>
      <w:tr w:rsidR="00775D5D" w:rsidRPr="00EF2D7B" w14:paraId="7667D70F" w14:textId="77777777" w:rsidTr="00C70F5A">
        <w:trPr>
          <w:gridBefore w:val="1"/>
          <w:wBefore w:w="48" w:type="pct"/>
          <w:trHeight w:val="20"/>
        </w:trPr>
        <w:tc>
          <w:tcPr>
            <w:tcW w:w="2477" w:type="pct"/>
            <w:gridSpan w:val="2"/>
          </w:tcPr>
          <w:p w14:paraId="3111FA08" w14:textId="073357ED" w:rsidR="00775D5D" w:rsidRPr="00E15039" w:rsidRDefault="00775D5D" w:rsidP="00775D5D">
            <w:pPr>
              <w:rPr>
                <w:rFonts w:ascii="Times New Roman" w:hAnsi="Times New Roman"/>
                <w:sz w:val="24"/>
                <w:szCs w:val="24"/>
                <w:lang w:val="en-US"/>
              </w:rPr>
            </w:pPr>
            <w:r w:rsidRPr="00E15039">
              <w:rPr>
                <w:rFonts w:ascii="Times New Roman" w:hAnsi="Times New Roman"/>
                <w:sz w:val="24"/>
                <w:szCs w:val="24"/>
                <w:lang w:val="en-US"/>
              </w:rPr>
              <w:t>Peak gradient, mean ± SD, mmHg</w:t>
            </w:r>
          </w:p>
        </w:tc>
        <w:tc>
          <w:tcPr>
            <w:tcW w:w="824" w:type="pct"/>
            <w:vAlign w:val="center"/>
          </w:tcPr>
          <w:p w14:paraId="19B1E258" w14:textId="77777777" w:rsidR="00775D5D" w:rsidRPr="00EF2D7B" w:rsidRDefault="00775D5D" w:rsidP="00775D5D">
            <w:pPr>
              <w:jc w:val="center"/>
              <w:rPr>
                <w:rFonts w:ascii="Times New Roman" w:hAnsi="Times New Roman"/>
                <w:sz w:val="24"/>
                <w:szCs w:val="24"/>
                <w:lang w:val="en-US"/>
              </w:rPr>
            </w:pPr>
            <w:r w:rsidRPr="00EF2D7B">
              <w:rPr>
                <w:rFonts w:ascii="Times New Roman" w:hAnsi="Times New Roman"/>
                <w:color w:val="000000"/>
                <w:sz w:val="24"/>
                <w:szCs w:val="24"/>
              </w:rPr>
              <w:t>34.4 ± 16.7</w:t>
            </w:r>
          </w:p>
        </w:tc>
        <w:tc>
          <w:tcPr>
            <w:tcW w:w="1080" w:type="pct"/>
            <w:gridSpan w:val="3"/>
            <w:noWrap/>
            <w:vAlign w:val="center"/>
          </w:tcPr>
          <w:p w14:paraId="584510DA" w14:textId="77777777" w:rsidR="00775D5D" w:rsidRPr="00EF2D7B" w:rsidRDefault="00775D5D" w:rsidP="00775D5D">
            <w:pPr>
              <w:jc w:val="center"/>
              <w:rPr>
                <w:rFonts w:ascii="Times New Roman" w:hAnsi="Times New Roman"/>
                <w:sz w:val="24"/>
                <w:szCs w:val="24"/>
                <w:lang w:val="en-US"/>
              </w:rPr>
            </w:pPr>
            <w:r w:rsidRPr="00EF2D7B">
              <w:rPr>
                <w:rFonts w:ascii="Times New Roman" w:hAnsi="Times New Roman"/>
                <w:color w:val="000000"/>
                <w:sz w:val="24"/>
                <w:szCs w:val="24"/>
              </w:rPr>
              <w:t>29.3 ± 14.3</w:t>
            </w:r>
          </w:p>
        </w:tc>
        <w:tc>
          <w:tcPr>
            <w:tcW w:w="571" w:type="pct"/>
            <w:gridSpan w:val="2"/>
            <w:noWrap/>
            <w:vAlign w:val="center"/>
          </w:tcPr>
          <w:p w14:paraId="6CA44E97" w14:textId="77777777" w:rsidR="00775D5D" w:rsidRPr="00EF2D7B" w:rsidRDefault="00775D5D" w:rsidP="00775D5D">
            <w:pPr>
              <w:jc w:val="center"/>
              <w:rPr>
                <w:rFonts w:ascii="Times New Roman" w:hAnsi="Times New Roman"/>
                <w:sz w:val="24"/>
                <w:szCs w:val="24"/>
                <w:lang w:val="en-US"/>
              </w:rPr>
            </w:pPr>
            <w:r w:rsidRPr="00EF2D7B">
              <w:rPr>
                <w:rFonts w:ascii="Times New Roman" w:hAnsi="Times New Roman"/>
                <w:color w:val="000000"/>
                <w:sz w:val="24"/>
                <w:szCs w:val="24"/>
              </w:rPr>
              <w:t>0.003</w:t>
            </w:r>
          </w:p>
        </w:tc>
      </w:tr>
      <w:tr w:rsidR="00775D5D" w:rsidRPr="00EF2D7B" w14:paraId="50F7690B" w14:textId="77777777" w:rsidTr="00C70F5A">
        <w:trPr>
          <w:gridBefore w:val="1"/>
          <w:wBefore w:w="48" w:type="pct"/>
          <w:trHeight w:val="20"/>
        </w:trPr>
        <w:tc>
          <w:tcPr>
            <w:tcW w:w="2477" w:type="pct"/>
            <w:gridSpan w:val="2"/>
          </w:tcPr>
          <w:p w14:paraId="08B26359" w14:textId="22D6003C" w:rsidR="00775D5D" w:rsidRPr="00E15039" w:rsidRDefault="00775D5D" w:rsidP="00775D5D">
            <w:pPr>
              <w:rPr>
                <w:rFonts w:ascii="Times New Roman" w:hAnsi="Times New Roman"/>
                <w:sz w:val="24"/>
                <w:szCs w:val="24"/>
                <w:lang w:val="en-US"/>
              </w:rPr>
            </w:pPr>
            <w:r w:rsidRPr="00E15039">
              <w:rPr>
                <w:rFonts w:ascii="Times New Roman" w:hAnsi="Times New Roman"/>
                <w:sz w:val="24"/>
                <w:szCs w:val="24"/>
                <w:lang w:val="en-US"/>
              </w:rPr>
              <w:t>Mean gradient, mean ± SD, mmHg</w:t>
            </w:r>
          </w:p>
        </w:tc>
        <w:tc>
          <w:tcPr>
            <w:tcW w:w="824" w:type="pct"/>
            <w:vAlign w:val="center"/>
          </w:tcPr>
          <w:p w14:paraId="3E99FB6A" w14:textId="77777777" w:rsidR="00775D5D" w:rsidRPr="00EF2D7B" w:rsidRDefault="00775D5D" w:rsidP="00775D5D">
            <w:pPr>
              <w:jc w:val="center"/>
              <w:rPr>
                <w:rFonts w:ascii="Times New Roman" w:hAnsi="Times New Roman"/>
                <w:sz w:val="24"/>
                <w:szCs w:val="24"/>
                <w:lang w:val="en-US"/>
              </w:rPr>
            </w:pPr>
            <w:r w:rsidRPr="00EF2D7B">
              <w:rPr>
                <w:rFonts w:ascii="Times New Roman" w:hAnsi="Times New Roman"/>
                <w:color w:val="000000"/>
                <w:sz w:val="24"/>
                <w:szCs w:val="24"/>
              </w:rPr>
              <w:t>19.5 ± 10</w:t>
            </w:r>
          </w:p>
        </w:tc>
        <w:tc>
          <w:tcPr>
            <w:tcW w:w="1080" w:type="pct"/>
            <w:gridSpan w:val="3"/>
            <w:noWrap/>
            <w:vAlign w:val="center"/>
          </w:tcPr>
          <w:p w14:paraId="344EE02F" w14:textId="77777777" w:rsidR="00775D5D" w:rsidRPr="00EF2D7B" w:rsidRDefault="00775D5D" w:rsidP="00775D5D">
            <w:pPr>
              <w:jc w:val="center"/>
              <w:rPr>
                <w:rFonts w:ascii="Times New Roman" w:hAnsi="Times New Roman"/>
                <w:sz w:val="24"/>
                <w:szCs w:val="24"/>
                <w:lang w:val="en-US"/>
              </w:rPr>
            </w:pPr>
            <w:r w:rsidRPr="00EF2D7B">
              <w:rPr>
                <w:rFonts w:ascii="Times New Roman" w:hAnsi="Times New Roman"/>
                <w:color w:val="000000"/>
                <w:sz w:val="24"/>
                <w:szCs w:val="24"/>
              </w:rPr>
              <w:t>16.2 ± 8.7</w:t>
            </w:r>
          </w:p>
        </w:tc>
        <w:tc>
          <w:tcPr>
            <w:tcW w:w="571" w:type="pct"/>
            <w:gridSpan w:val="2"/>
            <w:noWrap/>
            <w:vAlign w:val="center"/>
          </w:tcPr>
          <w:p w14:paraId="50FB3A46" w14:textId="77777777" w:rsidR="00775D5D" w:rsidRPr="00EF2D7B" w:rsidRDefault="00775D5D" w:rsidP="00775D5D">
            <w:pPr>
              <w:jc w:val="center"/>
              <w:rPr>
                <w:rFonts w:ascii="Times New Roman" w:hAnsi="Times New Roman"/>
                <w:sz w:val="24"/>
                <w:szCs w:val="24"/>
                <w:lang w:val="en-US"/>
              </w:rPr>
            </w:pPr>
            <w:r w:rsidRPr="00EF2D7B">
              <w:rPr>
                <w:rFonts w:ascii="Times New Roman" w:hAnsi="Times New Roman"/>
                <w:color w:val="000000"/>
                <w:sz w:val="24"/>
                <w:szCs w:val="24"/>
              </w:rPr>
              <w:t>0.001</w:t>
            </w:r>
          </w:p>
        </w:tc>
      </w:tr>
      <w:tr w:rsidR="00775D5D" w:rsidRPr="00EF2D7B" w14:paraId="3C6A4D2A" w14:textId="77777777" w:rsidTr="00C70F5A">
        <w:trPr>
          <w:gridBefore w:val="1"/>
          <w:wBefore w:w="48" w:type="pct"/>
          <w:trHeight w:val="20"/>
        </w:trPr>
        <w:tc>
          <w:tcPr>
            <w:tcW w:w="2477" w:type="pct"/>
            <w:gridSpan w:val="2"/>
          </w:tcPr>
          <w:p w14:paraId="3E85AE20" w14:textId="77777777" w:rsidR="00775D5D" w:rsidRPr="00E15039" w:rsidRDefault="00775D5D" w:rsidP="00775D5D">
            <w:pPr>
              <w:rPr>
                <w:rFonts w:ascii="Times New Roman" w:hAnsi="Times New Roman"/>
                <w:sz w:val="24"/>
                <w:szCs w:val="24"/>
                <w:lang w:val="en-US"/>
              </w:rPr>
            </w:pPr>
            <w:r w:rsidRPr="00E15039">
              <w:rPr>
                <w:rFonts w:ascii="Times New Roman" w:hAnsi="Times New Roman"/>
                <w:sz w:val="24"/>
                <w:szCs w:val="24"/>
                <w:lang w:val="en-US"/>
              </w:rPr>
              <w:t xml:space="preserve">Elevated (≥20 mmHg) post-procedural gradient, n (%) </w:t>
            </w:r>
          </w:p>
        </w:tc>
        <w:tc>
          <w:tcPr>
            <w:tcW w:w="824" w:type="pct"/>
            <w:vAlign w:val="center"/>
          </w:tcPr>
          <w:p w14:paraId="2975E761" w14:textId="77777777" w:rsidR="00775D5D" w:rsidRPr="00EF2D7B" w:rsidRDefault="00775D5D" w:rsidP="00775D5D">
            <w:pPr>
              <w:jc w:val="center"/>
              <w:rPr>
                <w:rFonts w:ascii="Times New Roman" w:hAnsi="Times New Roman"/>
                <w:sz w:val="24"/>
                <w:szCs w:val="24"/>
                <w:lang w:val="en-US"/>
              </w:rPr>
            </w:pPr>
            <w:r w:rsidRPr="00EF2D7B">
              <w:rPr>
                <w:rFonts w:ascii="Times New Roman" w:hAnsi="Times New Roman"/>
                <w:color w:val="000000"/>
                <w:sz w:val="24"/>
                <w:szCs w:val="24"/>
              </w:rPr>
              <w:t>38 (47.5%)</w:t>
            </w:r>
          </w:p>
        </w:tc>
        <w:tc>
          <w:tcPr>
            <w:tcW w:w="1080" w:type="pct"/>
            <w:gridSpan w:val="3"/>
            <w:noWrap/>
            <w:vAlign w:val="center"/>
          </w:tcPr>
          <w:p w14:paraId="2B3A4157" w14:textId="77777777" w:rsidR="00775D5D" w:rsidRPr="00EF2D7B" w:rsidRDefault="00775D5D" w:rsidP="00775D5D">
            <w:pPr>
              <w:jc w:val="center"/>
              <w:rPr>
                <w:rFonts w:ascii="Times New Roman" w:hAnsi="Times New Roman"/>
                <w:sz w:val="24"/>
                <w:szCs w:val="24"/>
                <w:lang w:val="en-US"/>
              </w:rPr>
            </w:pPr>
            <w:r w:rsidRPr="00EF2D7B">
              <w:rPr>
                <w:rFonts w:ascii="Times New Roman" w:hAnsi="Times New Roman"/>
                <w:color w:val="000000"/>
                <w:sz w:val="24"/>
                <w:szCs w:val="24"/>
              </w:rPr>
              <w:t>293 (29.6%)</w:t>
            </w:r>
          </w:p>
        </w:tc>
        <w:tc>
          <w:tcPr>
            <w:tcW w:w="571" w:type="pct"/>
            <w:gridSpan w:val="2"/>
            <w:noWrap/>
            <w:vAlign w:val="center"/>
          </w:tcPr>
          <w:p w14:paraId="74E97CEC" w14:textId="77777777" w:rsidR="00775D5D" w:rsidRPr="00EF2D7B" w:rsidRDefault="00775D5D" w:rsidP="00775D5D">
            <w:pPr>
              <w:jc w:val="center"/>
              <w:rPr>
                <w:rFonts w:ascii="Times New Roman" w:hAnsi="Times New Roman"/>
                <w:sz w:val="24"/>
                <w:szCs w:val="24"/>
                <w:lang w:val="en-US"/>
              </w:rPr>
            </w:pPr>
            <w:r w:rsidRPr="00EF2D7B">
              <w:rPr>
                <w:rFonts w:ascii="Times New Roman" w:hAnsi="Times New Roman"/>
                <w:color w:val="000000"/>
                <w:sz w:val="24"/>
                <w:szCs w:val="24"/>
              </w:rPr>
              <w:t>0.001</w:t>
            </w:r>
          </w:p>
        </w:tc>
      </w:tr>
      <w:tr w:rsidR="00775D5D" w:rsidRPr="00EF2D7B" w14:paraId="36B44BA6" w14:textId="77777777" w:rsidTr="00C70F5A">
        <w:trPr>
          <w:gridBefore w:val="1"/>
          <w:wBefore w:w="48" w:type="pct"/>
          <w:trHeight w:val="20"/>
        </w:trPr>
        <w:tc>
          <w:tcPr>
            <w:tcW w:w="2477" w:type="pct"/>
            <w:gridSpan w:val="2"/>
            <w:vAlign w:val="center"/>
          </w:tcPr>
          <w:p w14:paraId="3A3ACD9C" w14:textId="6AC358B4" w:rsidR="00775D5D" w:rsidRPr="00E15039" w:rsidRDefault="00775D5D" w:rsidP="00775D5D">
            <w:pPr>
              <w:rPr>
                <w:rFonts w:ascii="Times New Roman" w:hAnsi="Times New Roman"/>
                <w:sz w:val="24"/>
                <w:szCs w:val="24"/>
                <w:lang w:val="en-US"/>
              </w:rPr>
            </w:pPr>
            <w:r w:rsidRPr="00E15039">
              <w:rPr>
                <w:rFonts w:ascii="Times New Roman" w:hAnsi="Times New Roman"/>
                <w:color w:val="000000"/>
                <w:sz w:val="24"/>
                <w:szCs w:val="24"/>
              </w:rPr>
              <w:t>Aortic regurgitation</w:t>
            </w:r>
          </w:p>
        </w:tc>
        <w:tc>
          <w:tcPr>
            <w:tcW w:w="824" w:type="pct"/>
            <w:vAlign w:val="center"/>
          </w:tcPr>
          <w:p w14:paraId="7CEE9E4E" w14:textId="7B15BC23" w:rsidR="00775D5D" w:rsidRPr="00EF2D7B" w:rsidRDefault="00775D5D" w:rsidP="00775D5D">
            <w:pPr>
              <w:jc w:val="center"/>
              <w:rPr>
                <w:rFonts w:ascii="Times New Roman" w:hAnsi="Times New Roman"/>
                <w:sz w:val="24"/>
                <w:szCs w:val="24"/>
                <w:lang w:val="en-US"/>
              </w:rPr>
            </w:pPr>
            <w:r w:rsidRPr="00EF2D7B">
              <w:rPr>
                <w:rFonts w:ascii="Times New Roman" w:hAnsi="Times New Roman"/>
                <w:sz w:val="24"/>
                <w:szCs w:val="24"/>
              </w:rPr>
              <w:t> </w:t>
            </w:r>
          </w:p>
        </w:tc>
        <w:tc>
          <w:tcPr>
            <w:tcW w:w="1080" w:type="pct"/>
            <w:gridSpan w:val="3"/>
            <w:noWrap/>
            <w:vAlign w:val="center"/>
          </w:tcPr>
          <w:p w14:paraId="693BFEDC" w14:textId="0BDF74BE" w:rsidR="00775D5D" w:rsidRPr="00EF2D7B" w:rsidRDefault="00775D5D" w:rsidP="00775D5D">
            <w:pPr>
              <w:jc w:val="center"/>
              <w:rPr>
                <w:rFonts w:ascii="Times New Roman" w:hAnsi="Times New Roman"/>
                <w:sz w:val="24"/>
                <w:szCs w:val="24"/>
                <w:lang w:val="en-US"/>
              </w:rPr>
            </w:pPr>
            <w:r w:rsidRPr="00EF2D7B">
              <w:rPr>
                <w:rFonts w:ascii="Times New Roman" w:hAnsi="Times New Roman"/>
                <w:sz w:val="24"/>
                <w:szCs w:val="24"/>
              </w:rPr>
              <w:t> </w:t>
            </w:r>
          </w:p>
        </w:tc>
        <w:tc>
          <w:tcPr>
            <w:tcW w:w="571" w:type="pct"/>
            <w:gridSpan w:val="2"/>
            <w:noWrap/>
            <w:vAlign w:val="center"/>
          </w:tcPr>
          <w:p w14:paraId="3DAD26BF" w14:textId="017B4D9C" w:rsidR="00775D5D" w:rsidRPr="00EF2D7B" w:rsidRDefault="00775D5D" w:rsidP="00775D5D">
            <w:pPr>
              <w:jc w:val="center"/>
              <w:rPr>
                <w:rFonts w:ascii="Times New Roman" w:hAnsi="Times New Roman"/>
                <w:sz w:val="24"/>
                <w:szCs w:val="24"/>
                <w:lang w:val="en-US"/>
              </w:rPr>
            </w:pPr>
            <w:r w:rsidRPr="00EF2D7B">
              <w:rPr>
                <w:rFonts w:ascii="Times New Roman" w:hAnsi="Times New Roman"/>
                <w:color w:val="000000"/>
                <w:sz w:val="24"/>
                <w:szCs w:val="24"/>
              </w:rPr>
              <w:t>0.8</w:t>
            </w:r>
            <w:r w:rsidR="009635B0">
              <w:rPr>
                <w:rFonts w:ascii="Times New Roman" w:hAnsi="Times New Roman"/>
                <w:color w:val="000000"/>
                <w:sz w:val="24"/>
                <w:szCs w:val="24"/>
              </w:rPr>
              <w:t>0</w:t>
            </w:r>
          </w:p>
        </w:tc>
      </w:tr>
      <w:tr w:rsidR="00775D5D" w:rsidRPr="00EF2D7B" w14:paraId="468F1092" w14:textId="77777777" w:rsidTr="00C70F5A">
        <w:trPr>
          <w:gridBefore w:val="1"/>
          <w:wBefore w:w="48" w:type="pct"/>
          <w:trHeight w:val="20"/>
        </w:trPr>
        <w:tc>
          <w:tcPr>
            <w:tcW w:w="2477" w:type="pct"/>
            <w:gridSpan w:val="2"/>
            <w:vAlign w:val="center"/>
          </w:tcPr>
          <w:p w14:paraId="57C25AC8" w14:textId="6CD58E9E" w:rsidR="00775D5D" w:rsidRPr="00E15039" w:rsidRDefault="00775D5D" w:rsidP="00775D5D">
            <w:pPr>
              <w:rPr>
                <w:rFonts w:ascii="Times New Roman" w:hAnsi="Times New Roman"/>
                <w:sz w:val="24"/>
                <w:szCs w:val="24"/>
                <w:lang w:val="en-US"/>
              </w:rPr>
            </w:pPr>
            <w:r w:rsidRPr="00E15039">
              <w:rPr>
                <w:rFonts w:ascii="Times New Roman" w:hAnsi="Times New Roman"/>
                <w:color w:val="000000"/>
                <w:sz w:val="24"/>
                <w:szCs w:val="24"/>
              </w:rPr>
              <w:t xml:space="preserve">        None</w:t>
            </w:r>
          </w:p>
        </w:tc>
        <w:tc>
          <w:tcPr>
            <w:tcW w:w="824" w:type="pct"/>
            <w:vAlign w:val="center"/>
          </w:tcPr>
          <w:p w14:paraId="562186E4" w14:textId="57CD3810" w:rsidR="00775D5D" w:rsidRPr="00EF2D7B" w:rsidRDefault="00775D5D" w:rsidP="00775D5D">
            <w:pPr>
              <w:jc w:val="center"/>
              <w:rPr>
                <w:rFonts w:ascii="Times New Roman" w:hAnsi="Times New Roman"/>
                <w:sz w:val="24"/>
                <w:szCs w:val="24"/>
                <w:lang w:val="en-US"/>
              </w:rPr>
            </w:pPr>
            <w:r w:rsidRPr="00EF2D7B">
              <w:rPr>
                <w:rFonts w:ascii="Times New Roman" w:hAnsi="Times New Roman"/>
                <w:color w:val="000000"/>
                <w:sz w:val="24"/>
                <w:szCs w:val="24"/>
              </w:rPr>
              <w:t>55 (69.6%)</w:t>
            </w:r>
          </w:p>
        </w:tc>
        <w:tc>
          <w:tcPr>
            <w:tcW w:w="1080" w:type="pct"/>
            <w:gridSpan w:val="3"/>
            <w:noWrap/>
            <w:vAlign w:val="center"/>
          </w:tcPr>
          <w:p w14:paraId="5F40C9AB" w14:textId="76EC909B" w:rsidR="00775D5D" w:rsidRPr="00EF2D7B" w:rsidRDefault="00775D5D" w:rsidP="00775D5D">
            <w:pPr>
              <w:jc w:val="center"/>
              <w:rPr>
                <w:rFonts w:ascii="Times New Roman" w:hAnsi="Times New Roman"/>
                <w:sz w:val="24"/>
                <w:szCs w:val="24"/>
                <w:lang w:val="en-US"/>
              </w:rPr>
            </w:pPr>
            <w:r w:rsidRPr="00EF2D7B">
              <w:rPr>
                <w:rFonts w:ascii="Times New Roman" w:hAnsi="Times New Roman"/>
                <w:color w:val="000000"/>
                <w:sz w:val="24"/>
                <w:szCs w:val="24"/>
              </w:rPr>
              <w:t>649 (64.6%)</w:t>
            </w:r>
          </w:p>
        </w:tc>
        <w:tc>
          <w:tcPr>
            <w:tcW w:w="571" w:type="pct"/>
            <w:gridSpan w:val="2"/>
            <w:noWrap/>
            <w:vAlign w:val="center"/>
          </w:tcPr>
          <w:p w14:paraId="53859417" w14:textId="6C747F7E" w:rsidR="00775D5D" w:rsidRPr="00EF2D7B" w:rsidRDefault="00775D5D" w:rsidP="00775D5D">
            <w:pPr>
              <w:jc w:val="center"/>
              <w:rPr>
                <w:rFonts w:ascii="Times New Roman" w:hAnsi="Times New Roman"/>
                <w:sz w:val="24"/>
                <w:szCs w:val="24"/>
                <w:lang w:val="en-US"/>
              </w:rPr>
            </w:pPr>
            <w:r w:rsidRPr="00EF2D7B">
              <w:rPr>
                <w:rFonts w:ascii="Times New Roman" w:hAnsi="Times New Roman"/>
                <w:sz w:val="24"/>
                <w:szCs w:val="24"/>
              </w:rPr>
              <w:t> </w:t>
            </w:r>
          </w:p>
        </w:tc>
      </w:tr>
      <w:tr w:rsidR="00775D5D" w:rsidRPr="00EF2D7B" w14:paraId="6335BFE7" w14:textId="77777777" w:rsidTr="00C70F5A">
        <w:trPr>
          <w:gridBefore w:val="1"/>
          <w:wBefore w:w="48" w:type="pct"/>
          <w:trHeight w:val="20"/>
        </w:trPr>
        <w:tc>
          <w:tcPr>
            <w:tcW w:w="2477" w:type="pct"/>
            <w:gridSpan w:val="2"/>
            <w:vAlign w:val="center"/>
          </w:tcPr>
          <w:p w14:paraId="5F126100" w14:textId="4C4C0846" w:rsidR="00775D5D" w:rsidRPr="00E15039" w:rsidRDefault="00775D5D" w:rsidP="00775D5D">
            <w:pPr>
              <w:rPr>
                <w:rFonts w:ascii="Times New Roman" w:hAnsi="Times New Roman"/>
                <w:sz w:val="24"/>
                <w:szCs w:val="24"/>
                <w:lang w:val="en-US"/>
              </w:rPr>
            </w:pPr>
            <w:r w:rsidRPr="00E15039">
              <w:rPr>
                <w:rFonts w:ascii="Times New Roman" w:hAnsi="Times New Roman"/>
                <w:color w:val="000000"/>
                <w:sz w:val="24"/>
                <w:szCs w:val="24"/>
              </w:rPr>
              <w:t xml:space="preserve">        Mild </w:t>
            </w:r>
          </w:p>
        </w:tc>
        <w:tc>
          <w:tcPr>
            <w:tcW w:w="824" w:type="pct"/>
            <w:vAlign w:val="center"/>
          </w:tcPr>
          <w:p w14:paraId="5F20381B" w14:textId="1BE636E1" w:rsidR="00775D5D" w:rsidRPr="00EF2D7B" w:rsidRDefault="00775D5D" w:rsidP="00775D5D">
            <w:pPr>
              <w:jc w:val="center"/>
              <w:rPr>
                <w:rFonts w:ascii="Times New Roman" w:hAnsi="Times New Roman"/>
                <w:sz w:val="24"/>
                <w:szCs w:val="24"/>
                <w:lang w:val="en-US"/>
              </w:rPr>
            </w:pPr>
            <w:r w:rsidRPr="00EF2D7B">
              <w:rPr>
                <w:rFonts w:ascii="Times New Roman" w:hAnsi="Times New Roman"/>
                <w:color w:val="000000"/>
                <w:sz w:val="24"/>
                <w:szCs w:val="24"/>
              </w:rPr>
              <w:t>20 (25.3%)</w:t>
            </w:r>
          </w:p>
        </w:tc>
        <w:tc>
          <w:tcPr>
            <w:tcW w:w="1080" w:type="pct"/>
            <w:gridSpan w:val="3"/>
            <w:noWrap/>
            <w:vAlign w:val="center"/>
          </w:tcPr>
          <w:p w14:paraId="72154E5B" w14:textId="69D41A38" w:rsidR="00775D5D" w:rsidRPr="00EF2D7B" w:rsidRDefault="00775D5D" w:rsidP="00775D5D">
            <w:pPr>
              <w:jc w:val="center"/>
              <w:rPr>
                <w:rFonts w:ascii="Times New Roman" w:hAnsi="Times New Roman"/>
                <w:sz w:val="24"/>
                <w:szCs w:val="24"/>
                <w:lang w:val="en-US"/>
              </w:rPr>
            </w:pPr>
            <w:r w:rsidRPr="00EF2D7B">
              <w:rPr>
                <w:rFonts w:ascii="Times New Roman" w:hAnsi="Times New Roman"/>
                <w:color w:val="000000"/>
                <w:sz w:val="24"/>
                <w:szCs w:val="24"/>
              </w:rPr>
              <w:t>307 (30.6%)</w:t>
            </w:r>
          </w:p>
        </w:tc>
        <w:tc>
          <w:tcPr>
            <w:tcW w:w="571" w:type="pct"/>
            <w:gridSpan w:val="2"/>
            <w:noWrap/>
            <w:vAlign w:val="center"/>
          </w:tcPr>
          <w:p w14:paraId="366BDE23" w14:textId="08FED74D" w:rsidR="00775D5D" w:rsidRPr="00EF2D7B" w:rsidRDefault="00775D5D" w:rsidP="00775D5D">
            <w:pPr>
              <w:jc w:val="center"/>
              <w:rPr>
                <w:rFonts w:ascii="Times New Roman" w:hAnsi="Times New Roman"/>
                <w:sz w:val="24"/>
                <w:szCs w:val="24"/>
                <w:lang w:val="en-US"/>
              </w:rPr>
            </w:pPr>
            <w:r w:rsidRPr="00EF2D7B">
              <w:rPr>
                <w:rFonts w:ascii="Times New Roman" w:hAnsi="Times New Roman"/>
                <w:sz w:val="24"/>
                <w:szCs w:val="24"/>
              </w:rPr>
              <w:t> </w:t>
            </w:r>
          </w:p>
        </w:tc>
      </w:tr>
      <w:tr w:rsidR="00775D5D" w:rsidRPr="00EF2D7B" w14:paraId="5ED195D5" w14:textId="77777777" w:rsidTr="00C70F5A">
        <w:trPr>
          <w:gridBefore w:val="1"/>
          <w:wBefore w:w="48" w:type="pct"/>
          <w:trHeight w:val="20"/>
        </w:trPr>
        <w:tc>
          <w:tcPr>
            <w:tcW w:w="2477" w:type="pct"/>
            <w:gridSpan w:val="2"/>
            <w:vAlign w:val="center"/>
          </w:tcPr>
          <w:p w14:paraId="1F4A492D" w14:textId="3396493D" w:rsidR="00775D5D" w:rsidRPr="00E15039" w:rsidRDefault="00775D5D" w:rsidP="00775D5D">
            <w:pPr>
              <w:rPr>
                <w:rFonts w:ascii="Times New Roman" w:hAnsi="Times New Roman"/>
                <w:sz w:val="24"/>
                <w:szCs w:val="24"/>
                <w:lang w:val="en-US"/>
              </w:rPr>
            </w:pPr>
            <w:r w:rsidRPr="00E15039">
              <w:rPr>
                <w:rFonts w:ascii="Times New Roman" w:hAnsi="Times New Roman"/>
                <w:color w:val="000000"/>
                <w:sz w:val="24"/>
                <w:szCs w:val="24"/>
              </w:rPr>
              <w:t xml:space="preserve">        Moderate </w:t>
            </w:r>
          </w:p>
        </w:tc>
        <w:tc>
          <w:tcPr>
            <w:tcW w:w="824" w:type="pct"/>
            <w:vAlign w:val="center"/>
          </w:tcPr>
          <w:p w14:paraId="7FE602BC" w14:textId="27847FB4" w:rsidR="00775D5D" w:rsidRPr="00EF2D7B" w:rsidRDefault="00775D5D" w:rsidP="00775D5D">
            <w:pPr>
              <w:jc w:val="center"/>
              <w:rPr>
                <w:rFonts w:ascii="Times New Roman" w:hAnsi="Times New Roman"/>
                <w:sz w:val="24"/>
                <w:szCs w:val="24"/>
                <w:lang w:val="en-US"/>
              </w:rPr>
            </w:pPr>
            <w:r w:rsidRPr="00EF2D7B">
              <w:rPr>
                <w:rFonts w:ascii="Times New Roman" w:hAnsi="Times New Roman"/>
                <w:color w:val="000000"/>
                <w:sz w:val="24"/>
                <w:szCs w:val="24"/>
              </w:rPr>
              <w:t>4 (5.1%)</w:t>
            </w:r>
          </w:p>
        </w:tc>
        <w:tc>
          <w:tcPr>
            <w:tcW w:w="1080" w:type="pct"/>
            <w:gridSpan w:val="3"/>
            <w:noWrap/>
            <w:vAlign w:val="center"/>
          </w:tcPr>
          <w:p w14:paraId="3603D9C3" w14:textId="2123EE5D" w:rsidR="00775D5D" w:rsidRPr="00EF2D7B" w:rsidRDefault="00775D5D" w:rsidP="00775D5D">
            <w:pPr>
              <w:jc w:val="center"/>
              <w:rPr>
                <w:rFonts w:ascii="Times New Roman" w:hAnsi="Times New Roman"/>
                <w:sz w:val="24"/>
                <w:szCs w:val="24"/>
                <w:lang w:val="en-US"/>
              </w:rPr>
            </w:pPr>
            <w:r w:rsidRPr="00EF2D7B">
              <w:rPr>
                <w:rFonts w:ascii="Times New Roman" w:hAnsi="Times New Roman"/>
                <w:color w:val="000000"/>
                <w:sz w:val="24"/>
                <w:szCs w:val="24"/>
              </w:rPr>
              <w:t>41 (4.1%)</w:t>
            </w:r>
          </w:p>
        </w:tc>
        <w:tc>
          <w:tcPr>
            <w:tcW w:w="571" w:type="pct"/>
            <w:gridSpan w:val="2"/>
            <w:noWrap/>
            <w:vAlign w:val="center"/>
          </w:tcPr>
          <w:p w14:paraId="4CC5E43B" w14:textId="7A7C34AE" w:rsidR="00775D5D" w:rsidRPr="00EF2D7B" w:rsidRDefault="00775D5D" w:rsidP="00775D5D">
            <w:pPr>
              <w:jc w:val="center"/>
              <w:rPr>
                <w:rFonts w:ascii="Times New Roman" w:hAnsi="Times New Roman"/>
                <w:sz w:val="24"/>
                <w:szCs w:val="24"/>
                <w:lang w:val="en-US"/>
              </w:rPr>
            </w:pPr>
            <w:r w:rsidRPr="00EF2D7B">
              <w:rPr>
                <w:rFonts w:ascii="Times New Roman" w:hAnsi="Times New Roman"/>
                <w:sz w:val="24"/>
                <w:szCs w:val="24"/>
              </w:rPr>
              <w:t> </w:t>
            </w:r>
          </w:p>
        </w:tc>
      </w:tr>
      <w:tr w:rsidR="00775D5D" w:rsidRPr="00EF2D7B" w14:paraId="038D1515" w14:textId="77777777" w:rsidTr="00C70F5A">
        <w:trPr>
          <w:gridBefore w:val="1"/>
          <w:wBefore w:w="48" w:type="pct"/>
          <w:trHeight w:val="20"/>
        </w:trPr>
        <w:tc>
          <w:tcPr>
            <w:tcW w:w="2477" w:type="pct"/>
            <w:gridSpan w:val="2"/>
            <w:vAlign w:val="center"/>
          </w:tcPr>
          <w:p w14:paraId="0D7EE4FD" w14:textId="09FE01AF" w:rsidR="00775D5D" w:rsidRPr="00E15039" w:rsidRDefault="00775D5D" w:rsidP="00775D5D">
            <w:pPr>
              <w:rPr>
                <w:rFonts w:ascii="Times New Roman" w:hAnsi="Times New Roman"/>
                <w:sz w:val="24"/>
                <w:szCs w:val="24"/>
                <w:lang w:val="en-US"/>
              </w:rPr>
            </w:pPr>
            <w:r w:rsidRPr="00E15039">
              <w:rPr>
                <w:rFonts w:ascii="Times New Roman" w:hAnsi="Times New Roman"/>
                <w:color w:val="000000"/>
                <w:sz w:val="24"/>
                <w:szCs w:val="24"/>
              </w:rPr>
              <w:t xml:space="preserve">        Moderately Severe </w:t>
            </w:r>
          </w:p>
        </w:tc>
        <w:tc>
          <w:tcPr>
            <w:tcW w:w="824" w:type="pct"/>
            <w:vAlign w:val="center"/>
          </w:tcPr>
          <w:p w14:paraId="58237548" w14:textId="70933D76" w:rsidR="00775D5D" w:rsidRPr="00EF2D7B" w:rsidRDefault="00775D5D" w:rsidP="00775D5D">
            <w:pPr>
              <w:jc w:val="center"/>
              <w:rPr>
                <w:rFonts w:ascii="Times New Roman" w:hAnsi="Times New Roman"/>
                <w:sz w:val="24"/>
                <w:szCs w:val="24"/>
                <w:lang w:val="en-US"/>
              </w:rPr>
            </w:pPr>
            <w:r w:rsidRPr="00EF2D7B">
              <w:rPr>
                <w:rFonts w:ascii="Times New Roman" w:hAnsi="Times New Roman"/>
                <w:color w:val="000000"/>
                <w:sz w:val="24"/>
                <w:szCs w:val="24"/>
              </w:rPr>
              <w:t>0 (0%)</w:t>
            </w:r>
          </w:p>
        </w:tc>
        <w:tc>
          <w:tcPr>
            <w:tcW w:w="1080" w:type="pct"/>
            <w:gridSpan w:val="3"/>
            <w:noWrap/>
            <w:vAlign w:val="center"/>
          </w:tcPr>
          <w:p w14:paraId="63572DE9" w14:textId="5BA9BC1F" w:rsidR="00775D5D" w:rsidRPr="00EF2D7B" w:rsidRDefault="00775D5D" w:rsidP="00775D5D">
            <w:pPr>
              <w:jc w:val="center"/>
              <w:rPr>
                <w:rFonts w:ascii="Times New Roman" w:hAnsi="Times New Roman"/>
                <w:sz w:val="24"/>
                <w:szCs w:val="24"/>
                <w:lang w:val="en-US"/>
              </w:rPr>
            </w:pPr>
            <w:r w:rsidRPr="00EF2D7B">
              <w:rPr>
                <w:rFonts w:ascii="Times New Roman" w:hAnsi="Times New Roman"/>
                <w:color w:val="000000"/>
                <w:sz w:val="24"/>
                <w:szCs w:val="24"/>
              </w:rPr>
              <w:t>5 (0.5%)</w:t>
            </w:r>
          </w:p>
        </w:tc>
        <w:tc>
          <w:tcPr>
            <w:tcW w:w="571" w:type="pct"/>
            <w:gridSpan w:val="2"/>
            <w:noWrap/>
            <w:vAlign w:val="center"/>
          </w:tcPr>
          <w:p w14:paraId="22892CEC" w14:textId="19A2CC9A" w:rsidR="00775D5D" w:rsidRPr="00EF2D7B" w:rsidRDefault="00775D5D" w:rsidP="00775D5D">
            <w:pPr>
              <w:jc w:val="center"/>
              <w:rPr>
                <w:rFonts w:ascii="Times New Roman" w:hAnsi="Times New Roman"/>
                <w:sz w:val="24"/>
                <w:szCs w:val="24"/>
                <w:lang w:val="en-US"/>
              </w:rPr>
            </w:pPr>
            <w:r w:rsidRPr="00EF2D7B">
              <w:rPr>
                <w:rFonts w:ascii="Times New Roman" w:hAnsi="Times New Roman"/>
                <w:sz w:val="24"/>
                <w:szCs w:val="24"/>
              </w:rPr>
              <w:t> </w:t>
            </w:r>
          </w:p>
        </w:tc>
      </w:tr>
      <w:tr w:rsidR="00775D5D" w:rsidRPr="00EF2D7B" w14:paraId="52ECB274" w14:textId="77777777" w:rsidTr="00C70F5A">
        <w:trPr>
          <w:gridBefore w:val="1"/>
          <w:wBefore w:w="48" w:type="pct"/>
          <w:trHeight w:val="20"/>
        </w:trPr>
        <w:tc>
          <w:tcPr>
            <w:tcW w:w="2477" w:type="pct"/>
            <w:gridSpan w:val="2"/>
            <w:vAlign w:val="center"/>
          </w:tcPr>
          <w:p w14:paraId="2A6E3C8E" w14:textId="158FF389" w:rsidR="00775D5D" w:rsidRPr="00E15039" w:rsidRDefault="00775D5D" w:rsidP="00775D5D">
            <w:pPr>
              <w:rPr>
                <w:rFonts w:ascii="Times New Roman" w:hAnsi="Times New Roman"/>
                <w:sz w:val="24"/>
                <w:szCs w:val="24"/>
                <w:lang w:val="en-US"/>
              </w:rPr>
            </w:pPr>
            <w:r w:rsidRPr="00E15039">
              <w:rPr>
                <w:rFonts w:ascii="Times New Roman" w:hAnsi="Times New Roman"/>
                <w:color w:val="000000"/>
                <w:sz w:val="24"/>
                <w:szCs w:val="24"/>
              </w:rPr>
              <w:t xml:space="preserve">        Severe</w:t>
            </w:r>
          </w:p>
        </w:tc>
        <w:tc>
          <w:tcPr>
            <w:tcW w:w="824" w:type="pct"/>
            <w:vAlign w:val="center"/>
          </w:tcPr>
          <w:p w14:paraId="6215CE41" w14:textId="4E7E7C1A" w:rsidR="00775D5D" w:rsidRPr="00EF2D7B" w:rsidRDefault="00775D5D" w:rsidP="00775D5D">
            <w:pPr>
              <w:jc w:val="center"/>
              <w:rPr>
                <w:rFonts w:ascii="Times New Roman" w:hAnsi="Times New Roman"/>
                <w:sz w:val="24"/>
                <w:szCs w:val="24"/>
                <w:lang w:val="en-US"/>
              </w:rPr>
            </w:pPr>
            <w:r w:rsidRPr="00EF2D7B">
              <w:rPr>
                <w:rFonts w:ascii="Times New Roman" w:hAnsi="Times New Roman"/>
                <w:color w:val="000000"/>
                <w:sz w:val="24"/>
                <w:szCs w:val="24"/>
              </w:rPr>
              <w:t>0 (0%)</w:t>
            </w:r>
          </w:p>
        </w:tc>
        <w:tc>
          <w:tcPr>
            <w:tcW w:w="1080" w:type="pct"/>
            <w:gridSpan w:val="3"/>
            <w:noWrap/>
            <w:vAlign w:val="center"/>
          </w:tcPr>
          <w:p w14:paraId="79967611" w14:textId="656BC729" w:rsidR="00775D5D" w:rsidRPr="00EF2D7B" w:rsidRDefault="00775D5D" w:rsidP="00775D5D">
            <w:pPr>
              <w:jc w:val="center"/>
              <w:rPr>
                <w:rFonts w:ascii="Times New Roman" w:hAnsi="Times New Roman"/>
                <w:sz w:val="24"/>
                <w:szCs w:val="24"/>
                <w:lang w:val="en-US"/>
              </w:rPr>
            </w:pPr>
            <w:r w:rsidRPr="00EF2D7B">
              <w:rPr>
                <w:rFonts w:ascii="Times New Roman" w:hAnsi="Times New Roman"/>
                <w:color w:val="000000"/>
                <w:sz w:val="24"/>
                <w:szCs w:val="24"/>
              </w:rPr>
              <w:t>2 (0.2%)</w:t>
            </w:r>
          </w:p>
        </w:tc>
        <w:tc>
          <w:tcPr>
            <w:tcW w:w="571" w:type="pct"/>
            <w:gridSpan w:val="2"/>
            <w:noWrap/>
            <w:vAlign w:val="center"/>
          </w:tcPr>
          <w:p w14:paraId="1C3C5DF1" w14:textId="72C4684D" w:rsidR="00775D5D" w:rsidRPr="00EF2D7B" w:rsidRDefault="00775D5D" w:rsidP="00775D5D">
            <w:pPr>
              <w:jc w:val="center"/>
              <w:rPr>
                <w:rFonts w:ascii="Times New Roman" w:hAnsi="Times New Roman"/>
                <w:sz w:val="24"/>
                <w:szCs w:val="24"/>
                <w:lang w:val="en-US"/>
              </w:rPr>
            </w:pPr>
            <w:r w:rsidRPr="00EF2D7B">
              <w:rPr>
                <w:rFonts w:ascii="Times New Roman" w:hAnsi="Times New Roman"/>
                <w:sz w:val="24"/>
                <w:szCs w:val="24"/>
              </w:rPr>
              <w:t> </w:t>
            </w:r>
          </w:p>
        </w:tc>
      </w:tr>
      <w:tr w:rsidR="00775D5D" w:rsidRPr="00EF2D7B" w14:paraId="62772227" w14:textId="77777777" w:rsidTr="00C70F5A">
        <w:trPr>
          <w:gridBefore w:val="1"/>
          <w:wBefore w:w="48" w:type="pct"/>
          <w:trHeight w:val="20"/>
        </w:trPr>
        <w:tc>
          <w:tcPr>
            <w:tcW w:w="2477" w:type="pct"/>
            <w:gridSpan w:val="2"/>
            <w:tcBorders>
              <w:bottom w:val="single" w:sz="4" w:space="0" w:color="auto"/>
            </w:tcBorders>
            <w:vAlign w:val="center"/>
          </w:tcPr>
          <w:p w14:paraId="7B406846" w14:textId="632ED56B" w:rsidR="00775D5D" w:rsidRPr="00E15039" w:rsidRDefault="00775D5D" w:rsidP="00775D5D">
            <w:pPr>
              <w:rPr>
                <w:rFonts w:ascii="Times New Roman" w:hAnsi="Times New Roman"/>
                <w:sz w:val="24"/>
                <w:szCs w:val="24"/>
                <w:lang w:val="en-US"/>
              </w:rPr>
            </w:pPr>
            <w:r w:rsidRPr="00E15039">
              <w:rPr>
                <w:rFonts w:ascii="Times New Roman" w:hAnsi="Times New Roman"/>
                <w:color w:val="000000"/>
                <w:sz w:val="24"/>
                <w:szCs w:val="24"/>
              </w:rPr>
              <w:t>LVEF (%)</w:t>
            </w:r>
          </w:p>
        </w:tc>
        <w:tc>
          <w:tcPr>
            <w:tcW w:w="824" w:type="pct"/>
            <w:tcBorders>
              <w:bottom w:val="single" w:sz="4" w:space="0" w:color="auto"/>
            </w:tcBorders>
            <w:vAlign w:val="center"/>
          </w:tcPr>
          <w:p w14:paraId="70ED4BC6" w14:textId="521DB185" w:rsidR="00775D5D" w:rsidRPr="00EF2D7B" w:rsidRDefault="00775D5D" w:rsidP="00775D5D">
            <w:pPr>
              <w:jc w:val="center"/>
              <w:rPr>
                <w:rFonts w:ascii="Times New Roman" w:hAnsi="Times New Roman"/>
                <w:sz w:val="24"/>
                <w:szCs w:val="24"/>
                <w:lang w:val="en-US"/>
              </w:rPr>
            </w:pPr>
            <w:r w:rsidRPr="00EF2D7B">
              <w:rPr>
                <w:rFonts w:ascii="Times New Roman" w:hAnsi="Times New Roman"/>
                <w:color w:val="000000"/>
                <w:sz w:val="24"/>
                <w:szCs w:val="24"/>
              </w:rPr>
              <w:t>53.9 ± 10.4</w:t>
            </w:r>
          </w:p>
        </w:tc>
        <w:tc>
          <w:tcPr>
            <w:tcW w:w="1080" w:type="pct"/>
            <w:gridSpan w:val="3"/>
            <w:tcBorders>
              <w:bottom w:val="single" w:sz="4" w:space="0" w:color="auto"/>
            </w:tcBorders>
            <w:noWrap/>
            <w:vAlign w:val="center"/>
          </w:tcPr>
          <w:p w14:paraId="5A80DEFE" w14:textId="4791723D" w:rsidR="00775D5D" w:rsidRPr="00EF2D7B" w:rsidRDefault="00775D5D" w:rsidP="00775D5D">
            <w:pPr>
              <w:jc w:val="center"/>
              <w:rPr>
                <w:rFonts w:ascii="Times New Roman" w:hAnsi="Times New Roman"/>
                <w:sz w:val="24"/>
                <w:szCs w:val="24"/>
                <w:lang w:val="en-US"/>
              </w:rPr>
            </w:pPr>
            <w:r w:rsidRPr="00EF2D7B">
              <w:rPr>
                <w:rFonts w:ascii="Times New Roman" w:hAnsi="Times New Roman"/>
                <w:color w:val="000000"/>
                <w:sz w:val="24"/>
                <w:szCs w:val="24"/>
              </w:rPr>
              <w:t>51.4 ± 12.1</w:t>
            </w:r>
          </w:p>
        </w:tc>
        <w:tc>
          <w:tcPr>
            <w:tcW w:w="571" w:type="pct"/>
            <w:gridSpan w:val="2"/>
            <w:tcBorders>
              <w:bottom w:val="single" w:sz="4" w:space="0" w:color="auto"/>
            </w:tcBorders>
            <w:noWrap/>
            <w:vAlign w:val="center"/>
          </w:tcPr>
          <w:p w14:paraId="1CF79E0D" w14:textId="553A63C2" w:rsidR="00775D5D" w:rsidRPr="00EF2D7B" w:rsidRDefault="00775D5D" w:rsidP="00775D5D">
            <w:pPr>
              <w:jc w:val="center"/>
              <w:rPr>
                <w:rFonts w:ascii="Times New Roman" w:hAnsi="Times New Roman"/>
                <w:sz w:val="24"/>
                <w:szCs w:val="24"/>
                <w:lang w:val="en-US"/>
              </w:rPr>
            </w:pPr>
            <w:r w:rsidRPr="00EF2D7B">
              <w:rPr>
                <w:rFonts w:ascii="Times New Roman" w:hAnsi="Times New Roman"/>
                <w:color w:val="000000"/>
                <w:sz w:val="24"/>
                <w:szCs w:val="24"/>
              </w:rPr>
              <w:t>0.049</w:t>
            </w:r>
          </w:p>
        </w:tc>
      </w:tr>
    </w:tbl>
    <w:p w14:paraId="1A7874E4" w14:textId="77777777" w:rsidR="00854210" w:rsidRPr="00EC2E63" w:rsidRDefault="00854210" w:rsidP="00854210">
      <w:pPr>
        <w:rPr>
          <w:rFonts w:ascii="Times New Roman" w:hAnsi="Times New Roman"/>
          <w:lang w:val="en-US"/>
        </w:rPr>
      </w:pPr>
    </w:p>
    <w:p w14:paraId="2F971E98" w14:textId="57A5EED6" w:rsidR="00EF2D7B" w:rsidRPr="00EC2E63" w:rsidRDefault="00854210" w:rsidP="00384ACA">
      <w:pPr>
        <w:rPr>
          <w:lang w:val="en-US"/>
        </w:rPr>
        <w:sectPr w:rsidR="00EF2D7B" w:rsidRPr="00EC2E63" w:rsidSect="00023EB2">
          <w:type w:val="continuous"/>
          <w:pgSz w:w="12240" w:h="15840"/>
          <w:pgMar w:top="1418" w:right="1418" w:bottom="1418" w:left="1418" w:header="720" w:footer="720" w:gutter="0"/>
          <w:cols w:space="720"/>
          <w:docGrid w:linePitch="360"/>
        </w:sectPr>
      </w:pPr>
      <w:r w:rsidRPr="00EC2E63">
        <w:rPr>
          <w:rFonts w:ascii="Times New Roman" w:hAnsi="Times New Roman"/>
          <w:b/>
          <w:lang w:val="en-US"/>
        </w:rPr>
        <w:t xml:space="preserve">Legend: </w:t>
      </w:r>
      <w:r>
        <w:rPr>
          <w:rFonts w:ascii="Times New Roman" w:hAnsi="Times New Roman"/>
          <w:lang w:val="en-US"/>
        </w:rPr>
        <w:t xml:space="preserve"> Abbreviations as in Tables 1 and 2</w:t>
      </w:r>
    </w:p>
    <w:p w14:paraId="474B1955" w14:textId="77777777" w:rsidR="00775D5D" w:rsidRDefault="00775D5D" w:rsidP="00900577">
      <w:pPr>
        <w:rPr>
          <w:rFonts w:ascii="Times New Roman" w:hAnsi="Times New Roman"/>
          <w:b/>
          <w:color w:val="000000"/>
          <w:lang w:val="en-US"/>
        </w:rPr>
        <w:sectPr w:rsidR="00775D5D" w:rsidSect="00023EB2">
          <w:type w:val="continuous"/>
          <w:pgSz w:w="12240" w:h="15840"/>
          <w:pgMar w:top="1440" w:right="1797" w:bottom="1440" w:left="1797" w:header="720" w:footer="720" w:gutter="0"/>
          <w:cols w:space="720"/>
          <w:docGrid w:linePitch="360"/>
        </w:sectPr>
      </w:pPr>
    </w:p>
    <w:p w14:paraId="5309792B" w14:textId="2249B077" w:rsidR="00023EB2" w:rsidRDefault="00023EB2">
      <w:pPr>
        <w:rPr>
          <w:rFonts w:ascii="Times New Roman" w:hAnsi="Times New Roman"/>
          <w:color w:val="000000"/>
          <w:lang w:val="en-US"/>
        </w:rPr>
      </w:pPr>
      <w:r>
        <w:rPr>
          <w:rFonts w:ascii="Times New Roman" w:hAnsi="Times New Roman"/>
          <w:color w:val="000000"/>
          <w:lang w:val="en-US"/>
        </w:rPr>
        <w:lastRenderedPageBreak/>
        <w:br w:type="page"/>
      </w:r>
    </w:p>
    <w:p w14:paraId="000382AD" w14:textId="77777777" w:rsidR="00775D5D" w:rsidRDefault="00775D5D" w:rsidP="00900577">
      <w:pPr>
        <w:jc w:val="both"/>
        <w:rPr>
          <w:rFonts w:ascii="Times New Roman" w:hAnsi="Times New Roman"/>
          <w:color w:val="000000"/>
          <w:lang w:val="en-US"/>
        </w:rPr>
        <w:sectPr w:rsidR="00775D5D" w:rsidSect="00384ACA">
          <w:type w:val="continuous"/>
          <w:pgSz w:w="12240" w:h="15840"/>
          <w:pgMar w:top="1440" w:right="1797" w:bottom="1440" w:left="1797" w:header="720" w:footer="720" w:gutter="0"/>
          <w:cols w:space="720"/>
          <w:docGrid w:linePitch="360"/>
        </w:sectPr>
      </w:pPr>
    </w:p>
    <w:p w14:paraId="068DF213" w14:textId="2A0DAE83" w:rsidR="00C758AC" w:rsidRPr="00FC4343" w:rsidRDefault="00C97E36" w:rsidP="00384ACA">
      <w:pPr>
        <w:rPr>
          <w:rFonts w:ascii="Times New Roman" w:hAnsi="Times New Roman"/>
          <w:b/>
          <w:sz w:val="28"/>
          <w:lang w:val="en-US"/>
        </w:rPr>
      </w:pPr>
      <w:r>
        <w:rPr>
          <w:rFonts w:ascii="Times New Roman" w:hAnsi="Times New Roman"/>
          <w:b/>
          <w:sz w:val="28"/>
          <w:lang w:val="en-US"/>
        </w:rPr>
        <w:lastRenderedPageBreak/>
        <w:t xml:space="preserve">CLINICAL </w:t>
      </w:r>
      <w:r w:rsidR="00C758AC" w:rsidRPr="00FC4343">
        <w:rPr>
          <w:rFonts w:ascii="Times New Roman" w:hAnsi="Times New Roman"/>
          <w:b/>
          <w:sz w:val="28"/>
          <w:lang w:val="en-US"/>
        </w:rPr>
        <w:t>PERSPECTIVES</w:t>
      </w:r>
    </w:p>
    <w:p w14:paraId="17345DFC" w14:textId="77777777" w:rsidR="00C758AC" w:rsidRPr="00FC4343" w:rsidRDefault="00C758AC" w:rsidP="00C758AC">
      <w:pPr>
        <w:spacing w:line="480" w:lineRule="auto"/>
        <w:rPr>
          <w:rFonts w:ascii="Times New Roman" w:hAnsi="Times New Roman"/>
          <w:b/>
          <w:lang w:val="en-US"/>
        </w:rPr>
      </w:pPr>
    </w:p>
    <w:p w14:paraId="415F4EFC" w14:textId="4B4F6118" w:rsidR="00C758AC" w:rsidRPr="00FC4343" w:rsidRDefault="008B73A9" w:rsidP="00C758AC">
      <w:pPr>
        <w:spacing w:line="480" w:lineRule="auto"/>
        <w:rPr>
          <w:rFonts w:ascii="Times New Roman" w:hAnsi="Times New Roman"/>
          <w:b/>
          <w:lang w:val="en-US"/>
        </w:rPr>
      </w:pPr>
      <w:r>
        <w:rPr>
          <w:rFonts w:ascii="Times New Roman" w:hAnsi="Times New Roman"/>
          <w:b/>
          <w:lang w:val="en-US"/>
        </w:rPr>
        <w:t>What’s known?</w:t>
      </w:r>
    </w:p>
    <w:p w14:paraId="62762BCA" w14:textId="38FBFB1E" w:rsidR="00C758AC" w:rsidRDefault="00C758AC" w:rsidP="0092166F">
      <w:pPr>
        <w:autoSpaceDE w:val="0"/>
        <w:autoSpaceDN w:val="0"/>
        <w:adjustRightInd w:val="0"/>
        <w:spacing w:line="480" w:lineRule="auto"/>
        <w:rPr>
          <w:rFonts w:ascii="Times New Roman" w:hAnsi="Times New Roman"/>
          <w:lang w:val="en-CA"/>
        </w:rPr>
      </w:pPr>
      <w:r>
        <w:rPr>
          <w:rFonts w:ascii="Times New Roman" w:hAnsi="Times New Roman"/>
          <w:lang w:val="en-CA"/>
        </w:rPr>
        <w:t>The</w:t>
      </w:r>
      <w:r w:rsidRPr="00CA3875">
        <w:rPr>
          <w:rFonts w:ascii="Times New Roman" w:hAnsi="Times New Roman"/>
          <w:lang w:val="en-CA"/>
        </w:rPr>
        <w:t xml:space="preserve"> presence of severe PPM</w:t>
      </w:r>
      <w:r w:rsidR="0092166F">
        <w:rPr>
          <w:rFonts w:ascii="Times New Roman" w:hAnsi="Times New Roman"/>
          <w:lang w:val="en-CA"/>
        </w:rPr>
        <w:t xml:space="preserve"> of the surgical valve (i.e. pre-existent PPM)</w:t>
      </w:r>
      <w:r w:rsidR="008B73A9">
        <w:rPr>
          <w:rFonts w:ascii="Times New Roman" w:hAnsi="Times New Roman"/>
          <w:lang w:val="en-CA"/>
        </w:rPr>
        <w:t xml:space="preserve"> is associated with worse outcomes after surgical aortic valve replacement, including </w:t>
      </w:r>
      <w:r w:rsidR="0092166F">
        <w:rPr>
          <w:rFonts w:ascii="Times New Roman" w:hAnsi="Times New Roman"/>
          <w:lang w:val="en-CA"/>
        </w:rPr>
        <w:t>increased</w:t>
      </w:r>
      <w:r w:rsidR="008B73A9">
        <w:rPr>
          <w:rFonts w:ascii="Times New Roman" w:hAnsi="Times New Roman"/>
          <w:lang w:val="en-CA"/>
        </w:rPr>
        <w:t xml:space="preserve"> mortality. It may also</w:t>
      </w:r>
      <w:r>
        <w:rPr>
          <w:rFonts w:ascii="Times New Roman" w:hAnsi="Times New Roman"/>
          <w:lang w:val="en-CA"/>
        </w:rPr>
        <w:t xml:space="preserve"> accelerate the structural degeneration of bioprosthetic valves</w:t>
      </w:r>
      <w:r w:rsidR="008B73A9">
        <w:rPr>
          <w:rFonts w:ascii="Times New Roman" w:hAnsi="Times New Roman"/>
          <w:lang w:val="en-CA"/>
        </w:rPr>
        <w:t>.</w:t>
      </w:r>
      <w:r>
        <w:rPr>
          <w:rFonts w:ascii="Times New Roman" w:hAnsi="Times New Roman"/>
          <w:lang w:val="en-CA"/>
        </w:rPr>
        <w:t xml:space="preserve"> </w:t>
      </w:r>
    </w:p>
    <w:p w14:paraId="35DD8DA8" w14:textId="77777777" w:rsidR="0092166F" w:rsidRPr="0092166F" w:rsidRDefault="0092166F" w:rsidP="0092166F">
      <w:pPr>
        <w:autoSpaceDE w:val="0"/>
        <w:autoSpaceDN w:val="0"/>
        <w:adjustRightInd w:val="0"/>
        <w:spacing w:line="480" w:lineRule="auto"/>
        <w:rPr>
          <w:rFonts w:ascii="Times New Roman" w:hAnsi="Times New Roman"/>
          <w:lang w:val="en-CA"/>
        </w:rPr>
      </w:pPr>
    </w:p>
    <w:p w14:paraId="7B3B68EF" w14:textId="77777777" w:rsidR="0092166F" w:rsidRPr="00FC4343" w:rsidRDefault="0092166F" w:rsidP="0092166F">
      <w:pPr>
        <w:spacing w:line="480" w:lineRule="auto"/>
        <w:rPr>
          <w:rFonts w:ascii="Times New Roman" w:hAnsi="Times New Roman"/>
          <w:b/>
          <w:lang w:val="en-US"/>
        </w:rPr>
      </w:pPr>
      <w:r>
        <w:rPr>
          <w:rFonts w:ascii="Times New Roman" w:hAnsi="Times New Roman"/>
          <w:b/>
          <w:lang w:val="en-US"/>
        </w:rPr>
        <w:t>What’s new?</w:t>
      </w:r>
    </w:p>
    <w:p w14:paraId="0CB95F2A" w14:textId="75281547" w:rsidR="0092166F" w:rsidRDefault="0092166F" w:rsidP="0092166F">
      <w:pPr>
        <w:spacing w:line="480" w:lineRule="auto"/>
        <w:rPr>
          <w:rFonts w:ascii="Times New Roman" w:hAnsi="Times New Roman"/>
          <w:lang w:val="en-US"/>
        </w:rPr>
      </w:pPr>
      <w:r w:rsidRPr="00C758AC">
        <w:rPr>
          <w:rFonts w:ascii="Times New Roman" w:hAnsi="Times New Roman"/>
          <w:lang w:val="en-US"/>
        </w:rPr>
        <w:t>Patients with pre-existent severe PPM of the surgical bioprosthesis have higher occurrence of high residual transaortic gradients and increased risk of mortal</w:t>
      </w:r>
      <w:r>
        <w:rPr>
          <w:rFonts w:ascii="Times New Roman" w:hAnsi="Times New Roman"/>
          <w:lang w:val="en-US"/>
        </w:rPr>
        <w:t xml:space="preserve">ity after aortic ViV procedure. </w:t>
      </w:r>
    </w:p>
    <w:p w14:paraId="0F90451E" w14:textId="77777777" w:rsidR="0092166F" w:rsidRPr="0092166F" w:rsidRDefault="0092166F" w:rsidP="0092166F">
      <w:pPr>
        <w:spacing w:line="480" w:lineRule="auto"/>
        <w:rPr>
          <w:rFonts w:ascii="Times New Roman" w:hAnsi="Times New Roman"/>
          <w:lang w:val="en-US"/>
        </w:rPr>
      </w:pPr>
    </w:p>
    <w:p w14:paraId="3E8479A4" w14:textId="77777777" w:rsidR="0092166F" w:rsidRPr="00C758AC" w:rsidRDefault="0092166F" w:rsidP="00C758AC">
      <w:pPr>
        <w:rPr>
          <w:rFonts w:ascii="Times New Roman" w:hAnsi="Times New Roman"/>
          <w:b/>
          <w:lang w:val="en-CA"/>
        </w:rPr>
      </w:pPr>
    </w:p>
    <w:p w14:paraId="725740CE" w14:textId="7F379385" w:rsidR="00C758AC" w:rsidRDefault="0092166F" w:rsidP="00C758AC">
      <w:pPr>
        <w:rPr>
          <w:rFonts w:ascii="Times New Roman" w:hAnsi="Times New Roman"/>
          <w:b/>
          <w:lang w:val="en-US"/>
        </w:rPr>
      </w:pPr>
      <w:r>
        <w:rPr>
          <w:rFonts w:ascii="Times New Roman" w:hAnsi="Times New Roman"/>
          <w:b/>
          <w:lang w:val="en-US"/>
        </w:rPr>
        <w:t>What’s next?</w:t>
      </w:r>
    </w:p>
    <w:p w14:paraId="1C1CA827" w14:textId="77777777" w:rsidR="00C758AC" w:rsidRDefault="00C758AC" w:rsidP="00C758AC">
      <w:pPr>
        <w:rPr>
          <w:rFonts w:ascii="Times New Roman" w:hAnsi="Times New Roman"/>
          <w:b/>
          <w:lang w:val="en-US"/>
        </w:rPr>
      </w:pPr>
    </w:p>
    <w:p w14:paraId="28FCEBF1" w14:textId="46ECA49C" w:rsidR="00C758AC" w:rsidRPr="00C97E36" w:rsidRDefault="0092166F" w:rsidP="00C97E36">
      <w:pPr>
        <w:spacing w:line="480" w:lineRule="auto"/>
        <w:rPr>
          <w:rFonts w:ascii="Times New Roman" w:hAnsi="Times New Roman"/>
          <w:lang w:val="en-US"/>
        </w:rPr>
      </w:pPr>
      <w:r>
        <w:rPr>
          <w:rFonts w:ascii="Times New Roman" w:hAnsi="Times New Roman"/>
          <w:lang w:val="en-US"/>
        </w:rPr>
        <w:t>Pre-existent PPM of the surgical valve may compromise</w:t>
      </w:r>
      <w:r w:rsidRPr="0092166F">
        <w:rPr>
          <w:rFonts w:ascii="Times New Roman" w:hAnsi="Times New Roman"/>
          <w:lang w:val="en-CA"/>
        </w:rPr>
        <w:t xml:space="preserve"> </w:t>
      </w:r>
      <w:r>
        <w:rPr>
          <w:rFonts w:ascii="Times New Roman" w:hAnsi="Times New Roman"/>
          <w:lang w:val="en-CA"/>
        </w:rPr>
        <w:t>both hemodynamic and clinical outcomes after ViV.</w:t>
      </w:r>
      <w:r w:rsidRPr="00C758AC">
        <w:rPr>
          <w:rFonts w:ascii="Times New Roman" w:hAnsi="Times New Roman"/>
          <w:lang w:val="en-US"/>
        </w:rPr>
        <w:t xml:space="preserve"> </w:t>
      </w:r>
      <w:r>
        <w:rPr>
          <w:rFonts w:ascii="Times New Roman" w:hAnsi="Times New Roman"/>
          <w:lang w:val="en-US"/>
        </w:rPr>
        <w:t>Particular attention should be paid to the</w:t>
      </w:r>
      <w:r w:rsidRPr="00CA3875">
        <w:rPr>
          <w:rFonts w:ascii="Times New Roman" w:hAnsi="Times New Roman"/>
          <w:lang w:val="en-CA"/>
        </w:rPr>
        <w:t xml:space="preserve"> prevention of PPM at the time of </w:t>
      </w:r>
      <w:r>
        <w:rPr>
          <w:rFonts w:ascii="Times New Roman" w:hAnsi="Times New Roman"/>
          <w:lang w:val="en-CA"/>
        </w:rPr>
        <w:t>the index</w:t>
      </w:r>
      <w:r w:rsidRPr="00CA3875">
        <w:rPr>
          <w:rFonts w:ascii="Times New Roman" w:hAnsi="Times New Roman"/>
          <w:lang w:val="en-CA"/>
        </w:rPr>
        <w:t xml:space="preserve"> surgical AVR</w:t>
      </w:r>
      <w:r>
        <w:rPr>
          <w:rFonts w:ascii="Times New Roman" w:hAnsi="Times New Roman"/>
          <w:lang w:val="en-CA"/>
        </w:rPr>
        <w:t>. We suggest the systematic inclusion of severe pre</w:t>
      </w:r>
      <w:r w:rsidR="00C97E36">
        <w:rPr>
          <w:rFonts w:ascii="Times New Roman" w:hAnsi="Times New Roman"/>
          <w:lang w:val="en-CA"/>
        </w:rPr>
        <w:t xml:space="preserve">-existent PPM assessment in </w:t>
      </w:r>
      <w:r>
        <w:rPr>
          <w:rFonts w:ascii="Times New Roman" w:hAnsi="Times New Roman"/>
          <w:lang w:val="en-CA"/>
        </w:rPr>
        <w:t>ViV risk stratification and decision making.</w:t>
      </w:r>
      <w:r w:rsidRPr="00C758AC">
        <w:rPr>
          <w:rFonts w:ascii="Times New Roman" w:hAnsi="Times New Roman"/>
          <w:lang w:val="en-US"/>
        </w:rPr>
        <w:t xml:space="preserve"> </w:t>
      </w:r>
      <w:r w:rsidR="00C758AC" w:rsidRPr="00C758AC">
        <w:rPr>
          <w:rFonts w:ascii="Times New Roman" w:hAnsi="Times New Roman"/>
          <w:lang w:val="en-US"/>
        </w:rPr>
        <w:t>Further research is needed to develop and validate new designs of surgical bioprosthetic valves with expansible</w:t>
      </w:r>
      <w:r w:rsidR="00B50B35">
        <w:rPr>
          <w:rFonts w:ascii="Times New Roman" w:hAnsi="Times New Roman"/>
          <w:lang w:val="en-US"/>
        </w:rPr>
        <w:t>/adjustable</w:t>
      </w:r>
      <w:r w:rsidR="00C758AC" w:rsidRPr="00C758AC">
        <w:rPr>
          <w:rFonts w:ascii="Times New Roman" w:hAnsi="Times New Roman"/>
          <w:lang w:val="en-US"/>
        </w:rPr>
        <w:t xml:space="preserve"> stents </w:t>
      </w:r>
      <w:r w:rsidR="00C758AC">
        <w:rPr>
          <w:rFonts w:ascii="Times New Roman" w:hAnsi="Times New Roman"/>
          <w:lang w:val="en-US"/>
        </w:rPr>
        <w:t xml:space="preserve">in order to optimize the hemodynamic and clinical outcomes of potential future </w:t>
      </w:r>
      <w:r w:rsidR="00B50B35">
        <w:rPr>
          <w:rFonts w:ascii="Times New Roman" w:hAnsi="Times New Roman"/>
          <w:lang w:val="en-US"/>
        </w:rPr>
        <w:t>ViV procedures.</w:t>
      </w:r>
      <w:r w:rsidR="00C758AC">
        <w:rPr>
          <w:rFonts w:ascii="Times New Roman" w:hAnsi="Times New Roman"/>
          <w:b/>
          <w:lang w:val="en-US"/>
        </w:rPr>
        <w:br w:type="page"/>
      </w:r>
    </w:p>
    <w:p w14:paraId="281D48B0" w14:textId="1F3CAA05" w:rsidR="00D25A81" w:rsidRPr="001A5B02" w:rsidRDefault="00D25A81" w:rsidP="001063E0">
      <w:pPr>
        <w:pStyle w:val="NormalWeb"/>
        <w:jc w:val="both"/>
        <w:rPr>
          <w:rFonts w:ascii="Times New Roman" w:hAnsi="Times New Roman"/>
          <w:b/>
          <w:sz w:val="24"/>
          <w:szCs w:val="24"/>
          <w:lang w:val="en-CA"/>
        </w:rPr>
      </w:pPr>
      <w:r w:rsidRPr="001A5B02">
        <w:rPr>
          <w:rFonts w:ascii="Times New Roman" w:hAnsi="Times New Roman"/>
          <w:b/>
          <w:sz w:val="24"/>
          <w:szCs w:val="24"/>
          <w:lang w:val="en-CA"/>
        </w:rPr>
        <w:lastRenderedPageBreak/>
        <w:t>REFERENCES</w:t>
      </w:r>
    </w:p>
    <w:p w14:paraId="5E3C6291" w14:textId="3435F775" w:rsidR="00E05D9C" w:rsidRPr="008F0282" w:rsidRDefault="00636107" w:rsidP="00E05D9C">
      <w:pPr>
        <w:widowControl w:val="0"/>
        <w:autoSpaceDE w:val="0"/>
        <w:autoSpaceDN w:val="0"/>
        <w:adjustRightInd w:val="0"/>
        <w:rPr>
          <w:rFonts w:ascii="Times New Roman" w:eastAsia="Times New Roman" w:hAnsi="Times New Roman"/>
          <w:i/>
          <w:noProof/>
        </w:rPr>
      </w:pPr>
      <w:r w:rsidRPr="008F0282">
        <w:rPr>
          <w:rFonts w:ascii="Times New Roman" w:hAnsi="Times New Roman"/>
          <w:b/>
          <w:i/>
        </w:rPr>
        <w:fldChar w:fldCharType="begin" w:fldLock="1"/>
      </w:r>
      <w:r w:rsidRPr="008F0282">
        <w:rPr>
          <w:rFonts w:ascii="Times New Roman" w:hAnsi="Times New Roman"/>
          <w:b/>
          <w:i/>
        </w:rPr>
        <w:instrText xml:space="preserve">ADDIN Mendeley Bibliography CSL_BIBLIOGRAPHY </w:instrText>
      </w:r>
      <w:r w:rsidRPr="008F0282">
        <w:rPr>
          <w:rFonts w:ascii="Times New Roman" w:hAnsi="Times New Roman"/>
          <w:b/>
          <w:i/>
        </w:rPr>
        <w:fldChar w:fldCharType="separate"/>
      </w:r>
      <w:r w:rsidR="00E05D9C" w:rsidRPr="008F0282">
        <w:rPr>
          <w:rFonts w:ascii="Times New Roman" w:eastAsia="Times New Roman" w:hAnsi="Times New Roman"/>
          <w:i/>
          <w:noProof/>
        </w:rPr>
        <w:t>1. Lindman BR, Clavel M-A, Mathieu P, et al. Calcific aortic stenosis. Nat. Rev. Dis. Prim. 2016;2:16006.</w:t>
      </w:r>
    </w:p>
    <w:p w14:paraId="15630FDC" w14:textId="77777777" w:rsidR="00E05D9C" w:rsidRPr="008F0282" w:rsidRDefault="00E05D9C" w:rsidP="00E05D9C">
      <w:pPr>
        <w:widowControl w:val="0"/>
        <w:autoSpaceDE w:val="0"/>
        <w:autoSpaceDN w:val="0"/>
        <w:adjustRightInd w:val="0"/>
        <w:rPr>
          <w:rFonts w:ascii="Times New Roman" w:eastAsia="Times New Roman" w:hAnsi="Times New Roman"/>
          <w:i/>
          <w:noProof/>
        </w:rPr>
      </w:pPr>
    </w:p>
    <w:p w14:paraId="4D9E3A94" w14:textId="77777777" w:rsidR="00E05D9C" w:rsidRPr="008F0282" w:rsidRDefault="00E05D9C" w:rsidP="00E05D9C">
      <w:pPr>
        <w:widowControl w:val="0"/>
        <w:autoSpaceDE w:val="0"/>
        <w:autoSpaceDN w:val="0"/>
        <w:adjustRightInd w:val="0"/>
        <w:rPr>
          <w:rFonts w:ascii="Times New Roman" w:eastAsia="Times New Roman" w:hAnsi="Times New Roman"/>
          <w:i/>
          <w:noProof/>
        </w:rPr>
      </w:pPr>
      <w:r w:rsidRPr="008F0282">
        <w:rPr>
          <w:rFonts w:ascii="Times New Roman" w:eastAsia="Times New Roman" w:hAnsi="Times New Roman"/>
          <w:i/>
          <w:noProof/>
        </w:rPr>
        <w:t>2. Grunkemeier GL, Furnary AP, Wu Y, Wang L, Starr A. Durability of pericardial versus porcine bioprosthetic heart valves. J. Thorac. Cardiovasc. Surg. 2012;144:1381–6.</w:t>
      </w:r>
    </w:p>
    <w:p w14:paraId="1E794A0A" w14:textId="77777777" w:rsidR="00E05D9C" w:rsidRPr="008F0282" w:rsidRDefault="00E05D9C" w:rsidP="00E05D9C">
      <w:pPr>
        <w:widowControl w:val="0"/>
        <w:autoSpaceDE w:val="0"/>
        <w:autoSpaceDN w:val="0"/>
        <w:adjustRightInd w:val="0"/>
        <w:rPr>
          <w:rFonts w:ascii="Times New Roman" w:eastAsia="Times New Roman" w:hAnsi="Times New Roman"/>
          <w:i/>
          <w:noProof/>
        </w:rPr>
      </w:pPr>
    </w:p>
    <w:p w14:paraId="4A3A1ACE" w14:textId="77777777" w:rsidR="00E05D9C" w:rsidRPr="008F0282" w:rsidRDefault="00E05D9C" w:rsidP="00E05D9C">
      <w:pPr>
        <w:widowControl w:val="0"/>
        <w:autoSpaceDE w:val="0"/>
        <w:autoSpaceDN w:val="0"/>
        <w:adjustRightInd w:val="0"/>
        <w:rPr>
          <w:rFonts w:ascii="Times New Roman" w:eastAsia="Times New Roman" w:hAnsi="Times New Roman"/>
          <w:i/>
          <w:noProof/>
        </w:rPr>
      </w:pPr>
      <w:r w:rsidRPr="008F0282">
        <w:rPr>
          <w:rFonts w:ascii="Times New Roman" w:eastAsia="Times New Roman" w:hAnsi="Times New Roman"/>
          <w:i/>
          <w:noProof/>
        </w:rPr>
        <w:t>3. Bourguignon T, Bouquiaux-Stablo A-L, Candolfi P, et al. Very Long-Term Outcomes of the Carpentier-Edwards Perimount Valve in Aortic Position. Ann. Thorac. Surg. 2015;99:831–837.</w:t>
      </w:r>
    </w:p>
    <w:p w14:paraId="5593B450" w14:textId="77777777" w:rsidR="00E05D9C" w:rsidRPr="008F0282" w:rsidRDefault="00E05D9C" w:rsidP="00E05D9C">
      <w:pPr>
        <w:widowControl w:val="0"/>
        <w:autoSpaceDE w:val="0"/>
        <w:autoSpaceDN w:val="0"/>
        <w:adjustRightInd w:val="0"/>
        <w:rPr>
          <w:rFonts w:ascii="Times New Roman" w:eastAsia="Times New Roman" w:hAnsi="Times New Roman"/>
          <w:i/>
          <w:noProof/>
        </w:rPr>
      </w:pPr>
    </w:p>
    <w:p w14:paraId="32231EEA" w14:textId="77777777" w:rsidR="00E05D9C" w:rsidRPr="008F0282" w:rsidRDefault="00E05D9C" w:rsidP="00E05D9C">
      <w:pPr>
        <w:widowControl w:val="0"/>
        <w:autoSpaceDE w:val="0"/>
        <w:autoSpaceDN w:val="0"/>
        <w:adjustRightInd w:val="0"/>
        <w:rPr>
          <w:rFonts w:ascii="Times New Roman" w:eastAsia="Times New Roman" w:hAnsi="Times New Roman"/>
          <w:i/>
          <w:noProof/>
        </w:rPr>
      </w:pPr>
      <w:r w:rsidRPr="008F0282">
        <w:rPr>
          <w:rFonts w:ascii="Times New Roman" w:eastAsia="Times New Roman" w:hAnsi="Times New Roman"/>
          <w:i/>
          <w:noProof/>
        </w:rPr>
        <w:t>4. Fukunaga N, Okada Y, Konishi Y, et al. Clinical outcomes of redo valvular operations: a 20-year experience. Ann. Thorac. Surg. 2012;94:2011–6.</w:t>
      </w:r>
    </w:p>
    <w:p w14:paraId="2E1A2778" w14:textId="77777777" w:rsidR="00E05D9C" w:rsidRPr="008F0282" w:rsidRDefault="00E05D9C" w:rsidP="00E05D9C">
      <w:pPr>
        <w:widowControl w:val="0"/>
        <w:autoSpaceDE w:val="0"/>
        <w:autoSpaceDN w:val="0"/>
        <w:adjustRightInd w:val="0"/>
        <w:rPr>
          <w:rFonts w:ascii="Times New Roman" w:eastAsia="Times New Roman" w:hAnsi="Times New Roman"/>
          <w:i/>
          <w:noProof/>
        </w:rPr>
      </w:pPr>
    </w:p>
    <w:p w14:paraId="0865B4D4" w14:textId="77777777" w:rsidR="00E05D9C" w:rsidRPr="008F0282" w:rsidRDefault="00E05D9C" w:rsidP="00E05D9C">
      <w:pPr>
        <w:widowControl w:val="0"/>
        <w:autoSpaceDE w:val="0"/>
        <w:autoSpaceDN w:val="0"/>
        <w:adjustRightInd w:val="0"/>
        <w:rPr>
          <w:rFonts w:ascii="Times New Roman" w:eastAsia="Times New Roman" w:hAnsi="Times New Roman"/>
          <w:i/>
          <w:noProof/>
        </w:rPr>
      </w:pPr>
      <w:r w:rsidRPr="008F0282">
        <w:rPr>
          <w:rFonts w:ascii="Times New Roman" w:eastAsia="Times New Roman" w:hAnsi="Times New Roman"/>
          <w:i/>
          <w:noProof/>
        </w:rPr>
        <w:t>5. Kaneko T, Vassileva CM, Englum B, et al. Contemporary Outcomes of Repeat Aortic Valve Replacement: A Benchmark for Transcatheter Valve-in-Valve Procedures. Ann. Thorac. Surg. 2015;100:1298–304; discussion 1304.</w:t>
      </w:r>
    </w:p>
    <w:p w14:paraId="3C68E529" w14:textId="77777777" w:rsidR="00E05D9C" w:rsidRPr="008F0282" w:rsidRDefault="00E05D9C" w:rsidP="00E05D9C">
      <w:pPr>
        <w:widowControl w:val="0"/>
        <w:autoSpaceDE w:val="0"/>
        <w:autoSpaceDN w:val="0"/>
        <w:adjustRightInd w:val="0"/>
        <w:rPr>
          <w:rFonts w:ascii="Times New Roman" w:eastAsia="Times New Roman" w:hAnsi="Times New Roman"/>
          <w:i/>
          <w:noProof/>
        </w:rPr>
      </w:pPr>
    </w:p>
    <w:p w14:paraId="40D6D6DF" w14:textId="77777777" w:rsidR="00E05D9C" w:rsidRPr="008F0282" w:rsidRDefault="00E05D9C" w:rsidP="00E05D9C">
      <w:pPr>
        <w:widowControl w:val="0"/>
        <w:autoSpaceDE w:val="0"/>
        <w:autoSpaceDN w:val="0"/>
        <w:adjustRightInd w:val="0"/>
        <w:rPr>
          <w:rFonts w:ascii="Times New Roman" w:eastAsia="Times New Roman" w:hAnsi="Times New Roman"/>
          <w:i/>
          <w:noProof/>
        </w:rPr>
      </w:pPr>
      <w:r w:rsidRPr="008F0282">
        <w:rPr>
          <w:rFonts w:ascii="Times New Roman" w:eastAsia="Times New Roman" w:hAnsi="Times New Roman"/>
          <w:i/>
          <w:noProof/>
        </w:rPr>
        <w:t>6. Nishimura RA, Otto CM, Bonow RO, et al. 2017 AHA/ACC Focused Update of the 2014 AHA/ACC Guideline for the Management of Patients With Valvular Heart Disease. J. Am. Coll. Cardiol. 2017;70:252–289.</w:t>
      </w:r>
    </w:p>
    <w:p w14:paraId="1F2C2313" w14:textId="77777777" w:rsidR="00E05D9C" w:rsidRPr="008F0282" w:rsidRDefault="00E05D9C" w:rsidP="00E05D9C">
      <w:pPr>
        <w:widowControl w:val="0"/>
        <w:autoSpaceDE w:val="0"/>
        <w:autoSpaceDN w:val="0"/>
        <w:adjustRightInd w:val="0"/>
        <w:rPr>
          <w:rFonts w:ascii="Times New Roman" w:eastAsia="Times New Roman" w:hAnsi="Times New Roman"/>
          <w:i/>
          <w:noProof/>
        </w:rPr>
      </w:pPr>
    </w:p>
    <w:p w14:paraId="0CFE0926" w14:textId="77777777" w:rsidR="00E05D9C" w:rsidRPr="008F0282" w:rsidRDefault="00E05D9C" w:rsidP="00E05D9C">
      <w:pPr>
        <w:widowControl w:val="0"/>
        <w:autoSpaceDE w:val="0"/>
        <w:autoSpaceDN w:val="0"/>
        <w:adjustRightInd w:val="0"/>
        <w:rPr>
          <w:rFonts w:ascii="Times New Roman" w:eastAsia="Times New Roman" w:hAnsi="Times New Roman"/>
          <w:i/>
          <w:noProof/>
        </w:rPr>
      </w:pPr>
      <w:r w:rsidRPr="008F0282">
        <w:rPr>
          <w:rFonts w:ascii="Times New Roman" w:eastAsia="Times New Roman" w:hAnsi="Times New Roman"/>
          <w:i/>
          <w:noProof/>
        </w:rPr>
        <w:t>7. Bapat VN, Attia R, Thomas M. Effect of Valve Design on the Stent Internal Diameter of a Bioprosthetic Valve: A Concept of True Internal Diameter and Its Implications for the Valve-in-Valve Procedure. JACC. Cardiovasc. Interv. 2014;7:115–127.</w:t>
      </w:r>
    </w:p>
    <w:p w14:paraId="7B4A46D2" w14:textId="77777777" w:rsidR="00E05D9C" w:rsidRPr="008F0282" w:rsidRDefault="00E05D9C" w:rsidP="00E05D9C">
      <w:pPr>
        <w:widowControl w:val="0"/>
        <w:autoSpaceDE w:val="0"/>
        <w:autoSpaceDN w:val="0"/>
        <w:adjustRightInd w:val="0"/>
        <w:rPr>
          <w:rFonts w:ascii="Times New Roman" w:eastAsia="Times New Roman" w:hAnsi="Times New Roman"/>
          <w:i/>
          <w:noProof/>
        </w:rPr>
      </w:pPr>
    </w:p>
    <w:p w14:paraId="08B1AC02" w14:textId="77777777" w:rsidR="00E05D9C" w:rsidRPr="008F0282" w:rsidRDefault="00E05D9C" w:rsidP="00E05D9C">
      <w:pPr>
        <w:widowControl w:val="0"/>
        <w:autoSpaceDE w:val="0"/>
        <w:autoSpaceDN w:val="0"/>
        <w:adjustRightInd w:val="0"/>
        <w:rPr>
          <w:rFonts w:ascii="Times New Roman" w:eastAsia="Times New Roman" w:hAnsi="Times New Roman"/>
          <w:i/>
          <w:noProof/>
        </w:rPr>
      </w:pPr>
      <w:r w:rsidRPr="008F0282">
        <w:rPr>
          <w:rFonts w:ascii="Times New Roman" w:eastAsia="Times New Roman" w:hAnsi="Times New Roman"/>
          <w:i/>
          <w:noProof/>
        </w:rPr>
        <w:t>8. Dvir D, Webb J, Brecker S, et al. Transcatheter aortic valve replacement for degenerative bioprosthetic surgical valves: results from the global valve-in-valve registry. Circulation 2012;126:2335–44.</w:t>
      </w:r>
    </w:p>
    <w:p w14:paraId="6B8BEBF5" w14:textId="77777777" w:rsidR="00E05D9C" w:rsidRPr="008F0282" w:rsidRDefault="00E05D9C" w:rsidP="00E05D9C">
      <w:pPr>
        <w:widowControl w:val="0"/>
        <w:autoSpaceDE w:val="0"/>
        <w:autoSpaceDN w:val="0"/>
        <w:adjustRightInd w:val="0"/>
        <w:rPr>
          <w:rFonts w:ascii="Times New Roman" w:eastAsia="Times New Roman" w:hAnsi="Times New Roman"/>
          <w:i/>
          <w:noProof/>
        </w:rPr>
      </w:pPr>
    </w:p>
    <w:p w14:paraId="23207ADB" w14:textId="77777777" w:rsidR="00E05D9C" w:rsidRPr="008F0282" w:rsidRDefault="00E05D9C" w:rsidP="00E05D9C">
      <w:pPr>
        <w:widowControl w:val="0"/>
        <w:autoSpaceDE w:val="0"/>
        <w:autoSpaceDN w:val="0"/>
        <w:adjustRightInd w:val="0"/>
        <w:rPr>
          <w:rFonts w:ascii="Times New Roman" w:eastAsia="Times New Roman" w:hAnsi="Times New Roman"/>
          <w:i/>
          <w:noProof/>
        </w:rPr>
      </w:pPr>
      <w:r w:rsidRPr="008F0282">
        <w:rPr>
          <w:rFonts w:ascii="Times New Roman" w:eastAsia="Times New Roman" w:hAnsi="Times New Roman"/>
          <w:i/>
          <w:noProof/>
        </w:rPr>
        <w:t>9. Dvir D, Webb JG, Bleiziffer S, et al. Transcatheter aortic valve implantation in failed bioprosthetic surgical valves. JAMA 2014;312:162–70.</w:t>
      </w:r>
    </w:p>
    <w:p w14:paraId="71E81800" w14:textId="77777777" w:rsidR="00E05D9C" w:rsidRPr="008F0282" w:rsidRDefault="00E05D9C" w:rsidP="00E05D9C">
      <w:pPr>
        <w:widowControl w:val="0"/>
        <w:autoSpaceDE w:val="0"/>
        <w:autoSpaceDN w:val="0"/>
        <w:adjustRightInd w:val="0"/>
        <w:rPr>
          <w:rFonts w:ascii="Times New Roman" w:eastAsia="Times New Roman" w:hAnsi="Times New Roman"/>
          <w:i/>
          <w:noProof/>
        </w:rPr>
      </w:pPr>
    </w:p>
    <w:p w14:paraId="3015EAE4" w14:textId="77777777" w:rsidR="00E05D9C" w:rsidRPr="008F0282" w:rsidRDefault="00E05D9C" w:rsidP="00E05D9C">
      <w:pPr>
        <w:widowControl w:val="0"/>
        <w:autoSpaceDE w:val="0"/>
        <w:autoSpaceDN w:val="0"/>
        <w:adjustRightInd w:val="0"/>
        <w:rPr>
          <w:rFonts w:ascii="Times New Roman" w:eastAsia="Times New Roman" w:hAnsi="Times New Roman"/>
          <w:i/>
          <w:noProof/>
        </w:rPr>
      </w:pPr>
      <w:r w:rsidRPr="008F0282">
        <w:rPr>
          <w:rFonts w:ascii="Times New Roman" w:eastAsia="Times New Roman" w:hAnsi="Times New Roman"/>
          <w:i/>
          <w:noProof/>
        </w:rPr>
        <w:t>10. Simonato M, Webb J, Kornowski R, et al. Transcatheter Replacement of Failed Bioprosthetic Valves: Large Multicenter Assessment of the Effect of Implantation Depth on Hemodynamics After Aortic Valve-in-Valve. Circ. Cardiovasc. Interv. 2016;9:e003651.</w:t>
      </w:r>
    </w:p>
    <w:p w14:paraId="6FEDBDE5" w14:textId="77777777" w:rsidR="00E05D9C" w:rsidRPr="008F0282" w:rsidRDefault="00E05D9C" w:rsidP="00E05D9C">
      <w:pPr>
        <w:widowControl w:val="0"/>
        <w:autoSpaceDE w:val="0"/>
        <w:autoSpaceDN w:val="0"/>
        <w:adjustRightInd w:val="0"/>
        <w:rPr>
          <w:rFonts w:ascii="Times New Roman" w:eastAsia="Times New Roman" w:hAnsi="Times New Roman"/>
          <w:i/>
          <w:noProof/>
        </w:rPr>
      </w:pPr>
    </w:p>
    <w:p w14:paraId="53E103AB" w14:textId="77777777" w:rsidR="00E05D9C" w:rsidRPr="008F0282" w:rsidRDefault="00E05D9C" w:rsidP="00E05D9C">
      <w:pPr>
        <w:widowControl w:val="0"/>
        <w:autoSpaceDE w:val="0"/>
        <w:autoSpaceDN w:val="0"/>
        <w:adjustRightInd w:val="0"/>
        <w:rPr>
          <w:rFonts w:ascii="Times New Roman" w:eastAsia="Times New Roman" w:hAnsi="Times New Roman"/>
          <w:i/>
          <w:noProof/>
        </w:rPr>
      </w:pPr>
      <w:r w:rsidRPr="008F0282">
        <w:rPr>
          <w:rFonts w:ascii="Times New Roman" w:eastAsia="Times New Roman" w:hAnsi="Times New Roman"/>
          <w:i/>
          <w:noProof/>
        </w:rPr>
        <w:t>11. Zoghbi WA, Chambers JB, Dumesnil JG, et al. Recommendations for evaluation of prosthetic valves with echocardiography and doppler ultrasound: a report From the American Society of Echocardiography’s Guidelines and Standards Committee and the Task Force on Prosthetic Valves, developed in conjunction. J. Am. Soc. Echocardiogr. 2009;22:975-1014–4.</w:t>
      </w:r>
    </w:p>
    <w:p w14:paraId="0E9AEAD0" w14:textId="77777777" w:rsidR="00E05D9C" w:rsidRPr="008F0282" w:rsidRDefault="00E05D9C" w:rsidP="00E05D9C">
      <w:pPr>
        <w:widowControl w:val="0"/>
        <w:autoSpaceDE w:val="0"/>
        <w:autoSpaceDN w:val="0"/>
        <w:adjustRightInd w:val="0"/>
        <w:rPr>
          <w:rFonts w:ascii="Times New Roman" w:eastAsia="Times New Roman" w:hAnsi="Times New Roman"/>
          <w:i/>
          <w:noProof/>
        </w:rPr>
      </w:pPr>
    </w:p>
    <w:p w14:paraId="7A56A4F6" w14:textId="77777777" w:rsidR="00E05D9C" w:rsidRPr="008F0282" w:rsidRDefault="00E05D9C" w:rsidP="00E05D9C">
      <w:pPr>
        <w:widowControl w:val="0"/>
        <w:autoSpaceDE w:val="0"/>
        <w:autoSpaceDN w:val="0"/>
        <w:adjustRightInd w:val="0"/>
        <w:rPr>
          <w:rFonts w:ascii="Times New Roman" w:eastAsia="Times New Roman" w:hAnsi="Times New Roman"/>
          <w:i/>
          <w:noProof/>
        </w:rPr>
      </w:pPr>
      <w:r w:rsidRPr="008F0282">
        <w:rPr>
          <w:rFonts w:ascii="Times New Roman" w:eastAsia="Times New Roman" w:hAnsi="Times New Roman"/>
          <w:i/>
          <w:noProof/>
        </w:rPr>
        <w:lastRenderedPageBreak/>
        <w:t>12. Lancellotti P, Pibarot P, Chambers J, et al. Recommendations for the imaging assessment of prosthetic heart valves: a report from the European Association of Cardiovascular Imaging endorsed by the Chinese Society of Echocardiography, the Inter-American Society of Echocardiography, and the Brazilian Department of Cardiovascular Imaging. Eur. Heart J. Cardiovasc. Imaging 2016;17:589–90.</w:t>
      </w:r>
    </w:p>
    <w:p w14:paraId="682EE156" w14:textId="77777777" w:rsidR="00E05D9C" w:rsidRPr="008F0282" w:rsidRDefault="00E05D9C" w:rsidP="00E05D9C">
      <w:pPr>
        <w:widowControl w:val="0"/>
        <w:autoSpaceDE w:val="0"/>
        <w:autoSpaceDN w:val="0"/>
        <w:adjustRightInd w:val="0"/>
        <w:rPr>
          <w:rFonts w:ascii="Times New Roman" w:eastAsia="Times New Roman" w:hAnsi="Times New Roman"/>
          <w:i/>
          <w:noProof/>
        </w:rPr>
      </w:pPr>
    </w:p>
    <w:p w14:paraId="69037C82" w14:textId="77777777" w:rsidR="00E05D9C" w:rsidRPr="008F0282" w:rsidRDefault="00E05D9C" w:rsidP="00E05D9C">
      <w:pPr>
        <w:widowControl w:val="0"/>
        <w:autoSpaceDE w:val="0"/>
        <w:autoSpaceDN w:val="0"/>
        <w:adjustRightInd w:val="0"/>
        <w:rPr>
          <w:rFonts w:ascii="Times New Roman" w:eastAsia="Times New Roman" w:hAnsi="Times New Roman"/>
          <w:i/>
          <w:noProof/>
        </w:rPr>
      </w:pPr>
      <w:r w:rsidRPr="008F0282">
        <w:rPr>
          <w:rFonts w:ascii="Times New Roman" w:eastAsia="Times New Roman" w:hAnsi="Times New Roman"/>
          <w:i/>
          <w:noProof/>
        </w:rPr>
        <w:t>13. Kappetein AP, Head SJ, Genereux P, et al. Updated standardized endpoint definitions for transcatheter aortic valve implantation: the Valve Academic Research Consortium-2 consensus document (VARC-2). Eur. J. Cardio-Thoracic Surg. 2012;42:S45–S60.</w:t>
      </w:r>
    </w:p>
    <w:p w14:paraId="69878DC9" w14:textId="77777777" w:rsidR="00E05D9C" w:rsidRPr="008F0282" w:rsidRDefault="00E05D9C" w:rsidP="00E05D9C">
      <w:pPr>
        <w:widowControl w:val="0"/>
        <w:autoSpaceDE w:val="0"/>
        <w:autoSpaceDN w:val="0"/>
        <w:adjustRightInd w:val="0"/>
        <w:rPr>
          <w:rFonts w:ascii="Times New Roman" w:eastAsia="Times New Roman" w:hAnsi="Times New Roman"/>
          <w:i/>
          <w:noProof/>
        </w:rPr>
      </w:pPr>
    </w:p>
    <w:p w14:paraId="45CC6CE7" w14:textId="77777777" w:rsidR="00E05D9C" w:rsidRPr="008F0282" w:rsidRDefault="00E05D9C" w:rsidP="00E05D9C">
      <w:pPr>
        <w:widowControl w:val="0"/>
        <w:autoSpaceDE w:val="0"/>
        <w:autoSpaceDN w:val="0"/>
        <w:adjustRightInd w:val="0"/>
        <w:rPr>
          <w:rFonts w:ascii="Times New Roman" w:eastAsia="Times New Roman" w:hAnsi="Times New Roman"/>
          <w:i/>
          <w:noProof/>
        </w:rPr>
      </w:pPr>
      <w:r w:rsidRPr="008F0282">
        <w:rPr>
          <w:rFonts w:ascii="Times New Roman" w:eastAsia="Times New Roman" w:hAnsi="Times New Roman"/>
          <w:i/>
          <w:noProof/>
        </w:rPr>
        <w:t>14. Webb JG, Mack MJ, White JM, et al. Transcatheter Aortic Valve Implantation Within Degenerated Aortic Surgical Bioprostheses: PARTNER 2 Valve-in-Valve Registry. J. Am. Coll. Cardiol. 2017;69:2253–2262.</w:t>
      </w:r>
    </w:p>
    <w:p w14:paraId="1057474B" w14:textId="77777777" w:rsidR="00E05D9C" w:rsidRPr="008F0282" w:rsidRDefault="00E05D9C" w:rsidP="00E05D9C">
      <w:pPr>
        <w:widowControl w:val="0"/>
        <w:autoSpaceDE w:val="0"/>
        <w:autoSpaceDN w:val="0"/>
        <w:adjustRightInd w:val="0"/>
        <w:rPr>
          <w:rFonts w:ascii="Times New Roman" w:eastAsia="Times New Roman" w:hAnsi="Times New Roman"/>
          <w:i/>
          <w:noProof/>
        </w:rPr>
      </w:pPr>
    </w:p>
    <w:p w14:paraId="4E7AC66A" w14:textId="77777777" w:rsidR="00E05D9C" w:rsidRPr="008F0282" w:rsidRDefault="00E05D9C" w:rsidP="00E05D9C">
      <w:pPr>
        <w:widowControl w:val="0"/>
        <w:autoSpaceDE w:val="0"/>
        <w:autoSpaceDN w:val="0"/>
        <w:adjustRightInd w:val="0"/>
        <w:rPr>
          <w:rFonts w:ascii="Times New Roman" w:eastAsia="Times New Roman" w:hAnsi="Times New Roman"/>
          <w:i/>
          <w:noProof/>
        </w:rPr>
      </w:pPr>
      <w:r w:rsidRPr="008F0282">
        <w:rPr>
          <w:rFonts w:ascii="Times New Roman" w:eastAsia="Times New Roman" w:hAnsi="Times New Roman"/>
          <w:i/>
          <w:noProof/>
        </w:rPr>
        <w:t>15. Deeb GM, Chetcuti SJ, Reardon MJ, et al. 1-Year Results in Patients Undergoing Transcatheter Aortic Valve Replacement With Failed Surgical Bioprostheses. JACC Cardiovasc. Interv. 2017;10:1034–1044.</w:t>
      </w:r>
    </w:p>
    <w:p w14:paraId="7F56B19A" w14:textId="77777777" w:rsidR="00E05D9C" w:rsidRPr="008F0282" w:rsidRDefault="00E05D9C" w:rsidP="00E05D9C">
      <w:pPr>
        <w:widowControl w:val="0"/>
        <w:autoSpaceDE w:val="0"/>
        <w:autoSpaceDN w:val="0"/>
        <w:adjustRightInd w:val="0"/>
        <w:rPr>
          <w:rFonts w:ascii="Times New Roman" w:eastAsia="Times New Roman" w:hAnsi="Times New Roman"/>
          <w:i/>
          <w:noProof/>
        </w:rPr>
      </w:pPr>
    </w:p>
    <w:p w14:paraId="571AAAF2" w14:textId="77777777" w:rsidR="00E05D9C" w:rsidRPr="008F0282" w:rsidRDefault="00E05D9C" w:rsidP="00E05D9C">
      <w:pPr>
        <w:widowControl w:val="0"/>
        <w:autoSpaceDE w:val="0"/>
        <w:autoSpaceDN w:val="0"/>
        <w:adjustRightInd w:val="0"/>
        <w:rPr>
          <w:rFonts w:ascii="Times New Roman" w:eastAsia="Times New Roman" w:hAnsi="Times New Roman"/>
          <w:i/>
          <w:noProof/>
        </w:rPr>
      </w:pPr>
      <w:r w:rsidRPr="008F0282">
        <w:rPr>
          <w:rFonts w:ascii="Times New Roman" w:eastAsia="Times New Roman" w:hAnsi="Times New Roman"/>
          <w:i/>
          <w:noProof/>
        </w:rPr>
        <w:t>16. Head SJ, Mokhles MM, Osnabrugge RLJ, et al. The impact of prosthesis-patient mismatch on long-term survival after aortic valve replacement: a systematic review and meta-analysis of 34 observational studies comprising 27 186 patients with 133 141 patient-years. Eur. Heart J. 2012;33:1518–29.</w:t>
      </w:r>
    </w:p>
    <w:p w14:paraId="3BE86B57" w14:textId="77777777" w:rsidR="00E05D9C" w:rsidRPr="008F0282" w:rsidRDefault="00E05D9C" w:rsidP="00E05D9C">
      <w:pPr>
        <w:widowControl w:val="0"/>
        <w:autoSpaceDE w:val="0"/>
        <w:autoSpaceDN w:val="0"/>
        <w:adjustRightInd w:val="0"/>
        <w:rPr>
          <w:rFonts w:ascii="Times New Roman" w:eastAsia="Times New Roman" w:hAnsi="Times New Roman"/>
          <w:i/>
          <w:noProof/>
        </w:rPr>
      </w:pPr>
    </w:p>
    <w:p w14:paraId="351CE8F8" w14:textId="77777777" w:rsidR="00E05D9C" w:rsidRPr="008F0282" w:rsidRDefault="00E05D9C" w:rsidP="00E05D9C">
      <w:pPr>
        <w:widowControl w:val="0"/>
        <w:autoSpaceDE w:val="0"/>
        <w:autoSpaceDN w:val="0"/>
        <w:adjustRightInd w:val="0"/>
        <w:rPr>
          <w:rFonts w:ascii="Times New Roman" w:eastAsia="Times New Roman" w:hAnsi="Times New Roman"/>
          <w:i/>
          <w:noProof/>
        </w:rPr>
      </w:pPr>
      <w:r w:rsidRPr="008F0282">
        <w:rPr>
          <w:rFonts w:ascii="Times New Roman" w:eastAsia="Times New Roman" w:hAnsi="Times New Roman"/>
          <w:i/>
          <w:noProof/>
        </w:rPr>
        <w:t>17. Dayan V, Vignolo G, Soca G, Paganini JJ, Brusich D, Pibarot P. Predictors and Outcomes of Prosthesis-Patient Mismatch After Aortic Valve Replacement. JACC Cardiovasc. Imaging 2016;9:924–933.</w:t>
      </w:r>
    </w:p>
    <w:p w14:paraId="5E6AAEF6" w14:textId="77777777" w:rsidR="00E05D9C" w:rsidRPr="008F0282" w:rsidRDefault="00E05D9C" w:rsidP="00E05D9C">
      <w:pPr>
        <w:widowControl w:val="0"/>
        <w:autoSpaceDE w:val="0"/>
        <w:autoSpaceDN w:val="0"/>
        <w:adjustRightInd w:val="0"/>
        <w:rPr>
          <w:rFonts w:ascii="Times New Roman" w:eastAsia="Times New Roman" w:hAnsi="Times New Roman"/>
          <w:i/>
          <w:noProof/>
        </w:rPr>
      </w:pPr>
    </w:p>
    <w:p w14:paraId="312250E1" w14:textId="77777777" w:rsidR="00E05D9C" w:rsidRPr="008F0282" w:rsidRDefault="00E05D9C" w:rsidP="00E05D9C">
      <w:pPr>
        <w:widowControl w:val="0"/>
        <w:autoSpaceDE w:val="0"/>
        <w:autoSpaceDN w:val="0"/>
        <w:adjustRightInd w:val="0"/>
        <w:rPr>
          <w:rFonts w:ascii="Times New Roman" w:eastAsia="Times New Roman" w:hAnsi="Times New Roman"/>
          <w:i/>
          <w:noProof/>
        </w:rPr>
      </w:pPr>
      <w:r w:rsidRPr="008F0282">
        <w:rPr>
          <w:rFonts w:ascii="Times New Roman" w:eastAsia="Times New Roman" w:hAnsi="Times New Roman"/>
          <w:i/>
          <w:noProof/>
        </w:rPr>
        <w:t>18. Flameng W, Herregods M-C, Vercalsteren M, Herijgers P, Bogaerts K, Meuris B. Prosthesis-patient mismatch predicts structural valve degeneration in bioprosthetic heart valves. Circulation 2010;121:2123–9.</w:t>
      </w:r>
    </w:p>
    <w:p w14:paraId="3DC702B6" w14:textId="77777777" w:rsidR="00E05D9C" w:rsidRPr="008F0282" w:rsidRDefault="00E05D9C" w:rsidP="00E05D9C">
      <w:pPr>
        <w:widowControl w:val="0"/>
        <w:autoSpaceDE w:val="0"/>
        <w:autoSpaceDN w:val="0"/>
        <w:adjustRightInd w:val="0"/>
        <w:rPr>
          <w:rFonts w:ascii="Times New Roman" w:eastAsia="Times New Roman" w:hAnsi="Times New Roman"/>
          <w:i/>
          <w:noProof/>
        </w:rPr>
      </w:pPr>
    </w:p>
    <w:p w14:paraId="0C8598F7" w14:textId="77777777" w:rsidR="00E05D9C" w:rsidRPr="008F0282" w:rsidRDefault="00E05D9C" w:rsidP="00E05D9C">
      <w:pPr>
        <w:widowControl w:val="0"/>
        <w:autoSpaceDE w:val="0"/>
        <w:autoSpaceDN w:val="0"/>
        <w:adjustRightInd w:val="0"/>
        <w:rPr>
          <w:rFonts w:ascii="Times New Roman" w:eastAsia="Times New Roman" w:hAnsi="Times New Roman"/>
          <w:i/>
          <w:noProof/>
        </w:rPr>
      </w:pPr>
      <w:r w:rsidRPr="008F0282">
        <w:rPr>
          <w:rFonts w:ascii="Times New Roman" w:eastAsia="Times New Roman" w:hAnsi="Times New Roman"/>
          <w:i/>
          <w:noProof/>
        </w:rPr>
        <w:t>19. Mahjoub H, Mathieu P, Larose E, et al. Determinants of aortic bioprosthetic valve calcification assessed by multidetector CT. Heart 2015;101:472–7.</w:t>
      </w:r>
    </w:p>
    <w:p w14:paraId="16BFD6D0" w14:textId="77777777" w:rsidR="00E05D9C" w:rsidRPr="008F0282" w:rsidRDefault="00E05D9C" w:rsidP="00E05D9C">
      <w:pPr>
        <w:widowControl w:val="0"/>
        <w:autoSpaceDE w:val="0"/>
        <w:autoSpaceDN w:val="0"/>
        <w:adjustRightInd w:val="0"/>
        <w:rPr>
          <w:rFonts w:ascii="Times New Roman" w:eastAsia="Times New Roman" w:hAnsi="Times New Roman"/>
          <w:i/>
          <w:noProof/>
        </w:rPr>
      </w:pPr>
    </w:p>
    <w:p w14:paraId="7C49EB4E" w14:textId="77777777" w:rsidR="00E05D9C" w:rsidRPr="008F0282" w:rsidRDefault="00E05D9C" w:rsidP="00E05D9C">
      <w:pPr>
        <w:widowControl w:val="0"/>
        <w:autoSpaceDE w:val="0"/>
        <w:autoSpaceDN w:val="0"/>
        <w:adjustRightInd w:val="0"/>
        <w:rPr>
          <w:rFonts w:ascii="Times New Roman" w:eastAsia="Times New Roman" w:hAnsi="Times New Roman"/>
          <w:i/>
          <w:noProof/>
        </w:rPr>
      </w:pPr>
      <w:r w:rsidRPr="008F0282">
        <w:rPr>
          <w:rFonts w:ascii="Times New Roman" w:eastAsia="Times New Roman" w:hAnsi="Times New Roman"/>
          <w:i/>
          <w:noProof/>
        </w:rPr>
        <w:t>20. Thubrikar MJ, Deck JD, Aouad J, Nolan SP. Role of mechanical stress in calcification of aortic bioprosthetic valves. J. Thorac. Cardiovasc. Surg. 1983;86:115–25.</w:t>
      </w:r>
    </w:p>
    <w:p w14:paraId="58A0A31B" w14:textId="77777777" w:rsidR="00E05D9C" w:rsidRPr="008F0282" w:rsidRDefault="00E05D9C" w:rsidP="00E05D9C">
      <w:pPr>
        <w:widowControl w:val="0"/>
        <w:autoSpaceDE w:val="0"/>
        <w:autoSpaceDN w:val="0"/>
        <w:adjustRightInd w:val="0"/>
        <w:rPr>
          <w:rFonts w:ascii="Times New Roman" w:eastAsia="Times New Roman" w:hAnsi="Times New Roman"/>
          <w:i/>
          <w:noProof/>
        </w:rPr>
      </w:pPr>
    </w:p>
    <w:p w14:paraId="3AD51CA7" w14:textId="77777777" w:rsidR="00E05D9C" w:rsidRPr="008F0282" w:rsidRDefault="00E05D9C" w:rsidP="00E05D9C">
      <w:pPr>
        <w:widowControl w:val="0"/>
        <w:autoSpaceDE w:val="0"/>
        <w:autoSpaceDN w:val="0"/>
        <w:adjustRightInd w:val="0"/>
        <w:rPr>
          <w:rFonts w:ascii="Times New Roman" w:eastAsia="Times New Roman" w:hAnsi="Times New Roman"/>
          <w:i/>
          <w:noProof/>
        </w:rPr>
      </w:pPr>
      <w:r w:rsidRPr="008F0282">
        <w:rPr>
          <w:rFonts w:ascii="Times New Roman" w:eastAsia="Times New Roman" w:hAnsi="Times New Roman"/>
          <w:i/>
          <w:noProof/>
        </w:rPr>
        <w:t>21. Pibarot P, Dumesnil JG. Prosthesis-patient mismatch: definition, clinical impact, and prevention. Heart 2006;92:1022–9.</w:t>
      </w:r>
    </w:p>
    <w:p w14:paraId="259E2FD5" w14:textId="77777777" w:rsidR="00E05D9C" w:rsidRPr="008F0282" w:rsidRDefault="00E05D9C" w:rsidP="00E05D9C">
      <w:pPr>
        <w:widowControl w:val="0"/>
        <w:autoSpaceDE w:val="0"/>
        <w:autoSpaceDN w:val="0"/>
        <w:adjustRightInd w:val="0"/>
        <w:rPr>
          <w:rFonts w:ascii="Times New Roman" w:eastAsia="Times New Roman" w:hAnsi="Times New Roman"/>
          <w:i/>
          <w:noProof/>
        </w:rPr>
      </w:pPr>
    </w:p>
    <w:p w14:paraId="1CB8FC53" w14:textId="77777777" w:rsidR="00E05D9C" w:rsidRPr="008F0282" w:rsidRDefault="00E05D9C" w:rsidP="00E05D9C">
      <w:pPr>
        <w:widowControl w:val="0"/>
        <w:autoSpaceDE w:val="0"/>
        <w:autoSpaceDN w:val="0"/>
        <w:adjustRightInd w:val="0"/>
        <w:rPr>
          <w:rFonts w:ascii="Times New Roman" w:eastAsia="Times New Roman" w:hAnsi="Times New Roman"/>
          <w:i/>
          <w:noProof/>
        </w:rPr>
      </w:pPr>
      <w:r w:rsidRPr="008F0282">
        <w:rPr>
          <w:rFonts w:ascii="Times New Roman" w:eastAsia="Times New Roman" w:hAnsi="Times New Roman"/>
          <w:i/>
          <w:noProof/>
        </w:rPr>
        <w:t>22. Flameng W, Rega F, Vercalsteren M, Herijgers P, Meuris B. Antimineralization treatment and patient-prosthesis mismatch are major determinants of the onset and incidence of structural valve degeneration in bioprosthetic heart valves. J. Thorac. Cardiovasc. Surg. 2014;147:1219–24.</w:t>
      </w:r>
    </w:p>
    <w:p w14:paraId="409DBCDF" w14:textId="77777777" w:rsidR="00E05D9C" w:rsidRPr="008F0282" w:rsidRDefault="00E05D9C" w:rsidP="00E05D9C">
      <w:pPr>
        <w:widowControl w:val="0"/>
        <w:autoSpaceDE w:val="0"/>
        <w:autoSpaceDN w:val="0"/>
        <w:adjustRightInd w:val="0"/>
        <w:rPr>
          <w:rFonts w:ascii="Times New Roman" w:eastAsia="Times New Roman" w:hAnsi="Times New Roman"/>
          <w:i/>
          <w:noProof/>
        </w:rPr>
      </w:pPr>
    </w:p>
    <w:p w14:paraId="7FB4C4D4" w14:textId="77777777" w:rsidR="00E05D9C" w:rsidRPr="008F0282" w:rsidRDefault="00E05D9C" w:rsidP="00E05D9C">
      <w:pPr>
        <w:widowControl w:val="0"/>
        <w:autoSpaceDE w:val="0"/>
        <w:autoSpaceDN w:val="0"/>
        <w:adjustRightInd w:val="0"/>
        <w:rPr>
          <w:rFonts w:ascii="Times New Roman" w:eastAsia="Times New Roman" w:hAnsi="Times New Roman"/>
          <w:i/>
          <w:noProof/>
        </w:rPr>
      </w:pPr>
      <w:r w:rsidRPr="008F0282">
        <w:rPr>
          <w:rFonts w:ascii="Times New Roman" w:eastAsia="Times New Roman" w:hAnsi="Times New Roman"/>
          <w:i/>
          <w:noProof/>
        </w:rPr>
        <w:t>23. Pibarot P, Weissman NJ, Stewart WJ, et al. Incidence and Sequelae of Prosthesis-Patient Mismatch in Transcatheter Versus Surgical Valve Replacement in High-Risk Patients With Severe Aortic Stenosis. J. Am. Coll. Cardiol. 2014;64:1323–1334.</w:t>
      </w:r>
    </w:p>
    <w:p w14:paraId="7E637D37" w14:textId="77777777" w:rsidR="00E05D9C" w:rsidRPr="008F0282" w:rsidRDefault="00E05D9C" w:rsidP="00E05D9C">
      <w:pPr>
        <w:widowControl w:val="0"/>
        <w:autoSpaceDE w:val="0"/>
        <w:autoSpaceDN w:val="0"/>
        <w:adjustRightInd w:val="0"/>
        <w:rPr>
          <w:rFonts w:ascii="Times New Roman" w:eastAsia="Times New Roman" w:hAnsi="Times New Roman"/>
          <w:i/>
          <w:noProof/>
        </w:rPr>
      </w:pPr>
    </w:p>
    <w:p w14:paraId="54F0008F" w14:textId="77777777" w:rsidR="00E05D9C" w:rsidRPr="008F0282" w:rsidRDefault="00E05D9C" w:rsidP="00E05D9C">
      <w:pPr>
        <w:widowControl w:val="0"/>
        <w:autoSpaceDE w:val="0"/>
        <w:autoSpaceDN w:val="0"/>
        <w:adjustRightInd w:val="0"/>
        <w:rPr>
          <w:rFonts w:ascii="Times New Roman" w:eastAsia="Times New Roman" w:hAnsi="Times New Roman"/>
          <w:i/>
          <w:noProof/>
        </w:rPr>
      </w:pPr>
      <w:r w:rsidRPr="008F0282">
        <w:rPr>
          <w:rFonts w:ascii="Times New Roman" w:eastAsia="Times New Roman" w:hAnsi="Times New Roman"/>
          <w:i/>
          <w:noProof/>
        </w:rPr>
        <w:t>24. Zorn GL, Little SH, Tadros P, et al. Prosthesis-patient mismatch in high-risk patients with severe aortic stenosis: A randomized trial of a self-expanding prosthesis. J. Thorac. Cardiovasc. Surg. 2016;151:1014–22, 1023–3.</w:t>
      </w:r>
    </w:p>
    <w:p w14:paraId="49C7AEC0" w14:textId="77777777" w:rsidR="00E05D9C" w:rsidRPr="008F0282" w:rsidRDefault="00E05D9C" w:rsidP="00E05D9C">
      <w:pPr>
        <w:widowControl w:val="0"/>
        <w:autoSpaceDE w:val="0"/>
        <w:autoSpaceDN w:val="0"/>
        <w:adjustRightInd w:val="0"/>
        <w:rPr>
          <w:rFonts w:ascii="Times New Roman" w:eastAsia="Times New Roman" w:hAnsi="Times New Roman"/>
          <w:i/>
          <w:noProof/>
        </w:rPr>
      </w:pPr>
    </w:p>
    <w:p w14:paraId="16525E6B" w14:textId="77777777" w:rsidR="00E05D9C" w:rsidRPr="008F0282" w:rsidRDefault="00E05D9C" w:rsidP="00E05D9C">
      <w:pPr>
        <w:widowControl w:val="0"/>
        <w:autoSpaceDE w:val="0"/>
        <w:autoSpaceDN w:val="0"/>
        <w:adjustRightInd w:val="0"/>
        <w:rPr>
          <w:rFonts w:ascii="Times New Roman" w:eastAsia="Times New Roman" w:hAnsi="Times New Roman"/>
          <w:i/>
          <w:noProof/>
        </w:rPr>
      </w:pPr>
      <w:r w:rsidRPr="008F0282">
        <w:rPr>
          <w:rFonts w:ascii="Times New Roman" w:eastAsia="Times New Roman" w:hAnsi="Times New Roman"/>
          <w:i/>
          <w:noProof/>
        </w:rPr>
        <w:t>25. Chhatriwalla AK, Allen KB, Saxon JT, et al. Bioprosthetic Valve Fracture Improves the Hemodynamic Results of Valve-in-Valve Transcatheter Aortic Valve Replacement. Circ. Cardiovasc. Interv. 2017;10:e005216.</w:t>
      </w:r>
    </w:p>
    <w:p w14:paraId="0C87DAB0" w14:textId="77777777" w:rsidR="00E05D9C" w:rsidRPr="008F0282" w:rsidRDefault="00E05D9C" w:rsidP="00E05D9C">
      <w:pPr>
        <w:widowControl w:val="0"/>
        <w:autoSpaceDE w:val="0"/>
        <w:autoSpaceDN w:val="0"/>
        <w:adjustRightInd w:val="0"/>
        <w:rPr>
          <w:rFonts w:ascii="Times New Roman" w:eastAsia="Times New Roman" w:hAnsi="Times New Roman"/>
          <w:i/>
          <w:noProof/>
        </w:rPr>
      </w:pPr>
    </w:p>
    <w:p w14:paraId="70FCFAFF" w14:textId="77777777" w:rsidR="00E05D9C" w:rsidRPr="008F0282" w:rsidRDefault="00E05D9C" w:rsidP="00E05D9C">
      <w:pPr>
        <w:widowControl w:val="0"/>
        <w:autoSpaceDE w:val="0"/>
        <w:autoSpaceDN w:val="0"/>
        <w:adjustRightInd w:val="0"/>
        <w:rPr>
          <w:rFonts w:ascii="Times New Roman" w:hAnsi="Times New Roman"/>
          <w:i/>
          <w:noProof/>
        </w:rPr>
      </w:pPr>
      <w:r w:rsidRPr="008F0282">
        <w:rPr>
          <w:rFonts w:ascii="Times New Roman" w:eastAsia="Times New Roman" w:hAnsi="Times New Roman"/>
          <w:i/>
          <w:noProof/>
        </w:rPr>
        <w:t>26. Pibarot P, Dumesnil JG, Cartier PC, Métras J, Lemieux MD. Patient-prosthesis mismatch can be predicted at the time of operation. Ann. Thorac. Surg. 2001;71:S265-8.</w:t>
      </w:r>
    </w:p>
    <w:p w14:paraId="27279A7B" w14:textId="388DB055" w:rsidR="001063E0" w:rsidRPr="001063E0" w:rsidRDefault="00636107" w:rsidP="00E05D9C">
      <w:pPr>
        <w:widowControl w:val="0"/>
        <w:autoSpaceDE w:val="0"/>
        <w:autoSpaceDN w:val="0"/>
        <w:adjustRightInd w:val="0"/>
        <w:ind w:left="640" w:hanging="640"/>
        <w:rPr>
          <w:rFonts w:ascii="Times New Roman" w:hAnsi="Times New Roman"/>
        </w:rPr>
      </w:pPr>
      <w:r w:rsidRPr="008F0282">
        <w:rPr>
          <w:rFonts w:ascii="Times New Roman" w:hAnsi="Times New Roman"/>
          <w:b/>
          <w:i/>
        </w:rPr>
        <w:fldChar w:fldCharType="end"/>
      </w:r>
      <w:r w:rsidR="00A53B56" w:rsidRPr="001063E0">
        <w:rPr>
          <w:rFonts w:ascii="Times New Roman" w:hAnsi="Times New Roman"/>
          <w:b/>
        </w:rPr>
        <w:fldChar w:fldCharType="begin"/>
      </w:r>
      <w:r w:rsidR="00A53B56" w:rsidRPr="001063E0">
        <w:rPr>
          <w:rFonts w:ascii="Times New Roman" w:hAnsi="Times New Roman"/>
          <w:b/>
          <w:lang w:val="fr-CA"/>
        </w:rPr>
        <w:instrText xml:space="preserve"> ADDIN EN.REFLIST </w:instrText>
      </w:r>
      <w:r w:rsidR="00A53B56" w:rsidRPr="001063E0">
        <w:rPr>
          <w:rFonts w:ascii="Times New Roman" w:hAnsi="Times New Roman"/>
          <w:b/>
        </w:rPr>
        <w:fldChar w:fldCharType="separate"/>
      </w:r>
    </w:p>
    <w:p w14:paraId="00B1E4EC" w14:textId="65591FD8" w:rsidR="00731F52" w:rsidRPr="002D7760" w:rsidRDefault="00A53B56" w:rsidP="001063E0">
      <w:pPr>
        <w:pStyle w:val="NormalWeb"/>
        <w:jc w:val="both"/>
        <w:rPr>
          <w:rFonts w:ascii="Times New Roman" w:hAnsi="Times New Roman"/>
          <w:b/>
          <w:sz w:val="24"/>
          <w:szCs w:val="24"/>
          <w:lang w:val="en-US"/>
        </w:rPr>
      </w:pPr>
      <w:r w:rsidRPr="001063E0">
        <w:rPr>
          <w:rFonts w:ascii="Times New Roman" w:hAnsi="Times New Roman"/>
          <w:b/>
          <w:sz w:val="24"/>
          <w:szCs w:val="24"/>
          <w:lang w:val="en-US"/>
        </w:rPr>
        <w:fldChar w:fldCharType="end"/>
      </w:r>
    </w:p>
    <w:sectPr w:rsidR="00731F52" w:rsidRPr="002D7760" w:rsidSect="00023EB2">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EA2394" w14:textId="77777777" w:rsidR="008B50C2" w:rsidRDefault="008B50C2" w:rsidP="00CE023C">
      <w:r>
        <w:separator/>
      </w:r>
    </w:p>
  </w:endnote>
  <w:endnote w:type="continuationSeparator" w:id="0">
    <w:p w14:paraId="64AEF5E0" w14:textId="77777777" w:rsidR="008B50C2" w:rsidRDefault="008B50C2" w:rsidP="00CE023C">
      <w:r>
        <w:continuationSeparator/>
      </w:r>
    </w:p>
  </w:endnote>
  <w:endnote w:type="continuationNotice" w:id="1">
    <w:p w14:paraId="64499DA3" w14:textId="77777777" w:rsidR="008B50C2" w:rsidRDefault="008B50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MS ??">
    <w:altName w:val="Arial Unicode MS"/>
    <w:panose1 w:val="00000000000000000000"/>
    <w:charset w:val="80"/>
    <w:family w:val="auto"/>
    <w:notTrueType/>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S Gothic">
    <w:panose1 w:val="020B0609070205080204"/>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9677427"/>
      <w:docPartObj>
        <w:docPartGallery w:val="Page Numbers (Bottom of Page)"/>
        <w:docPartUnique/>
      </w:docPartObj>
    </w:sdtPr>
    <w:sdtContent>
      <w:p w14:paraId="619A76F9" w14:textId="2716F912" w:rsidR="00AB3F2D" w:rsidRDefault="00AB3F2D">
        <w:pPr>
          <w:pStyle w:val="Footer"/>
          <w:jc w:val="center"/>
        </w:pPr>
        <w:r>
          <w:fldChar w:fldCharType="begin"/>
        </w:r>
        <w:r>
          <w:instrText>PAGE   \* MERGEFORMAT</w:instrText>
        </w:r>
        <w:r>
          <w:fldChar w:fldCharType="separate"/>
        </w:r>
        <w:r w:rsidR="00BD77BC" w:rsidRPr="00BD77BC">
          <w:rPr>
            <w:noProof/>
            <w:lang w:val="fr-FR"/>
          </w:rPr>
          <w:t>18</w:t>
        </w:r>
        <w:r>
          <w:fldChar w:fldCharType="end"/>
        </w:r>
      </w:p>
    </w:sdtContent>
  </w:sdt>
  <w:p w14:paraId="13E24AAD" w14:textId="77777777" w:rsidR="00AB3F2D" w:rsidRDefault="00AB3F2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6FD276" w14:textId="77777777" w:rsidR="008B50C2" w:rsidRDefault="008B50C2" w:rsidP="00CE023C">
      <w:r>
        <w:separator/>
      </w:r>
    </w:p>
  </w:footnote>
  <w:footnote w:type="continuationSeparator" w:id="0">
    <w:p w14:paraId="39FFBC26" w14:textId="77777777" w:rsidR="008B50C2" w:rsidRDefault="008B50C2" w:rsidP="00CE023C">
      <w:r>
        <w:continuationSeparator/>
      </w:r>
    </w:p>
  </w:footnote>
  <w:footnote w:type="continuationNotice" w:id="1">
    <w:p w14:paraId="4E87B630" w14:textId="77777777" w:rsidR="008B50C2" w:rsidRDefault="008B50C2"/>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47A439" w14:textId="77777777" w:rsidR="00AB3F2D" w:rsidRDefault="00AB3F2D" w:rsidP="0016772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68E72F" w14:textId="77777777" w:rsidR="00AB3F2D" w:rsidRDefault="00AB3F2D" w:rsidP="00CE023C">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684DD9" w14:textId="6BB58FCF" w:rsidR="00AB3F2D" w:rsidRPr="00DA4C09" w:rsidRDefault="00AB3F2D" w:rsidP="00CE023C">
    <w:pPr>
      <w:pStyle w:val="Header"/>
      <w:ind w:right="360"/>
      <w:rPr>
        <w:i/>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972175"/>
    <w:multiLevelType w:val="hybridMultilevel"/>
    <w:tmpl w:val="92B00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proofState w:spelling="clean" w:grammar="clean"/>
  <w:defaultTabStop w:val="720"/>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J Amer College Cardiology&lt;/Style&gt;&lt;LeftDelim&gt;{&lt;/LeftDelim&gt;&lt;RightDelim&gt;}&lt;/RightDelim&gt;&lt;FontName&gt;Times&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00r2xsprrpt07e2dt35s2ztfadevpxdd5s5&quot;&gt;PIBAROT&lt;record-ids&gt;&lt;item&gt;5026&lt;/item&gt;&lt;item&gt;7668&lt;/item&gt;&lt;item&gt;7904&lt;/item&gt;&lt;item&gt;9543&lt;/item&gt;&lt;item&gt;11457&lt;/item&gt;&lt;item&gt;11862&lt;/item&gt;&lt;item&gt;12807&lt;/item&gt;&lt;item&gt;13231&lt;/item&gt;&lt;item&gt;13233&lt;/item&gt;&lt;item&gt;13701&lt;/item&gt;&lt;item&gt;13977&lt;/item&gt;&lt;item&gt;13979&lt;/item&gt;&lt;item&gt;14242&lt;/item&gt;&lt;item&gt;14725&lt;/item&gt;&lt;item&gt;14733&lt;/item&gt;&lt;item&gt;14871&lt;/item&gt;&lt;item&gt;14975&lt;/item&gt;&lt;item&gt;14978&lt;/item&gt;&lt;item&gt;15238&lt;/item&gt;&lt;item&gt;15271&lt;/item&gt;&lt;item&gt;15379&lt;/item&gt;&lt;item&gt;15417&lt;/item&gt;&lt;item&gt;16071&lt;/item&gt;&lt;item&gt;16072&lt;/item&gt;&lt;item&gt;16256&lt;/item&gt;&lt;/record-ids&gt;&lt;/item&gt;&lt;/Libraries&gt;"/>
  </w:docVars>
  <w:rsids>
    <w:rsidRoot w:val="00E9267B"/>
    <w:rsid w:val="00005217"/>
    <w:rsid w:val="0000747D"/>
    <w:rsid w:val="000074B4"/>
    <w:rsid w:val="0000788A"/>
    <w:rsid w:val="00020B21"/>
    <w:rsid w:val="00021658"/>
    <w:rsid w:val="0002391D"/>
    <w:rsid w:val="00023EB2"/>
    <w:rsid w:val="000244AB"/>
    <w:rsid w:val="00033120"/>
    <w:rsid w:val="00042747"/>
    <w:rsid w:val="00042C08"/>
    <w:rsid w:val="00043CC3"/>
    <w:rsid w:val="0004609C"/>
    <w:rsid w:val="00051235"/>
    <w:rsid w:val="00051E93"/>
    <w:rsid w:val="00067136"/>
    <w:rsid w:val="000732D0"/>
    <w:rsid w:val="00074DAB"/>
    <w:rsid w:val="000830CD"/>
    <w:rsid w:val="00084426"/>
    <w:rsid w:val="00090CF0"/>
    <w:rsid w:val="00096E34"/>
    <w:rsid w:val="000A2A13"/>
    <w:rsid w:val="000A4276"/>
    <w:rsid w:val="000B60C0"/>
    <w:rsid w:val="000B721D"/>
    <w:rsid w:val="000C0613"/>
    <w:rsid w:val="000C582C"/>
    <w:rsid w:val="000C5BB7"/>
    <w:rsid w:val="000C6CDE"/>
    <w:rsid w:val="000D3EA7"/>
    <w:rsid w:val="000E4AC9"/>
    <w:rsid w:val="000E7945"/>
    <w:rsid w:val="000F427B"/>
    <w:rsid w:val="000F4BA2"/>
    <w:rsid w:val="000F77EB"/>
    <w:rsid w:val="00102E85"/>
    <w:rsid w:val="00103437"/>
    <w:rsid w:val="00103900"/>
    <w:rsid w:val="00105A4B"/>
    <w:rsid w:val="001062B1"/>
    <w:rsid w:val="001063E0"/>
    <w:rsid w:val="0010794B"/>
    <w:rsid w:val="0011025E"/>
    <w:rsid w:val="00110D81"/>
    <w:rsid w:val="001112A2"/>
    <w:rsid w:val="001151DF"/>
    <w:rsid w:val="00115977"/>
    <w:rsid w:val="00122CF3"/>
    <w:rsid w:val="001256EE"/>
    <w:rsid w:val="001269D7"/>
    <w:rsid w:val="00133F4D"/>
    <w:rsid w:val="00134AF4"/>
    <w:rsid w:val="00137C8B"/>
    <w:rsid w:val="00141903"/>
    <w:rsid w:val="00144F5E"/>
    <w:rsid w:val="0014512D"/>
    <w:rsid w:val="0015053B"/>
    <w:rsid w:val="00152217"/>
    <w:rsid w:val="00160423"/>
    <w:rsid w:val="00160839"/>
    <w:rsid w:val="001660C4"/>
    <w:rsid w:val="00167729"/>
    <w:rsid w:val="001708DD"/>
    <w:rsid w:val="00172C9F"/>
    <w:rsid w:val="0017426E"/>
    <w:rsid w:val="00175354"/>
    <w:rsid w:val="00181158"/>
    <w:rsid w:val="00181CEA"/>
    <w:rsid w:val="001826E2"/>
    <w:rsid w:val="00182A16"/>
    <w:rsid w:val="0019055A"/>
    <w:rsid w:val="00190EBE"/>
    <w:rsid w:val="001926C8"/>
    <w:rsid w:val="00192836"/>
    <w:rsid w:val="0019557B"/>
    <w:rsid w:val="00195D36"/>
    <w:rsid w:val="001972E1"/>
    <w:rsid w:val="001A5B02"/>
    <w:rsid w:val="001B7C87"/>
    <w:rsid w:val="001C2A8F"/>
    <w:rsid w:val="001C359B"/>
    <w:rsid w:val="001C5875"/>
    <w:rsid w:val="001D20E1"/>
    <w:rsid w:val="001D3CB4"/>
    <w:rsid w:val="001D415B"/>
    <w:rsid w:val="001E7006"/>
    <w:rsid w:val="001E7569"/>
    <w:rsid w:val="001F23CB"/>
    <w:rsid w:val="00202A12"/>
    <w:rsid w:val="00205538"/>
    <w:rsid w:val="0021330B"/>
    <w:rsid w:val="00220407"/>
    <w:rsid w:val="0022060C"/>
    <w:rsid w:val="002210D4"/>
    <w:rsid w:val="002233A3"/>
    <w:rsid w:val="00223CDF"/>
    <w:rsid w:val="0022576D"/>
    <w:rsid w:val="002277DF"/>
    <w:rsid w:val="0023058D"/>
    <w:rsid w:val="00230758"/>
    <w:rsid w:val="00233CB0"/>
    <w:rsid w:val="00240A5F"/>
    <w:rsid w:val="00251AFE"/>
    <w:rsid w:val="0025706C"/>
    <w:rsid w:val="002578C8"/>
    <w:rsid w:val="00261351"/>
    <w:rsid w:val="00261A77"/>
    <w:rsid w:val="0026379B"/>
    <w:rsid w:val="002641A1"/>
    <w:rsid w:val="00264560"/>
    <w:rsid w:val="002645F3"/>
    <w:rsid w:val="002649BC"/>
    <w:rsid w:val="00265365"/>
    <w:rsid w:val="002703FD"/>
    <w:rsid w:val="00273A86"/>
    <w:rsid w:val="00281F32"/>
    <w:rsid w:val="002843FE"/>
    <w:rsid w:val="002A2549"/>
    <w:rsid w:val="002A2701"/>
    <w:rsid w:val="002B00B5"/>
    <w:rsid w:val="002B3B4C"/>
    <w:rsid w:val="002B5411"/>
    <w:rsid w:val="002C2E85"/>
    <w:rsid w:val="002C2EED"/>
    <w:rsid w:val="002C5687"/>
    <w:rsid w:val="002C73E3"/>
    <w:rsid w:val="002C7AB6"/>
    <w:rsid w:val="002D12DB"/>
    <w:rsid w:val="002D7760"/>
    <w:rsid w:val="002E2469"/>
    <w:rsid w:val="0030242F"/>
    <w:rsid w:val="00306C27"/>
    <w:rsid w:val="003074A1"/>
    <w:rsid w:val="00311F9F"/>
    <w:rsid w:val="00312237"/>
    <w:rsid w:val="003153BC"/>
    <w:rsid w:val="00316E38"/>
    <w:rsid w:val="00317806"/>
    <w:rsid w:val="003215A8"/>
    <w:rsid w:val="00321CA5"/>
    <w:rsid w:val="00324101"/>
    <w:rsid w:val="00325CC5"/>
    <w:rsid w:val="00327A7A"/>
    <w:rsid w:val="00330D88"/>
    <w:rsid w:val="0033122A"/>
    <w:rsid w:val="003341B0"/>
    <w:rsid w:val="00335C7A"/>
    <w:rsid w:val="00341236"/>
    <w:rsid w:val="00341EDF"/>
    <w:rsid w:val="00343C68"/>
    <w:rsid w:val="00353261"/>
    <w:rsid w:val="00353A70"/>
    <w:rsid w:val="003553AA"/>
    <w:rsid w:val="003565D6"/>
    <w:rsid w:val="00372A44"/>
    <w:rsid w:val="003746C7"/>
    <w:rsid w:val="00383303"/>
    <w:rsid w:val="00384ACA"/>
    <w:rsid w:val="00384CF5"/>
    <w:rsid w:val="00390C97"/>
    <w:rsid w:val="0039540C"/>
    <w:rsid w:val="003A4335"/>
    <w:rsid w:val="003A53CF"/>
    <w:rsid w:val="003B2D8F"/>
    <w:rsid w:val="003B3183"/>
    <w:rsid w:val="003B6F7A"/>
    <w:rsid w:val="003C2ED7"/>
    <w:rsid w:val="003C378D"/>
    <w:rsid w:val="003C3DAE"/>
    <w:rsid w:val="003D6503"/>
    <w:rsid w:val="003E2F5E"/>
    <w:rsid w:val="003E5DDE"/>
    <w:rsid w:val="003F1796"/>
    <w:rsid w:val="003F1E97"/>
    <w:rsid w:val="003F53E0"/>
    <w:rsid w:val="00402211"/>
    <w:rsid w:val="00403106"/>
    <w:rsid w:val="004035D4"/>
    <w:rsid w:val="00404955"/>
    <w:rsid w:val="004056B6"/>
    <w:rsid w:val="00411198"/>
    <w:rsid w:val="004321BD"/>
    <w:rsid w:val="0044095A"/>
    <w:rsid w:val="00443018"/>
    <w:rsid w:val="00466FD4"/>
    <w:rsid w:val="004675EE"/>
    <w:rsid w:val="00467BF0"/>
    <w:rsid w:val="004751AA"/>
    <w:rsid w:val="00481CA8"/>
    <w:rsid w:val="00483952"/>
    <w:rsid w:val="00483F35"/>
    <w:rsid w:val="00485C00"/>
    <w:rsid w:val="004874AB"/>
    <w:rsid w:val="00487875"/>
    <w:rsid w:val="00492946"/>
    <w:rsid w:val="00495776"/>
    <w:rsid w:val="004A018F"/>
    <w:rsid w:val="004A115B"/>
    <w:rsid w:val="004A1902"/>
    <w:rsid w:val="004A3243"/>
    <w:rsid w:val="004B13D7"/>
    <w:rsid w:val="004B1C12"/>
    <w:rsid w:val="004B59E0"/>
    <w:rsid w:val="004B5E6C"/>
    <w:rsid w:val="004C0137"/>
    <w:rsid w:val="004C60EC"/>
    <w:rsid w:val="004C70CA"/>
    <w:rsid w:val="004D69A3"/>
    <w:rsid w:val="004D6DEA"/>
    <w:rsid w:val="004E02B1"/>
    <w:rsid w:val="004E2042"/>
    <w:rsid w:val="004E23DA"/>
    <w:rsid w:val="004E3A8E"/>
    <w:rsid w:val="004E4F88"/>
    <w:rsid w:val="004E7492"/>
    <w:rsid w:val="004F2F15"/>
    <w:rsid w:val="004F4817"/>
    <w:rsid w:val="005017BF"/>
    <w:rsid w:val="00502A13"/>
    <w:rsid w:val="00512C48"/>
    <w:rsid w:val="005202B5"/>
    <w:rsid w:val="00522A0A"/>
    <w:rsid w:val="00522FDC"/>
    <w:rsid w:val="00526E95"/>
    <w:rsid w:val="00530236"/>
    <w:rsid w:val="005345DE"/>
    <w:rsid w:val="00543006"/>
    <w:rsid w:val="0054597E"/>
    <w:rsid w:val="00545DC3"/>
    <w:rsid w:val="00557441"/>
    <w:rsid w:val="00557938"/>
    <w:rsid w:val="00576E34"/>
    <w:rsid w:val="00583F2D"/>
    <w:rsid w:val="00595941"/>
    <w:rsid w:val="005B0670"/>
    <w:rsid w:val="005B499C"/>
    <w:rsid w:val="005B5507"/>
    <w:rsid w:val="005C06B7"/>
    <w:rsid w:val="005C083A"/>
    <w:rsid w:val="005D688C"/>
    <w:rsid w:val="005D7552"/>
    <w:rsid w:val="005E085E"/>
    <w:rsid w:val="005E497E"/>
    <w:rsid w:val="005E586B"/>
    <w:rsid w:val="005F029D"/>
    <w:rsid w:val="005F02B3"/>
    <w:rsid w:val="005F28F4"/>
    <w:rsid w:val="005F5854"/>
    <w:rsid w:val="005F7244"/>
    <w:rsid w:val="00614C22"/>
    <w:rsid w:val="0061560A"/>
    <w:rsid w:val="00617196"/>
    <w:rsid w:val="00621399"/>
    <w:rsid w:val="00633C98"/>
    <w:rsid w:val="00636107"/>
    <w:rsid w:val="00640087"/>
    <w:rsid w:val="00645E7F"/>
    <w:rsid w:val="00645F64"/>
    <w:rsid w:val="0064713B"/>
    <w:rsid w:val="00661E16"/>
    <w:rsid w:val="00662961"/>
    <w:rsid w:val="0067079E"/>
    <w:rsid w:val="00670D23"/>
    <w:rsid w:val="00672AA4"/>
    <w:rsid w:val="00676A4A"/>
    <w:rsid w:val="00677AE4"/>
    <w:rsid w:val="0068392B"/>
    <w:rsid w:val="00687950"/>
    <w:rsid w:val="006902ED"/>
    <w:rsid w:val="00690B36"/>
    <w:rsid w:val="00696641"/>
    <w:rsid w:val="006977DB"/>
    <w:rsid w:val="006A2186"/>
    <w:rsid w:val="006B38BD"/>
    <w:rsid w:val="006C33D4"/>
    <w:rsid w:val="006D0C76"/>
    <w:rsid w:val="006D3E47"/>
    <w:rsid w:val="006D5895"/>
    <w:rsid w:val="006D653A"/>
    <w:rsid w:val="006D7421"/>
    <w:rsid w:val="006E6E08"/>
    <w:rsid w:val="006F10C9"/>
    <w:rsid w:val="006F25B7"/>
    <w:rsid w:val="006F2690"/>
    <w:rsid w:val="006F68A2"/>
    <w:rsid w:val="00700987"/>
    <w:rsid w:val="0070296D"/>
    <w:rsid w:val="007036F6"/>
    <w:rsid w:val="00707E3D"/>
    <w:rsid w:val="00710772"/>
    <w:rsid w:val="0072635B"/>
    <w:rsid w:val="00726699"/>
    <w:rsid w:val="00731F52"/>
    <w:rsid w:val="007329FC"/>
    <w:rsid w:val="0073766C"/>
    <w:rsid w:val="00737900"/>
    <w:rsid w:val="00741EA6"/>
    <w:rsid w:val="007461A3"/>
    <w:rsid w:val="00752750"/>
    <w:rsid w:val="007536AF"/>
    <w:rsid w:val="0075541C"/>
    <w:rsid w:val="00757D30"/>
    <w:rsid w:val="00757DE6"/>
    <w:rsid w:val="00761FB9"/>
    <w:rsid w:val="00765D1D"/>
    <w:rsid w:val="00773982"/>
    <w:rsid w:val="00774CEF"/>
    <w:rsid w:val="00775D5D"/>
    <w:rsid w:val="007765D8"/>
    <w:rsid w:val="00782EC9"/>
    <w:rsid w:val="007835E4"/>
    <w:rsid w:val="007874FD"/>
    <w:rsid w:val="007903DA"/>
    <w:rsid w:val="00791E39"/>
    <w:rsid w:val="007961C5"/>
    <w:rsid w:val="007A15BF"/>
    <w:rsid w:val="007A3473"/>
    <w:rsid w:val="007A42C8"/>
    <w:rsid w:val="007A47F3"/>
    <w:rsid w:val="007B1194"/>
    <w:rsid w:val="007B5C12"/>
    <w:rsid w:val="007C0075"/>
    <w:rsid w:val="007C0ACC"/>
    <w:rsid w:val="007C4D43"/>
    <w:rsid w:val="007C65EF"/>
    <w:rsid w:val="007C7836"/>
    <w:rsid w:val="007D0D55"/>
    <w:rsid w:val="007D1354"/>
    <w:rsid w:val="007D7705"/>
    <w:rsid w:val="007E0A45"/>
    <w:rsid w:val="007E287B"/>
    <w:rsid w:val="007F055B"/>
    <w:rsid w:val="007F69FE"/>
    <w:rsid w:val="00803BE9"/>
    <w:rsid w:val="00810419"/>
    <w:rsid w:val="0081134C"/>
    <w:rsid w:val="0081222C"/>
    <w:rsid w:val="00815A99"/>
    <w:rsid w:val="00822B14"/>
    <w:rsid w:val="00825B92"/>
    <w:rsid w:val="00833F10"/>
    <w:rsid w:val="00837935"/>
    <w:rsid w:val="008478CC"/>
    <w:rsid w:val="008505B3"/>
    <w:rsid w:val="00853155"/>
    <w:rsid w:val="0085335B"/>
    <w:rsid w:val="00854210"/>
    <w:rsid w:val="0085462B"/>
    <w:rsid w:val="00856BF8"/>
    <w:rsid w:val="008612DA"/>
    <w:rsid w:val="008658DC"/>
    <w:rsid w:val="008713AA"/>
    <w:rsid w:val="00871563"/>
    <w:rsid w:val="00875ECF"/>
    <w:rsid w:val="00880F4B"/>
    <w:rsid w:val="0088731C"/>
    <w:rsid w:val="008900CF"/>
    <w:rsid w:val="008901D8"/>
    <w:rsid w:val="00892868"/>
    <w:rsid w:val="008978AB"/>
    <w:rsid w:val="008A041B"/>
    <w:rsid w:val="008A4880"/>
    <w:rsid w:val="008B2A86"/>
    <w:rsid w:val="008B50C2"/>
    <w:rsid w:val="008B570E"/>
    <w:rsid w:val="008B73A9"/>
    <w:rsid w:val="008B7961"/>
    <w:rsid w:val="008C38C6"/>
    <w:rsid w:val="008C3A33"/>
    <w:rsid w:val="008C40B0"/>
    <w:rsid w:val="008C7B7E"/>
    <w:rsid w:val="008D42BF"/>
    <w:rsid w:val="008D7EF3"/>
    <w:rsid w:val="008E2A42"/>
    <w:rsid w:val="008E4EB9"/>
    <w:rsid w:val="008E7234"/>
    <w:rsid w:val="008F0282"/>
    <w:rsid w:val="008F5FAD"/>
    <w:rsid w:val="008F7895"/>
    <w:rsid w:val="00900577"/>
    <w:rsid w:val="00907F49"/>
    <w:rsid w:val="00913825"/>
    <w:rsid w:val="0092166F"/>
    <w:rsid w:val="009244F3"/>
    <w:rsid w:val="00926506"/>
    <w:rsid w:val="00932DB2"/>
    <w:rsid w:val="00937C47"/>
    <w:rsid w:val="009404D9"/>
    <w:rsid w:val="00941534"/>
    <w:rsid w:val="0094273F"/>
    <w:rsid w:val="00957887"/>
    <w:rsid w:val="009635B0"/>
    <w:rsid w:val="009648D6"/>
    <w:rsid w:val="00964CD1"/>
    <w:rsid w:val="0096799A"/>
    <w:rsid w:val="00973BC9"/>
    <w:rsid w:val="009807DF"/>
    <w:rsid w:val="00981506"/>
    <w:rsid w:val="00982BD7"/>
    <w:rsid w:val="0098319E"/>
    <w:rsid w:val="00995E73"/>
    <w:rsid w:val="00997F85"/>
    <w:rsid w:val="009B33B2"/>
    <w:rsid w:val="009C7817"/>
    <w:rsid w:val="009E38D4"/>
    <w:rsid w:val="009E604E"/>
    <w:rsid w:val="009E7D2E"/>
    <w:rsid w:val="009F0E32"/>
    <w:rsid w:val="009F12B2"/>
    <w:rsid w:val="009F311A"/>
    <w:rsid w:val="009F7476"/>
    <w:rsid w:val="00A008ED"/>
    <w:rsid w:val="00A0703A"/>
    <w:rsid w:val="00A07ED1"/>
    <w:rsid w:val="00A124A9"/>
    <w:rsid w:val="00A2322C"/>
    <w:rsid w:val="00A2586E"/>
    <w:rsid w:val="00A31069"/>
    <w:rsid w:val="00A32D5A"/>
    <w:rsid w:val="00A35C42"/>
    <w:rsid w:val="00A43EEB"/>
    <w:rsid w:val="00A458C4"/>
    <w:rsid w:val="00A46484"/>
    <w:rsid w:val="00A46B6A"/>
    <w:rsid w:val="00A53B56"/>
    <w:rsid w:val="00A56536"/>
    <w:rsid w:val="00A576B7"/>
    <w:rsid w:val="00A64160"/>
    <w:rsid w:val="00A7473D"/>
    <w:rsid w:val="00A750A4"/>
    <w:rsid w:val="00A76BFF"/>
    <w:rsid w:val="00A76D15"/>
    <w:rsid w:val="00A812A9"/>
    <w:rsid w:val="00A83389"/>
    <w:rsid w:val="00A842F4"/>
    <w:rsid w:val="00A84FE3"/>
    <w:rsid w:val="00A90D10"/>
    <w:rsid w:val="00A9293D"/>
    <w:rsid w:val="00AA0313"/>
    <w:rsid w:val="00AA3F62"/>
    <w:rsid w:val="00AA46FA"/>
    <w:rsid w:val="00AA579D"/>
    <w:rsid w:val="00AA5E9C"/>
    <w:rsid w:val="00AA6918"/>
    <w:rsid w:val="00AB3F2D"/>
    <w:rsid w:val="00AB6441"/>
    <w:rsid w:val="00AC266F"/>
    <w:rsid w:val="00AC43F6"/>
    <w:rsid w:val="00AD05DB"/>
    <w:rsid w:val="00AD6800"/>
    <w:rsid w:val="00AD783F"/>
    <w:rsid w:val="00AF0C43"/>
    <w:rsid w:val="00AF5136"/>
    <w:rsid w:val="00B01255"/>
    <w:rsid w:val="00B018AC"/>
    <w:rsid w:val="00B02201"/>
    <w:rsid w:val="00B109FC"/>
    <w:rsid w:val="00B10AEE"/>
    <w:rsid w:val="00B10C8E"/>
    <w:rsid w:val="00B172DB"/>
    <w:rsid w:val="00B211D7"/>
    <w:rsid w:val="00B22CE3"/>
    <w:rsid w:val="00B2502B"/>
    <w:rsid w:val="00B25F04"/>
    <w:rsid w:val="00B27469"/>
    <w:rsid w:val="00B3351C"/>
    <w:rsid w:val="00B33756"/>
    <w:rsid w:val="00B36E38"/>
    <w:rsid w:val="00B503A1"/>
    <w:rsid w:val="00B50B35"/>
    <w:rsid w:val="00B53CED"/>
    <w:rsid w:val="00B61B24"/>
    <w:rsid w:val="00B62BF7"/>
    <w:rsid w:val="00B66392"/>
    <w:rsid w:val="00B6696B"/>
    <w:rsid w:val="00B708EF"/>
    <w:rsid w:val="00B7616B"/>
    <w:rsid w:val="00B769EC"/>
    <w:rsid w:val="00B77763"/>
    <w:rsid w:val="00B777DD"/>
    <w:rsid w:val="00B80F70"/>
    <w:rsid w:val="00B82508"/>
    <w:rsid w:val="00B82DA0"/>
    <w:rsid w:val="00B84A6A"/>
    <w:rsid w:val="00B908B9"/>
    <w:rsid w:val="00B936DC"/>
    <w:rsid w:val="00BA14A1"/>
    <w:rsid w:val="00BA35A1"/>
    <w:rsid w:val="00BB314C"/>
    <w:rsid w:val="00BC186F"/>
    <w:rsid w:val="00BD0F02"/>
    <w:rsid w:val="00BD2C67"/>
    <w:rsid w:val="00BD77BC"/>
    <w:rsid w:val="00BD7C79"/>
    <w:rsid w:val="00BE4333"/>
    <w:rsid w:val="00BF0DA9"/>
    <w:rsid w:val="00BF5E6F"/>
    <w:rsid w:val="00BF7679"/>
    <w:rsid w:val="00BF7AFB"/>
    <w:rsid w:val="00C11826"/>
    <w:rsid w:val="00C265A2"/>
    <w:rsid w:val="00C31B6C"/>
    <w:rsid w:val="00C3776A"/>
    <w:rsid w:val="00C406FD"/>
    <w:rsid w:val="00C42891"/>
    <w:rsid w:val="00C4417B"/>
    <w:rsid w:val="00C451F3"/>
    <w:rsid w:val="00C46071"/>
    <w:rsid w:val="00C47885"/>
    <w:rsid w:val="00C519FE"/>
    <w:rsid w:val="00C526E8"/>
    <w:rsid w:val="00C53884"/>
    <w:rsid w:val="00C636E8"/>
    <w:rsid w:val="00C70F5A"/>
    <w:rsid w:val="00C7246E"/>
    <w:rsid w:val="00C73B54"/>
    <w:rsid w:val="00C758AC"/>
    <w:rsid w:val="00C758DB"/>
    <w:rsid w:val="00C762AA"/>
    <w:rsid w:val="00C8314A"/>
    <w:rsid w:val="00C83F85"/>
    <w:rsid w:val="00C858E0"/>
    <w:rsid w:val="00C9180F"/>
    <w:rsid w:val="00C93BB2"/>
    <w:rsid w:val="00C95480"/>
    <w:rsid w:val="00C97E36"/>
    <w:rsid w:val="00CA0845"/>
    <w:rsid w:val="00CA0A0B"/>
    <w:rsid w:val="00CA3875"/>
    <w:rsid w:val="00CB61D2"/>
    <w:rsid w:val="00CC1F6D"/>
    <w:rsid w:val="00CC2940"/>
    <w:rsid w:val="00CC5B51"/>
    <w:rsid w:val="00CD2CCE"/>
    <w:rsid w:val="00CE023C"/>
    <w:rsid w:val="00CE1F4B"/>
    <w:rsid w:val="00CE2069"/>
    <w:rsid w:val="00CE3338"/>
    <w:rsid w:val="00CE3376"/>
    <w:rsid w:val="00CF2ABC"/>
    <w:rsid w:val="00CF4398"/>
    <w:rsid w:val="00D03B8F"/>
    <w:rsid w:val="00D12300"/>
    <w:rsid w:val="00D12D70"/>
    <w:rsid w:val="00D17F9E"/>
    <w:rsid w:val="00D25A81"/>
    <w:rsid w:val="00D337CA"/>
    <w:rsid w:val="00D423C4"/>
    <w:rsid w:val="00D437E7"/>
    <w:rsid w:val="00D44374"/>
    <w:rsid w:val="00D4471B"/>
    <w:rsid w:val="00D46AE6"/>
    <w:rsid w:val="00D5007A"/>
    <w:rsid w:val="00D542B0"/>
    <w:rsid w:val="00D54F99"/>
    <w:rsid w:val="00D62D3D"/>
    <w:rsid w:val="00D713F3"/>
    <w:rsid w:val="00D8604E"/>
    <w:rsid w:val="00D87FA3"/>
    <w:rsid w:val="00D94891"/>
    <w:rsid w:val="00D95420"/>
    <w:rsid w:val="00DA0FA5"/>
    <w:rsid w:val="00DA4C09"/>
    <w:rsid w:val="00DA77D3"/>
    <w:rsid w:val="00DB7426"/>
    <w:rsid w:val="00DC39B0"/>
    <w:rsid w:val="00DC44BA"/>
    <w:rsid w:val="00DD356D"/>
    <w:rsid w:val="00DD3A6F"/>
    <w:rsid w:val="00DE056C"/>
    <w:rsid w:val="00DE072F"/>
    <w:rsid w:val="00DE0EDA"/>
    <w:rsid w:val="00DF0B4A"/>
    <w:rsid w:val="00DF2E83"/>
    <w:rsid w:val="00E0141C"/>
    <w:rsid w:val="00E05D9C"/>
    <w:rsid w:val="00E076DA"/>
    <w:rsid w:val="00E07A43"/>
    <w:rsid w:val="00E07AF8"/>
    <w:rsid w:val="00E15039"/>
    <w:rsid w:val="00E203DA"/>
    <w:rsid w:val="00E237F3"/>
    <w:rsid w:val="00E378D2"/>
    <w:rsid w:val="00E425A9"/>
    <w:rsid w:val="00E43AE0"/>
    <w:rsid w:val="00E548E4"/>
    <w:rsid w:val="00E7273F"/>
    <w:rsid w:val="00E7480A"/>
    <w:rsid w:val="00E81D43"/>
    <w:rsid w:val="00E87472"/>
    <w:rsid w:val="00E9094D"/>
    <w:rsid w:val="00E917E8"/>
    <w:rsid w:val="00E9267B"/>
    <w:rsid w:val="00E95269"/>
    <w:rsid w:val="00E9568D"/>
    <w:rsid w:val="00E970B1"/>
    <w:rsid w:val="00E9798B"/>
    <w:rsid w:val="00EA31BA"/>
    <w:rsid w:val="00EA61E0"/>
    <w:rsid w:val="00EA6D09"/>
    <w:rsid w:val="00EB2902"/>
    <w:rsid w:val="00EB5415"/>
    <w:rsid w:val="00EB79B5"/>
    <w:rsid w:val="00EC29B8"/>
    <w:rsid w:val="00EC2E63"/>
    <w:rsid w:val="00EC5E0B"/>
    <w:rsid w:val="00ED06BD"/>
    <w:rsid w:val="00ED0CEA"/>
    <w:rsid w:val="00ED0E1F"/>
    <w:rsid w:val="00EE11BF"/>
    <w:rsid w:val="00EE1884"/>
    <w:rsid w:val="00EE607B"/>
    <w:rsid w:val="00EF0AF3"/>
    <w:rsid w:val="00EF2D7B"/>
    <w:rsid w:val="00F0539E"/>
    <w:rsid w:val="00F0548A"/>
    <w:rsid w:val="00F21436"/>
    <w:rsid w:val="00F22D69"/>
    <w:rsid w:val="00F26487"/>
    <w:rsid w:val="00F31556"/>
    <w:rsid w:val="00F32C36"/>
    <w:rsid w:val="00F33137"/>
    <w:rsid w:val="00F3754F"/>
    <w:rsid w:val="00F41D67"/>
    <w:rsid w:val="00F4286D"/>
    <w:rsid w:val="00F43B23"/>
    <w:rsid w:val="00F57541"/>
    <w:rsid w:val="00F67010"/>
    <w:rsid w:val="00F7715D"/>
    <w:rsid w:val="00F82C26"/>
    <w:rsid w:val="00F83731"/>
    <w:rsid w:val="00F86913"/>
    <w:rsid w:val="00F90772"/>
    <w:rsid w:val="00F935A5"/>
    <w:rsid w:val="00F95D7D"/>
    <w:rsid w:val="00FA0A85"/>
    <w:rsid w:val="00FA13DC"/>
    <w:rsid w:val="00FA3AA4"/>
    <w:rsid w:val="00FA537B"/>
    <w:rsid w:val="00FB1050"/>
    <w:rsid w:val="00FB2C97"/>
    <w:rsid w:val="00FB5AA7"/>
    <w:rsid w:val="00FB6CAA"/>
    <w:rsid w:val="00FB75EC"/>
    <w:rsid w:val="00FC4343"/>
    <w:rsid w:val="00FD514D"/>
    <w:rsid w:val="00FD53CB"/>
    <w:rsid w:val="00FE40CE"/>
    <w:rsid w:val="00FE4FF2"/>
    <w:rsid w:val="00FE6822"/>
    <w:rsid w:val="00FE7A69"/>
    <w:rsid w:val="00FF1262"/>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D7619D"/>
  <w15:docId w15:val="{C8401B68-2B8E-4165-B344-9AF5319B6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267B"/>
    <w:rPr>
      <w:rFonts w:ascii="Cambria" w:eastAsia="MS ??" w:hAnsi="Cambria" w:cs="Times New Roman"/>
      <w:lang w:val="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9267B"/>
    <w:pPr>
      <w:spacing w:before="100" w:beforeAutospacing="1" w:after="100" w:afterAutospacing="1"/>
    </w:pPr>
    <w:rPr>
      <w:rFonts w:ascii="Times" w:hAnsi="Times"/>
      <w:sz w:val="20"/>
      <w:szCs w:val="20"/>
      <w:lang w:val="de-DE"/>
    </w:rPr>
  </w:style>
  <w:style w:type="paragraph" w:styleId="BalloonText">
    <w:name w:val="Balloon Text"/>
    <w:basedOn w:val="Normal"/>
    <w:link w:val="BalloonTextChar"/>
    <w:uiPriority w:val="99"/>
    <w:semiHidden/>
    <w:rsid w:val="00E9267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9267B"/>
    <w:rPr>
      <w:rFonts w:ascii="Lucida Grande" w:eastAsia="MS ??" w:hAnsi="Lucida Grande" w:cs="Lucida Grande"/>
      <w:sz w:val="18"/>
      <w:szCs w:val="18"/>
      <w:lang w:val="pt-BR"/>
    </w:rPr>
  </w:style>
  <w:style w:type="paragraph" w:styleId="Caption">
    <w:name w:val="caption"/>
    <w:basedOn w:val="Normal"/>
    <w:next w:val="Normal"/>
    <w:uiPriority w:val="99"/>
    <w:qFormat/>
    <w:rsid w:val="00E9267B"/>
    <w:pPr>
      <w:spacing w:after="200"/>
    </w:pPr>
    <w:rPr>
      <w:b/>
      <w:bCs/>
      <w:color w:val="4F81BD"/>
      <w:sz w:val="18"/>
      <w:szCs w:val="18"/>
    </w:rPr>
  </w:style>
  <w:style w:type="character" w:styleId="CommentReference">
    <w:name w:val="annotation reference"/>
    <w:basedOn w:val="DefaultParagraphFont"/>
    <w:uiPriority w:val="99"/>
    <w:semiHidden/>
    <w:rsid w:val="00E9267B"/>
    <w:rPr>
      <w:rFonts w:cs="Times New Roman"/>
      <w:sz w:val="16"/>
      <w:szCs w:val="16"/>
    </w:rPr>
  </w:style>
  <w:style w:type="paragraph" w:styleId="CommentText">
    <w:name w:val="annotation text"/>
    <w:basedOn w:val="Normal"/>
    <w:link w:val="CommentTextChar"/>
    <w:uiPriority w:val="99"/>
    <w:semiHidden/>
    <w:rsid w:val="00E9267B"/>
    <w:rPr>
      <w:sz w:val="20"/>
      <w:szCs w:val="20"/>
    </w:rPr>
  </w:style>
  <w:style w:type="character" w:customStyle="1" w:styleId="CommentTextChar">
    <w:name w:val="Comment Text Char"/>
    <w:basedOn w:val="DefaultParagraphFont"/>
    <w:link w:val="CommentText"/>
    <w:uiPriority w:val="99"/>
    <w:semiHidden/>
    <w:rsid w:val="00E9267B"/>
    <w:rPr>
      <w:rFonts w:ascii="Cambria" w:eastAsia="MS ??" w:hAnsi="Cambria" w:cs="Times New Roman"/>
      <w:sz w:val="20"/>
      <w:szCs w:val="20"/>
      <w:lang w:val="pt-BR"/>
    </w:rPr>
  </w:style>
  <w:style w:type="paragraph" w:styleId="CommentSubject">
    <w:name w:val="annotation subject"/>
    <w:basedOn w:val="CommentText"/>
    <w:next w:val="CommentText"/>
    <w:link w:val="CommentSubjectChar"/>
    <w:uiPriority w:val="99"/>
    <w:semiHidden/>
    <w:rsid w:val="00E9267B"/>
    <w:rPr>
      <w:b/>
      <w:bCs/>
    </w:rPr>
  </w:style>
  <w:style w:type="character" w:customStyle="1" w:styleId="CommentSubjectChar">
    <w:name w:val="Comment Subject Char"/>
    <w:basedOn w:val="CommentTextChar"/>
    <w:link w:val="CommentSubject"/>
    <w:uiPriority w:val="99"/>
    <w:semiHidden/>
    <w:rsid w:val="00E9267B"/>
    <w:rPr>
      <w:rFonts w:ascii="Cambria" w:eastAsia="MS ??" w:hAnsi="Cambria" w:cs="Times New Roman"/>
      <w:b/>
      <w:bCs/>
      <w:sz w:val="20"/>
      <w:szCs w:val="20"/>
      <w:lang w:val="pt-BR"/>
    </w:rPr>
  </w:style>
  <w:style w:type="paragraph" w:styleId="Revision">
    <w:name w:val="Revision"/>
    <w:hidden/>
    <w:uiPriority w:val="99"/>
    <w:semiHidden/>
    <w:rsid w:val="00E9267B"/>
    <w:rPr>
      <w:rFonts w:ascii="Cambria" w:eastAsia="MS ??" w:hAnsi="Cambria" w:cs="Times New Roman"/>
      <w:lang w:val="pt-BR"/>
    </w:rPr>
  </w:style>
  <w:style w:type="table" w:styleId="TableGrid">
    <w:name w:val="Table Grid"/>
    <w:basedOn w:val="TableNormal"/>
    <w:uiPriority w:val="99"/>
    <w:rsid w:val="00E9267B"/>
    <w:rPr>
      <w:rFonts w:ascii="Cambria" w:eastAsia="MS ??" w:hAnsi="Cambria"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E023C"/>
    <w:pPr>
      <w:tabs>
        <w:tab w:val="center" w:pos="4320"/>
        <w:tab w:val="right" w:pos="8640"/>
      </w:tabs>
    </w:pPr>
  </w:style>
  <w:style w:type="character" w:customStyle="1" w:styleId="HeaderChar">
    <w:name w:val="Header Char"/>
    <w:basedOn w:val="DefaultParagraphFont"/>
    <w:link w:val="Header"/>
    <w:uiPriority w:val="99"/>
    <w:rsid w:val="00CE023C"/>
    <w:rPr>
      <w:rFonts w:ascii="Cambria" w:eastAsia="MS ??" w:hAnsi="Cambria" w:cs="Times New Roman"/>
      <w:lang w:val="pt-BR"/>
    </w:rPr>
  </w:style>
  <w:style w:type="paragraph" w:styleId="Footer">
    <w:name w:val="footer"/>
    <w:basedOn w:val="Normal"/>
    <w:link w:val="FooterChar"/>
    <w:uiPriority w:val="99"/>
    <w:unhideWhenUsed/>
    <w:rsid w:val="00CE023C"/>
    <w:pPr>
      <w:tabs>
        <w:tab w:val="center" w:pos="4320"/>
        <w:tab w:val="right" w:pos="8640"/>
      </w:tabs>
    </w:pPr>
  </w:style>
  <w:style w:type="character" w:customStyle="1" w:styleId="FooterChar">
    <w:name w:val="Footer Char"/>
    <w:basedOn w:val="DefaultParagraphFont"/>
    <w:link w:val="Footer"/>
    <w:uiPriority w:val="99"/>
    <w:rsid w:val="00CE023C"/>
    <w:rPr>
      <w:rFonts w:ascii="Cambria" w:eastAsia="MS ??" w:hAnsi="Cambria" w:cs="Times New Roman"/>
      <w:lang w:val="pt-BR"/>
    </w:rPr>
  </w:style>
  <w:style w:type="character" w:styleId="PageNumber">
    <w:name w:val="page number"/>
    <w:basedOn w:val="DefaultParagraphFont"/>
    <w:uiPriority w:val="99"/>
    <w:semiHidden/>
    <w:unhideWhenUsed/>
    <w:rsid w:val="00CE023C"/>
  </w:style>
  <w:style w:type="paragraph" w:styleId="ListParagraph">
    <w:name w:val="List Paragraph"/>
    <w:basedOn w:val="Normal"/>
    <w:uiPriority w:val="34"/>
    <w:qFormat/>
    <w:rsid w:val="00205538"/>
    <w:pPr>
      <w:ind w:left="720"/>
      <w:contextualSpacing/>
    </w:pPr>
  </w:style>
  <w:style w:type="character" w:styleId="Hyperlink">
    <w:name w:val="Hyperlink"/>
    <w:basedOn w:val="DefaultParagraphFont"/>
    <w:uiPriority w:val="99"/>
    <w:unhideWhenUsed/>
    <w:rsid w:val="0064713B"/>
    <w:rPr>
      <w:color w:val="0000FF" w:themeColor="hyperlink"/>
      <w:u w:val="single"/>
    </w:rPr>
  </w:style>
  <w:style w:type="paragraph" w:customStyle="1" w:styleId="Default">
    <w:name w:val="Default"/>
    <w:rsid w:val="00731F52"/>
    <w:pPr>
      <w:autoSpaceDE w:val="0"/>
      <w:autoSpaceDN w:val="0"/>
      <w:adjustRightInd w:val="0"/>
    </w:pPr>
    <w:rPr>
      <w:rFonts w:ascii="Times New Roman" w:eastAsiaTheme="minorHAnsi" w:hAnsi="Times New Roman" w:cs="Times New Roman"/>
      <w:color w:val="000000"/>
      <w:lang w:val="fr-CA"/>
    </w:rPr>
  </w:style>
  <w:style w:type="paragraph" w:customStyle="1" w:styleId="EndNoteBibliographyTitle">
    <w:name w:val="EndNote Bibliography Title"/>
    <w:basedOn w:val="Normal"/>
    <w:link w:val="EndNoteBibliographyTitleCar"/>
    <w:rsid w:val="00A53B56"/>
    <w:pPr>
      <w:jc w:val="center"/>
    </w:pPr>
    <w:rPr>
      <w:rFonts w:ascii="Times" w:hAnsi="Times" w:cs="Times"/>
      <w:noProof/>
      <w:sz w:val="20"/>
      <w:lang w:val="en-US"/>
    </w:rPr>
  </w:style>
  <w:style w:type="character" w:customStyle="1" w:styleId="EndNoteBibliographyTitleCar">
    <w:name w:val="EndNote Bibliography Title Car"/>
    <w:basedOn w:val="DefaultParagraphFont"/>
    <w:link w:val="EndNoteBibliographyTitle"/>
    <w:rsid w:val="00A53B56"/>
    <w:rPr>
      <w:rFonts w:ascii="Times" w:eastAsia="MS ??" w:hAnsi="Times" w:cs="Times"/>
      <w:noProof/>
      <w:sz w:val="20"/>
    </w:rPr>
  </w:style>
  <w:style w:type="paragraph" w:customStyle="1" w:styleId="EndNoteBibliography">
    <w:name w:val="EndNote Bibliography"/>
    <w:basedOn w:val="Normal"/>
    <w:link w:val="EndNoteBibliographyCar"/>
    <w:rsid w:val="00A53B56"/>
    <w:pPr>
      <w:jc w:val="center"/>
    </w:pPr>
    <w:rPr>
      <w:rFonts w:ascii="Times" w:hAnsi="Times" w:cs="Times"/>
      <w:noProof/>
      <w:sz w:val="20"/>
      <w:lang w:val="en-US"/>
    </w:rPr>
  </w:style>
  <w:style w:type="character" w:customStyle="1" w:styleId="EndNoteBibliographyCar">
    <w:name w:val="EndNote Bibliography Car"/>
    <w:basedOn w:val="DefaultParagraphFont"/>
    <w:link w:val="EndNoteBibliography"/>
    <w:rsid w:val="00A53B56"/>
    <w:rPr>
      <w:rFonts w:ascii="Times" w:eastAsia="MS ??" w:hAnsi="Times" w:cs="Times"/>
      <w:noProof/>
      <w:sz w:val="20"/>
    </w:rPr>
  </w:style>
  <w:style w:type="paragraph" w:customStyle="1" w:styleId="Title1">
    <w:name w:val="Title1"/>
    <w:basedOn w:val="Normal"/>
    <w:rsid w:val="00595941"/>
    <w:pPr>
      <w:spacing w:before="100" w:beforeAutospacing="1" w:after="100" w:afterAutospacing="1"/>
    </w:pPr>
    <w:rPr>
      <w:rFonts w:ascii="Times New Roman" w:eastAsia="Times New Roman" w:hAnsi="Times New Roman"/>
      <w:lang w:val="fr-CA" w:eastAsia="fr-CA"/>
    </w:rPr>
  </w:style>
  <w:style w:type="paragraph" w:customStyle="1" w:styleId="desc">
    <w:name w:val="desc"/>
    <w:basedOn w:val="Normal"/>
    <w:rsid w:val="00595941"/>
    <w:pPr>
      <w:spacing w:before="100" w:beforeAutospacing="1" w:after="100" w:afterAutospacing="1"/>
    </w:pPr>
    <w:rPr>
      <w:rFonts w:ascii="Times New Roman" w:eastAsia="Times New Roman" w:hAnsi="Times New Roman"/>
      <w:lang w:val="fr-CA" w:eastAsia="fr-CA"/>
    </w:rPr>
  </w:style>
  <w:style w:type="paragraph" w:customStyle="1" w:styleId="details">
    <w:name w:val="details"/>
    <w:basedOn w:val="Normal"/>
    <w:rsid w:val="00595941"/>
    <w:pPr>
      <w:spacing w:before="100" w:beforeAutospacing="1" w:after="100" w:afterAutospacing="1"/>
    </w:pPr>
    <w:rPr>
      <w:rFonts w:ascii="Times New Roman" w:eastAsia="Times New Roman" w:hAnsi="Times New Roman"/>
      <w:lang w:val="fr-CA" w:eastAsia="fr-CA"/>
    </w:rPr>
  </w:style>
  <w:style w:type="character" w:customStyle="1" w:styleId="jrnl">
    <w:name w:val="jrnl"/>
    <w:basedOn w:val="DefaultParagraphFont"/>
    <w:rsid w:val="00595941"/>
  </w:style>
  <w:style w:type="character" w:styleId="FollowedHyperlink">
    <w:name w:val="FollowedHyperlink"/>
    <w:basedOn w:val="DefaultParagraphFont"/>
    <w:uiPriority w:val="99"/>
    <w:semiHidden/>
    <w:unhideWhenUsed/>
    <w:rsid w:val="002C73E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03773">
      <w:bodyDiv w:val="1"/>
      <w:marLeft w:val="0"/>
      <w:marRight w:val="0"/>
      <w:marTop w:val="0"/>
      <w:marBottom w:val="0"/>
      <w:divBdr>
        <w:top w:val="none" w:sz="0" w:space="0" w:color="auto"/>
        <w:left w:val="none" w:sz="0" w:space="0" w:color="auto"/>
        <w:bottom w:val="none" w:sz="0" w:space="0" w:color="auto"/>
        <w:right w:val="none" w:sz="0" w:space="0" w:color="auto"/>
      </w:divBdr>
    </w:div>
    <w:div w:id="109012934">
      <w:bodyDiv w:val="1"/>
      <w:marLeft w:val="0"/>
      <w:marRight w:val="0"/>
      <w:marTop w:val="0"/>
      <w:marBottom w:val="0"/>
      <w:divBdr>
        <w:top w:val="none" w:sz="0" w:space="0" w:color="auto"/>
        <w:left w:val="none" w:sz="0" w:space="0" w:color="auto"/>
        <w:bottom w:val="none" w:sz="0" w:space="0" w:color="auto"/>
        <w:right w:val="none" w:sz="0" w:space="0" w:color="auto"/>
      </w:divBdr>
    </w:div>
    <w:div w:id="213129144">
      <w:bodyDiv w:val="1"/>
      <w:marLeft w:val="0"/>
      <w:marRight w:val="0"/>
      <w:marTop w:val="0"/>
      <w:marBottom w:val="0"/>
      <w:divBdr>
        <w:top w:val="none" w:sz="0" w:space="0" w:color="auto"/>
        <w:left w:val="none" w:sz="0" w:space="0" w:color="auto"/>
        <w:bottom w:val="none" w:sz="0" w:space="0" w:color="auto"/>
        <w:right w:val="none" w:sz="0" w:space="0" w:color="auto"/>
      </w:divBdr>
    </w:div>
    <w:div w:id="321003844">
      <w:bodyDiv w:val="1"/>
      <w:marLeft w:val="0"/>
      <w:marRight w:val="0"/>
      <w:marTop w:val="0"/>
      <w:marBottom w:val="0"/>
      <w:divBdr>
        <w:top w:val="none" w:sz="0" w:space="0" w:color="auto"/>
        <w:left w:val="none" w:sz="0" w:space="0" w:color="auto"/>
        <w:bottom w:val="none" w:sz="0" w:space="0" w:color="auto"/>
        <w:right w:val="none" w:sz="0" w:space="0" w:color="auto"/>
      </w:divBdr>
    </w:div>
    <w:div w:id="355934028">
      <w:bodyDiv w:val="1"/>
      <w:marLeft w:val="0"/>
      <w:marRight w:val="0"/>
      <w:marTop w:val="0"/>
      <w:marBottom w:val="0"/>
      <w:divBdr>
        <w:top w:val="none" w:sz="0" w:space="0" w:color="auto"/>
        <w:left w:val="none" w:sz="0" w:space="0" w:color="auto"/>
        <w:bottom w:val="none" w:sz="0" w:space="0" w:color="auto"/>
        <w:right w:val="none" w:sz="0" w:space="0" w:color="auto"/>
      </w:divBdr>
    </w:div>
    <w:div w:id="363949302">
      <w:bodyDiv w:val="1"/>
      <w:marLeft w:val="0"/>
      <w:marRight w:val="0"/>
      <w:marTop w:val="0"/>
      <w:marBottom w:val="0"/>
      <w:divBdr>
        <w:top w:val="none" w:sz="0" w:space="0" w:color="auto"/>
        <w:left w:val="none" w:sz="0" w:space="0" w:color="auto"/>
        <w:bottom w:val="none" w:sz="0" w:space="0" w:color="auto"/>
        <w:right w:val="none" w:sz="0" w:space="0" w:color="auto"/>
      </w:divBdr>
    </w:div>
    <w:div w:id="789322185">
      <w:bodyDiv w:val="1"/>
      <w:marLeft w:val="0"/>
      <w:marRight w:val="0"/>
      <w:marTop w:val="0"/>
      <w:marBottom w:val="0"/>
      <w:divBdr>
        <w:top w:val="none" w:sz="0" w:space="0" w:color="auto"/>
        <w:left w:val="none" w:sz="0" w:space="0" w:color="auto"/>
        <w:bottom w:val="none" w:sz="0" w:space="0" w:color="auto"/>
        <w:right w:val="none" w:sz="0" w:space="0" w:color="auto"/>
      </w:divBdr>
    </w:div>
    <w:div w:id="930746241">
      <w:bodyDiv w:val="1"/>
      <w:marLeft w:val="0"/>
      <w:marRight w:val="0"/>
      <w:marTop w:val="0"/>
      <w:marBottom w:val="0"/>
      <w:divBdr>
        <w:top w:val="none" w:sz="0" w:space="0" w:color="auto"/>
        <w:left w:val="none" w:sz="0" w:space="0" w:color="auto"/>
        <w:bottom w:val="none" w:sz="0" w:space="0" w:color="auto"/>
        <w:right w:val="none" w:sz="0" w:space="0" w:color="auto"/>
      </w:divBdr>
    </w:div>
    <w:div w:id="1326591618">
      <w:bodyDiv w:val="1"/>
      <w:marLeft w:val="0"/>
      <w:marRight w:val="0"/>
      <w:marTop w:val="0"/>
      <w:marBottom w:val="0"/>
      <w:divBdr>
        <w:top w:val="none" w:sz="0" w:space="0" w:color="auto"/>
        <w:left w:val="none" w:sz="0" w:space="0" w:color="auto"/>
        <w:bottom w:val="none" w:sz="0" w:space="0" w:color="auto"/>
        <w:right w:val="none" w:sz="0" w:space="0" w:color="auto"/>
      </w:divBdr>
    </w:div>
    <w:div w:id="1459882855">
      <w:bodyDiv w:val="1"/>
      <w:marLeft w:val="0"/>
      <w:marRight w:val="0"/>
      <w:marTop w:val="0"/>
      <w:marBottom w:val="0"/>
      <w:divBdr>
        <w:top w:val="none" w:sz="0" w:space="0" w:color="auto"/>
        <w:left w:val="none" w:sz="0" w:space="0" w:color="auto"/>
        <w:bottom w:val="none" w:sz="0" w:space="0" w:color="auto"/>
        <w:right w:val="none" w:sz="0" w:space="0" w:color="auto"/>
      </w:divBdr>
    </w:div>
    <w:div w:id="1578663101">
      <w:bodyDiv w:val="1"/>
      <w:marLeft w:val="0"/>
      <w:marRight w:val="0"/>
      <w:marTop w:val="0"/>
      <w:marBottom w:val="0"/>
      <w:divBdr>
        <w:top w:val="none" w:sz="0" w:space="0" w:color="auto"/>
        <w:left w:val="none" w:sz="0" w:space="0" w:color="auto"/>
        <w:bottom w:val="none" w:sz="0" w:space="0" w:color="auto"/>
        <w:right w:val="none" w:sz="0" w:space="0" w:color="auto"/>
      </w:divBdr>
    </w:div>
    <w:div w:id="1684820455">
      <w:bodyDiv w:val="1"/>
      <w:marLeft w:val="0"/>
      <w:marRight w:val="0"/>
      <w:marTop w:val="0"/>
      <w:marBottom w:val="0"/>
      <w:divBdr>
        <w:top w:val="none" w:sz="0" w:space="0" w:color="auto"/>
        <w:left w:val="none" w:sz="0" w:space="0" w:color="auto"/>
        <w:bottom w:val="none" w:sz="0" w:space="0" w:color="auto"/>
        <w:right w:val="none" w:sz="0" w:space="0" w:color="auto"/>
      </w:divBdr>
    </w:div>
    <w:div w:id="1691056831">
      <w:bodyDiv w:val="1"/>
      <w:marLeft w:val="0"/>
      <w:marRight w:val="0"/>
      <w:marTop w:val="0"/>
      <w:marBottom w:val="0"/>
      <w:divBdr>
        <w:top w:val="none" w:sz="0" w:space="0" w:color="auto"/>
        <w:left w:val="none" w:sz="0" w:space="0" w:color="auto"/>
        <w:bottom w:val="none" w:sz="0" w:space="0" w:color="auto"/>
        <w:right w:val="none" w:sz="0" w:space="0" w:color="auto"/>
      </w:divBdr>
      <w:divsChild>
        <w:div w:id="1386179147">
          <w:marLeft w:val="0"/>
          <w:marRight w:val="0"/>
          <w:marTop w:val="0"/>
          <w:marBottom w:val="0"/>
          <w:divBdr>
            <w:top w:val="none" w:sz="0" w:space="0" w:color="auto"/>
            <w:left w:val="none" w:sz="0" w:space="0" w:color="auto"/>
            <w:bottom w:val="none" w:sz="0" w:space="0" w:color="auto"/>
            <w:right w:val="none" w:sz="0" w:space="0" w:color="auto"/>
          </w:divBdr>
          <w:divsChild>
            <w:div w:id="918441808">
              <w:marLeft w:val="0"/>
              <w:marRight w:val="0"/>
              <w:marTop w:val="0"/>
              <w:marBottom w:val="0"/>
              <w:divBdr>
                <w:top w:val="none" w:sz="0" w:space="0" w:color="auto"/>
                <w:left w:val="none" w:sz="0" w:space="0" w:color="auto"/>
                <w:bottom w:val="none" w:sz="0" w:space="0" w:color="auto"/>
                <w:right w:val="none" w:sz="0" w:space="0" w:color="auto"/>
              </w:divBdr>
              <w:divsChild>
                <w:div w:id="1035469352">
                  <w:marLeft w:val="0"/>
                  <w:marRight w:val="0"/>
                  <w:marTop w:val="0"/>
                  <w:marBottom w:val="0"/>
                  <w:divBdr>
                    <w:top w:val="none" w:sz="0" w:space="0" w:color="auto"/>
                    <w:left w:val="none" w:sz="0" w:space="0" w:color="auto"/>
                    <w:bottom w:val="none" w:sz="0" w:space="0" w:color="auto"/>
                    <w:right w:val="none" w:sz="0" w:space="0" w:color="auto"/>
                  </w:divBdr>
                  <w:divsChild>
                    <w:div w:id="979652979">
                      <w:marLeft w:val="0"/>
                      <w:marRight w:val="0"/>
                      <w:marTop w:val="0"/>
                      <w:marBottom w:val="0"/>
                      <w:divBdr>
                        <w:top w:val="none" w:sz="0" w:space="0" w:color="auto"/>
                        <w:left w:val="none" w:sz="0" w:space="0" w:color="auto"/>
                        <w:bottom w:val="none" w:sz="0" w:space="0" w:color="auto"/>
                        <w:right w:val="none" w:sz="0" w:space="0" w:color="auto"/>
                      </w:divBdr>
                      <w:divsChild>
                        <w:div w:id="561985421">
                          <w:marLeft w:val="0"/>
                          <w:marRight w:val="0"/>
                          <w:marTop w:val="0"/>
                          <w:marBottom w:val="0"/>
                          <w:divBdr>
                            <w:top w:val="none" w:sz="0" w:space="0" w:color="auto"/>
                            <w:left w:val="none" w:sz="0" w:space="0" w:color="auto"/>
                            <w:bottom w:val="none" w:sz="0" w:space="0" w:color="auto"/>
                            <w:right w:val="none" w:sz="0" w:space="0" w:color="auto"/>
                          </w:divBdr>
                          <w:divsChild>
                            <w:div w:id="1585607635">
                              <w:marLeft w:val="0"/>
                              <w:marRight w:val="0"/>
                              <w:marTop w:val="0"/>
                              <w:marBottom w:val="0"/>
                              <w:divBdr>
                                <w:top w:val="none" w:sz="0" w:space="0" w:color="auto"/>
                                <w:left w:val="none" w:sz="0" w:space="0" w:color="auto"/>
                                <w:bottom w:val="none" w:sz="0" w:space="0" w:color="auto"/>
                                <w:right w:val="none" w:sz="0" w:space="0" w:color="auto"/>
                              </w:divBdr>
                              <w:divsChild>
                                <w:div w:id="666833523">
                                  <w:marLeft w:val="0"/>
                                  <w:marRight w:val="0"/>
                                  <w:marTop w:val="0"/>
                                  <w:marBottom w:val="0"/>
                                  <w:divBdr>
                                    <w:top w:val="none" w:sz="0" w:space="0" w:color="auto"/>
                                    <w:left w:val="none" w:sz="0" w:space="0" w:color="auto"/>
                                    <w:bottom w:val="none" w:sz="0" w:space="0" w:color="auto"/>
                                    <w:right w:val="none" w:sz="0" w:space="0" w:color="auto"/>
                                  </w:divBdr>
                                  <w:divsChild>
                                    <w:div w:id="674307422">
                                      <w:marLeft w:val="0"/>
                                      <w:marRight w:val="0"/>
                                      <w:marTop w:val="0"/>
                                      <w:marBottom w:val="0"/>
                                      <w:divBdr>
                                        <w:top w:val="none" w:sz="0" w:space="0" w:color="auto"/>
                                        <w:left w:val="none" w:sz="0" w:space="0" w:color="auto"/>
                                        <w:bottom w:val="none" w:sz="0" w:space="0" w:color="auto"/>
                                        <w:right w:val="none" w:sz="0" w:space="0" w:color="auto"/>
                                      </w:divBdr>
                                      <w:divsChild>
                                        <w:div w:id="189761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6126632">
      <w:bodyDiv w:val="1"/>
      <w:marLeft w:val="0"/>
      <w:marRight w:val="0"/>
      <w:marTop w:val="0"/>
      <w:marBottom w:val="0"/>
      <w:divBdr>
        <w:top w:val="none" w:sz="0" w:space="0" w:color="auto"/>
        <w:left w:val="none" w:sz="0" w:space="0" w:color="auto"/>
        <w:bottom w:val="none" w:sz="0" w:space="0" w:color="auto"/>
        <w:right w:val="none" w:sz="0" w:space="0" w:color="auto"/>
      </w:divBdr>
      <w:divsChild>
        <w:div w:id="1749569404">
          <w:marLeft w:val="0"/>
          <w:marRight w:val="0"/>
          <w:marTop w:val="0"/>
          <w:marBottom w:val="0"/>
          <w:divBdr>
            <w:top w:val="none" w:sz="0" w:space="0" w:color="auto"/>
            <w:left w:val="none" w:sz="0" w:space="0" w:color="auto"/>
            <w:bottom w:val="none" w:sz="0" w:space="0" w:color="auto"/>
            <w:right w:val="none" w:sz="0" w:space="0" w:color="auto"/>
          </w:divBdr>
          <w:divsChild>
            <w:div w:id="351028762">
              <w:marLeft w:val="0"/>
              <w:marRight w:val="0"/>
              <w:marTop w:val="0"/>
              <w:marBottom w:val="0"/>
              <w:divBdr>
                <w:top w:val="none" w:sz="0" w:space="0" w:color="auto"/>
                <w:left w:val="none" w:sz="0" w:space="0" w:color="auto"/>
                <w:bottom w:val="none" w:sz="0" w:space="0" w:color="auto"/>
                <w:right w:val="none" w:sz="0" w:space="0" w:color="auto"/>
              </w:divBdr>
              <w:divsChild>
                <w:div w:id="104034279">
                  <w:marLeft w:val="0"/>
                  <w:marRight w:val="0"/>
                  <w:marTop w:val="0"/>
                  <w:marBottom w:val="0"/>
                  <w:divBdr>
                    <w:top w:val="none" w:sz="0" w:space="0" w:color="auto"/>
                    <w:left w:val="none" w:sz="0" w:space="0" w:color="auto"/>
                    <w:bottom w:val="none" w:sz="0" w:space="0" w:color="auto"/>
                    <w:right w:val="none" w:sz="0" w:space="0" w:color="auto"/>
                  </w:divBdr>
                  <w:divsChild>
                    <w:div w:id="205533698">
                      <w:marLeft w:val="0"/>
                      <w:marRight w:val="0"/>
                      <w:marTop w:val="0"/>
                      <w:marBottom w:val="0"/>
                      <w:divBdr>
                        <w:top w:val="none" w:sz="0" w:space="0" w:color="auto"/>
                        <w:left w:val="none" w:sz="0" w:space="0" w:color="auto"/>
                        <w:bottom w:val="none" w:sz="0" w:space="0" w:color="auto"/>
                        <w:right w:val="none" w:sz="0" w:space="0" w:color="auto"/>
                      </w:divBdr>
                      <w:divsChild>
                        <w:div w:id="1543247847">
                          <w:marLeft w:val="0"/>
                          <w:marRight w:val="0"/>
                          <w:marTop w:val="0"/>
                          <w:marBottom w:val="0"/>
                          <w:divBdr>
                            <w:top w:val="none" w:sz="0" w:space="0" w:color="auto"/>
                            <w:left w:val="none" w:sz="0" w:space="0" w:color="auto"/>
                            <w:bottom w:val="none" w:sz="0" w:space="0" w:color="auto"/>
                            <w:right w:val="none" w:sz="0" w:space="0" w:color="auto"/>
                          </w:divBdr>
                          <w:divsChild>
                            <w:div w:id="1470785492">
                              <w:marLeft w:val="0"/>
                              <w:marRight w:val="0"/>
                              <w:marTop w:val="0"/>
                              <w:marBottom w:val="0"/>
                              <w:divBdr>
                                <w:top w:val="none" w:sz="0" w:space="0" w:color="auto"/>
                                <w:left w:val="none" w:sz="0" w:space="0" w:color="auto"/>
                                <w:bottom w:val="none" w:sz="0" w:space="0" w:color="auto"/>
                                <w:right w:val="none" w:sz="0" w:space="0" w:color="auto"/>
                              </w:divBdr>
                              <w:divsChild>
                                <w:div w:id="723986674">
                                  <w:marLeft w:val="0"/>
                                  <w:marRight w:val="0"/>
                                  <w:marTop w:val="0"/>
                                  <w:marBottom w:val="0"/>
                                  <w:divBdr>
                                    <w:top w:val="none" w:sz="0" w:space="0" w:color="auto"/>
                                    <w:left w:val="none" w:sz="0" w:space="0" w:color="auto"/>
                                    <w:bottom w:val="none" w:sz="0" w:space="0" w:color="auto"/>
                                    <w:right w:val="none" w:sz="0" w:space="0" w:color="auto"/>
                                  </w:divBdr>
                                  <w:divsChild>
                                    <w:div w:id="279800934">
                                      <w:marLeft w:val="0"/>
                                      <w:marRight w:val="0"/>
                                      <w:marTop w:val="0"/>
                                      <w:marBottom w:val="0"/>
                                      <w:divBdr>
                                        <w:top w:val="none" w:sz="0" w:space="0" w:color="auto"/>
                                        <w:left w:val="none" w:sz="0" w:space="0" w:color="auto"/>
                                        <w:bottom w:val="none" w:sz="0" w:space="0" w:color="auto"/>
                                        <w:right w:val="none" w:sz="0" w:space="0" w:color="auto"/>
                                      </w:divBdr>
                                      <w:divsChild>
                                        <w:div w:id="178437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4553195">
      <w:bodyDiv w:val="1"/>
      <w:marLeft w:val="0"/>
      <w:marRight w:val="0"/>
      <w:marTop w:val="0"/>
      <w:marBottom w:val="0"/>
      <w:divBdr>
        <w:top w:val="none" w:sz="0" w:space="0" w:color="auto"/>
        <w:left w:val="none" w:sz="0" w:space="0" w:color="auto"/>
        <w:bottom w:val="none" w:sz="0" w:space="0" w:color="auto"/>
        <w:right w:val="none" w:sz="0" w:space="0" w:color="auto"/>
      </w:divBdr>
      <w:divsChild>
        <w:div w:id="2099862127">
          <w:marLeft w:val="0"/>
          <w:marRight w:val="0"/>
          <w:marTop w:val="0"/>
          <w:marBottom w:val="0"/>
          <w:divBdr>
            <w:top w:val="none" w:sz="0" w:space="0" w:color="auto"/>
            <w:left w:val="none" w:sz="0" w:space="0" w:color="auto"/>
            <w:bottom w:val="none" w:sz="0" w:space="0" w:color="auto"/>
            <w:right w:val="none" w:sz="0" w:space="0" w:color="auto"/>
          </w:divBdr>
          <w:divsChild>
            <w:div w:id="204566112">
              <w:marLeft w:val="0"/>
              <w:marRight w:val="0"/>
              <w:marTop w:val="0"/>
              <w:marBottom w:val="0"/>
              <w:divBdr>
                <w:top w:val="none" w:sz="0" w:space="0" w:color="auto"/>
                <w:left w:val="none" w:sz="0" w:space="0" w:color="auto"/>
                <w:bottom w:val="none" w:sz="0" w:space="0" w:color="auto"/>
                <w:right w:val="none" w:sz="0" w:space="0" w:color="auto"/>
              </w:divBdr>
              <w:divsChild>
                <w:div w:id="507910776">
                  <w:marLeft w:val="0"/>
                  <w:marRight w:val="0"/>
                  <w:marTop w:val="0"/>
                  <w:marBottom w:val="0"/>
                  <w:divBdr>
                    <w:top w:val="none" w:sz="0" w:space="0" w:color="auto"/>
                    <w:left w:val="none" w:sz="0" w:space="0" w:color="auto"/>
                    <w:bottom w:val="none" w:sz="0" w:space="0" w:color="auto"/>
                    <w:right w:val="none" w:sz="0" w:space="0" w:color="auto"/>
                  </w:divBdr>
                  <w:divsChild>
                    <w:div w:id="528880212">
                      <w:marLeft w:val="0"/>
                      <w:marRight w:val="0"/>
                      <w:marTop w:val="0"/>
                      <w:marBottom w:val="0"/>
                      <w:divBdr>
                        <w:top w:val="none" w:sz="0" w:space="0" w:color="auto"/>
                        <w:left w:val="none" w:sz="0" w:space="0" w:color="auto"/>
                        <w:bottom w:val="none" w:sz="0" w:space="0" w:color="auto"/>
                        <w:right w:val="none" w:sz="0" w:space="0" w:color="auto"/>
                      </w:divBdr>
                      <w:divsChild>
                        <w:div w:id="590239974">
                          <w:marLeft w:val="0"/>
                          <w:marRight w:val="0"/>
                          <w:marTop w:val="0"/>
                          <w:marBottom w:val="0"/>
                          <w:divBdr>
                            <w:top w:val="none" w:sz="0" w:space="0" w:color="auto"/>
                            <w:left w:val="none" w:sz="0" w:space="0" w:color="auto"/>
                            <w:bottom w:val="none" w:sz="0" w:space="0" w:color="auto"/>
                            <w:right w:val="none" w:sz="0" w:space="0" w:color="auto"/>
                          </w:divBdr>
                          <w:divsChild>
                            <w:div w:id="1466893607">
                              <w:marLeft w:val="0"/>
                              <w:marRight w:val="0"/>
                              <w:marTop w:val="0"/>
                              <w:marBottom w:val="0"/>
                              <w:divBdr>
                                <w:top w:val="none" w:sz="0" w:space="0" w:color="auto"/>
                                <w:left w:val="none" w:sz="0" w:space="0" w:color="auto"/>
                                <w:bottom w:val="none" w:sz="0" w:space="0" w:color="auto"/>
                                <w:right w:val="none" w:sz="0" w:space="0" w:color="auto"/>
                              </w:divBdr>
                              <w:divsChild>
                                <w:div w:id="575164914">
                                  <w:marLeft w:val="0"/>
                                  <w:marRight w:val="0"/>
                                  <w:marTop w:val="0"/>
                                  <w:marBottom w:val="0"/>
                                  <w:divBdr>
                                    <w:top w:val="none" w:sz="0" w:space="0" w:color="auto"/>
                                    <w:left w:val="none" w:sz="0" w:space="0" w:color="auto"/>
                                    <w:bottom w:val="none" w:sz="0" w:space="0" w:color="auto"/>
                                    <w:right w:val="none" w:sz="0" w:space="0" w:color="auto"/>
                                  </w:divBdr>
                                  <w:divsChild>
                                    <w:div w:id="1008992407">
                                      <w:marLeft w:val="0"/>
                                      <w:marRight w:val="0"/>
                                      <w:marTop w:val="0"/>
                                      <w:marBottom w:val="0"/>
                                      <w:divBdr>
                                        <w:top w:val="none" w:sz="0" w:space="0" w:color="auto"/>
                                        <w:left w:val="none" w:sz="0" w:space="0" w:color="auto"/>
                                        <w:bottom w:val="none" w:sz="0" w:space="0" w:color="auto"/>
                                        <w:right w:val="none" w:sz="0" w:space="0" w:color="auto"/>
                                      </w:divBdr>
                                      <w:divsChild>
                                        <w:div w:id="16547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6083946">
      <w:bodyDiv w:val="1"/>
      <w:marLeft w:val="0"/>
      <w:marRight w:val="0"/>
      <w:marTop w:val="0"/>
      <w:marBottom w:val="0"/>
      <w:divBdr>
        <w:top w:val="none" w:sz="0" w:space="0" w:color="auto"/>
        <w:left w:val="none" w:sz="0" w:space="0" w:color="auto"/>
        <w:bottom w:val="none" w:sz="0" w:space="0" w:color="auto"/>
        <w:right w:val="none" w:sz="0" w:space="0" w:color="auto"/>
      </w:divBdr>
    </w:div>
    <w:div w:id="2066948807">
      <w:bodyDiv w:val="1"/>
      <w:marLeft w:val="0"/>
      <w:marRight w:val="0"/>
      <w:marTop w:val="0"/>
      <w:marBottom w:val="0"/>
      <w:divBdr>
        <w:top w:val="none" w:sz="0" w:space="0" w:color="auto"/>
        <w:left w:val="none" w:sz="0" w:space="0" w:color="auto"/>
        <w:bottom w:val="none" w:sz="0" w:space="0" w:color="auto"/>
        <w:right w:val="none" w:sz="0" w:space="0" w:color="auto"/>
      </w:divBdr>
    </w:div>
    <w:div w:id="2075421680">
      <w:bodyDiv w:val="1"/>
      <w:marLeft w:val="0"/>
      <w:marRight w:val="0"/>
      <w:marTop w:val="0"/>
      <w:marBottom w:val="0"/>
      <w:divBdr>
        <w:top w:val="none" w:sz="0" w:space="0" w:color="auto"/>
        <w:left w:val="none" w:sz="0" w:space="0" w:color="auto"/>
        <w:bottom w:val="none" w:sz="0" w:space="0" w:color="auto"/>
        <w:right w:val="none" w:sz="0" w:space="0" w:color="auto"/>
      </w:divBdr>
    </w:div>
    <w:div w:id="21005653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philippe.pibarot@med.ulaval.ca" TargetMode="Externa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A9158F-9122-F245-A306-9A8118F5E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28</Pages>
  <Words>42975</Words>
  <Characters>244963</Characters>
  <Application>Microsoft Macintosh Word</Application>
  <DocSecurity>0</DocSecurity>
  <Lines>2041</Lines>
  <Paragraphs>574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Matheus Santos</dc:creator>
  <cp:keywords/>
  <dc:description/>
  <cp:lastModifiedBy>Microsoft Office User</cp:lastModifiedBy>
  <cp:revision>5</cp:revision>
  <dcterms:created xsi:type="dcterms:W3CDTF">2017-08-14T16:20:00Z</dcterms:created>
  <dcterms:modified xsi:type="dcterms:W3CDTF">2017-09-05T01:29:00Z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http://www.zotero.org/styles/circulation</vt:lpwstr>
  </property>
  <property fmtid="{D5CDD505-2E9C-101B-9397-08002B2CF9AE}" pid="13" name="Mendeley Recent Style Name 5_1">
    <vt:lpwstr>Circulation</vt:lpwstr>
  </property>
  <property fmtid="{D5CDD505-2E9C-101B-9397-08002B2CF9AE}" pid="14" name="Mendeley Recent Style Id 6_1">
    <vt:lpwstr>http://csl.mendeley.com/styles/20840951/circulation</vt:lpwstr>
  </property>
  <property fmtid="{D5CDD505-2E9C-101B-9397-08002B2CF9AE}" pid="15" name="Mendeley Recent Style Name 6_1">
    <vt:lpwstr>Circulation - Matheus Simonato</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http://www.zotero.org/styles/journal-of-the-american-college-of-cardiology</vt:lpwstr>
  </property>
  <property fmtid="{D5CDD505-2E9C-101B-9397-08002B2CF9AE}" pid="19" name="Mendeley Recent Style Name 8_1">
    <vt:lpwstr>Journal of the American College of Cardiology</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Citation Style_1">
    <vt:lpwstr>http://www.zotero.org/styles/journal-of-the-american-college-of-cardiology</vt:lpwstr>
  </property>
  <property fmtid="{D5CDD505-2E9C-101B-9397-08002B2CF9AE}" pid="24" name="Mendeley Unique User Id_1">
    <vt:lpwstr>06615384-4ec8-3765-b2f5-ca00042ff994</vt:lpwstr>
  </property>
</Properties>
</file>