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E2" w:rsidRDefault="001336E2" w:rsidP="001336E2">
      <w:pPr>
        <w:spacing w:line="480" w:lineRule="auto"/>
        <w:rPr>
          <w:b/>
          <w:u w:val="single"/>
        </w:rPr>
      </w:pPr>
      <w:r>
        <w:rPr>
          <w:b/>
          <w:u w:val="single"/>
        </w:rPr>
        <w:t>Table 4:</w:t>
      </w:r>
      <w:r w:rsidRPr="00AA7289">
        <w:rPr>
          <w:b/>
        </w:rPr>
        <w:t xml:space="preserve"> Summary of treatment recommendations</w:t>
      </w:r>
    </w:p>
    <w:tbl>
      <w:tblPr>
        <w:tblStyle w:val="LightList"/>
        <w:tblW w:w="0" w:type="auto"/>
        <w:tblLook w:val="00A0" w:firstRow="1" w:lastRow="0" w:firstColumn="1" w:lastColumn="0" w:noHBand="0" w:noVBand="0"/>
      </w:tblPr>
      <w:tblGrid>
        <w:gridCol w:w="3354"/>
        <w:gridCol w:w="2708"/>
        <w:gridCol w:w="3180"/>
      </w:tblGrid>
      <w:tr w:rsidR="001336E2" w:rsidTr="009B6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bottom w:val="single" w:sz="8" w:space="0" w:color="000000" w:themeColor="text1"/>
            </w:tcBorders>
          </w:tcPr>
          <w:p w:rsidR="001336E2" w:rsidRPr="00245D2E" w:rsidRDefault="001336E2" w:rsidP="009B69B0">
            <w:pPr>
              <w:rPr>
                <w:b w:val="0"/>
              </w:rPr>
            </w:pPr>
            <w:r>
              <w:t>Disease manifestation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bottom w:val="single" w:sz="8" w:space="0" w:color="000000" w:themeColor="text1"/>
            </w:tcBorders>
          </w:tcPr>
          <w:p w:rsidR="001336E2" w:rsidRPr="00245D2E" w:rsidRDefault="001336E2" w:rsidP="009B69B0">
            <w:pPr>
              <w:rPr>
                <w:b w:val="0"/>
              </w:rPr>
            </w:pPr>
            <w:r>
              <w:t>Treatment recommendation</w:t>
            </w:r>
          </w:p>
        </w:tc>
        <w:tc>
          <w:tcPr>
            <w:tcW w:w="3180" w:type="dxa"/>
            <w:tcBorders>
              <w:bottom w:val="single" w:sz="8" w:space="0" w:color="000000" w:themeColor="text1"/>
            </w:tcBorders>
          </w:tcPr>
          <w:p w:rsidR="001336E2" w:rsidRPr="00245D2E" w:rsidRDefault="001336E2" w:rsidP="009B69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Level of evidence</w:t>
            </w:r>
          </w:p>
        </w:tc>
      </w:tr>
      <w:tr w:rsidR="001336E2" w:rsidTr="009B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shd w:val="pct10" w:color="auto" w:fill="auto"/>
          </w:tcPr>
          <w:p w:rsidR="001336E2" w:rsidRPr="00245D2E" w:rsidRDefault="001336E2" w:rsidP="009B69B0">
            <w:r>
              <w:t>CONSENSUS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shd w:val="pct10" w:color="auto" w:fill="auto"/>
          </w:tcPr>
          <w:p w:rsidR="001336E2" w:rsidRPr="001661FE" w:rsidRDefault="001336E2" w:rsidP="009B69B0"/>
        </w:tc>
        <w:tc>
          <w:tcPr>
            <w:tcW w:w="3180" w:type="dxa"/>
            <w:shd w:val="pct10" w:color="auto" w:fill="auto"/>
          </w:tcPr>
          <w:p w:rsidR="001336E2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336E2" w:rsidTr="009B69B0">
        <w:trPr>
          <w:trHeight w:val="2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1336E2" w:rsidRDefault="001336E2" w:rsidP="009B69B0">
            <w:pPr>
              <w:rPr>
                <w:b w:val="0"/>
                <w:vertAlign w:val="superscript"/>
              </w:rPr>
            </w:pPr>
            <w:r w:rsidRPr="00245D2E">
              <w:t>CNS disease</w:t>
            </w:r>
          </w:p>
          <w:p w:rsidR="001336E2" w:rsidRPr="002C1C1D" w:rsidRDefault="001336E2" w:rsidP="001336E2">
            <w:pPr>
              <w:pStyle w:val="ListParagraph"/>
              <w:numPr>
                <w:ilvl w:val="0"/>
                <w:numId w:val="3"/>
              </w:numPr>
              <w:ind w:left="360" w:firstLine="0"/>
              <w:rPr>
                <w:b w:val="0"/>
              </w:rPr>
            </w:pPr>
            <w:r>
              <w:t xml:space="preserve">Microcephaly, CNS </w:t>
            </w:r>
            <w:r w:rsidRPr="002C1C1D">
              <w:t xml:space="preserve">calcification, </w:t>
            </w:r>
            <w:r>
              <w:t>chorioretinitis</w:t>
            </w:r>
          </w:p>
          <w:p w:rsidR="001336E2" w:rsidRPr="00B75112" w:rsidRDefault="001336E2" w:rsidP="001336E2">
            <w:pPr>
              <w:pStyle w:val="ListParagraph"/>
              <w:numPr>
                <w:ilvl w:val="0"/>
                <w:numId w:val="3"/>
              </w:numPr>
              <w:ind w:left="357" w:firstLine="0"/>
              <w:rPr>
                <w:b w:val="0"/>
              </w:rPr>
            </w:pPr>
            <w:r>
              <w:t xml:space="preserve">White matter changes (or other abnormalities on MRI consistent with CMV disease) </w:t>
            </w:r>
            <w:r>
              <w:rPr>
                <w:vertAlign w:val="superscript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</w:tcPr>
          <w:p w:rsidR="001336E2" w:rsidRDefault="001336E2" w:rsidP="009B69B0">
            <w:r w:rsidRPr="001661FE">
              <w:t xml:space="preserve">Ganciclovir/valganciclovir </w:t>
            </w:r>
          </w:p>
          <w:p w:rsidR="001336E2" w:rsidRDefault="001336E2" w:rsidP="009B69B0"/>
          <w:p w:rsidR="001336E2" w:rsidRDefault="001336E2" w:rsidP="009B69B0"/>
          <w:p w:rsidR="001336E2" w:rsidRDefault="001336E2" w:rsidP="009B69B0"/>
          <w:p w:rsidR="001336E2" w:rsidRDefault="001336E2" w:rsidP="009B69B0">
            <w:pPr>
              <w:rPr>
                <w:vertAlign w:val="superscript"/>
              </w:rPr>
            </w:pPr>
            <w:r>
              <w:t xml:space="preserve">Duration </w:t>
            </w:r>
            <w:r w:rsidRPr="001661FE">
              <w:t>6 months</w:t>
            </w:r>
            <w:r>
              <w:rPr>
                <w:vertAlign w:val="superscript"/>
              </w:rPr>
              <w:t>2</w:t>
            </w:r>
          </w:p>
          <w:p w:rsidR="001336E2" w:rsidRPr="001661FE" w:rsidRDefault="001336E2" w:rsidP="009B69B0"/>
        </w:tc>
        <w:tc>
          <w:tcPr>
            <w:tcW w:w="3180" w:type="dxa"/>
          </w:tcPr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AB7">
              <w:t>Treatment:</w:t>
            </w:r>
          </w:p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AB7">
              <w:t>Quality A, Strength 1 (to treat)</w:t>
            </w:r>
          </w:p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AB7">
              <w:t>Duration:</w:t>
            </w:r>
          </w:p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AB7">
              <w:t xml:space="preserve">Quality B, Strength 2 </w:t>
            </w:r>
          </w:p>
        </w:tc>
      </w:tr>
      <w:tr w:rsidR="001336E2" w:rsidTr="009B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1336E2" w:rsidRPr="00245D2E" w:rsidRDefault="001336E2" w:rsidP="007D1784">
            <w:pPr>
              <w:rPr>
                <w:b w:val="0"/>
              </w:rPr>
            </w:pPr>
            <w:r>
              <w:t xml:space="preserve">Other ‘severe’ disease (includes </w:t>
            </w:r>
            <w:r w:rsidR="007D1784">
              <w:t xml:space="preserve">life threatening or severe single organ or </w:t>
            </w:r>
            <w:r>
              <w:t>m</w:t>
            </w:r>
            <w:r w:rsidRPr="00245D2E">
              <w:t>ulti</w:t>
            </w:r>
            <w:r w:rsidR="007D1784">
              <w:t>-</w:t>
            </w:r>
            <w:r w:rsidRPr="00245D2E">
              <w:t>organ non-CNS disease</w:t>
            </w:r>
            <w: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</w:tcPr>
          <w:p w:rsidR="001336E2" w:rsidRDefault="001336E2" w:rsidP="009B69B0">
            <w:r>
              <w:t xml:space="preserve">Ganciclovir/valganciclovir </w:t>
            </w:r>
          </w:p>
          <w:p w:rsidR="001336E2" w:rsidRDefault="001336E2" w:rsidP="009B69B0"/>
          <w:p w:rsidR="001336E2" w:rsidRPr="001661FE" w:rsidRDefault="001336E2" w:rsidP="009B69B0">
            <w:r>
              <w:t>M</w:t>
            </w:r>
            <w:r w:rsidRPr="001661FE">
              <w:t>inimum of 6 weeks</w:t>
            </w:r>
            <w:r>
              <w:t>, up to 6 months</w:t>
            </w:r>
            <w:r w:rsidRPr="001661FE">
              <w:rPr>
                <w:vertAlign w:val="superscript"/>
              </w:rPr>
              <w:t>2</w:t>
            </w:r>
            <w:r>
              <w:rPr>
                <w:vertAlign w:val="superscript"/>
              </w:rPr>
              <w:t>,3</w:t>
            </w:r>
          </w:p>
        </w:tc>
        <w:tc>
          <w:tcPr>
            <w:tcW w:w="3180" w:type="dxa"/>
          </w:tcPr>
          <w:p w:rsidR="001336E2" w:rsidRPr="00705AB7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5AB7">
              <w:t>Treatment:</w:t>
            </w:r>
          </w:p>
          <w:p w:rsidR="001336E2" w:rsidRPr="00705AB7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5AB7">
              <w:t>Quality B, Strength 1</w:t>
            </w:r>
          </w:p>
          <w:p w:rsidR="001336E2" w:rsidRPr="00705AB7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5AB7">
              <w:t>Duration:</w:t>
            </w:r>
          </w:p>
          <w:p w:rsidR="001336E2" w:rsidRPr="00245D2E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5AB7">
              <w:t>Quality B, Strength 2</w:t>
            </w:r>
            <w:r>
              <w:rPr>
                <w:b/>
              </w:rPr>
              <w:t xml:space="preserve"> </w:t>
            </w:r>
          </w:p>
        </w:tc>
      </w:tr>
      <w:tr w:rsidR="001336E2" w:rsidTr="009B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bottom w:val="single" w:sz="8" w:space="0" w:color="000000" w:themeColor="text1"/>
            </w:tcBorders>
          </w:tcPr>
          <w:p w:rsidR="001336E2" w:rsidRPr="00245D2E" w:rsidRDefault="001336E2" w:rsidP="007D1784">
            <w:r>
              <w:t>‘Mild’ disease – isolated or transient disease (e.g. jaundice, Petechiae, SGA in isolation)</w:t>
            </w:r>
            <w:r w:rsidR="007D1784">
              <w:t>(max 2 abnormalities)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bottom w:val="single" w:sz="8" w:space="0" w:color="000000" w:themeColor="text1"/>
            </w:tcBorders>
          </w:tcPr>
          <w:p w:rsidR="001336E2" w:rsidRPr="001661FE" w:rsidRDefault="001336E2" w:rsidP="009B69B0">
            <w:r>
              <w:t>No treatment</w:t>
            </w:r>
          </w:p>
        </w:tc>
        <w:tc>
          <w:tcPr>
            <w:tcW w:w="3180" w:type="dxa"/>
            <w:tcBorders>
              <w:bottom w:val="single" w:sz="8" w:space="0" w:color="000000" w:themeColor="text1"/>
            </w:tcBorders>
          </w:tcPr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AB7">
              <w:t>Treatment:</w:t>
            </w:r>
          </w:p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AB7">
              <w:t>Quality C, Strength 2 (</w:t>
            </w:r>
            <w:r>
              <w:t xml:space="preserve">for no </w:t>
            </w:r>
            <w:r w:rsidRPr="00705AB7">
              <w:t>treat</w:t>
            </w:r>
            <w:r>
              <w:t>ment</w:t>
            </w:r>
            <w:r w:rsidRPr="00705AB7">
              <w:t>)</w:t>
            </w:r>
          </w:p>
          <w:p w:rsidR="001336E2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336E2" w:rsidRPr="001661FE" w:rsidTr="009B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1336E2" w:rsidRPr="00322DDC" w:rsidRDefault="001336E2" w:rsidP="009B69B0">
            <w:pPr>
              <w:rPr>
                <w:b w:val="0"/>
              </w:rPr>
            </w:pPr>
            <w:r w:rsidRPr="00245D2E">
              <w:t>No clinical or biochemical findings of disease</w:t>
            </w:r>
            <w:r>
              <w:t xml:space="preserve"> (+/- detectable CMV viremia)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</w:tcPr>
          <w:p w:rsidR="001336E2" w:rsidRPr="001661FE" w:rsidRDefault="001336E2" w:rsidP="009B69B0">
            <w:pPr>
              <w:rPr>
                <w:b/>
              </w:rPr>
            </w:pPr>
            <w:r w:rsidRPr="001661FE">
              <w:t>No treatment</w:t>
            </w:r>
          </w:p>
        </w:tc>
        <w:tc>
          <w:tcPr>
            <w:tcW w:w="3180" w:type="dxa"/>
          </w:tcPr>
          <w:p w:rsidR="001336E2" w:rsidRPr="00705AB7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5AB7">
              <w:t>Treatment:</w:t>
            </w:r>
          </w:p>
          <w:p w:rsidR="001336E2" w:rsidRPr="001661FE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5AB7">
              <w:t>Quality D, Strength 1 (</w:t>
            </w:r>
            <w:r>
              <w:t xml:space="preserve">for no </w:t>
            </w:r>
            <w:r w:rsidRPr="00705AB7">
              <w:t>treat</w:t>
            </w:r>
            <w:r>
              <w:t>ment</w:t>
            </w:r>
            <w:r w:rsidRPr="00705AB7">
              <w:t>)</w:t>
            </w:r>
          </w:p>
        </w:tc>
      </w:tr>
      <w:tr w:rsidR="001336E2" w:rsidTr="009B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10" w:color="auto" w:fill="auto"/>
          </w:tcPr>
          <w:p w:rsidR="001336E2" w:rsidRDefault="001336E2" w:rsidP="009B69B0">
            <w:r>
              <w:t>MAJORITY OPINION – BUT NOT CONSENSUS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10" w:color="auto" w:fill="auto"/>
          </w:tcPr>
          <w:p w:rsidR="001336E2" w:rsidRPr="00245D2E" w:rsidRDefault="001336E2" w:rsidP="009B69B0"/>
        </w:tc>
        <w:tc>
          <w:tcPr>
            <w:tcW w:w="31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10" w:color="auto" w:fill="auto"/>
          </w:tcPr>
          <w:p w:rsidR="001336E2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336E2" w:rsidRPr="004458F7" w:rsidTr="009B6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1336E2" w:rsidRPr="004458F7" w:rsidRDefault="00054525" w:rsidP="009B69B0">
            <w:r>
              <w:t>I</w:t>
            </w:r>
            <w:r w:rsidR="001336E2" w:rsidRPr="004458F7">
              <w:t>solated hearing deficit</w:t>
            </w:r>
            <w:r w:rsidR="001336E2" w:rsidRPr="004213F3">
              <w:rPr>
                <w:vertAlign w:val="superscript"/>
              </w:rPr>
              <w:t>2,4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</w:tcPr>
          <w:p w:rsidR="001336E2" w:rsidRDefault="001336E2" w:rsidP="009B69B0">
            <w:r w:rsidRPr="004458F7">
              <w:t>Ganciclovir/valganciclovir</w:t>
            </w:r>
          </w:p>
          <w:p w:rsidR="001336E2" w:rsidRDefault="001336E2" w:rsidP="009B69B0"/>
          <w:p w:rsidR="001336E2" w:rsidRPr="004458F7" w:rsidRDefault="001336E2" w:rsidP="009B69B0">
            <w:r>
              <w:t>Duration 6 months</w:t>
            </w:r>
            <w:r w:rsidRPr="00D14881">
              <w:rPr>
                <w:vertAlign w:val="superscript"/>
              </w:rPr>
              <w:t>2</w:t>
            </w:r>
          </w:p>
        </w:tc>
        <w:tc>
          <w:tcPr>
            <w:tcW w:w="3180" w:type="dxa"/>
          </w:tcPr>
          <w:p w:rsidR="001336E2" w:rsidRPr="00705AB7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5AB7">
              <w:t>Treatment:</w:t>
            </w:r>
          </w:p>
          <w:p w:rsidR="001336E2" w:rsidRPr="00705AB7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5AB7">
              <w:t>Quality C, Strength 1</w:t>
            </w:r>
          </w:p>
          <w:p w:rsidR="001336E2" w:rsidRPr="00705AB7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5AB7">
              <w:t>Duration:</w:t>
            </w:r>
          </w:p>
          <w:p w:rsidR="001336E2" w:rsidRPr="00B746EB" w:rsidRDefault="001336E2" w:rsidP="009B6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5AB7">
              <w:t>Quality C, Strength 2</w:t>
            </w:r>
            <w:r>
              <w:rPr>
                <w:b/>
              </w:rPr>
              <w:t xml:space="preserve"> </w:t>
            </w:r>
          </w:p>
        </w:tc>
      </w:tr>
      <w:tr w:rsidR="001336E2" w:rsidTr="009B6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:rsidR="001336E2" w:rsidRPr="00245D2E" w:rsidRDefault="001336E2" w:rsidP="00054525">
            <w:pPr>
              <w:rPr>
                <w:b w:val="0"/>
              </w:rPr>
            </w:pPr>
            <w:r>
              <w:t>‘</w:t>
            </w:r>
            <w:r w:rsidRPr="00245D2E">
              <w:t>M</w:t>
            </w:r>
            <w:r w:rsidR="00054525">
              <w:t>oderate</w:t>
            </w:r>
            <w:r>
              <w:t>’</w:t>
            </w:r>
            <w:r w:rsidRPr="00245D2E">
              <w:t xml:space="preserve"> </w:t>
            </w:r>
            <w:r w:rsidR="00054525">
              <w:t>disease (see text for definition)</w:t>
            </w:r>
            <w:r w:rsidRPr="00245D2E">
              <w:t>(</w:t>
            </w:r>
            <w:r w:rsidR="00054525">
              <w:t xml:space="preserve">e.g. </w:t>
            </w:r>
            <w:r w:rsidRPr="00245D2E">
              <w:t>multiple minor findings consistent with CMV disease</w:t>
            </w:r>
            <w:r w:rsidR="00054525">
              <w:t>)</w:t>
            </w:r>
            <w:r w:rsidRPr="002C2023">
              <w:rPr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8" w:type="dxa"/>
          </w:tcPr>
          <w:p w:rsidR="001336E2" w:rsidRDefault="001336E2" w:rsidP="009B69B0">
            <w:r w:rsidRPr="00245D2E">
              <w:t>Consider treatment following discussion with specialist</w:t>
            </w:r>
            <w:r>
              <w:t xml:space="preserve"> </w:t>
            </w:r>
          </w:p>
          <w:p w:rsidR="001336E2" w:rsidRPr="00245D2E" w:rsidRDefault="001336E2" w:rsidP="009B69B0">
            <w:pPr>
              <w:rPr>
                <w:b/>
              </w:rPr>
            </w:pPr>
            <w:r>
              <w:t xml:space="preserve">Duration: </w:t>
            </w:r>
            <w:r w:rsidRPr="00245D2E">
              <w:t>Minimum of 6 weeks</w:t>
            </w:r>
            <w:r>
              <w:t xml:space="preserve"> and u</w:t>
            </w:r>
            <w:r w:rsidRPr="00245D2E">
              <w:t>p to 6 months</w:t>
            </w:r>
            <w:r w:rsidRPr="00D14881">
              <w:rPr>
                <w:vertAlign w:val="superscript"/>
              </w:rPr>
              <w:t>2</w:t>
            </w:r>
          </w:p>
        </w:tc>
        <w:tc>
          <w:tcPr>
            <w:tcW w:w="3180" w:type="dxa"/>
          </w:tcPr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AB7">
              <w:t>Treatment:</w:t>
            </w:r>
          </w:p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AB7">
              <w:t>Quality C, Strength 2</w:t>
            </w:r>
          </w:p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AB7">
              <w:t>Duration:</w:t>
            </w:r>
          </w:p>
          <w:p w:rsidR="001336E2" w:rsidRPr="00705AB7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5AB7">
              <w:t>Quality B, Strength 2</w:t>
            </w:r>
          </w:p>
          <w:p w:rsidR="001336E2" w:rsidRPr="001661FE" w:rsidRDefault="001336E2" w:rsidP="009B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336E2" w:rsidRDefault="001336E2" w:rsidP="001336E2">
      <w:pPr>
        <w:spacing w:after="0" w:line="240" w:lineRule="auto"/>
        <w:rPr>
          <w:b/>
        </w:rPr>
      </w:pPr>
      <w:r w:rsidRPr="00FC3030">
        <w:rPr>
          <w:b/>
        </w:rPr>
        <w:t xml:space="preserve">Note:  There is currently only evidence for </w:t>
      </w:r>
      <w:r>
        <w:rPr>
          <w:b/>
        </w:rPr>
        <w:t xml:space="preserve">starting </w:t>
      </w:r>
      <w:r w:rsidRPr="00FC3030">
        <w:rPr>
          <w:b/>
        </w:rPr>
        <w:t>treatment in the first month of life.</w:t>
      </w:r>
    </w:p>
    <w:p w:rsidR="001336E2" w:rsidRDefault="001336E2" w:rsidP="001336E2">
      <w:pPr>
        <w:spacing w:after="0" w:line="240" w:lineRule="auto"/>
        <w:rPr>
          <w:b/>
        </w:rPr>
      </w:pPr>
      <w:r>
        <w:rPr>
          <w:b/>
        </w:rPr>
        <w:t>CNS: Central nervous system</w:t>
      </w:r>
      <w:r>
        <w:rPr>
          <w:b/>
        </w:rPr>
        <w:tab/>
      </w:r>
      <w:r>
        <w:rPr>
          <w:b/>
        </w:rPr>
        <w:tab/>
        <w:t>MRI: Magnetic Resonance Imaging</w:t>
      </w:r>
    </w:p>
    <w:p w:rsidR="001336E2" w:rsidRPr="00FC3030" w:rsidRDefault="001336E2" w:rsidP="001336E2">
      <w:pPr>
        <w:spacing w:after="0" w:line="240" w:lineRule="auto"/>
        <w:rPr>
          <w:b/>
        </w:rPr>
      </w:pPr>
    </w:p>
    <w:p w:rsidR="001336E2" w:rsidRPr="00284394" w:rsidRDefault="001336E2" w:rsidP="001336E2">
      <w:pPr>
        <w:pStyle w:val="ListParagraph"/>
        <w:numPr>
          <w:ilvl w:val="0"/>
          <w:numId w:val="2"/>
        </w:numPr>
        <w:spacing w:line="240" w:lineRule="auto"/>
      </w:pPr>
      <w:r w:rsidRPr="00284394">
        <w:t xml:space="preserve">In the case of isolated, non-specific, </w:t>
      </w:r>
      <w:r>
        <w:t>MRI</w:t>
      </w:r>
      <w:r w:rsidRPr="00284394">
        <w:t xml:space="preserve"> findings that are not consistent with </w:t>
      </w:r>
      <w:r>
        <w:t>c</w:t>
      </w:r>
      <w:r w:rsidRPr="00284394">
        <w:t xml:space="preserve">CMV disease it was agreed that treatment is not </w:t>
      </w:r>
      <w:r>
        <w:t xml:space="preserve">necessarily </w:t>
      </w:r>
      <w:r w:rsidRPr="00284394">
        <w:t>indicated</w:t>
      </w:r>
    </w:p>
    <w:p w:rsidR="001336E2" w:rsidRPr="00284394" w:rsidRDefault="001336E2" w:rsidP="001336E2">
      <w:pPr>
        <w:pStyle w:val="ListParagraph"/>
        <w:numPr>
          <w:ilvl w:val="0"/>
          <w:numId w:val="2"/>
        </w:numPr>
        <w:spacing w:line="240" w:lineRule="auto"/>
      </w:pPr>
      <w:r w:rsidRPr="00284394">
        <w:t>Limited evidence without full consensus – see text for further description</w:t>
      </w:r>
    </w:p>
    <w:p w:rsidR="001336E2" w:rsidRDefault="001336E2" w:rsidP="001336E2">
      <w:pPr>
        <w:pStyle w:val="ListParagraph"/>
        <w:numPr>
          <w:ilvl w:val="0"/>
          <w:numId w:val="2"/>
        </w:numPr>
        <w:spacing w:line="240" w:lineRule="auto"/>
      </w:pPr>
      <w:r>
        <w:t xml:space="preserve">It was suggested (without consensus) that treatment might continue in this group until the underlying clinical manifestation of disease (e.g. hepatitis) resolved since benefit of 6 months treatment is </w:t>
      </w:r>
      <w:bookmarkStart w:id="0" w:name="_GoBack"/>
      <w:bookmarkEnd w:id="0"/>
      <w:r>
        <w:t xml:space="preserve">unclear. </w:t>
      </w:r>
    </w:p>
    <w:p w:rsidR="00B248C6" w:rsidRDefault="001336E2" w:rsidP="001336E2">
      <w:pPr>
        <w:pStyle w:val="ListParagraph"/>
        <w:numPr>
          <w:ilvl w:val="0"/>
          <w:numId w:val="2"/>
        </w:numPr>
        <w:spacing w:line="240" w:lineRule="auto"/>
      </w:pPr>
      <w:r w:rsidRPr="00284394">
        <w:t xml:space="preserve">No studies address this particular group although they were </w:t>
      </w:r>
      <w:r>
        <w:t>included in eligibility criteria for treatment in</w:t>
      </w:r>
      <w:r w:rsidRPr="00284394">
        <w:t xml:space="preserve"> both published RCT’s of treatment.</w:t>
      </w:r>
    </w:p>
    <w:sectPr w:rsidR="00B24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40D"/>
    <w:multiLevelType w:val="multilevel"/>
    <w:tmpl w:val="CFCA2C1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233E4477"/>
    <w:multiLevelType w:val="hybridMultilevel"/>
    <w:tmpl w:val="E42CF0FE"/>
    <w:lvl w:ilvl="0" w:tplc="6736D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15AEF"/>
    <w:multiLevelType w:val="hybridMultilevel"/>
    <w:tmpl w:val="4D1A54AC"/>
    <w:lvl w:ilvl="0" w:tplc="B64E52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E4"/>
    <w:rsid w:val="00054525"/>
    <w:rsid w:val="001336E2"/>
    <w:rsid w:val="003461DC"/>
    <w:rsid w:val="00652BD7"/>
    <w:rsid w:val="00673F2E"/>
    <w:rsid w:val="007D1784"/>
    <w:rsid w:val="00B248C6"/>
    <w:rsid w:val="00F0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E2"/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3F2E"/>
    <w:pPr>
      <w:tabs>
        <w:tab w:val="left" w:pos="567"/>
      </w:tabs>
      <w:spacing w:after="240" w:line="264" w:lineRule="auto"/>
      <w:ind w:left="567" w:hanging="567"/>
      <w:outlineLvl w:val="1"/>
    </w:pPr>
    <w:rPr>
      <w:rFonts w:ascii="Calibri" w:hAnsi="Calibri"/>
      <w:b/>
      <w:sz w:val="23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673F2E"/>
    <w:rPr>
      <w:rFonts w:ascii="Calibri" w:hAnsi="Calibri"/>
      <w:b/>
      <w:sz w:val="23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336E2"/>
    <w:pPr>
      <w:ind w:left="720"/>
      <w:contextualSpacing/>
    </w:pPr>
  </w:style>
  <w:style w:type="table" w:styleId="LightList">
    <w:name w:val="Light List"/>
    <w:basedOn w:val="TableNormal"/>
    <w:rsid w:val="001336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E2"/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3F2E"/>
    <w:pPr>
      <w:tabs>
        <w:tab w:val="left" w:pos="567"/>
      </w:tabs>
      <w:spacing w:after="240" w:line="264" w:lineRule="auto"/>
      <w:ind w:left="567" w:hanging="567"/>
      <w:outlineLvl w:val="1"/>
    </w:pPr>
    <w:rPr>
      <w:rFonts w:ascii="Calibri" w:hAnsi="Calibri"/>
      <w:b/>
      <w:sz w:val="23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673F2E"/>
    <w:rPr>
      <w:rFonts w:ascii="Calibri" w:hAnsi="Calibri"/>
      <w:b/>
      <w:sz w:val="23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336E2"/>
    <w:pPr>
      <w:ind w:left="720"/>
      <w:contextualSpacing/>
    </w:pPr>
  </w:style>
  <w:style w:type="table" w:styleId="LightList">
    <w:name w:val="Light List"/>
    <w:basedOn w:val="TableNormal"/>
    <w:rsid w:val="001336E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luck</dc:creator>
  <cp:lastModifiedBy>sue luck</cp:lastModifiedBy>
  <cp:revision>2</cp:revision>
  <dcterms:created xsi:type="dcterms:W3CDTF">2017-04-01T18:32:00Z</dcterms:created>
  <dcterms:modified xsi:type="dcterms:W3CDTF">2017-04-01T18:32:00Z</dcterms:modified>
</cp:coreProperties>
</file>