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2C6A" w14:textId="77777777" w:rsidR="00582B33" w:rsidRDefault="00582B33" w:rsidP="000F0B32">
      <w:pPr>
        <w:spacing w:line="360" w:lineRule="auto"/>
        <w:rPr>
          <w:b/>
          <w:sz w:val="28"/>
          <w:szCs w:val="28"/>
        </w:rPr>
      </w:pPr>
    </w:p>
    <w:p w14:paraId="026DA7D5" w14:textId="254266DE" w:rsidR="00C018B0" w:rsidRDefault="00C018B0" w:rsidP="000F0B32">
      <w:pPr>
        <w:spacing w:line="360" w:lineRule="auto"/>
        <w:rPr>
          <w:b/>
          <w:sz w:val="28"/>
          <w:szCs w:val="28"/>
        </w:rPr>
      </w:pPr>
    </w:p>
    <w:p w14:paraId="7CE20283" w14:textId="77777777" w:rsidR="000F0B32" w:rsidRDefault="000F0B32" w:rsidP="000F0B32">
      <w:pPr>
        <w:spacing w:line="360" w:lineRule="auto"/>
        <w:rPr>
          <w:b/>
          <w:sz w:val="28"/>
          <w:szCs w:val="28"/>
        </w:rPr>
      </w:pPr>
      <w:bookmarkStart w:id="0" w:name="_GoBack"/>
      <w:r>
        <w:rPr>
          <w:b/>
          <w:sz w:val="28"/>
          <w:szCs w:val="28"/>
        </w:rPr>
        <w:t xml:space="preserve">RISK OF INVASIVE PNEUMOCOCCAL DISEASE IN CHILDREN WITH </w:t>
      </w:r>
      <w:r w:rsidR="000167AC">
        <w:rPr>
          <w:b/>
          <w:sz w:val="28"/>
          <w:szCs w:val="28"/>
        </w:rPr>
        <w:t>SICKLE CELL</w:t>
      </w:r>
      <w:r w:rsidR="00B6140E">
        <w:rPr>
          <w:b/>
          <w:sz w:val="28"/>
          <w:szCs w:val="28"/>
        </w:rPr>
        <w:t xml:space="preserve"> DISEASE IN</w:t>
      </w:r>
      <w:r>
        <w:rPr>
          <w:b/>
          <w:sz w:val="28"/>
          <w:szCs w:val="28"/>
        </w:rPr>
        <w:t xml:space="preserve"> ENGLAND:</w:t>
      </w:r>
      <w:r w:rsidR="00B6140E">
        <w:rPr>
          <w:b/>
          <w:sz w:val="28"/>
          <w:szCs w:val="28"/>
        </w:rPr>
        <w:t xml:space="preserve"> a</w:t>
      </w:r>
      <w:r>
        <w:rPr>
          <w:b/>
          <w:sz w:val="28"/>
          <w:szCs w:val="28"/>
        </w:rPr>
        <w:t xml:space="preserve"> national observational cohort study, 2010 – 2015</w:t>
      </w:r>
      <w:bookmarkEnd w:id="0"/>
      <w:r>
        <w:rPr>
          <w:b/>
          <w:sz w:val="28"/>
          <w:szCs w:val="28"/>
        </w:rPr>
        <w:t>.</w:t>
      </w:r>
    </w:p>
    <w:p w14:paraId="058764DD" w14:textId="74B8E36E" w:rsidR="00CE47E3" w:rsidRDefault="004F4F6C" w:rsidP="000F0B32">
      <w:pPr>
        <w:spacing w:line="360" w:lineRule="auto"/>
        <w:rPr>
          <w:b/>
          <w:szCs w:val="28"/>
        </w:rPr>
      </w:pPr>
      <w:r>
        <w:rPr>
          <w:b/>
          <w:szCs w:val="28"/>
        </w:rPr>
        <w:t>Godwin Oligbu ,</w:t>
      </w:r>
      <w:r w:rsidR="00CE47E3" w:rsidRPr="00B309C1">
        <w:rPr>
          <w:b/>
          <w:szCs w:val="28"/>
          <w:vertAlign w:val="superscript"/>
        </w:rPr>
        <w:t>1,2</w:t>
      </w:r>
      <w:r w:rsidR="000F0B32" w:rsidRPr="00B309C1">
        <w:rPr>
          <w:b/>
          <w:szCs w:val="28"/>
        </w:rPr>
        <w:t xml:space="preserve"> Sarah Collins</w:t>
      </w:r>
      <w:r>
        <w:rPr>
          <w:b/>
          <w:szCs w:val="28"/>
        </w:rPr>
        <w:t xml:space="preserve"> </w:t>
      </w:r>
      <w:r w:rsidR="000F0B32" w:rsidRPr="00B309C1">
        <w:rPr>
          <w:b/>
          <w:szCs w:val="28"/>
        </w:rPr>
        <w:t>,</w:t>
      </w:r>
      <w:r w:rsidR="00CE47E3" w:rsidRPr="00B309C1">
        <w:rPr>
          <w:b/>
          <w:szCs w:val="28"/>
          <w:vertAlign w:val="superscript"/>
        </w:rPr>
        <w:t>2</w:t>
      </w:r>
      <w:r w:rsidR="00CE47E3">
        <w:rPr>
          <w:b/>
          <w:szCs w:val="28"/>
        </w:rPr>
        <w:t xml:space="preserve"> Carmen Sheppard</w:t>
      </w:r>
      <w:r>
        <w:rPr>
          <w:b/>
          <w:szCs w:val="28"/>
        </w:rPr>
        <w:t xml:space="preserve"> </w:t>
      </w:r>
      <w:r w:rsidR="00CE47E3">
        <w:rPr>
          <w:b/>
          <w:szCs w:val="28"/>
        </w:rPr>
        <w:t>,</w:t>
      </w:r>
      <w:r w:rsidR="00CE47E3" w:rsidRPr="00B309C1">
        <w:rPr>
          <w:b/>
          <w:szCs w:val="28"/>
          <w:vertAlign w:val="superscript"/>
        </w:rPr>
        <w:t>3</w:t>
      </w:r>
      <w:r w:rsidR="00CE47E3">
        <w:rPr>
          <w:b/>
          <w:szCs w:val="28"/>
        </w:rPr>
        <w:t xml:space="preserve"> Norman Fry</w:t>
      </w:r>
      <w:r>
        <w:rPr>
          <w:b/>
          <w:szCs w:val="28"/>
        </w:rPr>
        <w:t xml:space="preserve"> </w:t>
      </w:r>
      <w:r w:rsidR="00CE47E3">
        <w:rPr>
          <w:b/>
          <w:szCs w:val="28"/>
        </w:rPr>
        <w:t>,</w:t>
      </w:r>
      <w:r w:rsidR="00CE47E3" w:rsidRPr="00B309C1">
        <w:rPr>
          <w:b/>
          <w:szCs w:val="28"/>
          <w:vertAlign w:val="superscript"/>
        </w:rPr>
        <w:t>3</w:t>
      </w:r>
      <w:r w:rsidR="00CE47E3">
        <w:rPr>
          <w:b/>
          <w:szCs w:val="28"/>
        </w:rPr>
        <w:t>Moira Dick</w:t>
      </w:r>
      <w:r w:rsidR="00C3302B">
        <w:rPr>
          <w:b/>
          <w:szCs w:val="28"/>
        </w:rPr>
        <w:t xml:space="preserve"> </w:t>
      </w:r>
      <w:r w:rsidR="00CE47E3">
        <w:rPr>
          <w:b/>
          <w:szCs w:val="28"/>
        </w:rPr>
        <w:t>,</w:t>
      </w:r>
      <w:r w:rsidR="00CE47E3">
        <w:rPr>
          <w:b/>
          <w:szCs w:val="28"/>
          <w:vertAlign w:val="superscript"/>
        </w:rPr>
        <w:t>4</w:t>
      </w:r>
      <w:r w:rsidR="00592670">
        <w:rPr>
          <w:b/>
          <w:szCs w:val="28"/>
          <w:vertAlign w:val="superscript"/>
        </w:rPr>
        <w:t xml:space="preserve"> </w:t>
      </w:r>
      <w:r w:rsidR="00CE47E3">
        <w:rPr>
          <w:b/>
          <w:szCs w:val="28"/>
        </w:rPr>
        <w:t>Allison Streetly</w:t>
      </w:r>
      <w:r w:rsidR="00EE5FBC">
        <w:rPr>
          <w:b/>
          <w:szCs w:val="28"/>
        </w:rPr>
        <w:t xml:space="preserve"> </w:t>
      </w:r>
      <w:r w:rsidR="00CE47E3">
        <w:rPr>
          <w:b/>
          <w:szCs w:val="28"/>
        </w:rPr>
        <w:t>,</w:t>
      </w:r>
      <w:r w:rsidR="00CE47E3">
        <w:rPr>
          <w:b/>
          <w:szCs w:val="28"/>
          <w:vertAlign w:val="superscript"/>
        </w:rPr>
        <w:t>5</w:t>
      </w:r>
      <w:r w:rsidR="005F080A">
        <w:rPr>
          <w:b/>
          <w:szCs w:val="28"/>
          <w:vertAlign w:val="superscript"/>
        </w:rPr>
        <w:t xml:space="preserve"> </w:t>
      </w:r>
      <w:r w:rsidR="000F0B32" w:rsidRPr="00B309C1">
        <w:rPr>
          <w:b/>
          <w:szCs w:val="28"/>
        </w:rPr>
        <w:t>Shamez</w:t>
      </w:r>
      <w:r w:rsidR="005F080A">
        <w:rPr>
          <w:b/>
          <w:szCs w:val="28"/>
        </w:rPr>
        <w:t xml:space="preserve"> </w:t>
      </w:r>
      <w:r w:rsidR="000F0B32" w:rsidRPr="00B309C1">
        <w:rPr>
          <w:b/>
          <w:szCs w:val="28"/>
        </w:rPr>
        <w:t>Ladhan</w:t>
      </w:r>
      <w:r w:rsidR="00D977C2">
        <w:rPr>
          <w:b/>
          <w:szCs w:val="28"/>
        </w:rPr>
        <w:t>i</w:t>
      </w:r>
      <w:r>
        <w:rPr>
          <w:b/>
          <w:szCs w:val="28"/>
        </w:rPr>
        <w:t xml:space="preserve"> </w:t>
      </w:r>
      <w:r w:rsidR="00CE47E3">
        <w:rPr>
          <w:b/>
          <w:szCs w:val="28"/>
        </w:rPr>
        <w:t>,</w:t>
      </w:r>
      <w:r w:rsidR="00252FA1" w:rsidRPr="00B309C1">
        <w:rPr>
          <w:b/>
          <w:szCs w:val="28"/>
          <w:vertAlign w:val="superscript"/>
        </w:rPr>
        <w:t>1,2</w:t>
      </w:r>
    </w:p>
    <w:p w14:paraId="36351CC5" w14:textId="77777777" w:rsidR="00CE47E3" w:rsidRPr="00CC60EE" w:rsidRDefault="00CE47E3" w:rsidP="000F0B32">
      <w:pPr>
        <w:spacing w:line="360" w:lineRule="auto"/>
        <w:rPr>
          <w:rFonts w:cs="Calibri"/>
          <w:lang w:val="en-US"/>
        </w:rPr>
      </w:pPr>
      <w:r w:rsidRPr="00CC60EE">
        <w:rPr>
          <w:rFonts w:cs="Calibri"/>
          <w:lang w:val="en-US"/>
        </w:rPr>
        <w:t>1</w:t>
      </w:r>
      <w:r w:rsidR="005C6906" w:rsidRPr="00CC60EE">
        <w:rPr>
          <w:rFonts w:cs="Calibri"/>
          <w:lang w:val="en-US"/>
        </w:rPr>
        <w:t>.</w:t>
      </w:r>
      <w:r w:rsidR="005F080A">
        <w:rPr>
          <w:rFonts w:cs="Calibri"/>
          <w:lang w:val="en-US"/>
        </w:rPr>
        <w:t xml:space="preserve"> </w:t>
      </w:r>
      <w:r w:rsidR="006B150A" w:rsidRPr="00CC60EE">
        <w:rPr>
          <w:rFonts w:cs="Calibri"/>
          <w:lang w:val="en-US"/>
        </w:rPr>
        <w:t>P</w:t>
      </w:r>
      <w:r w:rsidR="00376DA1">
        <w:rPr>
          <w:rFonts w:cs="Calibri"/>
          <w:lang w:val="en-US"/>
        </w:rPr>
        <w:t>a</w:t>
      </w:r>
      <w:r w:rsidR="006B150A">
        <w:rPr>
          <w:rFonts w:cs="Calibri"/>
          <w:lang w:val="en-US"/>
        </w:rPr>
        <w:t>e</w:t>
      </w:r>
      <w:r w:rsidR="006B150A" w:rsidRPr="00CC60EE">
        <w:rPr>
          <w:rFonts w:cs="Calibri"/>
          <w:lang w:val="en-US"/>
        </w:rPr>
        <w:t>diatric</w:t>
      </w:r>
      <w:r w:rsidR="00B309C1" w:rsidRPr="00CC60EE">
        <w:rPr>
          <w:rFonts w:cs="Calibri"/>
          <w:lang w:val="en-US"/>
        </w:rPr>
        <w:t xml:space="preserve"> Infectious Diseases Research Group, Institute for Infection and Immunity, St. George's, University of London, </w:t>
      </w:r>
      <w:r w:rsidR="00065DEF" w:rsidRPr="00CC60EE">
        <w:rPr>
          <w:rFonts w:cs="Calibri"/>
          <w:lang w:val="en-US"/>
        </w:rPr>
        <w:t xml:space="preserve">SW17 0RE, </w:t>
      </w:r>
      <w:r w:rsidR="00B309C1" w:rsidRPr="00CC60EE">
        <w:rPr>
          <w:rFonts w:cs="Calibri"/>
          <w:lang w:val="en-US"/>
        </w:rPr>
        <w:t>UK</w:t>
      </w:r>
    </w:p>
    <w:p w14:paraId="2E9D8B08" w14:textId="77777777" w:rsidR="00CE47E3" w:rsidRPr="00CC60EE" w:rsidRDefault="00CE47E3" w:rsidP="000F0B32">
      <w:pPr>
        <w:spacing w:line="360" w:lineRule="auto"/>
        <w:rPr>
          <w:rFonts w:cs="Calibri"/>
          <w:lang w:val="en-US"/>
        </w:rPr>
      </w:pPr>
      <w:r w:rsidRPr="00CC60EE">
        <w:rPr>
          <w:rFonts w:cs="Calibri"/>
          <w:lang w:val="en-US"/>
        </w:rPr>
        <w:t xml:space="preserve">2. </w:t>
      </w:r>
      <w:r w:rsidR="006062FA" w:rsidRPr="00CC60EE">
        <w:rPr>
          <w:rFonts w:cs="Calibri"/>
          <w:lang w:val="en-US"/>
        </w:rPr>
        <w:t>Immuni</w:t>
      </w:r>
      <w:r w:rsidR="00376DA1">
        <w:rPr>
          <w:rFonts w:cs="Calibri"/>
          <w:lang w:val="en-US"/>
        </w:rPr>
        <w:t>s</w:t>
      </w:r>
      <w:r w:rsidR="006062FA" w:rsidRPr="00CC60EE">
        <w:rPr>
          <w:rFonts w:cs="Calibri"/>
          <w:lang w:val="en-US"/>
        </w:rPr>
        <w:t>ation</w:t>
      </w:r>
      <w:r w:rsidR="00B01BC3" w:rsidRPr="00CC60EE">
        <w:rPr>
          <w:rFonts w:cs="Calibri"/>
          <w:lang w:val="en-US"/>
        </w:rPr>
        <w:t>, Hepatitis and Blood Safety Department (IHBSD), Public Health England, 61 Colindale Avenue, London NW9 5EQ</w:t>
      </w:r>
      <w:r w:rsidR="00065DEF" w:rsidRPr="00CC60EE">
        <w:rPr>
          <w:rFonts w:cs="Calibri"/>
          <w:lang w:val="en-US"/>
        </w:rPr>
        <w:t>,</w:t>
      </w:r>
      <w:r w:rsidR="00B01BC3" w:rsidRPr="00CC60EE">
        <w:rPr>
          <w:rFonts w:cs="Calibri"/>
          <w:lang w:val="en-US"/>
        </w:rPr>
        <w:t>, UK</w:t>
      </w:r>
    </w:p>
    <w:p w14:paraId="6CEB8719" w14:textId="77777777" w:rsidR="00CE47E3" w:rsidRPr="00CC60EE" w:rsidRDefault="00CE47E3" w:rsidP="00B01BC3">
      <w:pPr>
        <w:widowControl w:val="0"/>
        <w:autoSpaceDE w:val="0"/>
        <w:autoSpaceDN w:val="0"/>
        <w:adjustRightInd w:val="0"/>
        <w:rPr>
          <w:rFonts w:cs="Calibri"/>
          <w:lang w:val="en-US"/>
        </w:rPr>
      </w:pPr>
      <w:r w:rsidRPr="00CC60EE">
        <w:rPr>
          <w:rFonts w:cs="Calibri"/>
          <w:lang w:val="en-US"/>
        </w:rPr>
        <w:t>3</w:t>
      </w:r>
      <w:r w:rsidR="005C6906" w:rsidRPr="00CC60EE">
        <w:rPr>
          <w:rFonts w:cs="Calibri"/>
          <w:lang w:val="en-US"/>
        </w:rPr>
        <w:t>.</w:t>
      </w:r>
      <w:r w:rsidR="005F080A">
        <w:rPr>
          <w:rFonts w:cs="Calibri"/>
          <w:lang w:val="en-US"/>
        </w:rPr>
        <w:t xml:space="preserve"> </w:t>
      </w:r>
      <w:r w:rsidR="00B01BC3" w:rsidRPr="00CC60EE">
        <w:rPr>
          <w:rFonts w:cs="Calibri"/>
          <w:lang w:val="en-US"/>
        </w:rPr>
        <w:t>Respiratory and Vaccine Preventable Bacterial Reference Unit (RVPBRU), Public Health England, 61 Colindale Avenue, London NW9 5EQ,</w:t>
      </w:r>
      <w:r w:rsidR="00065DEF" w:rsidRPr="00CC60EE">
        <w:rPr>
          <w:rFonts w:cs="Calibri"/>
          <w:lang w:val="en-US"/>
        </w:rPr>
        <w:t>,</w:t>
      </w:r>
      <w:r w:rsidR="00B01BC3" w:rsidRPr="00CC60EE">
        <w:rPr>
          <w:rFonts w:cs="Calibri"/>
          <w:lang w:val="en-US"/>
        </w:rPr>
        <w:t xml:space="preserve"> UK</w:t>
      </w:r>
    </w:p>
    <w:p w14:paraId="22AAB814" w14:textId="77777777" w:rsidR="00CE47E3" w:rsidRPr="00CC60EE" w:rsidRDefault="00CE47E3" w:rsidP="000F0B32">
      <w:pPr>
        <w:spacing w:line="360" w:lineRule="auto"/>
        <w:rPr>
          <w:rFonts w:cs="Calibri"/>
          <w:lang w:val="en-US"/>
        </w:rPr>
      </w:pPr>
      <w:r w:rsidRPr="00CC60EE">
        <w:rPr>
          <w:rFonts w:cs="Calibri"/>
          <w:lang w:val="en-US"/>
        </w:rPr>
        <w:t>4</w:t>
      </w:r>
      <w:r w:rsidR="005C6906" w:rsidRPr="00CC60EE">
        <w:rPr>
          <w:rFonts w:cs="Calibri"/>
          <w:lang w:val="en-US"/>
        </w:rPr>
        <w:t>.</w:t>
      </w:r>
      <w:r w:rsidR="005F080A">
        <w:rPr>
          <w:rFonts w:cs="Calibri"/>
          <w:lang w:val="en-US"/>
        </w:rPr>
        <w:t xml:space="preserve"> </w:t>
      </w:r>
      <w:r w:rsidRPr="00CC60EE">
        <w:rPr>
          <w:rFonts w:cs="Calibri"/>
          <w:lang w:val="en-US"/>
        </w:rPr>
        <w:t xml:space="preserve">Consultant </w:t>
      </w:r>
      <w:r w:rsidR="006062FA" w:rsidRPr="00CC60EE">
        <w:rPr>
          <w:rFonts w:cs="Calibri"/>
          <w:lang w:val="en-US"/>
        </w:rPr>
        <w:t>P</w:t>
      </w:r>
      <w:r w:rsidR="00376DA1">
        <w:rPr>
          <w:rFonts w:cs="Calibri"/>
          <w:lang w:val="en-US"/>
        </w:rPr>
        <w:t>a</w:t>
      </w:r>
      <w:r w:rsidR="006062FA" w:rsidRPr="00CC60EE">
        <w:rPr>
          <w:rFonts w:cs="Calibri"/>
          <w:lang w:val="en-US"/>
        </w:rPr>
        <w:t>ediatrician</w:t>
      </w:r>
      <w:r w:rsidRPr="00CC60EE">
        <w:rPr>
          <w:rFonts w:cs="Calibri"/>
          <w:lang w:val="en-US"/>
        </w:rPr>
        <w:t xml:space="preserve"> Advisor</w:t>
      </w:r>
      <w:r w:rsidR="000D227B" w:rsidRPr="00CC60EE">
        <w:rPr>
          <w:rFonts w:cs="Calibri"/>
          <w:lang w:val="en-US"/>
        </w:rPr>
        <w:t>, Division of Health and Social Care Research,</w:t>
      </w:r>
      <w:r w:rsidR="000D227B" w:rsidRPr="00CC60EE">
        <w:rPr>
          <w:rFonts w:cs="Calibri"/>
          <w:lang w:val="en-US"/>
        </w:rPr>
        <w:br/>
        <w:t>King’s College London, SE1 1UL</w:t>
      </w:r>
    </w:p>
    <w:p w14:paraId="0A64A39F" w14:textId="77777777" w:rsidR="000E0D3D" w:rsidRPr="00CC60EE" w:rsidRDefault="00CE47E3" w:rsidP="000F0B32">
      <w:pPr>
        <w:spacing w:line="360" w:lineRule="auto"/>
        <w:rPr>
          <w:rFonts w:cs="Calibri"/>
          <w:lang w:val="en-US"/>
        </w:rPr>
      </w:pPr>
      <w:r w:rsidRPr="00CC60EE">
        <w:rPr>
          <w:rFonts w:cs="Calibri"/>
          <w:lang w:val="en-US"/>
        </w:rPr>
        <w:t>5</w:t>
      </w:r>
      <w:r w:rsidR="005C6906" w:rsidRPr="00CC60EE">
        <w:rPr>
          <w:rFonts w:cs="Calibri"/>
          <w:lang w:val="en-US"/>
        </w:rPr>
        <w:t>.</w:t>
      </w:r>
      <w:r w:rsidR="000F0B32" w:rsidRPr="00CC60EE">
        <w:rPr>
          <w:rFonts w:cs="Calibri"/>
          <w:lang w:val="en-US"/>
        </w:rPr>
        <w:t>Visiting Senior Lecturer</w:t>
      </w:r>
      <w:r w:rsidR="000D227B" w:rsidRPr="00CC60EE">
        <w:rPr>
          <w:rFonts w:cs="Calibri"/>
          <w:lang w:val="en-US"/>
        </w:rPr>
        <w:t>,</w:t>
      </w:r>
      <w:r w:rsidR="00E86899">
        <w:rPr>
          <w:rFonts w:cs="Calibri"/>
          <w:lang w:val="en-US"/>
        </w:rPr>
        <w:t xml:space="preserve"> </w:t>
      </w:r>
      <w:r w:rsidR="000D227B" w:rsidRPr="00CC60EE">
        <w:rPr>
          <w:rFonts w:cs="Calibri"/>
          <w:bCs/>
          <w:lang w:val="en-US"/>
        </w:rPr>
        <w:t>Division of Health and Social Care Research,</w:t>
      </w:r>
      <w:r w:rsidR="00E86899">
        <w:rPr>
          <w:rFonts w:cs="Calibri"/>
          <w:bCs/>
          <w:lang w:val="en-US"/>
        </w:rPr>
        <w:t xml:space="preserve"> </w:t>
      </w:r>
      <w:r w:rsidR="000D227B" w:rsidRPr="00CC60EE">
        <w:rPr>
          <w:rFonts w:cs="Calibri"/>
          <w:lang w:val="en-US"/>
        </w:rPr>
        <w:t>King’s College London, SE1 1UL</w:t>
      </w:r>
      <w:r w:rsidR="004F0B09" w:rsidRPr="00CC60EE">
        <w:rPr>
          <w:rFonts w:cs="Calibri"/>
          <w:lang w:val="en-US"/>
        </w:rPr>
        <w:t xml:space="preserve">, </w:t>
      </w:r>
      <w:r w:rsidR="000D227B" w:rsidRPr="00CC60EE">
        <w:rPr>
          <w:rFonts w:cs="Calibri"/>
          <w:lang w:val="en-US"/>
        </w:rPr>
        <w:t>&amp;</w:t>
      </w:r>
      <w:r w:rsidR="000F0B32" w:rsidRPr="00CC60EE">
        <w:rPr>
          <w:rFonts w:cs="Calibri"/>
          <w:lang w:val="en-US"/>
        </w:rPr>
        <w:t xml:space="preserve"> Deputy National Lead H</w:t>
      </w:r>
      <w:r w:rsidR="000D227B" w:rsidRPr="00CC60EE">
        <w:rPr>
          <w:rFonts w:cs="Calibri"/>
          <w:lang w:val="en-US"/>
        </w:rPr>
        <w:t>ealthcare</w:t>
      </w:r>
      <w:r w:rsidR="00E86899">
        <w:rPr>
          <w:rFonts w:cs="Calibri"/>
          <w:lang w:val="en-US"/>
        </w:rPr>
        <w:t xml:space="preserve"> </w:t>
      </w:r>
      <w:r w:rsidR="00EB5A54" w:rsidRPr="00CC60EE">
        <w:rPr>
          <w:rFonts w:cs="Calibri"/>
          <w:lang w:val="en-US"/>
        </w:rPr>
        <w:t>Public Health</w:t>
      </w:r>
      <w:r w:rsidR="00FE2DDB" w:rsidRPr="00CC60EE">
        <w:rPr>
          <w:rFonts w:cs="Calibri"/>
          <w:lang w:val="en-US"/>
        </w:rPr>
        <w:t>,</w:t>
      </w:r>
      <w:r w:rsidR="000D227B" w:rsidRPr="00CC60EE">
        <w:rPr>
          <w:rFonts w:cs="Calibri"/>
          <w:lang w:val="en-US"/>
        </w:rPr>
        <w:t xml:space="preserve"> Public Health England, London SE1 6LH</w:t>
      </w:r>
    </w:p>
    <w:p w14:paraId="51E5C1C2" w14:textId="77777777" w:rsidR="00071ED5" w:rsidRPr="00CC60EE" w:rsidRDefault="004F4F6C" w:rsidP="000F0B32">
      <w:pPr>
        <w:spacing w:line="360" w:lineRule="auto"/>
        <w:rPr>
          <w:rFonts w:cs="Calibri"/>
          <w:lang w:val="en-US"/>
        </w:rPr>
      </w:pPr>
      <w:r w:rsidRPr="00CC60EE">
        <w:rPr>
          <w:rFonts w:cs="Calibri"/>
          <w:b/>
        </w:rPr>
        <w:t xml:space="preserve">Corresponding Author: </w:t>
      </w:r>
      <w:r w:rsidRPr="00CC60EE">
        <w:rPr>
          <w:rFonts w:cs="Calibri"/>
        </w:rPr>
        <w:t>Godwin Oligbu</w:t>
      </w:r>
      <w:r w:rsidR="00337AB0">
        <w:rPr>
          <w:rFonts w:cs="Calibri"/>
        </w:rPr>
        <w:t>, Public Health England, 61 Colindale Avenue, London NW9 5EQ, UK</w:t>
      </w:r>
      <w:r w:rsidR="00337AB0">
        <w:rPr>
          <w:rFonts w:cs="Calibri"/>
          <w:lang w:val="en-US"/>
        </w:rPr>
        <w:t xml:space="preserve">. </w:t>
      </w:r>
      <w:r w:rsidR="00071ED5" w:rsidRPr="00CC60EE">
        <w:rPr>
          <w:rFonts w:cs="Calibri"/>
          <w:lang w:val="en-US"/>
        </w:rPr>
        <w:t xml:space="preserve">Email: </w:t>
      </w:r>
      <w:hyperlink r:id="rId8" w:history="1">
        <w:r w:rsidR="00071ED5" w:rsidRPr="00CC60EE">
          <w:rPr>
            <w:rStyle w:val="Hyperlink"/>
            <w:rFonts w:cs="Calibri"/>
            <w:lang w:val="en-US"/>
          </w:rPr>
          <w:t>godwin.oligbu@nhs.net</w:t>
        </w:r>
      </w:hyperlink>
      <w:r w:rsidR="00071ED5" w:rsidRPr="00CC60EE">
        <w:rPr>
          <w:rFonts w:cs="Calibri"/>
          <w:lang w:val="en-US"/>
        </w:rPr>
        <w:t xml:space="preserve">   </w:t>
      </w:r>
    </w:p>
    <w:p w14:paraId="764715C0" w14:textId="7B9376A7" w:rsidR="004F4F6C" w:rsidRPr="00CC60EE" w:rsidRDefault="004F4F6C" w:rsidP="000F0B32">
      <w:pPr>
        <w:spacing w:line="360" w:lineRule="auto"/>
        <w:rPr>
          <w:rFonts w:cs="Calibri"/>
          <w:b/>
        </w:rPr>
      </w:pPr>
      <w:r w:rsidRPr="00CC60EE">
        <w:rPr>
          <w:rFonts w:cs="Calibri"/>
          <w:b/>
        </w:rPr>
        <w:t xml:space="preserve">Total word count: </w:t>
      </w:r>
      <w:r w:rsidRPr="00CC60EE">
        <w:rPr>
          <w:rFonts w:cs="Calibri"/>
        </w:rPr>
        <w:t>2,</w:t>
      </w:r>
      <w:r w:rsidR="00305444">
        <w:rPr>
          <w:rFonts w:cs="Calibri"/>
        </w:rPr>
        <w:t>5</w:t>
      </w:r>
      <w:r w:rsidR="00575B49">
        <w:rPr>
          <w:rFonts w:cs="Calibri"/>
        </w:rPr>
        <w:t>40</w:t>
      </w:r>
      <w:r w:rsidR="001B6CBC" w:rsidRPr="00CC60EE">
        <w:rPr>
          <w:rFonts w:cs="Calibri"/>
        </w:rPr>
        <w:t xml:space="preserve"> </w:t>
      </w:r>
      <w:r w:rsidR="00EE5FBC" w:rsidRPr="00CC60EE">
        <w:rPr>
          <w:rFonts w:cs="Calibri"/>
        </w:rPr>
        <w:t>words</w:t>
      </w:r>
    </w:p>
    <w:p w14:paraId="201A64A2" w14:textId="77777777" w:rsidR="00B309C1" w:rsidRPr="00CC60EE" w:rsidRDefault="00B309C1" w:rsidP="000F0B32">
      <w:pPr>
        <w:spacing w:line="360" w:lineRule="auto"/>
        <w:rPr>
          <w:rFonts w:cs="Calibri"/>
          <w:b/>
          <w:sz w:val="28"/>
          <w:szCs w:val="28"/>
        </w:rPr>
      </w:pPr>
    </w:p>
    <w:p w14:paraId="2F935453" w14:textId="77777777" w:rsidR="00B309C1" w:rsidRDefault="00B309C1" w:rsidP="000F0B32">
      <w:pPr>
        <w:spacing w:line="360" w:lineRule="auto"/>
        <w:rPr>
          <w:b/>
          <w:sz w:val="28"/>
          <w:szCs w:val="28"/>
        </w:rPr>
      </w:pPr>
    </w:p>
    <w:p w14:paraId="08613E8B" w14:textId="77777777" w:rsidR="005D30D3" w:rsidRDefault="005D30D3">
      <w:pPr>
        <w:spacing w:after="0" w:line="240" w:lineRule="auto"/>
        <w:rPr>
          <w:b/>
          <w:sz w:val="28"/>
          <w:szCs w:val="28"/>
        </w:rPr>
      </w:pPr>
      <w:r>
        <w:rPr>
          <w:b/>
          <w:sz w:val="28"/>
          <w:szCs w:val="28"/>
        </w:rPr>
        <w:br w:type="page"/>
      </w:r>
    </w:p>
    <w:p w14:paraId="4216B3D7" w14:textId="4D71233A" w:rsidR="000F0B32" w:rsidRDefault="000F0B32" w:rsidP="00C4261A">
      <w:pPr>
        <w:spacing w:after="0" w:line="240" w:lineRule="auto"/>
        <w:rPr>
          <w:b/>
          <w:sz w:val="28"/>
          <w:szCs w:val="28"/>
        </w:rPr>
      </w:pPr>
      <w:r>
        <w:rPr>
          <w:b/>
          <w:sz w:val="28"/>
          <w:szCs w:val="28"/>
        </w:rPr>
        <w:lastRenderedPageBreak/>
        <w:t>ABSTRACT</w:t>
      </w:r>
    </w:p>
    <w:p w14:paraId="26327407" w14:textId="77777777" w:rsidR="005D30D3" w:rsidRDefault="005D30D3" w:rsidP="000F0B32">
      <w:pPr>
        <w:spacing w:line="360" w:lineRule="auto"/>
        <w:rPr>
          <w:b/>
        </w:rPr>
      </w:pPr>
    </w:p>
    <w:p w14:paraId="7BFE2814" w14:textId="77777777" w:rsidR="001B3D6B" w:rsidRDefault="00B25232" w:rsidP="000F0B32">
      <w:pPr>
        <w:spacing w:line="360" w:lineRule="auto"/>
        <w:rPr>
          <w:b/>
        </w:rPr>
      </w:pPr>
      <w:r w:rsidRPr="00B25232">
        <w:rPr>
          <w:b/>
        </w:rPr>
        <w:t>OBJECTIVE</w:t>
      </w:r>
      <w:r w:rsidR="00EF5277">
        <w:rPr>
          <w:b/>
        </w:rPr>
        <w:t>:</w:t>
      </w:r>
      <w:r w:rsidR="00277006">
        <w:rPr>
          <w:b/>
        </w:rPr>
        <w:t xml:space="preserve"> </w:t>
      </w:r>
      <w:r w:rsidR="00CE47E3" w:rsidRPr="00B01BC3">
        <w:t xml:space="preserve">To </w:t>
      </w:r>
      <w:r w:rsidR="000F0B32" w:rsidRPr="00B01BC3">
        <w:t xml:space="preserve">describe the clinical presentation, </w:t>
      </w:r>
      <w:r w:rsidR="00277006">
        <w:t xml:space="preserve">risk factors, </w:t>
      </w:r>
      <w:r w:rsidR="000F0B32" w:rsidRPr="00B01BC3">
        <w:t xml:space="preserve">serotype </w:t>
      </w:r>
      <w:r w:rsidR="00277006">
        <w:t xml:space="preserve">distribution </w:t>
      </w:r>
      <w:r w:rsidR="000F0B32" w:rsidRPr="00B01BC3">
        <w:t xml:space="preserve">and outcomes of </w:t>
      </w:r>
      <w:r w:rsidR="00023448">
        <w:t>invasive pneumococcal disease (</w:t>
      </w:r>
      <w:r w:rsidR="000F0B32" w:rsidRPr="00B01BC3">
        <w:t>IPD</w:t>
      </w:r>
      <w:r w:rsidR="00023448">
        <w:t>)</w:t>
      </w:r>
      <w:r w:rsidR="000F0B32" w:rsidRPr="00B01BC3">
        <w:t xml:space="preserve"> in children with </w:t>
      </w:r>
      <w:r w:rsidR="00023448">
        <w:t>sickle cell disease (</w:t>
      </w:r>
      <w:r w:rsidR="000F0B32" w:rsidRPr="00B01BC3">
        <w:t>SCD</w:t>
      </w:r>
      <w:r w:rsidR="00023448">
        <w:t>)</w:t>
      </w:r>
      <w:r w:rsidR="000F0B32" w:rsidRPr="00B01BC3">
        <w:t xml:space="preserve"> following the introduction of the 13-valent pneumococcal conjugate vaccine (PCV13) </w:t>
      </w:r>
      <w:r w:rsidR="00277006">
        <w:t>in the U</w:t>
      </w:r>
      <w:r w:rsidR="00023448">
        <w:t xml:space="preserve">nited </w:t>
      </w:r>
      <w:r w:rsidR="00277006">
        <w:t>K</w:t>
      </w:r>
      <w:r w:rsidR="00023448">
        <w:t>ingdom</w:t>
      </w:r>
    </w:p>
    <w:p w14:paraId="60547376" w14:textId="0E56788D" w:rsidR="001B0E37" w:rsidRPr="00B01BC3" w:rsidRDefault="00B25232" w:rsidP="000F0B32">
      <w:pPr>
        <w:spacing w:line="360" w:lineRule="auto"/>
      </w:pPr>
      <w:r w:rsidRPr="00B25232">
        <w:rPr>
          <w:b/>
        </w:rPr>
        <w:t>DESIGN</w:t>
      </w:r>
      <w:r>
        <w:rPr>
          <w:b/>
        </w:rPr>
        <w:t>:</w:t>
      </w:r>
      <w:r w:rsidR="00277006">
        <w:rPr>
          <w:b/>
        </w:rPr>
        <w:t xml:space="preserve"> </w:t>
      </w:r>
      <w:r w:rsidR="00A331E5">
        <w:t>Prospective national newborn screening for SCD</w:t>
      </w:r>
      <w:r w:rsidR="008A0223">
        <w:t xml:space="preserve"> and enhanced national IPD surveillance</w:t>
      </w:r>
    </w:p>
    <w:p w14:paraId="22DE5ACC" w14:textId="622D606C" w:rsidR="001B0E37" w:rsidRDefault="00B25232" w:rsidP="00B01BC3">
      <w:pPr>
        <w:spacing w:line="360" w:lineRule="auto"/>
        <w:rPr>
          <w:rFonts w:eastAsia="MS Mincho" w:cs="Cambria"/>
        </w:rPr>
      </w:pPr>
      <w:r w:rsidRPr="00CA62CE">
        <w:rPr>
          <w:b/>
        </w:rPr>
        <w:t>PARTICIPANTS:</w:t>
      </w:r>
      <w:r w:rsidR="00CF769E">
        <w:rPr>
          <w:b/>
        </w:rPr>
        <w:t xml:space="preserve"> </w:t>
      </w:r>
      <w:r w:rsidR="00282861" w:rsidRPr="00CA62CE">
        <w:rPr>
          <w:rFonts w:eastAsia="MS Mincho" w:cs="Cambria"/>
        </w:rPr>
        <w:t xml:space="preserve">Children </w:t>
      </w:r>
      <w:r w:rsidR="00E87176">
        <w:rPr>
          <w:rFonts w:eastAsia="MS Mincho" w:cs="Cambria"/>
        </w:rPr>
        <w:t xml:space="preserve">with SCD </w:t>
      </w:r>
      <w:r w:rsidR="00282861" w:rsidRPr="00CA62CE">
        <w:rPr>
          <w:rFonts w:eastAsia="MS Mincho" w:cs="Cambria"/>
        </w:rPr>
        <w:t>born</w:t>
      </w:r>
      <w:r w:rsidR="00E87176" w:rsidRPr="00E87176">
        <w:rPr>
          <w:rFonts w:eastAsia="MS Mincho" w:cs="Cambria"/>
        </w:rPr>
        <w:t xml:space="preserve"> </w:t>
      </w:r>
      <w:r w:rsidR="00E87176">
        <w:rPr>
          <w:rFonts w:eastAsia="MS Mincho" w:cs="Cambria"/>
        </w:rPr>
        <w:t>in England</w:t>
      </w:r>
      <w:r w:rsidR="00282861" w:rsidRPr="00CA62CE">
        <w:rPr>
          <w:rFonts w:eastAsia="MS Mincho" w:cs="Cambria"/>
        </w:rPr>
        <w:t xml:space="preserve"> between </w:t>
      </w:r>
      <w:r w:rsidR="00277006">
        <w:rPr>
          <w:rFonts w:eastAsia="MS Mincho" w:cs="Cambria"/>
        </w:rPr>
        <w:t>0</w:t>
      </w:r>
      <w:r w:rsidR="00CF769E">
        <w:rPr>
          <w:rFonts w:eastAsia="MS Mincho" w:cs="Cambria"/>
        </w:rPr>
        <w:t>1</w:t>
      </w:r>
      <w:r w:rsidR="00023448">
        <w:rPr>
          <w:rFonts w:eastAsia="MS Mincho" w:cs="Cambria"/>
        </w:rPr>
        <w:t xml:space="preserve"> September </w:t>
      </w:r>
      <w:r w:rsidR="00277006">
        <w:rPr>
          <w:rFonts w:eastAsia="MS Mincho" w:cs="Cambria"/>
        </w:rPr>
        <w:t>20</w:t>
      </w:r>
      <w:r w:rsidR="00CF769E">
        <w:rPr>
          <w:rFonts w:eastAsia="MS Mincho" w:cs="Cambria"/>
        </w:rPr>
        <w:t>10</w:t>
      </w:r>
      <w:r w:rsidR="00282861" w:rsidRPr="00CA62CE">
        <w:rPr>
          <w:rFonts w:eastAsia="MS Mincho" w:cs="Cambria"/>
        </w:rPr>
        <w:t xml:space="preserve"> and 3</w:t>
      </w:r>
      <w:r w:rsidR="008C771A" w:rsidRPr="00CA62CE">
        <w:rPr>
          <w:rFonts w:eastAsia="MS Mincho" w:cs="Cambria"/>
        </w:rPr>
        <w:t>1</w:t>
      </w:r>
      <w:r w:rsidR="00023448">
        <w:rPr>
          <w:rFonts w:eastAsia="MS Mincho" w:cs="Cambria"/>
        </w:rPr>
        <w:t xml:space="preserve"> August </w:t>
      </w:r>
      <w:r w:rsidR="00282861" w:rsidRPr="00CA62CE">
        <w:rPr>
          <w:rFonts w:eastAsia="MS Mincho" w:cs="Cambria"/>
        </w:rPr>
        <w:t xml:space="preserve">2014 </w:t>
      </w:r>
      <w:r w:rsidR="00BB0373">
        <w:rPr>
          <w:rFonts w:eastAsia="MS Mincho" w:cs="Cambria"/>
        </w:rPr>
        <w:t>who developed</w:t>
      </w:r>
      <w:r w:rsidR="00277006">
        <w:rPr>
          <w:rFonts w:eastAsia="MS Mincho" w:cs="Cambria"/>
        </w:rPr>
        <w:t xml:space="preserve"> laboratory-confirmed </w:t>
      </w:r>
      <w:r w:rsidR="002C63BF">
        <w:rPr>
          <w:rFonts w:eastAsia="MS Mincho" w:cs="Cambria"/>
        </w:rPr>
        <w:t>IPD by</w:t>
      </w:r>
      <w:r w:rsidR="00277006">
        <w:rPr>
          <w:rFonts w:eastAsia="MS Mincho" w:cs="Cambria"/>
        </w:rPr>
        <w:t xml:space="preserve"> </w:t>
      </w:r>
      <w:r w:rsidR="001B3D6B">
        <w:rPr>
          <w:rFonts w:eastAsia="MS Mincho" w:cs="Cambria"/>
        </w:rPr>
        <w:t>31</w:t>
      </w:r>
      <w:r w:rsidR="00023448">
        <w:rPr>
          <w:rFonts w:eastAsia="MS Mincho" w:cs="Cambria"/>
        </w:rPr>
        <w:t xml:space="preserve"> December </w:t>
      </w:r>
      <w:r w:rsidR="00277006">
        <w:rPr>
          <w:rFonts w:eastAsia="MS Mincho" w:cs="Cambria"/>
        </w:rPr>
        <w:t>20</w:t>
      </w:r>
      <w:r w:rsidR="001B3D6B">
        <w:rPr>
          <w:rFonts w:eastAsia="MS Mincho" w:cs="Cambria"/>
        </w:rPr>
        <w:t xml:space="preserve">15 </w:t>
      </w:r>
      <w:r w:rsidR="001B0E37">
        <w:rPr>
          <w:rFonts w:eastAsia="MS Mincho" w:cs="Cambria"/>
        </w:rPr>
        <w:t xml:space="preserve"> </w:t>
      </w:r>
    </w:p>
    <w:p w14:paraId="474E1149" w14:textId="77777777" w:rsidR="00E87176" w:rsidRDefault="001B0E37" w:rsidP="00B01BC3">
      <w:pPr>
        <w:widowControl w:val="0"/>
        <w:autoSpaceDE w:val="0"/>
        <w:autoSpaceDN w:val="0"/>
        <w:adjustRightInd w:val="0"/>
        <w:spacing w:line="360" w:lineRule="auto"/>
        <w:rPr>
          <w:rFonts w:eastAsia="MS Mincho" w:cs="Cambria"/>
          <w:b/>
          <w:bCs/>
        </w:rPr>
      </w:pPr>
      <w:r w:rsidRPr="001B0E37">
        <w:rPr>
          <w:rFonts w:eastAsia="MS Mincho" w:cs="Cambria"/>
          <w:b/>
          <w:bCs/>
        </w:rPr>
        <w:t>MAIN OUTCOMES AND MEASURES:</w:t>
      </w:r>
      <w:r w:rsidR="002A6A0D">
        <w:rPr>
          <w:rFonts w:eastAsia="MS Mincho" w:cs="Cambria"/>
          <w:b/>
          <w:bCs/>
        </w:rPr>
        <w:t xml:space="preserve"> </w:t>
      </w:r>
      <w:r w:rsidR="00282861" w:rsidRPr="00B01BC3">
        <w:t xml:space="preserve">Risk of IPD in children with SCD compared to </w:t>
      </w:r>
      <w:r w:rsidR="00BB0373">
        <w:t xml:space="preserve">children </w:t>
      </w:r>
      <w:r w:rsidR="00282861" w:rsidRPr="00B01BC3">
        <w:t xml:space="preserve">without SCD </w:t>
      </w:r>
      <w:r w:rsidR="00477FCE">
        <w:t xml:space="preserve">during the surveillance </w:t>
      </w:r>
      <w:r w:rsidR="00BB0373">
        <w:t>period</w:t>
      </w:r>
    </w:p>
    <w:p w14:paraId="18F9FACF" w14:textId="778FAE3B" w:rsidR="00CE0106" w:rsidRPr="008A0223" w:rsidRDefault="00CE0106" w:rsidP="008A0223">
      <w:pPr>
        <w:widowControl w:val="0"/>
        <w:autoSpaceDE w:val="0"/>
        <w:autoSpaceDN w:val="0"/>
        <w:adjustRightInd w:val="0"/>
        <w:spacing w:line="360" w:lineRule="auto"/>
        <w:rPr>
          <w:rFonts w:eastAsia="MS Mincho" w:cs="Cambria"/>
          <w:b/>
          <w:bCs/>
        </w:rPr>
      </w:pPr>
      <w:r>
        <w:rPr>
          <w:rFonts w:eastAsia="MS Mincho" w:cs="Cambria"/>
          <w:b/>
          <w:bCs/>
        </w:rPr>
        <w:t>RESULTS</w:t>
      </w:r>
      <w:r w:rsidR="00EF5277">
        <w:rPr>
          <w:rFonts w:eastAsia="MS Mincho" w:cs="Cambria"/>
          <w:b/>
          <w:bCs/>
        </w:rPr>
        <w:t xml:space="preserve">: </w:t>
      </w:r>
      <w:r>
        <w:rPr>
          <w:rFonts w:eastAsia="MS Mincho" w:cs="Cambria"/>
          <w:lang w:val="en-US"/>
        </w:rPr>
        <w:t xml:space="preserve">Eleven </w:t>
      </w:r>
      <w:r w:rsidR="000F0B32" w:rsidRPr="00B01BC3">
        <w:rPr>
          <w:rFonts w:eastAsia="MS Mincho" w:cs="Cambria"/>
          <w:lang w:val="en-US"/>
        </w:rPr>
        <w:t xml:space="preserve">children </w:t>
      </w:r>
      <w:r w:rsidR="008A0223">
        <w:rPr>
          <w:rFonts w:eastAsia="MS Mincho" w:cs="Cambria"/>
          <w:lang w:val="en-US"/>
        </w:rPr>
        <w:t>homozygote for haemoglobin S (HbSS)</w:t>
      </w:r>
      <w:r w:rsidR="008A0223" w:rsidRPr="001C409F">
        <w:rPr>
          <w:rFonts w:eastAsia="MS Mincho" w:cs="Cambria"/>
          <w:lang w:val="en-US"/>
        </w:rPr>
        <w:t xml:space="preserve"> and</w:t>
      </w:r>
      <w:r w:rsidR="008A0223">
        <w:rPr>
          <w:rFonts w:eastAsia="MS Mincho" w:cs="Cambria"/>
          <w:lang w:val="en-US"/>
        </w:rPr>
        <w:t xml:space="preserve"> </w:t>
      </w:r>
      <w:r w:rsidR="008A0223" w:rsidRPr="001C409F">
        <w:rPr>
          <w:rFonts w:eastAsia="MS Mincho" w:cs="Cambria"/>
          <w:lang w:val="en-US"/>
        </w:rPr>
        <w:t>one double heterozygote</w:t>
      </w:r>
      <w:r w:rsidR="008A0223">
        <w:rPr>
          <w:rFonts w:eastAsia="MS Mincho" w:cs="Cambria"/>
          <w:lang w:val="en-US"/>
        </w:rPr>
        <w:t xml:space="preserve"> for ha</w:t>
      </w:r>
      <w:r w:rsidR="008A0223" w:rsidRPr="001C409F">
        <w:rPr>
          <w:rFonts w:eastAsia="MS Mincho" w:cs="Cambria"/>
          <w:lang w:val="en-US"/>
        </w:rPr>
        <w:t>emoglobin S and C (HbSC)</w:t>
      </w:r>
      <w:r w:rsidR="008A0223">
        <w:rPr>
          <w:rFonts w:eastAsia="MS Mincho" w:cs="Cambria"/>
          <w:lang w:val="en-US"/>
        </w:rPr>
        <w:t xml:space="preserve"> developed IPD</w:t>
      </w:r>
      <w:r w:rsidR="005C6906">
        <w:t xml:space="preserve">. </w:t>
      </w:r>
      <w:r w:rsidR="00382D94">
        <w:t>S</w:t>
      </w:r>
      <w:r w:rsidR="00185412">
        <w:t xml:space="preserve">epticaemia (n=7) </w:t>
      </w:r>
      <w:r w:rsidR="00382D94">
        <w:t xml:space="preserve">and </w:t>
      </w:r>
      <w:r w:rsidR="00216155">
        <w:t>lower respiratory tract infection</w:t>
      </w:r>
      <w:r w:rsidR="00185412">
        <w:t xml:space="preserve"> (n=4)</w:t>
      </w:r>
      <w:r w:rsidR="00382D94">
        <w:t xml:space="preserve"> were the main clinical presentation</w:t>
      </w:r>
      <w:r w:rsidR="007A578C">
        <w:t>s</w:t>
      </w:r>
      <w:r w:rsidR="00382D94">
        <w:t xml:space="preserve"> and s</w:t>
      </w:r>
      <w:r w:rsidR="00382D94" w:rsidRPr="00B01BC3">
        <w:t>erogroup 15</w:t>
      </w:r>
      <w:r w:rsidR="00382D94">
        <w:t xml:space="preserve"> </w:t>
      </w:r>
      <w:r w:rsidR="00382D94" w:rsidRPr="00B01BC3">
        <w:t>(not present in PCV13) was responsible for 73% (8/11) of cases</w:t>
      </w:r>
      <w:r w:rsidR="00382D94">
        <w:t xml:space="preserve">. </w:t>
      </w:r>
      <w:r w:rsidR="008A0223">
        <w:t xml:space="preserve">Three children with HbSS (27%) </w:t>
      </w:r>
      <w:r w:rsidR="00E954F4">
        <w:t>died compared</w:t>
      </w:r>
      <w:r w:rsidR="005C6906">
        <w:rPr>
          <w:rFonts w:eastAsia="MS Mincho" w:cs="Cambria"/>
          <w:lang w:val="en-US"/>
        </w:rPr>
        <w:t xml:space="preserve"> to </w:t>
      </w:r>
      <w:r w:rsidR="00382D94">
        <w:rPr>
          <w:rFonts w:eastAsia="MS Mincho" w:cs="Cambria"/>
          <w:lang w:val="en-US"/>
        </w:rPr>
        <w:t>&lt;5% nationally</w:t>
      </w:r>
      <w:r w:rsidR="000F0B32" w:rsidRPr="00B01BC3">
        <w:rPr>
          <w:rFonts w:eastAsia="MS Mincho" w:cs="Cambria"/>
          <w:lang w:val="en-US"/>
        </w:rPr>
        <w:t xml:space="preserve">. </w:t>
      </w:r>
      <w:r w:rsidRPr="00591042">
        <w:rPr>
          <w:rFonts w:eastAsia="MS Mincho" w:cs="Cambria"/>
          <w:lang w:val="en-US"/>
        </w:rPr>
        <w:t>Children</w:t>
      </w:r>
      <w:r w:rsidR="00C32290">
        <w:rPr>
          <w:rFonts w:eastAsia="MS Mincho" w:cs="Cambria"/>
          <w:lang w:val="en-US"/>
        </w:rPr>
        <w:t xml:space="preserve"> </w:t>
      </w:r>
      <w:r w:rsidR="000F0B32" w:rsidRPr="00591042">
        <w:rPr>
          <w:rFonts w:eastAsia="MS Mincho" w:cs="Cambria"/>
          <w:lang w:val="en-US"/>
        </w:rPr>
        <w:t xml:space="preserve">with </w:t>
      </w:r>
      <w:r w:rsidR="00CF4A7C">
        <w:rPr>
          <w:rFonts w:eastAsia="MS Mincho" w:cs="Cambria"/>
          <w:lang w:val="en-US"/>
        </w:rPr>
        <w:t>HbSS</w:t>
      </w:r>
      <w:r w:rsidR="00C32290">
        <w:rPr>
          <w:rFonts w:eastAsia="MS Mincho" w:cs="Cambria"/>
          <w:lang w:val="en-US"/>
        </w:rPr>
        <w:t xml:space="preserve"> </w:t>
      </w:r>
      <w:r w:rsidR="000F0B32" w:rsidRPr="00591042">
        <w:rPr>
          <w:rFonts w:eastAsia="MS Mincho" w:cs="Cambria"/>
          <w:lang w:val="en-US"/>
        </w:rPr>
        <w:t xml:space="preserve">had a </w:t>
      </w:r>
      <w:r w:rsidR="00CA62CE">
        <w:t>49-fold (95%CI, 27-89, p&lt;0.00</w:t>
      </w:r>
      <w:r w:rsidR="004020BC" w:rsidRPr="004020BC">
        <w:t>1)</w:t>
      </w:r>
      <w:r w:rsidR="005C6906">
        <w:t xml:space="preserve"> higher </w:t>
      </w:r>
      <w:r w:rsidR="000F0B32" w:rsidRPr="00591042">
        <w:t xml:space="preserve">risk of IPD compared </w:t>
      </w:r>
      <w:r w:rsidR="001C409F">
        <w:t xml:space="preserve">to their peers </w:t>
      </w:r>
      <w:r>
        <w:t>without SCD</w:t>
      </w:r>
      <w:r w:rsidR="005C6906">
        <w:t>.</w:t>
      </w:r>
    </w:p>
    <w:p w14:paraId="49179025" w14:textId="082E5030" w:rsidR="004020BC" w:rsidRPr="00F12C0F" w:rsidRDefault="000F0B32" w:rsidP="00F12C0F">
      <w:pPr>
        <w:spacing w:line="360" w:lineRule="auto"/>
      </w:pPr>
      <w:r w:rsidRPr="00591042">
        <w:rPr>
          <w:b/>
          <w:lang w:val="en-US"/>
        </w:rPr>
        <w:t>CONCLUSIONS</w:t>
      </w:r>
      <w:r w:rsidR="00EF5277">
        <w:rPr>
          <w:b/>
          <w:lang w:val="en-US"/>
        </w:rPr>
        <w:t xml:space="preserve">: </w:t>
      </w:r>
      <w:r w:rsidRPr="00591042">
        <w:t xml:space="preserve">Children with SCD remain at increased risk of IPD despite </w:t>
      </w:r>
      <w:r w:rsidR="00023448">
        <w:t xml:space="preserve">national </w:t>
      </w:r>
      <w:r w:rsidR="001B3D6B">
        <w:t xml:space="preserve">newborn screening, </w:t>
      </w:r>
      <w:r w:rsidR="00023448">
        <w:t xml:space="preserve">early </w:t>
      </w:r>
      <w:r w:rsidR="002016AB">
        <w:t xml:space="preserve">penicillin </w:t>
      </w:r>
      <w:r w:rsidR="002016AB" w:rsidRPr="00591042">
        <w:t>prophylaxis</w:t>
      </w:r>
      <w:r w:rsidR="001B3D6B">
        <w:t xml:space="preserve"> and </w:t>
      </w:r>
      <w:r w:rsidR="00023448">
        <w:t>high pneumococcal vaccine uptake.</w:t>
      </w:r>
      <w:r w:rsidR="001B3D6B">
        <w:t xml:space="preserve">  </w:t>
      </w:r>
      <w:r w:rsidRPr="00591042">
        <w:t>They are also more likely to die of their infection</w:t>
      </w:r>
      <w:r w:rsidR="00CE0106">
        <w:t xml:space="preserve"> compared to </w:t>
      </w:r>
      <w:r w:rsidR="00FA45D2">
        <w:t>their peers without SCD</w:t>
      </w:r>
      <w:r w:rsidRPr="00591042">
        <w:t xml:space="preserve">. </w:t>
      </w:r>
      <w:r w:rsidR="00CE0106">
        <w:t>M</w:t>
      </w:r>
      <w:r w:rsidRPr="00591042">
        <w:t xml:space="preserve">ost </w:t>
      </w:r>
      <w:r w:rsidR="00CA62CE">
        <w:t xml:space="preserve">IPD </w:t>
      </w:r>
      <w:r w:rsidRPr="00591042">
        <w:t xml:space="preserve">cases are now due to serotypes not covered by PCV13. </w:t>
      </w:r>
      <w:r w:rsidR="00185412" w:rsidRPr="00591042">
        <w:t>Healthcare professionals need to work more closely with fami</w:t>
      </w:r>
      <w:r w:rsidR="007358CC">
        <w:t xml:space="preserve">lies </w:t>
      </w:r>
      <w:r w:rsidR="00023448">
        <w:t xml:space="preserve">with SCD </w:t>
      </w:r>
      <w:r w:rsidR="007358CC">
        <w:t xml:space="preserve">and </w:t>
      </w:r>
      <w:r w:rsidR="00023448">
        <w:t xml:space="preserve">local </w:t>
      </w:r>
      <w:r w:rsidR="007358CC">
        <w:t>communities to emphasi</w:t>
      </w:r>
      <w:r w:rsidR="00023448">
        <w:t>s</w:t>
      </w:r>
      <w:r w:rsidR="00185412" w:rsidRPr="00591042">
        <w:t>e</w:t>
      </w:r>
      <w:r w:rsidR="00E87176">
        <w:t xml:space="preserve"> the </w:t>
      </w:r>
      <w:r w:rsidR="00185412" w:rsidRPr="00591042">
        <w:t xml:space="preserve">importance of </w:t>
      </w:r>
      <w:r w:rsidR="000F41DB">
        <w:t xml:space="preserve">penicillin </w:t>
      </w:r>
      <w:r w:rsidR="00185412" w:rsidRPr="00591042">
        <w:t xml:space="preserve">prophylaxis, </w:t>
      </w:r>
      <w:r w:rsidR="000326C3" w:rsidRPr="0070734B">
        <w:t>explore barriers, allay misguided beliefs</w:t>
      </w:r>
      <w:r w:rsidR="000326C3">
        <w:t xml:space="preserve"> </w:t>
      </w:r>
      <w:r w:rsidR="00185412" w:rsidRPr="00591042">
        <w:t xml:space="preserve">and facilitate rapid access to healthcare. </w:t>
      </w:r>
    </w:p>
    <w:p w14:paraId="2801B715" w14:textId="77777777" w:rsidR="00794750" w:rsidRDefault="00794750" w:rsidP="004020BC">
      <w:pPr>
        <w:spacing w:line="360" w:lineRule="auto"/>
        <w:rPr>
          <w:rFonts w:ascii="Helvetica" w:eastAsia="Times New Roman" w:hAnsi="Helvetica"/>
          <w:b/>
          <w:bCs/>
          <w:color w:val="000000"/>
          <w:sz w:val="24"/>
          <w:szCs w:val="24"/>
          <w:lang w:eastAsia="en-GB"/>
        </w:rPr>
      </w:pPr>
    </w:p>
    <w:p w14:paraId="3574A548" w14:textId="77777777" w:rsidR="00B40519" w:rsidRDefault="00B40519">
      <w:pPr>
        <w:spacing w:after="0" w:line="240" w:lineRule="auto"/>
        <w:rPr>
          <w:rFonts w:ascii="Times New Roman" w:hAnsi="Times New Roman"/>
          <w:b/>
          <w:sz w:val="24"/>
          <w:szCs w:val="24"/>
        </w:rPr>
      </w:pPr>
      <w:r>
        <w:rPr>
          <w:rFonts w:ascii="Times New Roman" w:hAnsi="Times New Roman"/>
          <w:b/>
          <w:sz w:val="24"/>
          <w:szCs w:val="24"/>
        </w:rPr>
        <w:br w:type="page"/>
      </w:r>
    </w:p>
    <w:p w14:paraId="64D959B9" w14:textId="65A15235" w:rsidR="00DF037B" w:rsidRDefault="00F12C0F" w:rsidP="004020BC">
      <w:pPr>
        <w:spacing w:line="360" w:lineRule="auto"/>
        <w:rPr>
          <w:rFonts w:ascii="Times New Roman" w:hAnsi="Times New Roman"/>
          <w:b/>
          <w:sz w:val="24"/>
          <w:szCs w:val="24"/>
        </w:rPr>
      </w:pPr>
      <w:r>
        <w:rPr>
          <w:rFonts w:ascii="Times New Roman" w:hAnsi="Times New Roman"/>
          <w:b/>
          <w:sz w:val="24"/>
          <w:szCs w:val="24"/>
        </w:rPr>
        <w:lastRenderedPageBreak/>
        <w:t xml:space="preserve">What’s Known </w:t>
      </w:r>
      <w:r w:rsidR="000F41DB">
        <w:rPr>
          <w:rFonts w:ascii="Times New Roman" w:hAnsi="Times New Roman"/>
          <w:b/>
          <w:sz w:val="24"/>
          <w:szCs w:val="24"/>
        </w:rPr>
        <w:t xml:space="preserve">on </w:t>
      </w:r>
      <w:r>
        <w:rPr>
          <w:rFonts w:ascii="Times New Roman" w:hAnsi="Times New Roman"/>
          <w:b/>
          <w:sz w:val="24"/>
          <w:szCs w:val="24"/>
        </w:rPr>
        <w:t xml:space="preserve">This Subject? </w:t>
      </w:r>
    </w:p>
    <w:p w14:paraId="0153F7C9" w14:textId="78DB95FD" w:rsidR="00DF037B" w:rsidRDefault="00DF037B" w:rsidP="004020BC">
      <w:pPr>
        <w:spacing w:line="360" w:lineRule="auto"/>
        <w:rPr>
          <w:rFonts w:ascii="Times New Roman" w:hAnsi="Times New Roman"/>
          <w:sz w:val="24"/>
          <w:szCs w:val="24"/>
        </w:rPr>
      </w:pPr>
      <w:r>
        <w:rPr>
          <w:rFonts w:ascii="Times New Roman" w:hAnsi="Times New Roman"/>
          <w:sz w:val="24"/>
          <w:szCs w:val="24"/>
        </w:rPr>
        <w:t xml:space="preserve">Pneumococcal conjugate vaccines (PCV) are highly effective </w:t>
      </w:r>
      <w:r w:rsidR="000F41DB">
        <w:rPr>
          <w:rFonts w:ascii="Times New Roman" w:hAnsi="Times New Roman"/>
          <w:sz w:val="24"/>
          <w:szCs w:val="24"/>
        </w:rPr>
        <w:t xml:space="preserve">at </w:t>
      </w:r>
      <w:r>
        <w:rPr>
          <w:rFonts w:ascii="Times New Roman" w:hAnsi="Times New Roman"/>
          <w:sz w:val="24"/>
          <w:szCs w:val="24"/>
        </w:rPr>
        <w:t>preventing invasive pneumococcal disease (IPD) across all age groups through direct and indirect (herd) protection.</w:t>
      </w:r>
    </w:p>
    <w:p w14:paraId="0D558AE0" w14:textId="77777777" w:rsidR="00DF037B" w:rsidRDefault="00DF037B" w:rsidP="004020BC">
      <w:pPr>
        <w:spacing w:line="360" w:lineRule="auto"/>
        <w:rPr>
          <w:rFonts w:ascii="Times New Roman" w:hAnsi="Times New Roman"/>
          <w:sz w:val="24"/>
          <w:szCs w:val="24"/>
        </w:rPr>
      </w:pPr>
      <w:r>
        <w:rPr>
          <w:rFonts w:ascii="Times New Roman" w:hAnsi="Times New Roman"/>
          <w:sz w:val="24"/>
          <w:szCs w:val="24"/>
        </w:rPr>
        <w:t xml:space="preserve">The UK introduced the 7-valent PCV </w:t>
      </w:r>
      <w:r w:rsidR="00104B6F">
        <w:rPr>
          <w:rFonts w:ascii="Times New Roman" w:hAnsi="Times New Roman"/>
          <w:sz w:val="24"/>
          <w:szCs w:val="24"/>
        </w:rPr>
        <w:t>into the national childhood immunisation programme in 2006, which was replaced with the 13-valent PCV (PCV13) in April 2010.</w:t>
      </w:r>
    </w:p>
    <w:p w14:paraId="7097F9EA" w14:textId="1B1609D7" w:rsidR="00104B6F" w:rsidRDefault="00104B6F" w:rsidP="004020BC">
      <w:pPr>
        <w:spacing w:line="360" w:lineRule="auto"/>
        <w:rPr>
          <w:rFonts w:ascii="Times New Roman" w:hAnsi="Times New Roman"/>
          <w:sz w:val="24"/>
          <w:szCs w:val="24"/>
        </w:rPr>
      </w:pPr>
      <w:r>
        <w:rPr>
          <w:rFonts w:ascii="Times New Roman" w:hAnsi="Times New Roman"/>
          <w:sz w:val="24"/>
          <w:szCs w:val="24"/>
        </w:rPr>
        <w:t>In the pre-PCV era, children with sickle cell disease (SCD) had a &gt;600-fold increased risk of IPD, with more severe disease and higher case fatality</w:t>
      </w:r>
      <w:r w:rsidR="0081522D">
        <w:rPr>
          <w:rFonts w:ascii="Times New Roman" w:hAnsi="Times New Roman"/>
          <w:sz w:val="24"/>
          <w:szCs w:val="24"/>
        </w:rPr>
        <w:t>.</w:t>
      </w:r>
      <w:r>
        <w:rPr>
          <w:rFonts w:ascii="Times New Roman" w:hAnsi="Times New Roman"/>
          <w:sz w:val="24"/>
          <w:szCs w:val="24"/>
        </w:rPr>
        <w:t xml:space="preserve"> </w:t>
      </w:r>
    </w:p>
    <w:p w14:paraId="115B7C23" w14:textId="77777777" w:rsidR="00104B6F" w:rsidRDefault="00F12C0F" w:rsidP="00C4261A">
      <w:pPr>
        <w:spacing w:line="360" w:lineRule="auto"/>
        <w:rPr>
          <w:rFonts w:ascii="Times New Roman" w:hAnsi="Times New Roman"/>
          <w:b/>
          <w:sz w:val="24"/>
          <w:szCs w:val="24"/>
        </w:rPr>
      </w:pPr>
      <w:r w:rsidRPr="006C335D">
        <w:rPr>
          <w:rFonts w:ascii="Times New Roman" w:hAnsi="Times New Roman"/>
          <w:b/>
          <w:sz w:val="24"/>
          <w:szCs w:val="24"/>
        </w:rPr>
        <w:t>What This Study Adds</w:t>
      </w:r>
      <w:r>
        <w:rPr>
          <w:rFonts w:ascii="Times New Roman" w:hAnsi="Times New Roman"/>
          <w:b/>
          <w:sz w:val="24"/>
          <w:szCs w:val="24"/>
        </w:rPr>
        <w:t>?</w:t>
      </w:r>
    </w:p>
    <w:p w14:paraId="7DB5F8CB" w14:textId="36DFBF50" w:rsidR="00104B6F" w:rsidRDefault="00104B6F" w:rsidP="00C4261A">
      <w:pPr>
        <w:spacing w:line="360" w:lineRule="auto"/>
        <w:rPr>
          <w:rFonts w:ascii="Times New Roman" w:eastAsia="MS Mincho" w:hAnsi="Times New Roman"/>
          <w:sz w:val="24"/>
          <w:szCs w:val="24"/>
          <w:lang w:val="en-US"/>
        </w:rPr>
      </w:pPr>
      <w:r>
        <w:rPr>
          <w:rFonts w:ascii="Times New Roman" w:eastAsia="MS Mincho" w:hAnsi="Times New Roman"/>
          <w:sz w:val="24"/>
          <w:szCs w:val="24"/>
          <w:lang w:val="en-US"/>
        </w:rPr>
        <w:t>In the PCV13 era, c</w:t>
      </w:r>
      <w:r w:rsidR="00F12C0F" w:rsidRPr="006C335D">
        <w:rPr>
          <w:rFonts w:ascii="Times New Roman" w:eastAsia="MS Mincho" w:hAnsi="Times New Roman"/>
          <w:sz w:val="24"/>
          <w:szCs w:val="24"/>
          <w:lang w:val="en-US"/>
        </w:rPr>
        <w:t xml:space="preserve">hildren with </w:t>
      </w:r>
      <w:r w:rsidR="000F41DB" w:rsidRPr="000F41DB">
        <w:rPr>
          <w:rFonts w:ascii="Times New Roman" w:eastAsia="MS Mincho" w:hAnsi="Times New Roman"/>
          <w:sz w:val="24"/>
          <w:szCs w:val="24"/>
          <w:lang w:val="en-US"/>
        </w:rPr>
        <w:t>sickle cell disease (SCD</w:t>
      </w:r>
      <w:r w:rsidR="00606D6D" w:rsidRPr="000F41DB">
        <w:rPr>
          <w:rFonts w:ascii="Times New Roman" w:eastAsia="MS Mincho" w:hAnsi="Times New Roman"/>
          <w:sz w:val="24"/>
          <w:szCs w:val="24"/>
          <w:lang w:val="en-US"/>
        </w:rPr>
        <w:t xml:space="preserve">) </w:t>
      </w:r>
      <w:r w:rsidR="00606D6D" w:rsidRPr="006C335D">
        <w:rPr>
          <w:rFonts w:ascii="Times New Roman" w:eastAsia="MS Mincho" w:hAnsi="Times New Roman"/>
          <w:sz w:val="24"/>
          <w:szCs w:val="24"/>
          <w:lang w:val="en-US"/>
        </w:rPr>
        <w:t>remain</w:t>
      </w:r>
      <w:r>
        <w:rPr>
          <w:rFonts w:ascii="Times New Roman" w:eastAsia="MS Mincho" w:hAnsi="Times New Roman"/>
          <w:sz w:val="24"/>
          <w:szCs w:val="24"/>
          <w:lang w:val="en-US"/>
        </w:rPr>
        <w:t xml:space="preserve"> </w:t>
      </w:r>
      <w:r w:rsidR="00F12C0F" w:rsidRPr="006C335D">
        <w:rPr>
          <w:rFonts w:ascii="Times New Roman" w:eastAsia="MS Mincho" w:hAnsi="Times New Roman"/>
          <w:sz w:val="24"/>
          <w:szCs w:val="24"/>
          <w:lang w:val="en-US"/>
        </w:rPr>
        <w:t xml:space="preserve">49 times more likely to develop IPD and </w:t>
      </w:r>
      <w:r w:rsidR="00A36E77">
        <w:rPr>
          <w:rFonts w:ascii="Times New Roman" w:eastAsia="MS Mincho" w:hAnsi="Times New Roman"/>
          <w:sz w:val="24"/>
          <w:szCs w:val="24"/>
          <w:lang w:val="en-US"/>
        </w:rPr>
        <w:t>&gt;5</w:t>
      </w:r>
      <w:r w:rsidRPr="006C335D">
        <w:rPr>
          <w:rFonts w:ascii="Times New Roman" w:eastAsia="MS Mincho" w:hAnsi="Times New Roman"/>
          <w:sz w:val="24"/>
          <w:szCs w:val="24"/>
          <w:lang w:val="en-US"/>
        </w:rPr>
        <w:t xml:space="preserve"> </w:t>
      </w:r>
      <w:r w:rsidR="00F12C0F" w:rsidRPr="006C335D">
        <w:rPr>
          <w:rFonts w:ascii="Times New Roman" w:eastAsia="MS Mincho" w:hAnsi="Times New Roman"/>
          <w:sz w:val="24"/>
          <w:szCs w:val="24"/>
          <w:lang w:val="en-US"/>
        </w:rPr>
        <w:t>times more likely to die</w:t>
      </w:r>
      <w:r>
        <w:rPr>
          <w:rFonts w:ascii="Times New Roman" w:eastAsia="MS Mincho" w:hAnsi="Times New Roman"/>
          <w:sz w:val="24"/>
          <w:szCs w:val="24"/>
          <w:lang w:val="en-US"/>
        </w:rPr>
        <w:t xml:space="preserve"> of their infection</w:t>
      </w:r>
      <w:r w:rsidR="00F12C0F" w:rsidRPr="006C335D">
        <w:rPr>
          <w:rFonts w:ascii="Times New Roman" w:eastAsia="MS Mincho" w:hAnsi="Times New Roman"/>
          <w:sz w:val="24"/>
          <w:szCs w:val="24"/>
          <w:lang w:val="en-US"/>
        </w:rPr>
        <w:t>.</w:t>
      </w:r>
    </w:p>
    <w:p w14:paraId="491678C9" w14:textId="77777777" w:rsidR="006442BB" w:rsidRDefault="00104B6F" w:rsidP="00C4261A">
      <w:pPr>
        <w:spacing w:line="360" w:lineRule="auto"/>
        <w:rPr>
          <w:rFonts w:ascii="Times New Roman" w:hAnsi="Times New Roman"/>
          <w:sz w:val="24"/>
          <w:szCs w:val="24"/>
        </w:rPr>
      </w:pPr>
      <w:r>
        <w:rPr>
          <w:rFonts w:ascii="Times New Roman" w:hAnsi="Times New Roman"/>
          <w:sz w:val="24"/>
          <w:szCs w:val="24"/>
        </w:rPr>
        <w:t>Most IPD cases in children with SCD are due to pneumococcal serotypes that are not covered by PCV13</w:t>
      </w:r>
      <w:r w:rsidR="006442BB">
        <w:rPr>
          <w:rFonts w:ascii="Times New Roman" w:hAnsi="Times New Roman"/>
          <w:sz w:val="24"/>
          <w:szCs w:val="24"/>
        </w:rPr>
        <w:t xml:space="preserve">. </w:t>
      </w:r>
    </w:p>
    <w:p w14:paraId="7E24865D" w14:textId="6953673E" w:rsidR="00F12C0F" w:rsidRDefault="006442BB" w:rsidP="004020BC">
      <w:pPr>
        <w:spacing w:line="360" w:lineRule="auto"/>
        <w:rPr>
          <w:rFonts w:ascii="Helvetica" w:eastAsia="Times New Roman" w:hAnsi="Helvetica"/>
          <w:b/>
          <w:bCs/>
          <w:color w:val="000000"/>
          <w:sz w:val="24"/>
          <w:szCs w:val="24"/>
          <w:lang w:eastAsia="en-GB"/>
        </w:rPr>
      </w:pPr>
      <w:r w:rsidRPr="00C4261A">
        <w:rPr>
          <w:rFonts w:ascii="Times New Roman" w:hAnsi="Times New Roman"/>
          <w:sz w:val="24"/>
          <w:szCs w:val="24"/>
        </w:rPr>
        <w:t xml:space="preserve">Healthcare professionals must continue working closely with families and </w:t>
      </w:r>
      <w:r w:rsidR="000F41DB" w:rsidRPr="00C4261A">
        <w:rPr>
          <w:rFonts w:ascii="Times New Roman" w:hAnsi="Times New Roman"/>
          <w:sz w:val="24"/>
          <w:szCs w:val="24"/>
        </w:rPr>
        <w:t xml:space="preserve">local </w:t>
      </w:r>
      <w:r w:rsidRPr="00C4261A">
        <w:rPr>
          <w:rFonts w:ascii="Times New Roman" w:hAnsi="Times New Roman"/>
          <w:sz w:val="24"/>
          <w:szCs w:val="24"/>
        </w:rPr>
        <w:t xml:space="preserve">communities to </w:t>
      </w:r>
      <w:r>
        <w:rPr>
          <w:rFonts w:ascii="Times New Roman" w:hAnsi="Times New Roman"/>
          <w:sz w:val="24"/>
          <w:szCs w:val="24"/>
        </w:rPr>
        <w:t>highlight</w:t>
      </w:r>
      <w:r w:rsidRPr="00C4261A">
        <w:rPr>
          <w:rFonts w:ascii="Times New Roman" w:hAnsi="Times New Roman"/>
          <w:sz w:val="24"/>
          <w:szCs w:val="24"/>
        </w:rPr>
        <w:t xml:space="preserve"> the importance of </w:t>
      </w:r>
      <w:r>
        <w:rPr>
          <w:rFonts w:ascii="Times New Roman" w:hAnsi="Times New Roman"/>
          <w:sz w:val="24"/>
          <w:szCs w:val="24"/>
        </w:rPr>
        <w:t xml:space="preserve">long-term </w:t>
      </w:r>
      <w:r w:rsidRPr="00C4261A">
        <w:rPr>
          <w:rFonts w:ascii="Times New Roman" w:hAnsi="Times New Roman"/>
          <w:sz w:val="24"/>
          <w:szCs w:val="24"/>
        </w:rPr>
        <w:t xml:space="preserve">penicillin prophylaxis, and </w:t>
      </w:r>
      <w:r>
        <w:rPr>
          <w:rFonts w:ascii="Times New Roman" w:hAnsi="Times New Roman"/>
          <w:sz w:val="24"/>
          <w:szCs w:val="24"/>
        </w:rPr>
        <w:t xml:space="preserve">to </w:t>
      </w:r>
      <w:r w:rsidRPr="00C4261A">
        <w:rPr>
          <w:rFonts w:ascii="Times New Roman" w:hAnsi="Times New Roman"/>
          <w:sz w:val="24"/>
          <w:szCs w:val="24"/>
        </w:rPr>
        <w:t xml:space="preserve">facilitate rapid </w:t>
      </w:r>
      <w:r>
        <w:rPr>
          <w:rFonts w:ascii="Times New Roman" w:hAnsi="Times New Roman"/>
          <w:sz w:val="24"/>
          <w:szCs w:val="24"/>
        </w:rPr>
        <w:t xml:space="preserve">healthcare </w:t>
      </w:r>
      <w:r w:rsidRPr="00C4261A">
        <w:rPr>
          <w:rFonts w:ascii="Times New Roman" w:hAnsi="Times New Roman"/>
          <w:sz w:val="24"/>
          <w:szCs w:val="24"/>
        </w:rPr>
        <w:t xml:space="preserve">access </w:t>
      </w:r>
    </w:p>
    <w:p w14:paraId="5A43ABB3" w14:textId="77777777" w:rsidR="00FC251F" w:rsidRDefault="00FC251F" w:rsidP="004F2156">
      <w:pPr>
        <w:spacing w:line="360" w:lineRule="auto"/>
        <w:rPr>
          <w:b/>
          <w:sz w:val="28"/>
          <w:szCs w:val="28"/>
        </w:rPr>
      </w:pPr>
    </w:p>
    <w:p w14:paraId="24F1DCDD" w14:textId="77777777" w:rsidR="00B40519" w:rsidRDefault="00B40519">
      <w:pPr>
        <w:spacing w:after="0" w:line="240" w:lineRule="auto"/>
        <w:rPr>
          <w:b/>
          <w:sz w:val="28"/>
        </w:rPr>
      </w:pPr>
      <w:r>
        <w:rPr>
          <w:b/>
          <w:sz w:val="28"/>
        </w:rPr>
        <w:br w:type="page"/>
      </w:r>
    </w:p>
    <w:p w14:paraId="711ECD10" w14:textId="56F58B67" w:rsidR="004E704B" w:rsidRPr="001C409F" w:rsidRDefault="00905337" w:rsidP="004F2156">
      <w:pPr>
        <w:spacing w:line="360" w:lineRule="auto"/>
        <w:rPr>
          <w:b/>
          <w:sz w:val="28"/>
        </w:rPr>
      </w:pPr>
      <w:r w:rsidRPr="001C409F">
        <w:rPr>
          <w:b/>
          <w:sz w:val="28"/>
        </w:rPr>
        <w:lastRenderedPageBreak/>
        <w:t>Introduction</w:t>
      </w:r>
      <w:r w:rsidR="006B24B9" w:rsidRPr="001C409F">
        <w:rPr>
          <w:b/>
          <w:sz w:val="28"/>
        </w:rPr>
        <w:t> </w:t>
      </w:r>
    </w:p>
    <w:p w14:paraId="45ADD340" w14:textId="12962989" w:rsidR="00023F93" w:rsidRPr="001C409F" w:rsidRDefault="00D03026" w:rsidP="004F2156">
      <w:pPr>
        <w:spacing w:line="360" w:lineRule="auto"/>
      </w:pPr>
      <w:r w:rsidRPr="001C409F">
        <w:t xml:space="preserve">Children with </w:t>
      </w:r>
      <w:r>
        <w:t>sickle cell disease (SCD) o</w:t>
      </w:r>
      <w:r w:rsidRPr="001C409F">
        <w:t>ften have functional</w:t>
      </w:r>
      <w:r>
        <w:t xml:space="preserve"> </w:t>
      </w:r>
      <w:r w:rsidRPr="001C409F">
        <w:t>asplenia, with dysfunctional antibody production and poor opsonophagocytosis, making them</w:t>
      </w:r>
      <w:r>
        <w:t xml:space="preserve"> </w:t>
      </w:r>
      <w:r w:rsidRPr="001C409F">
        <w:t xml:space="preserve">susceptible to encapsulated bacteria, especially </w:t>
      </w:r>
      <w:r w:rsidRPr="001C409F">
        <w:rPr>
          <w:i/>
        </w:rPr>
        <w:t>Streptococcus pneumoniae</w:t>
      </w:r>
      <w:r w:rsidRPr="001C409F">
        <w:t>.</w:t>
      </w:r>
      <w:r w:rsidRPr="001C409F">
        <w:fldChar w:fldCharType="begin" w:fldLock="1"/>
      </w:r>
      <w:r w:rsidR="00C2513F">
        <w:instrText>ADDIN CSL_CITATION { "citationItems" : [ { "id" : "ITEM-1", "itemData" : { "ISBN" : "0003-9764; 0003-9764", "abstract" : "On the occasion of 34 spleen scintigrams performed in children with sickle cell anemia, the frequency and precocity of the \"functional asplenia\" is emphasized and its relationship with the infectious history of such children is discussed. The anti-bacterial role of the spleen and the responsibility, at least partial, or asplenia in the susceptibility of patients with sickle cell anemia to infections, especially pneumococcal ones, are reviewed. The pathophysiologic mechanism of functional asplenia is then discussed. The author concludes that asplenia has no predictive value in selecting children \"at risk\" for infection and stresses the necessity of a systematic prevention by penicillin therapy and antipneumococcal vaccination in such patients before 4 years of age.", "author" : [ { "dropping-particle" : "", "family" : "Beauvais", "given" : "P", "non-dropping-particle" : "", "parse-names" : false, "suffix" : "" } ], "container-title" : "Archives Francaises de Pediatrie", "id" : "ITEM-1", "issue" : "3", "issued" : { "date-parts" : [ [ "1982" ] ] }, "page" : "141-144", "title" : "Sickle cell anemia and functional asplenia (author's transl)", "type" : "article-journal", "volume" : "39" }, "uris" : [ "http://www.mendeley.com/documents/?uuid=713b623b-1620-4bb0-98da-3036bbb15bb7" ] } ], "mendeley" : { "formattedCitation" : "&lt;sup&gt;1&lt;/sup&gt;", "plainTextFormattedCitation" : "1", "previouslyFormattedCitation" : "&lt;sup&gt;1&lt;/sup&gt;" }, "properties" : { "noteIndex" : 0 }, "schema" : "https://github.com/citation-style-language/schema/raw/master/csl-citation.json" }</w:instrText>
      </w:r>
      <w:r w:rsidRPr="001C409F">
        <w:fldChar w:fldCharType="separate"/>
      </w:r>
      <w:r w:rsidR="00C2513F" w:rsidRPr="00C2513F">
        <w:rPr>
          <w:noProof/>
          <w:vertAlign w:val="superscript"/>
        </w:rPr>
        <w:t>1</w:t>
      </w:r>
      <w:r w:rsidRPr="001C409F">
        <w:fldChar w:fldCharType="end"/>
      </w:r>
      <w:r w:rsidRPr="001C409F">
        <w:rPr>
          <w:rFonts w:eastAsia="MS Mincho" w:cs="Cambria"/>
          <w:vertAlign w:val="superscript"/>
          <w:lang w:val="en-US"/>
        </w:rPr>
        <w:t>,</w:t>
      </w:r>
      <w:r w:rsidRPr="001C409F">
        <w:fldChar w:fldCharType="begin" w:fldLock="1"/>
      </w:r>
      <w:r w:rsidR="00C2513F">
        <w:instrText>ADDIN CSL_CITATION { "citationItems" : [ { "id" : "ITEM-1", "itemData" : { "ISSN" : "1545-5009", "PMID" : "20232448", "abstract" : "Individuals with sickle cell disease (SCD) demonstrate an increased susceptibility to invasive bacterial infections (IBI). The most common organisms causing IBI are Streptococcus pneumoniae, nontyphi Salmonella species and Haemophilus influenzae type b (Hib). IBI are the most common causes of death in children below 5 years of age with SCD. Increased susceptibility to IBI is because of several factors including dysfunctional antibody production and opsonophagocytosis as well as defective splenic clearance. Early diagnosis of Hib and pneumococcal infections combined with antibiotic prophylaxis and immunization programs, could lead to significant improvements in mortality, especially in Africa.", "author" : [ { "dropping-particle" : "", "family" : "Battersby", "given" : "A J", "non-dropping-particle" : "", "parse-names" : false, "suffix" : "" }, { "dropping-particle" : "", "family" : "Knox-Macaulay", "given" : "H H M", "non-dropping-particle" : "", "parse-names" : false, "suffix" : "" }, { "dropping-particle" : "", "family" : "Carrol", "given" : "E D", "non-dropping-particle" : "", "parse-names" : false, "suffix" : "" } ], "container-title" : "Pediatr Blood Cancer", "id" : "ITEM-1", "issue" : "3", "issued" : { "date-parts" : [ [ "2010" ] ] }, "page" : "401-406", "title" : "Susceptibility to invasive bacterial infections in children with sickle cell disease", "type" : "article-journal", "volume" : "55" }, "uris" : [ "http://www.mendeley.com/documents/?uuid=c56139e3-e2f4-4ba1-9a56-0d77ca273ed6" ] } ], "mendeley" : { "formattedCitation" : "&lt;sup&gt;2&lt;/sup&gt;", "plainTextFormattedCitation" : "2", "previouslyFormattedCitation" : "&lt;sup&gt;2&lt;/sup&gt;" }, "properties" : { "noteIndex" : 0 }, "schema" : "https://github.com/citation-style-language/schema/raw/master/csl-citation.json" }</w:instrText>
      </w:r>
      <w:r w:rsidRPr="001C409F">
        <w:fldChar w:fldCharType="separate"/>
      </w:r>
      <w:r w:rsidR="00C2513F" w:rsidRPr="00C2513F">
        <w:rPr>
          <w:noProof/>
          <w:vertAlign w:val="superscript"/>
        </w:rPr>
        <w:t>2</w:t>
      </w:r>
      <w:r w:rsidRPr="001C409F">
        <w:fldChar w:fldCharType="end"/>
      </w:r>
      <w:r w:rsidRPr="001C409F">
        <w:rPr>
          <w:rFonts w:eastAsia="MS Mincho" w:cs="Cambria"/>
          <w:vertAlign w:val="superscript"/>
          <w:lang w:val="en-US"/>
        </w:rPr>
        <w:t>,</w:t>
      </w:r>
      <w:r w:rsidRPr="001C409F">
        <w:fldChar w:fldCharType="begin" w:fldLock="1"/>
      </w:r>
      <w:r w:rsidR="00C2513F">
        <w:instrText>ADDIN CSL_CITATION { "citationItems" : [ { "id" : "ITEM-1", "itemData" : { "DOI" : "10.1093/infdis/136", "ISBN" : "0022-1899; 0022-1899", "ISSN" : "0022-1899", "PMID" : "330779", "abstract" : "Overwhelming infections caused by encapsulated bacteria are an important cause of morbidity and death in children with sickle cell anemia. The most important contributing factors to this increased susceptibility to infections are an opsonophagocytic defect due to an abnormality of the alternate pathway of complement activation, a state of functional hyposplenia, and a lack of specific circulating antibodies as a developmental phenomenon. If the inordinately high, early mortality rate associated with sickle cell anemia is to be prevented, early diagnosis of affected infants is crucial. Prophylactic therapy with penicillin has been advocated in recognition of the fact that a majority of the causative organisms are sensitive to penicillin. However, no controlled studies have proved the effectiveness of such therapy. Immunization with broadly polyvalent vaccines against Streptococcus pneumoniae, Haemophilus influenzae type b, and Neisseria meningitidis may ultimately represent the most effective way to reduce the incidence of catastrophic infections.", "author" : [ { "dropping-particle" : "", "family" : "Pearson", "given" : "H A", "non-dropping-particle" : "", "parse-names" : false, "suffix" : "" } ], "container-title" : "The Journal of infectious diseases", "id" : "ITEM-1", "issued" : { "date-parts" : [ [ "1977" ] ] }, "page" : "S25-S30", "title" : "Sickle cell anemia and severe infections due to encapsulated bacteria.", "type" : "article-journal", "volume" : "136 Suppl" }, "uris" : [ "http://www.mendeley.com/documents/?uuid=97905918-0280-498b-aff4-22c89ab3b69f" ] } ], "mendeley" : { "formattedCitation" : "&lt;sup&gt;3&lt;/sup&gt;", "plainTextFormattedCitation" : "3", "previouslyFormattedCitation" : "&lt;sup&gt;3&lt;/sup&gt;" }, "properties" : { "noteIndex" : 0 }, "schema" : "https://github.com/citation-style-language/schema/raw/master/csl-citation.json" }</w:instrText>
      </w:r>
      <w:r w:rsidRPr="001C409F">
        <w:fldChar w:fldCharType="separate"/>
      </w:r>
      <w:r w:rsidR="00C2513F" w:rsidRPr="00C2513F">
        <w:rPr>
          <w:noProof/>
          <w:vertAlign w:val="superscript"/>
        </w:rPr>
        <w:t>3</w:t>
      </w:r>
      <w:r w:rsidRPr="001C409F">
        <w:fldChar w:fldCharType="end"/>
      </w:r>
      <w:r>
        <w:t xml:space="preserve"> </w:t>
      </w:r>
      <w:r w:rsidR="000E6199">
        <w:t xml:space="preserve">In the absence of any intervention, </w:t>
      </w:r>
      <w:r>
        <w:t>children with SCD have</w:t>
      </w:r>
      <w:r w:rsidR="000E6199">
        <w:t xml:space="preserve"> a 600-fold higher risk of </w:t>
      </w:r>
      <w:r>
        <w:t>invasive pneumococcal disease (</w:t>
      </w:r>
      <w:r w:rsidR="000E6199">
        <w:t>IPD</w:t>
      </w:r>
      <w:r>
        <w:t>)</w:t>
      </w:r>
      <w:r w:rsidR="000E6199">
        <w:t xml:space="preserve"> compared to their healthy peers.</w:t>
      </w:r>
      <w:r w:rsidR="00C2513F">
        <w:fldChar w:fldCharType="begin" w:fldLock="1"/>
      </w:r>
      <w:r w:rsidR="00C2513F">
        <w:instrText>ADDIN CSL_CITATION { "citationItems" : [ { "id" : "ITEM-1", "itemData" : { "DOI" : "10.1001/archpedi.1977.02120200066014", "ISSN" : "23742976", "abstract" : "A total of 422 patients with sickle cell disorders have been observed for 3,442 patient years. During this period, 53 episodes of septicemia or meningitis occurred, indicating a risk of 12.5% from these infections for each individual. If only patients with SS hemoglobinopathy (sickle cell anemia) (323 patients) are considered, the risk was 15.2%. The case fatality ratios for sepsis and meningitis were 35% and 10%, respectively. Disease due to Streptococcus pneumoniae occurred, almost exclusively, among children with SS hemoglobinopathy who were less than 5 years of age. After the first decade, illnesses among patients with all types of sickle cell disorders were frequently associated with an identifiable source of infection, a chronic course, and frequent involvement of Gram-negative organisms.", "author" : [ { "dropping-particle" : "", "family" : "Overturf", "given" : "G D", "non-dropping-particle" : "", "parse-names" : false, "suffix" : "" }, { "dropping-particle" : "", "family" : "Powars", "given" : "D", "non-dropping-particle" : "", "parse-names" : false, "suffix" : "" }, { "dropping-particle" : "", "family" : "Baraff", "given" : "L J", "non-dropping-particle" : "", "parse-names" : false, "suffix" : "" } ], "container-title" : "American Journal of Diseases of Children", "id" : "ITEM-1", "issue" : "7", "issued" : { "date-parts" : [ [ "1977" ] ] }, "page" : "784-787", "title" : "Bacterial meningitis and septicemia in sickle cell disease", "type" : "article-journal", "volume" : "131" }, "uris" : [ "http://www.mendeley.com/documents/?uuid=8724875c-aad7-47f1-8d63-02a384f56ced" ] } ], "mendeley" : { "formattedCitation" : "&lt;sup&gt;4&lt;/sup&gt;", "plainTextFormattedCitation" : "4", "previouslyFormattedCitation" : "&lt;sup&gt;4&lt;/sup&gt;" }, "properties" : { "noteIndex" : 0 }, "schema" : "https://github.com/citation-style-language/schema/raw/master/csl-citation.json" }</w:instrText>
      </w:r>
      <w:r w:rsidR="00C2513F">
        <w:fldChar w:fldCharType="separate"/>
      </w:r>
      <w:r w:rsidR="00C2513F" w:rsidRPr="00C2513F">
        <w:rPr>
          <w:noProof/>
          <w:vertAlign w:val="superscript"/>
        </w:rPr>
        <w:t>4</w:t>
      </w:r>
      <w:r w:rsidR="00C2513F">
        <w:fldChar w:fldCharType="end"/>
      </w:r>
      <w:r w:rsidR="00613AB2">
        <w:t xml:space="preserve"> With </w:t>
      </w:r>
      <w:r w:rsidR="00104800" w:rsidRPr="00C4261A">
        <w:t>penicillin prophylaxis and 23-valent pneumococcal polysaccharide vaccination</w:t>
      </w:r>
      <w:r w:rsidR="00613AB2">
        <w:t>,</w:t>
      </w:r>
      <w:r w:rsidR="002067AE">
        <w:t xml:space="preserve"> </w:t>
      </w:r>
      <w:r>
        <w:t>this risk i</w:t>
      </w:r>
      <w:r w:rsidR="00613AB2">
        <w:t>s reduced substantially, although</w:t>
      </w:r>
      <w:r w:rsidR="00104800">
        <w:t xml:space="preserve"> children with SCD</w:t>
      </w:r>
      <w:r w:rsidR="00C81024">
        <w:t xml:space="preserve"> continued to have </w:t>
      </w:r>
      <w:r w:rsidR="00104800">
        <w:t xml:space="preserve">a 10-100-fold higher risk of IPD, with </w:t>
      </w:r>
      <w:r w:rsidR="00613AB2">
        <w:t>reported</w:t>
      </w:r>
      <w:r w:rsidR="00104800">
        <w:t xml:space="preserve"> case fatality rate</w:t>
      </w:r>
      <w:r w:rsidR="00613AB2">
        <w:t>s</w:t>
      </w:r>
      <w:r w:rsidR="00104800">
        <w:t xml:space="preserve"> of up to</w:t>
      </w:r>
      <w:r w:rsidR="00687D6A">
        <w:t xml:space="preserve"> </w:t>
      </w:r>
      <w:r w:rsidR="00104800">
        <w:t>15%</w:t>
      </w:r>
      <w:r w:rsidR="00613AB2">
        <w:t xml:space="preserve"> in industrialised countries</w:t>
      </w:r>
      <w:r w:rsidR="00C81024">
        <w:t>.</w:t>
      </w:r>
      <w:r w:rsidR="00687D6A" w:rsidRPr="001C409F">
        <w:fldChar w:fldCharType="begin" w:fldLock="1"/>
      </w:r>
      <w:r w:rsidR="00C2513F">
        <w:instrText>ADDIN CSL_CITATION { "citationItems" : [ { "id" : "ITEM-1", "itemData" : { "DOI" : "10.1067/S0022-3476(03)00331-7", "ISBN" : "1098-4275; 0031-4005", "ISSN" : "00223476", "PMID" : "14571216", "abstract" : "Rates and severity of pneumococcal infections in children with sickle cell disease were examined before licensure of pneumococcal-conjugated vaccine (PVC). Rates of peak invasive infection rates in 1-year-old children with hemoglobin SS and mortality in those 0 to 10 years of age were 36.5 to 63.4 and 1.4 to 2.8 per 1000 person-years, respectively (&gt;10 and 100 times as frequent as in the general population). Overall, 71% of serotyped isolates (n = 80) were PVC serotypes and 71% of nonvaccine serotype strains were penicillin-sensitive. Clinical presentation in children with hemoglobin SS (n = 71; more with hypotension) and hemoglobin SC (n = 18; more with acute chest syndrome, otitis media) differed. Penicillin nonsusceptibility (38% of isolates) varied between geographic study sites. Penicillin prophylaxis appeared less effective against intermediate and resistant strains. Of all infected children, meningitis developed in 20% and 15% died (hemoglobin SS, n = 15 and 11; hemoglobin SC, n = 1 each). Factors associated with death included age &gt;4 years (58%), serotype 19F, and not being followed by a hematologist (42% each). The pneumococcal-polysaccharide vaccine was 80.4% effective within 3 years after vaccination (95% CI, 39.7, 93.6). Children with sickle cell disease of all ages may benefit from PVC boosted with polysaccharide vaccination.", "author" : [ { "dropping-particle" : "V.", "family" : "Adamkiewicz", "given" : "Thomas", "non-dropping-particle" : "", "parse-names" : false, "suffix" : "" }, { "dropping-particle" : "", "family" : "Sarnaik", "given" : "Sharada", "non-dropping-particle" : "", "parse-names" : false, "suffix" : "" }, { "dropping-particle" : "", "family" : "Buchanan", "given" : "George R.", "non-dropping-particle" : "", "parse-names" : false, "suffix" : "" }, { "dropping-particle" : "V.", "family" : "Iyer", "given" : "Rathi", "non-dropping-particle" : "", "parse-names" : false, "suffix" : "" }, { "dropping-particle" : "", "family" : "Miller", "given" : "Scott T.", "non-dropping-particle" : "", "parse-names" : false, "suffix" : "" }, { "dropping-particle" : "", "family" : "Pegelow", "given" : "Charles H.", "non-dropping-particle" : "", "parse-names" : false, "suffix" : "" }, { "dropping-particle" : "", "family" : "Rogers", "given" : "Zora R.", "non-dropping-particle" : "", "parse-names" : false, "suffix" : "" }, { "dropping-particle" : "", "family" : "Vichinsky", "given" : "Elliott", "non-dropping-particle" : "", "parse-names" : false, "suffix" : "" }, { "dropping-particle" : "", "family" : "Elliott", "given" : "John", "non-dropping-particle" : "", "parse-names" : false, "suffix" : "" }, { "dropping-particle" : "", "family" : "Facklam", "given" : "Richard R.", "non-dropping-particle" : "", "parse-names" : false, "suffix" : "" }, { "dropping-particle" : "", "family" : "O'Brien", "given" : "Katherine L.", "non-dropping-particle" : "", "parse-names" : false, "suffix" : "" }, { "dropping-particle" : "", "family" : "Schwartz", "given" : "Benjamin", "non-dropping-particle" : "", "parse-names" : false, "suffix" : "" }, { "dropping-particle" : "", "family" : "Beneden", "given" : "Chris A.", "non-dropping-particle" : "Van", "parse-names" : false, "suffix" : "" }, { "dropping-particle" : "", "family" : "Cannon", "given" : "Michael J.", "non-dropping-particle" : "", "parse-names" : false, "suffix" : "" }, { "dropping-particle" : "", "family" : "Eckman", "given" : "James R.", "non-dropping-particle" : "", "parse-names" : false, "suffix" : "" }, { "dropping-particle" : "", "family" : "Keyserling", "given" : "Harry", "non-dropping-particle" : "", "parse-names" : false, "suffix" : "" }, { "dropping-particle" : "", "family" : "Sullivan", "given" : "Kevin", "non-dropping-particle" : "", "parse-names" : false, "suffix" : "" }, { "dropping-particle" : "", "family" : "Wong", "given" : "Wing Yen", "non-dropping-particle" : "", "parse-names" : false, "suffix" : "" }, { "dropping-particle" : "", "family" : "Wang", "given" : "Winfred C.", "non-dropping-particle" : "", "parse-names" : false, "suffix" : "" } ], "container-title" : "Journal of Pediatrics", "id" : "ITEM-1", "issue" : "4", "issued" : { "date-parts" : [ [ "2003" ] ] }, "page" : "438-444", "title" : "Invasive pneumococcal infections in children with sickle cell disease in the era of penicillin prophylaxis, antibiotic resistance, and 23-valent pneumococcal polysaccharide vaccination", "type" : "article-journal", "volume" : "143" }, "uris" : [ "http://www.mendeley.com/documents/?uuid=0efedf08-feb6-4a4d-81c3-213151d3999d" ] } ], "mendeley" : { "formattedCitation" : "&lt;sup&gt;5&lt;/sup&gt;", "plainTextFormattedCitation" : "5", "previouslyFormattedCitation" : "&lt;sup&gt;5&lt;/sup&gt;" }, "properties" : { "noteIndex" : 0 }, "schema" : "https://github.com/citation-style-language/schema/raw/master/csl-citation.json" }</w:instrText>
      </w:r>
      <w:r w:rsidR="00687D6A" w:rsidRPr="001C409F">
        <w:fldChar w:fldCharType="separate"/>
      </w:r>
      <w:r w:rsidR="00C2513F" w:rsidRPr="00C2513F">
        <w:rPr>
          <w:noProof/>
          <w:vertAlign w:val="superscript"/>
        </w:rPr>
        <w:t>5</w:t>
      </w:r>
      <w:r w:rsidR="00687D6A" w:rsidRPr="001C409F">
        <w:fldChar w:fldCharType="end"/>
      </w:r>
      <w:r w:rsidR="00687D6A" w:rsidRPr="001C409F">
        <w:rPr>
          <w:rFonts w:eastAsia="MS Mincho" w:cs="Cambria"/>
          <w:vertAlign w:val="superscript"/>
          <w:lang w:val="en-US"/>
        </w:rPr>
        <w:t>,</w:t>
      </w:r>
      <w:r w:rsidR="00687D6A">
        <w:rPr>
          <w:rFonts w:eastAsia="MS Mincho" w:cs="Cambria"/>
          <w:vertAlign w:val="superscript"/>
          <w:lang w:val="en-US"/>
        </w:rPr>
        <w:fldChar w:fldCharType="begin" w:fldLock="1"/>
      </w:r>
      <w:r w:rsidR="00C2513F">
        <w:rPr>
          <w:rFonts w:eastAsia="MS Mincho" w:cs="Cambria"/>
          <w:vertAlign w:val="superscript"/>
          <w:lang w:val="en-US"/>
        </w:rPr>
        <w:instrText>ADDIN CSL_CITATION { "citationItems" : [ { "id" : "ITEM-1", "itemData" : { "DOI" : "10.1056/NEJM198606193142501", "ISBN" : "0028-4793; 0028-4793", "ISSN" : "0028-4793", "PMID" : "3086721", "abstract" : "Children with sickle cell anemia have an increased susceptibility to bacterial infections, especially to those caused by Streptococcus pneumoniae. We therefore conducted a multicenter, randomized, double-blind, placebo-controlled clinical trial to test whether the regular, daily administration of oral penicillin would reduce the incidence of documented septicemia due to S.pneumoniae in children with sickle cell anemia who were under the age of three years at the time of entry. The children were randomly assigned to receive either 125 mg of penicillin V potassium (105 children) or placebo (110 children) twice daily. The trial was terminated 8 months early, after an average of 15 months of follow-up, when an 84 percent reduction in the incidence of infection was observed in the group treated with penicillin, as compared with the group given placebo (13 of 110 patients vs. 2 of 105; P = 0.0025), with no deaths from pneumococcal septicemia occurring in the penicillin group but three deaths from the infection occurring in the placebo group. On the basis of these results, we conclude that children should be screened in the neonatal period for sickle cell hemoglobinopathy and that those with sickle cell anemia should receive prophylactic therapy with oral penicillin by four months of age to decrease the morbidity and mortality associated with pneumococcal septicemia.", "author" : [ { "dropping-particle" : "", "family" : "Gaston", "given" : "M H", "non-dropping-particle" : "", "parse-names" : false, "suffix" : "" }, { "dropping-particle" : "", "family" : "Verter", "given" : "J I", "non-dropping-particle" : "", "parse-names" : false, "suffix" : "" }, { "dropping-particle" : "", "family" : "Woods", "given" : "G", "non-dropping-particle" : "", "parse-names" : false, "suffix" : "" }, { "dropping-particle" : "", "family" : "Pegelow", "given" : "C", "non-dropping-particle" : "", "parse-names" : false, "suffix" : "" }, { "dropping-particle" : "", "family" : "Kelleher", "given" : "J", "non-dropping-particle" : "", "parse-names" : false, "suffix" : "" }, { "dropping-particle" : "", "family" : "Presbury", "given" : "G", "non-dropping-particle" : "", "parse-names" : false, "suffix" : "" }, { "dropping-particle" : "", "family" : "Zarkowsky", "given" : "H", "non-dropping-particle" : "", "parse-names" : false, "suffix" : "" }, { "dropping-particle" : "", "family" : "Vichinsky", "given" : "E", "non-dropping-particle" : "", "parse-names" : false, "suffix" : "" }, { "dropping-particle" : "", "family" : "Iyer", "given" : "R", "non-dropping-particle" : "", "parse-names" : false, "suffix" : "" }, { "dropping-particle" : "", "family" : "Lobel", "given" : "J S", "non-dropping-particle" : "", "parse-names" : false, "suffix" : "" } ], "container-title" : "The New England journal of medicine", "id" : "ITEM-1", "issue" : "25", "issued" : { "date-parts" : [ [ "1986" ] ] }, "page" : "1593-1599", "title" : "Prophylaxis with oral penicillin in children with sickle cell anemia. A randomized trial", "type" : "article-journal", "volume" : "314" }, "uris" : [ "http://www.mendeley.com/documents/?uuid=e8c3063f-e57b-409e-bf53-d87aef809d86" ] } ], "mendeley" : { "formattedCitation" : "&lt;sup&gt;6&lt;/sup&gt;", "plainTextFormattedCitation" : "6", "previouslyFormattedCitation" : "&lt;sup&gt;6&lt;/sup&gt;" }, "properties" : { "noteIndex" : 0 }, "schema" : "https://github.com/citation-style-language/schema/raw/master/csl-citation.json" }</w:instrText>
      </w:r>
      <w:r w:rsidR="00687D6A">
        <w:rPr>
          <w:rFonts w:eastAsia="MS Mincho" w:cs="Cambria"/>
          <w:vertAlign w:val="superscript"/>
          <w:lang w:val="en-US"/>
        </w:rPr>
        <w:fldChar w:fldCharType="separate"/>
      </w:r>
      <w:r w:rsidR="00C2513F" w:rsidRPr="00C2513F">
        <w:rPr>
          <w:rFonts w:eastAsia="MS Mincho" w:cs="Cambria"/>
          <w:noProof/>
          <w:vertAlign w:val="superscript"/>
          <w:lang w:val="en-US"/>
        </w:rPr>
        <w:t>6</w:t>
      </w:r>
      <w:r w:rsidR="00687D6A">
        <w:rPr>
          <w:rFonts w:eastAsia="MS Mincho" w:cs="Cambria"/>
          <w:vertAlign w:val="superscript"/>
          <w:lang w:val="en-US"/>
        </w:rPr>
        <w:fldChar w:fldCharType="end"/>
      </w:r>
      <w:r w:rsidR="00687D6A">
        <w:rPr>
          <w:rFonts w:eastAsia="MS Mincho" w:cs="Cambria"/>
          <w:vertAlign w:val="superscript"/>
          <w:lang w:val="en-US"/>
        </w:rPr>
        <w:t>,</w:t>
      </w:r>
      <w:r w:rsidR="00687D6A" w:rsidRPr="001C409F">
        <w:fldChar w:fldCharType="begin" w:fldLock="1"/>
      </w:r>
      <w:r w:rsidR="00C2513F">
        <w:instrText>ADDIN CSL_CITATION { "citationItems" : [ { "id" : "ITEM-1", "itemData" : { "DOI" : "10.1097/00043426-200208000-00012", "ISBN" : "1077-4114", "ISSN" : "1077-4114", "PMID" : "12218595", "abstract" : "The purpose of this study was to determine the age-related risks, disease-specific risks, and characteristics of serious pneumococcal infections in children with sickle cell disease (SCD) while penicillin prophylaxis was standard. The clinical experiences of three pediatric sickle cell programs spanning January 1, 1992, to May 31, 1998, were combined. Data were collected regarding the patients followed up and the characteristics of bacteremia and meningitis cases. Forty-seven pneumococcal infections (44 bacteremia, 3 meningitis) among 40 patients with SCD were observed. Forty infections occurred in children with homozygous hemoglobin S (SS) during 4108 patient-years at a median age of 22 months; 7 occurred in double heterozygous hemoglobin SC (SC) children during 1777 patient-years at a median age of 23 months. Ten infections occurred among 9 SS children 5 years or older. Most children in whom infections developed were reportedly taking prophylactic penicillin and when older than 24 months old had received Pneumovax (Merck &amp; Co., Inc., West Point, PA, U.S.A. The following pneumococcal serotypes were identified in 15 cases studied: 6A, 6B, 9V, 14, 15B, 18B, 18F, 19F, and 23F. Infections resulted in five deaths and two strokes. The observed severe pneumococcal infection rate in SS children younger than 5 years was less than that reported before penicillin prophylaxis, supporting routine penicillin prophylaxis in this specific population. The optimal duration of penicillin prophylaxis in older children with SCD remains unknown. The administration of 7-valent Prevnar (Wyeth Lederle Vaccines, Philadelphia, PA, U.S.A.) to children younger than 24 months old with SCD should be beneficial, based on the serotype data.", "author" : [ { "dropping-particle" : "", "family" : "Hord", "given" : "Jeffrey", "non-dropping-particle" : "", "parse-names" : false, "suffix" : "" }, { "dropping-particle" : "", "family" : "Byrd", "given" : "Rebecca", "non-dropping-particle" : "", "parse-names" : false, "suffix" : "" }, { "dropping-particle" : "", "family" : "Stowe", "given" : "Laura", "non-dropping-particle" : "", "parse-names" : false, "suffix" : "" }, { "dropping-particle" : "", "family" : "Windsor", "given" : "Beth", "non-dropping-particle" : "", "parse-names" : false, "suffix" : "" }, { "dropping-particle" : "", "family" : "Smith-Whitley", "given" : "Kim", "non-dropping-particle" : "", "parse-names" : false, "suffix" : "" } ], "container-title" : "Journal of pediatric hematology/oncology : official journal of the American Society of Pediatric Hematology/Oncology", "id" : "ITEM-1", "issue" : "6", "issued" : { "date-parts" : [ [ "2004" ] ] }, "page" : "470-472", "title" : "Streptococcus pneumoniae sepsis and meningitis during the penicillin prophylaxis era in children with sickle cell disease.", "type" : "article-journal", "volume" : "24" }, "uris" : [ "http://www.mendeley.com/documents/?uuid=46256fe5-b1af-439e-bee3-5c9ed77809a7" ] } ], "mendeley" : { "formattedCitation" : "&lt;sup&gt;7&lt;/sup&gt;", "plainTextFormattedCitation" : "7", "previouslyFormattedCitation" : "&lt;sup&gt;7&lt;/sup&gt;" }, "properties" : { "noteIndex" : 0 }, "schema" : "https://github.com/citation-style-language/schema/raw/master/csl-citation.json" }</w:instrText>
      </w:r>
      <w:r w:rsidR="00687D6A" w:rsidRPr="001C409F">
        <w:fldChar w:fldCharType="separate"/>
      </w:r>
      <w:r w:rsidR="00C2513F" w:rsidRPr="00C2513F">
        <w:rPr>
          <w:noProof/>
          <w:vertAlign w:val="superscript"/>
        </w:rPr>
        <w:t>7</w:t>
      </w:r>
      <w:r w:rsidR="00687D6A" w:rsidRPr="001C409F">
        <w:fldChar w:fldCharType="end"/>
      </w:r>
    </w:p>
    <w:p w14:paraId="3FD169EC" w14:textId="5B683B35" w:rsidR="00B9436B" w:rsidRPr="001C409F" w:rsidRDefault="00687D6A" w:rsidP="00D14539">
      <w:pPr>
        <w:spacing w:line="360" w:lineRule="auto"/>
      </w:pPr>
      <w:r>
        <w:t xml:space="preserve">Pneumococcal conjugate vaccines (PCVs) </w:t>
      </w:r>
      <w:r w:rsidR="00EC3905" w:rsidRPr="001C409F">
        <w:t>are highly immunogenic and provide robust antibody responses</w:t>
      </w:r>
      <w:r w:rsidR="00D03026">
        <w:t>,</w:t>
      </w:r>
      <w:r w:rsidR="00EC3905" w:rsidRPr="001C409F">
        <w:t xml:space="preserve"> even</w:t>
      </w:r>
      <w:r w:rsidR="004B18C8" w:rsidRPr="001C409F">
        <w:t xml:space="preserve"> in children with </w:t>
      </w:r>
      <w:r w:rsidR="00C75119">
        <w:t xml:space="preserve">comorbidities such as </w:t>
      </w:r>
      <w:r w:rsidR="004B18C8" w:rsidRPr="001C409F">
        <w:t>SCD</w:t>
      </w:r>
      <w:r w:rsidR="00FF2E18" w:rsidRPr="001C409F">
        <w:t>.</w:t>
      </w:r>
      <w:r w:rsidR="00F656FD" w:rsidRPr="001C409F">
        <w:fldChar w:fldCharType="begin" w:fldLock="1"/>
      </w:r>
      <w:r w:rsidR="00C2513F">
        <w:instrText>ADDIN CSL_CITATION { "citationItems" : [ { "id" : "ITEM-1", "itemData" : { "DOI" : "10.1002/14651858.CD003885.pub2", "ISBN" : "1469-493X; 1361-6137", "ISSN" : "1469-493X", "PMID" : "14974042", "abstract" : "BACKGROUND: People with sickle cell disease are particularly susceptible to pneumococcal infection, which may be fatal. Infants (children aged up to 23 months) are at particularly high risk, but conventional polysaccharide pneumococcal vaccines may be ineffective in this age group. New conjugate pneumococcal vaccines are now available, which may help to reduce the incidence of infection in people with sickle cell disease. OBJECTIVES: To determine the efficacy of pneumococcal vaccines for reducing morbidity and mortality in people with sickle cell disease. SEARCH STRATEGY: We searched the Cochrane Cystic Fibrosis and Genetic Disorders Group trials register, comprising of references identified from comprehensive electronic database searches and hand searching relevant journals and abstract books of conference proceedings. In addition, we contacted relevant pharmaceutical companies and experts in the field.Date of most recent search of Group's trials register: November 2003. SELECTION CRITERIA: All randomised and quasi-randomised controlled trials comparing a polysaccharide or conjugate pneumococcal vaccine regimen with a different regimen or no vaccination in people with sickle cell disease. DATA COLLECTION AND ANALYSIS: Two reviewers independently selected studies for inclusion, extracted data and assessed trial quality. MAIN RESULTS: Nine trials were identified in the searches and five trials, with a total of 547 participants, met the inclusion criteria. Only one trial reported incidence of pneumococcal infection, and this demonstrated that the polysaccharide pneumococcal vaccine used (PPV14) failed to significantly reduce the risk of infection in children under three years of age, but was associated with only minor adverse events. Three trials of conjugate pneumococcal vaccines found that immune response was increased compared to control groups, including in infants, although clinical outcomes were not measured in these trials. REVIEWER'S CONCLUSIONS: Previous trials have shown that conjugate pneumococcal vaccines are safe and effective in normal healthy patients, even those under the age of two years. The controlled trials included in this review have demonstrated immunogenicity (the body's response, without which there is no protection) of these vaccines, and observational studies in people with sickle cell disease support these findings. We therefore recommend that conjugate pneumococcal vaccines are used in people with sickle cell disease. Randomis\u2026", "author" : [ { "dropping-particle" : "", "family" : "Davies", "given" : "E G", "non-dropping-particle" : "", "parse-names" : false, "suffix" : "" }, { "dropping-particle" : "", "family" : "Riddington", "given" : "C", "non-dropping-particle" : "", "parse-names" : false, "suffix" : "" }, { "dropping-particle" : "", "family" : "Lottenberg", "given" : "R", "non-dropping-particle" : "", "parse-names" : false, "suffix" : "" }, { "dropping-particle" : "", "family" : "Dower", "given" : "N", "non-dropping-particle" : "", "parse-names" : false, "suffix" : "" } ], "container-title" : "Cochrane database of systematic reviews (Online)", "id" : "ITEM-1", "issue" : "1", "issued" : { "date-parts" : [ [ "2004" ] ] }, "page" : "CD003885", "title" : "Pneumococcal vaccines for sickle cell disease.", "type" : "article-journal" }, "uris" : [ "http://www.mendeley.com/documents/?uuid=cd3e9064-329a-44ea-a324-0f8a96b05b6e" ] } ], "mendeley" : { "formattedCitation" : "&lt;sup&gt;8&lt;/sup&gt;", "plainTextFormattedCitation" : "8", "previouslyFormattedCitation" : "&lt;sup&gt;8&lt;/sup&gt;" }, "properties" : { "noteIndex" : 0 }, "schema" : "https://github.com/citation-style-language/schema/raw/master/csl-citation.json" }</w:instrText>
      </w:r>
      <w:r w:rsidR="00F656FD" w:rsidRPr="001C409F">
        <w:fldChar w:fldCharType="separate"/>
      </w:r>
      <w:r w:rsidR="00C2513F" w:rsidRPr="00C2513F">
        <w:rPr>
          <w:noProof/>
          <w:vertAlign w:val="superscript"/>
        </w:rPr>
        <w:t>8</w:t>
      </w:r>
      <w:r w:rsidR="00F656FD" w:rsidRPr="001C409F">
        <w:fldChar w:fldCharType="end"/>
      </w:r>
      <w:r w:rsidR="00FF2E18" w:rsidRPr="001C409F">
        <w:rPr>
          <w:rFonts w:eastAsia="MS Mincho" w:cs="Cambria"/>
          <w:vertAlign w:val="superscript"/>
          <w:lang w:val="en-US"/>
        </w:rPr>
        <w:t>,</w:t>
      </w:r>
      <w:r w:rsidR="00F656FD" w:rsidRPr="001C409F">
        <w:fldChar w:fldCharType="begin" w:fldLock="1"/>
      </w:r>
      <w:r w:rsidR="00763971">
        <w:instrText>ADDIN CSL_CITATION { "citationItems" : [ { "id" : "ITEM-1", "itemData" : { "DOI" : "10.1097/00006454-200003000-00003", "ISBN" : "0891-3668 (Print)", "ISSN" : "0891-3668", "PMID" : "10749457", "abstract" : "OBJECTIVE To determine the efficacy, safety and immunogenicity of the heptavalent CRM197 pneumococcal conjugate vaccine against invasive disease caused by vaccine serotypes and to determine the effectiveness of this vaccine against clinical episodes of otitis media. METHODS The Wyeth Lederle Heptavalent CRM197 (PCV) was given to infants at 2, 4, 6 and 12 to 15 months of age in a double blind trial; 37,868 children were randomly assigned 1:1 to receive either the pneumococcal conjugate vaccine or meningococcus type C CRM197 conjugate. The primary study outcome was invasive disease caused by vaccine serotype. Other outcomes included overall impact on invasive disease regardless of serotype, effectiveness against clinical otitis media visits and episodes, impact against frequent and severe otitis media and ventilatory tube placement. In addition the serotype-specific efficacy against otitis media was estimated in an analysis of spontaneously draining ears. RESULTS In the interim analysis in August, 1998, 17 of the 17 cases of invasive disease caused by vaccine serotype in fully vaccinated children and 5 of 5 of partially vaccinated cases occurred in the control group for a vaccine efficacy of 100%. Blinded case ascertainment was continued until April, 1999. As of that time 40 fully vaccinated cases of invasive disease caused by vaccine serotype had been identified, all but 1 in controls for an efficacy of 97.4% (95% confidence interval, 82.7 to 99.9%), and 52 cases, all but 3 in controls in the intent-to-treat analysis for an efficacy of 93.9% (95% confidence interval, 79.6 to 98.5%). There was no evidence of any increase of disease caused by nonvaccine serotypes. Efficacy for otitis media against visits, episodes, frequent otitis and ventilatory tube placement was 8.9, 7.0, 9.3 and 20.1% with P &lt; 0.04 for all. In the analysis of spontaneously draining ears, serotype-specific effectiveness was 66.7%. CONCLUSION This heptavalent pneumococcal conjugate appears to be highly effective in preventing invasive disease in young children and to have a significant impact on otitis media.", "author" : [ { "dropping-particle" : "", "family" : "Black", "given" : "S", "non-dropping-particle" : "", "parse-names" : false, "suffix" : "" }, { "dropping-particle" : "", "family" : "Shinefield", "given" : "H", "non-dropping-particle" : "", "parse-names" : false, "suffix" : "" }, { "dropping-particle" : "", "family" : "Fireman", "given" : "B", "non-dropping-particle" : "", "parse-names" : false, "suffix" : "" }, { "dropping-particle" : "", "family" : "Lewis", "given" : "E", "non-dropping-particle" : "", "parse-names" : false, "suffix" : "" }, { "dropping-particle" : "", "family" : "Ray", "given" : "P", "non-dropping-particle" : "", "parse-names" : false, "suffix" : "" }, { "dropping-particle" : "", "family" : "Hansen", "given" : "J R", "non-dropping-particle" : "", "parse-names" : false, "suffix" : "" }, { "dropping-particle" : "", "family" : "Elvin", "given" : "L", "non-dropping-particle" : "", "parse-names" : false, "suffix" : "" }, { "dropping-particle" : "", "family" : "Ensor", "given" : "K M", "non-dropping-particle" : "", "parse-names" : false, "suffix" : "" }, { "dropping-particle" : "", "family" : "Hackell", "given" : "J", "non-dropping-particle" : "", "parse-names" : false, "suffix" : "" }, { "dropping-particle" : "", "family" : "Siber", "given" : "G", "non-dropping-particle" : "", "parse-names" : false, "suffix" : "" }, { "dropping-particle" : "", "family" : "Malinoski", "given" : "F", "non-dropping-particle" : "", "parse-names" : false, "suffix" : "" }, { "dropping-particle" : "", "family" : "Madore", "given" : "D", "non-dropping-particle" : "", "parse-names" : false, "suffix" : "" }, { "dropping-particle" : "", "family" : "Chang", "given" : "I", "non-dropping-particle" : "", "parse-names" : false, "suffix" : "" }, { "dropping-particle" : "", "family" : "Kohberger", "given" : "R", "non-dropping-particle" : "", "parse-names" : false, "suffix" : "" }, { "dropping-particle" : "", "family" : "Watson", "given" : "W", "non-dropping-particle" : "", "parse-names" : false, "suffix" : "" }, { "dropping-particle" : "", "family" : "Austrian", "given" : "R", "non-dropping-particle" : "", "parse-names" : false, "suffix" : "" }, { "dropping-particle" : "", "family" : "Edwards", "given" : "K", "non-dropping-particle" : "", "parse-names" : false, "suffix" : "" } ], "container-title" : "The Pediatric infectious disease journal", "id" : "ITEM-1", "issue" : "3", "issued" : { "date-parts" : [ [ "2000" ] ] }, "page" : "187-95", "title" : "Efficacy, safety and immunogenicity of heptavalent pneumococcal conjugate vaccine in children. Northern California Kaiser Permanente Vaccine Study Center Group.", "type" : "article-journal", "volume" : "19" }, "uris" : [ "http://www.mendeley.com/documents/?uuid=0fad9b80-ff48-4795-8a55-34e265e8d804" ] } ], "mendeley" : { "formattedCitation" : "&lt;sup&gt;9&lt;/sup&gt;", "plainTextFormattedCitation" : "9", "previouslyFormattedCitation" : "&lt;sup&gt;9&lt;/sup&gt;" }, "properties" : { "noteIndex" : 0 }, "schema" : "https://github.com/citation-style-language/schema/raw/master/csl-citation.json" }</w:instrText>
      </w:r>
      <w:r w:rsidR="00F656FD" w:rsidRPr="001C409F">
        <w:fldChar w:fldCharType="separate"/>
      </w:r>
      <w:r w:rsidR="00763971" w:rsidRPr="00763971">
        <w:rPr>
          <w:noProof/>
          <w:vertAlign w:val="superscript"/>
        </w:rPr>
        <w:t>9</w:t>
      </w:r>
      <w:r w:rsidR="00F656FD" w:rsidRPr="001C409F">
        <w:fldChar w:fldCharType="end"/>
      </w:r>
      <w:r w:rsidR="00C75119">
        <w:t xml:space="preserve"> </w:t>
      </w:r>
      <w:r w:rsidR="00D85C34" w:rsidRPr="001C409F">
        <w:t>In the United S</w:t>
      </w:r>
      <w:r w:rsidR="00F27430">
        <w:t>tates, routine childhood immuni</w:t>
      </w:r>
      <w:r w:rsidR="00376DA1">
        <w:t>s</w:t>
      </w:r>
      <w:r w:rsidR="00D85C34" w:rsidRPr="001C409F">
        <w:t xml:space="preserve">ation with </w:t>
      </w:r>
      <w:r w:rsidR="00B9436B" w:rsidRPr="001C409F">
        <w:rPr>
          <w:rFonts w:cs="Arial"/>
        </w:rPr>
        <w:t xml:space="preserve">the 7-valent </w:t>
      </w:r>
      <w:r w:rsidR="00C75119">
        <w:rPr>
          <w:rFonts w:cs="Arial"/>
        </w:rPr>
        <w:t xml:space="preserve">PCV </w:t>
      </w:r>
      <w:r w:rsidR="00B9436B" w:rsidRPr="001C409F">
        <w:rPr>
          <w:rFonts w:cs="Arial"/>
        </w:rPr>
        <w:t>(</w:t>
      </w:r>
      <w:r w:rsidR="00D85C34" w:rsidRPr="001C409F">
        <w:t>PCV7</w:t>
      </w:r>
      <w:r w:rsidR="00B9436B" w:rsidRPr="001C409F">
        <w:t>)</w:t>
      </w:r>
      <w:r w:rsidR="00D85C34" w:rsidRPr="001C409F">
        <w:t xml:space="preserve"> in 2000</w:t>
      </w:r>
      <w:r w:rsidR="001463A4">
        <w:t xml:space="preserve"> </w:t>
      </w:r>
      <w:r w:rsidR="00D85C34" w:rsidRPr="001C409F">
        <w:t xml:space="preserve">was associated with a significant decline in IPD incidence </w:t>
      </w:r>
      <w:r w:rsidR="001C409F">
        <w:t>among</w:t>
      </w:r>
      <w:r w:rsidR="00E6296F">
        <w:t xml:space="preserve"> </w:t>
      </w:r>
      <w:r w:rsidR="00D85C34" w:rsidRPr="001C409F">
        <w:t>patients with SCD, especially in children aged &lt;5 years</w:t>
      </w:r>
      <w:r w:rsidR="002A1835">
        <w:t>.</w:t>
      </w:r>
      <w:r w:rsidR="00F656FD" w:rsidRPr="001C409F">
        <w:fldChar w:fldCharType="begin" w:fldLock="1"/>
      </w:r>
      <w:r w:rsidR="00763971">
        <w:instrText>ADDIN CSL_CITATION { "citationItems" : [ { "id" : "ITEM-1", "itemData" : { "DOI" : "10.1086/516781", "ISBN" : "1537-6591; 1058-4838", "ISSN" : "1537-6591", "PMID" : "17479937", "abstract" : "BACKGROUND: We sought to determine the incidence of invasive pneumococcal disease (IPD) among individuals with sickle cell disease (SCD) before and after the introduction of the pneumococcal conjugate vaccine (PCV). METHODS: Individuals with SCD who were enrolled in Tennessee Medicaid from January 1995 through December 2004 were identified using SCD-specific International Classification of Diseases, Ninth Revision, Clinical Modification codes. Population-based surveillance data were used to identify individuals with IPD and were linked to patients with SCD in the Tennessee Medicaid database to determine incidence rates of IPD. Clinical data were collected on all subjects with IPD, and antibiotic susceptibility testing and serotyping were performed on all available pneumococcal isolates. RESULTS: We identified 2026 individuals with SCD, who constituted 13,687 person-years of follow-up. During the study period, 37 individuals with SCD developed IPD, and 21 of these patients were aged &lt;5 years. In a comparison of the pre-PCV period (1995-1999) with the post-PCV period (2001-2004), the rate of IPD decreased by 90.8% in children aged &lt;2 years (from 3630 to 335 cases per 100,000 person-years; P&lt;.001) and by 93.4% in children aged &lt;5 years (from 2044 to 134 cases per 100,000 person-years; P&lt;.001). Rates of IPD for patients with SCD who were aged &gt;or=5 years decreased from 161 cases per 100,000 person-years during the pre-PCV period to 99 cases per 100,000 person-years during the post-PCV period (P=.36). CONCLUSION: The rate of IPD among children with SCD who are aged &lt;5 years has decreased markedly since the introduction of routine administration of PCV to young children.", "author" : [ { "dropping-particle" : "", "family" : "Halasa", "given" : "Natasha B", "non-dropping-particle" : "", "parse-names" : false, "suffix" : "" }, { "dropping-particle" : "", "family" : "Shankar", "given" : "Sadhna M", "non-dropping-particle" : "", "parse-names" : false, "suffix" : "" }, { "dropping-particle" : "", "family" : "Talbot", "given" : "Thomas R", "non-dropping-particle" : "", "parse-names" : false, "suffix" : "" }, { "dropping-particle" : "", "family" : "Arbogast", "given" : "Patrick G", "non-dropping-particle" : "", "parse-names" : false, "suffix" : "" }, { "dropping-particle" : "", "family" : "Mitchel", "given" : "Ed F", "non-dropping-particle" : "", "parse-names" : false, "suffix" : "" }, { "dropping-particle" : "", "family" : "Wang", "given" : "Winfred C", "non-dropping-particle" : "", "parse-names" : false, "suffix" : "" }, { "dropping-particle" : "", "family" : "Schaffner", "given" : "William", "non-dropping-particle" : "", "parse-names" : false, "suffix" : "" }, { "dropping-particle" : "", "family" : "Craig", "given" : "Allen S", "non-dropping-particle" : "", "parse-names" : false, "suffix" : "" }, { "dropping-particle" : "", "family" : "Griffin", "given" : "Marie R", "non-dropping-particle" : "", "parse-names" : false, "suffix" : "" } ], "container-title" : "Clinical infectious diseases : an official publication of the Infectious Diseases Society of America", "id" : "ITEM-1", "issue" : "11", "issued" : { "date-parts" : [ [ "2007" ] ] }, "page" : "1428-1433", "title" : "Incidence of invasive pneumococcal disease among individuals with sickle cell disease before and after the introduction of the pneumococcal conjugate vaccine.", "type" : "article-journal", "volume" : "44" }, "uris" : [ "http://www.mendeley.com/documents/?uuid=f0322e5c-ea64-48cf-8d21-7219409667bf" ] } ], "mendeley" : { "formattedCitation" : "&lt;sup&gt;10&lt;/sup&gt;", "plainTextFormattedCitation" : "10", "previouslyFormattedCitation" : "&lt;sup&gt;10&lt;/sup&gt;" }, "properties" : { "noteIndex" : 0 }, "schema" : "https://github.com/citation-style-language/schema/raw/master/csl-citation.json" }</w:instrText>
      </w:r>
      <w:r w:rsidR="00F656FD" w:rsidRPr="001C409F">
        <w:fldChar w:fldCharType="separate"/>
      </w:r>
      <w:r w:rsidR="00763971" w:rsidRPr="00763971">
        <w:rPr>
          <w:noProof/>
          <w:vertAlign w:val="superscript"/>
        </w:rPr>
        <w:t>10</w:t>
      </w:r>
      <w:r w:rsidR="00F656FD" w:rsidRPr="001C409F">
        <w:fldChar w:fldCharType="end"/>
      </w:r>
      <w:r w:rsidR="00EF3982" w:rsidRPr="00E3647C">
        <w:rPr>
          <w:rFonts w:eastAsia="MS Mincho" w:cs="Cambria"/>
          <w:vertAlign w:val="superscript"/>
          <w:lang w:val="en-US"/>
        </w:rPr>
        <w:t>,</w:t>
      </w:r>
      <w:r w:rsidR="00C2513F">
        <w:fldChar w:fldCharType="begin" w:fldLock="1"/>
      </w:r>
      <w:r w:rsidR="00C2513F">
        <w:instrText>ADDIN CSL_CITATION { "citationItems" : [ { "id" : "ITEM-1", "itemData" : { "DOI" : "10.1097/INF.0b013e3182a11808", "ISBN" : "1532-0987 (Electronic) 0891-3668 (Linking)", "ISSN" : "1532-0987", "PMID" : "23811745", "abstract" : "BACKGROUND: Children with sickle cell disease (SCD) are at increased risk of illness and death from invasive pneumococcal disease (IPD). The introduction in 2000 of the 7-valent pneumococcal conjugate vaccine and penicillin prophylaxis for children with SCD has greatly reduced the incidence of IPD in this population. However, a recent report suggested an increase in cases of IPD in children with SCD. METHODS: Using data from Active Bacterial Core surveillance, we analyzed trends in hospitalizations, mortality and serotype among children with SCD compared with other children. We used neonatal screening data to estimate SCD population denominators for each Active Bacterial Core surveillance site. RESULTS: From 1998 to 2009, 3069 cases of IPD occurred among African-American children less than 18 years of age in the Active Bacterial Core surveillance catchment area. Of these, 127 (4.1%) had SCD identified by medical chart review and 185 (6.0%) had 1 or more IPD risk factors, excluding SCD. Rates of IPD among children with SCD declined by 53% (1118 vs. 530 per 100,000) whereas the overall rates among African-American children declined by 74% (54 to 14 per 100,000). For all time periods, children with SCD and IPD were more likely to be hospitalized (84%-92% vs. 31%-56%) and more likely to die (6%-17% vs. 1%-2%) than children with no risk factors. CONCLUSIONS: Although the rate of IPD in children with SCD has dropped dramatically since 7-valent pneumococcal conjugate vaccine introduction, the rate of IPD in children with SCD remains higher than that of the general population of African-American children, pointing to the need for more effective prevention efforts to prevent IPD in children with SCD.", "author" : [ { "dropping-particle" : "", "family" : "Payne", "given" : "A B", "non-dropping-particle" : "", "parse-names" : false, "suffix" : "" }, { "dropping-particle" : "", "family" : "Link-Gelles", "given" : "R", "non-dropping-particle" : "", "parse-names" : false, "suffix" : "" }, { "dropping-particle" : "", "family" : "Azonobi", "given" : "I", "non-dropping-particle" : "", "parse-names" : false, "suffix" : "" }, { "dropping-particle" : "", "family" : "Hooper", "given" : "W C", "non-dropping-particle" : "", "parse-names" : false, "suffix" : "" }, { "dropping-particle" : "", "family" : "Beall", "given" : "B W", "non-dropping-particle" : "", "parse-names" : false, "suffix" : "" }, { "dropping-particle" : "", "family" : "Jorgensen", "given" : "J H", "non-dropping-particle" : "", "parse-names" : false, "suffix" : "" }, { "dropping-particle" : "", "family" : "Juni", "given" : "B", "non-dropping-particle" : "", "parse-names" : false, "suffix" : "" }, { "dropping-particle" : "", "family" : "Moore", "given" : "M", "non-dropping-particle" : "", "parse-names" : false, "suffix" : "" }, { "dropping-particle" : "", "family" : "Surveillance", "given" : "Team Active Bacterial Core", "non-dropping-particle" : "", "parse-names" : false, "suffix" : "" } ], "container-title" : "Pediatr Infect Dis J", "id" : "ITEM-1", "issue" : "12", "issued" : { "date-parts" : [ [ "2013" ] ] }, "page" : "1308-1312", "title" : "Invasive pneumococcal disease among children with and without sickle cell disease in the United States, 1998 to 2009", "type" : "article-journal", "volume" : "32" }, "uris" : [ "http://www.mendeley.com/documents/?uuid=85c518aa-9001-4b6d-882b-bd5dc7764e2b" ] } ], "mendeley" : { "formattedCitation" : "&lt;sup&gt;11&lt;/sup&gt;", "plainTextFormattedCitation" : "11", "previouslyFormattedCitation" : "&lt;sup&gt;11&lt;/sup&gt;" }, "properties" : { "noteIndex" : 0 }, "schema" : "https://github.com/citation-style-language/schema/raw/master/csl-citation.json" }</w:instrText>
      </w:r>
      <w:r w:rsidR="00C2513F">
        <w:fldChar w:fldCharType="separate"/>
      </w:r>
      <w:r w:rsidR="00C2513F" w:rsidRPr="00C2513F">
        <w:rPr>
          <w:noProof/>
          <w:vertAlign w:val="superscript"/>
        </w:rPr>
        <w:t>11</w:t>
      </w:r>
      <w:r w:rsidR="00C2513F">
        <w:fldChar w:fldCharType="end"/>
      </w:r>
      <w:r w:rsidR="00AB155A" w:rsidRPr="001C409F" w:rsidDel="00AB155A">
        <w:rPr>
          <w:rFonts w:eastAsia="MS Mincho" w:cs="Cambria"/>
          <w:vertAlign w:val="superscript"/>
          <w:lang w:val="en-US"/>
        </w:rPr>
        <w:t xml:space="preserve"> </w:t>
      </w:r>
      <w:r w:rsidR="00962DF8">
        <w:t xml:space="preserve">The 13-valent </w:t>
      </w:r>
      <w:r w:rsidR="00AB155A">
        <w:t xml:space="preserve">pneumococcal conjugate </w:t>
      </w:r>
      <w:r w:rsidR="00962DF8">
        <w:t xml:space="preserve">vaccine (PCV13) was licensed in 2010 </w:t>
      </w:r>
      <w:r w:rsidR="007E7FD9">
        <w:t>but its impact on IPD in children with SCD remains to be established.</w:t>
      </w:r>
      <w:r w:rsidR="00D14539" w:rsidDel="00D14539">
        <w:t xml:space="preserve"> </w:t>
      </w:r>
      <w:r w:rsidR="00C75119">
        <w:t>T</w:t>
      </w:r>
      <w:r w:rsidR="00B9436B" w:rsidRPr="001C409F">
        <w:t>he United Kingdom</w:t>
      </w:r>
      <w:r w:rsidR="00C75119">
        <w:t xml:space="preserve"> introduced </w:t>
      </w:r>
      <w:r w:rsidR="00B9436B" w:rsidRPr="001C409F">
        <w:rPr>
          <w:rFonts w:cs="Arial"/>
        </w:rPr>
        <w:t>PCV7 in September 2006</w:t>
      </w:r>
      <w:r w:rsidR="005264E6" w:rsidRPr="001C409F">
        <w:rPr>
          <w:rFonts w:cs="Arial"/>
        </w:rPr>
        <w:t xml:space="preserve"> at </w:t>
      </w:r>
      <w:r w:rsidR="00C75119">
        <w:rPr>
          <w:rFonts w:cs="Arial"/>
        </w:rPr>
        <w:t>two, four and 12</w:t>
      </w:r>
      <w:r w:rsidR="00451FB3">
        <w:rPr>
          <w:rFonts w:cs="Arial"/>
        </w:rPr>
        <w:t>-13</w:t>
      </w:r>
      <w:r w:rsidR="00C75119">
        <w:rPr>
          <w:rFonts w:cs="Arial"/>
        </w:rPr>
        <w:t xml:space="preserve"> months of age</w:t>
      </w:r>
      <w:r w:rsidR="00CE544D" w:rsidRPr="001C409F">
        <w:rPr>
          <w:rFonts w:cs="Arial"/>
        </w:rPr>
        <w:t>.</w:t>
      </w:r>
      <w:r w:rsidR="00F656FD" w:rsidRPr="001C409F">
        <w:rPr>
          <w:rFonts w:cs="Arial"/>
        </w:rPr>
        <w:fldChar w:fldCharType="begin" w:fldLock="1"/>
      </w:r>
      <w:r w:rsidR="00C2513F">
        <w:rPr>
          <w:rFonts w:cs="Arial"/>
        </w:rPr>
        <w:instrText>ADDIN CSL_CITATION { "citationItems" : [ { "id" : "ITEM-1", "itemData" : { "author" : [ { "dropping-particle" : "", "family" : "Departent of Health", "given" : "", "non-dropping-particle" : "", "parse-names" : false, "suffix" : "" } ], "container-title" : "http://www.dh.gov.uk/en/Publicationand statistis/Lettersandcirculars/Dearcolleaguesletters/DH_4128120", "id" : "ITEM-1", "issued" : { "date-parts" : [ [ "2012" ] ] }, "title" : "No Title: Department of Health Planned changes to the routine Childhood Immunization Programme", "type" : "article-journal" }, "uris" : [ "http://www.mendeley.com/documents/?uuid=3d66ca6f-7849-4265-8709-2845d5557880" ] } ], "mendeley" : { "formattedCitation" : "&lt;sup&gt;12&lt;/sup&gt;", "plainTextFormattedCitation" : "12", "previouslyFormattedCitation" : "&lt;sup&gt;12&lt;/sup&gt;" }, "properties" : { "noteIndex" : 0 }, "schema" : "https://github.com/citation-style-language/schema/raw/master/csl-citation.json" }</w:instrText>
      </w:r>
      <w:r w:rsidR="00F656FD" w:rsidRPr="001C409F">
        <w:rPr>
          <w:rFonts w:cs="Arial"/>
        </w:rPr>
        <w:fldChar w:fldCharType="separate"/>
      </w:r>
      <w:r w:rsidR="00C2513F" w:rsidRPr="00C2513F">
        <w:rPr>
          <w:rFonts w:cs="Arial"/>
          <w:noProof/>
          <w:vertAlign w:val="superscript"/>
        </w:rPr>
        <w:t>12</w:t>
      </w:r>
      <w:r w:rsidR="00F656FD" w:rsidRPr="001C409F">
        <w:rPr>
          <w:rFonts w:cs="Arial"/>
        </w:rPr>
        <w:fldChar w:fldCharType="end"/>
      </w:r>
      <w:r w:rsidR="00BF149D" w:rsidRPr="001C409F">
        <w:rPr>
          <w:rFonts w:cs="Arial"/>
        </w:rPr>
        <w:t xml:space="preserve"> This</w:t>
      </w:r>
      <w:r w:rsidR="00B9436B" w:rsidRPr="001C409F">
        <w:rPr>
          <w:rFonts w:cs="Arial"/>
        </w:rPr>
        <w:t xml:space="preserve"> programme led to a rapid decline in </w:t>
      </w:r>
      <w:r w:rsidR="00C75119">
        <w:rPr>
          <w:rFonts w:cs="Arial"/>
        </w:rPr>
        <w:t xml:space="preserve">PCV7-type and </w:t>
      </w:r>
      <w:r w:rsidR="00B9436B" w:rsidRPr="001C409F">
        <w:rPr>
          <w:rFonts w:cs="Arial"/>
        </w:rPr>
        <w:t xml:space="preserve">overall </w:t>
      </w:r>
      <w:r w:rsidR="001C409F">
        <w:rPr>
          <w:rFonts w:cs="Arial"/>
        </w:rPr>
        <w:t xml:space="preserve">IPD </w:t>
      </w:r>
      <w:r w:rsidR="00B9436B" w:rsidRPr="001C409F">
        <w:rPr>
          <w:rFonts w:cs="Arial"/>
        </w:rPr>
        <w:t xml:space="preserve">across all age groups </w:t>
      </w:r>
      <w:r w:rsidR="00C75119">
        <w:rPr>
          <w:rFonts w:cs="Arial"/>
        </w:rPr>
        <w:t xml:space="preserve">because </w:t>
      </w:r>
      <w:r w:rsidR="00B9436B" w:rsidRPr="001C409F">
        <w:rPr>
          <w:rFonts w:cs="Arial"/>
        </w:rPr>
        <w:t>of direct and indirect (herd) protection</w:t>
      </w:r>
      <w:r w:rsidR="004E162B" w:rsidRPr="001C409F">
        <w:rPr>
          <w:rFonts w:cs="Arial"/>
        </w:rPr>
        <w:t>.</w:t>
      </w:r>
      <w:r w:rsidR="00F656FD" w:rsidRPr="001C409F">
        <w:rPr>
          <w:rFonts w:cs="Arial"/>
        </w:rPr>
        <w:fldChar w:fldCharType="begin" w:fldLock="1"/>
      </w:r>
      <w:r w:rsidR="00C2513F">
        <w:rPr>
          <w:rFonts w:cs="Arial"/>
        </w:rPr>
        <w:instrText>ADDIN CSL_CITATION { "citationItems" : [ { "id" : "ITEM-1", "itemData" : { "DOI" : "10.1016/S1473-3099(11)70090-1", "ISBN" : "1474-4457 (Electronic)\\r1473-3099 (Linking)", "ISSN" : "14733099", "PMID" : "21621466", "abstract" : "Background: The seven-valent pneumococcal conjugate vaccine (PCV7) has reduced vaccine-type (VT) invasive pneumococcal disease but increases in non-vaccine-type (NVT) disease have varied between countries. We assess the effect of the PCV7 vaccination on VT and NVT disease in England and Wales. Methods: The study cohort was the population of England and Wales from July, 2000, to June, 2010. We calculated incidence rate ratios (IRRs) to compare incidences of VT and NVT disease before (2000-06) and after (2009-10) the introduction of PCV7. We used data from the national surveillance database. Cases included in our analysis were restricted to those confirmed by culture linked with isolates referred for serotyping at the national reference centre by laboratories in England and Wales. We adjusted for potential bias from missing data (serotype and age of patient) and changes in case ascertainment rates during the study period. Findings: 5809 cases of invasive pneumococcal disease were reported in 2009-10, giving an incidence of 10??6 per 100 000 population in 2009-10, which, when compared with the adjusted average annual incidence of 16??1 in 2000-06, gives an overall reduction of 34% (95% CI 28-39). VT disease decreased in all age groups, with reductions of 98% in individuals younger than 2 years and 81% in those aged 65 years or older. NVT disease increased by 68% in individuals younger than 2 years and 48% in those aged 65 years or older, giving an overall reduction in invasive pneumococcal disease of 56% in those younger than 2 years and 19% in those aged 65 years or older. After vaccine introduction, more NVT serotypes increased in frequency than decreased, which is consistent with vaccine-induced replacement. Key serotypes showing replacement were 7F, 19A, and 22F. Increases in NVT invasive pneumococcal disease were not associated with antimicrobial resistance. Interpretation: Despite much serotype replacement, a substantial reduction in invasive pneumococcal disease in young children can be achieved with PCV7 vaccination, with some indirect benefit in older age groups. Further reductions should be achievable by use of higher valency vaccines. Robust surveillance data are needed to properly assess the epidemiological effect of multivalent pneumococcal disease vaccines. Funding: Health Protection Agency. ?? 2011 Elsevier Ltd.", "author" : [ { "dropping-particle" : "", "family" : "Miller", "given" : "Elizabeth", "non-dropping-particle" : "", "parse-names" : false, "suffix" : "" }, { "dropping-particle" : "", "family" : "Andrews", "given" : "Nicholas J.", "non-dropping-particle" : "", "parse-names" : false, "suffix" : "" }, { "dropping-particle" : "", "family" : "Waight", "given" : "Pauline A.", "non-dropping-particle" : "", "parse-names" : false, "suffix" : "" }, { "dropping-particle" : "", "family" : "Slack", "given" : "Mary P E", "non-dropping-particle" : "", "parse-names" : false, "suffix" : "" }, { "dropping-particle" : "", "family" : "George", "given" : "Robert C.", "non-dropping-particle" : "", "parse-names" : false, "suffix" : "" } ], "container-title" : "The Lancet Infectious Diseases", "id" : "ITEM-1", "issue" : "10", "issued" : { "date-parts" : [ [ "2011" ] ] }, "page" : "760-768", "title" : "Herd immunity and serotype replacement 4 years after seven-valent pneumococcal conjugate vaccination in England and Wales: An observational cohort study", "type" : "article-journal", "volume" : "11" }, "uris" : [ "http://www.mendeley.com/documents/?uuid=2250e50b-4cea-4685-a1b0-d0ebd7d872f7" ] } ], "mendeley" : { "formattedCitation" : "&lt;sup&gt;13&lt;/sup&gt;", "plainTextFormattedCitation" : "13", "previouslyFormattedCitation" : "&lt;sup&gt;13&lt;/sup&gt;" }, "properties" : { "noteIndex" : 0 }, "schema" : "https://github.com/citation-style-language/schema/raw/master/csl-citation.json" }</w:instrText>
      </w:r>
      <w:r w:rsidR="00F656FD" w:rsidRPr="001C409F">
        <w:rPr>
          <w:rFonts w:cs="Arial"/>
        </w:rPr>
        <w:fldChar w:fldCharType="separate"/>
      </w:r>
      <w:r w:rsidR="00C2513F" w:rsidRPr="00C2513F">
        <w:rPr>
          <w:rFonts w:cs="Arial"/>
          <w:noProof/>
          <w:vertAlign w:val="superscript"/>
        </w:rPr>
        <w:t>13</w:t>
      </w:r>
      <w:r w:rsidR="00F656FD" w:rsidRPr="001C409F">
        <w:rPr>
          <w:rFonts w:cs="Arial"/>
        </w:rPr>
        <w:fldChar w:fldCharType="end"/>
      </w:r>
      <w:r w:rsidR="00B9436B" w:rsidRPr="001C409F">
        <w:rPr>
          <w:rFonts w:cs="Arial"/>
        </w:rPr>
        <w:t xml:space="preserve"> In April 2010, PCV7 was replaced by a 13-valent PCV (PCV13)</w:t>
      </w:r>
      <w:r w:rsidR="007A582C" w:rsidRPr="001C409F">
        <w:rPr>
          <w:rFonts w:cs="Arial"/>
        </w:rPr>
        <w:t xml:space="preserve"> without any catch-up</w:t>
      </w:r>
      <w:r w:rsidR="00C75119">
        <w:rPr>
          <w:rFonts w:cs="Arial"/>
        </w:rPr>
        <w:t>,</w:t>
      </w:r>
      <w:r w:rsidR="00080545">
        <w:rPr>
          <w:rFonts w:cs="Arial"/>
        </w:rPr>
        <w:t xml:space="preserve"> </w:t>
      </w:r>
      <w:r w:rsidR="00C75119">
        <w:rPr>
          <w:rFonts w:cs="Arial"/>
        </w:rPr>
        <w:t xml:space="preserve">to provide </w:t>
      </w:r>
      <w:r w:rsidR="00B9436B" w:rsidRPr="001C409F">
        <w:rPr>
          <w:rFonts w:cs="Arial"/>
        </w:rPr>
        <w:t xml:space="preserve">additional protection against </w:t>
      </w:r>
      <w:r w:rsidR="00C75119">
        <w:rPr>
          <w:rFonts w:cs="Arial"/>
        </w:rPr>
        <w:t xml:space="preserve">some of </w:t>
      </w:r>
      <w:r w:rsidR="001C409F">
        <w:rPr>
          <w:rFonts w:cs="Arial"/>
        </w:rPr>
        <w:t xml:space="preserve">the </w:t>
      </w:r>
      <w:r w:rsidR="00B9436B" w:rsidRPr="001C409F">
        <w:rPr>
          <w:rFonts w:cs="Arial"/>
        </w:rPr>
        <w:t xml:space="preserve">major </w:t>
      </w:r>
      <w:r w:rsidR="001C409F">
        <w:rPr>
          <w:rFonts w:cs="Arial"/>
        </w:rPr>
        <w:t xml:space="preserve">replacing </w:t>
      </w:r>
      <w:r w:rsidR="00B9436B" w:rsidRPr="001C409F">
        <w:rPr>
          <w:rFonts w:cs="Arial"/>
        </w:rPr>
        <w:t>pneumococcal serotypes causing IPD.</w:t>
      </w:r>
      <w:r w:rsidR="00F656FD" w:rsidRPr="001C409F">
        <w:rPr>
          <w:rFonts w:cs="Arial"/>
        </w:rPr>
        <w:fldChar w:fldCharType="begin" w:fldLock="1"/>
      </w:r>
      <w:r w:rsidR="00C2513F">
        <w:rPr>
          <w:rFonts w:cs="Arial"/>
        </w:rPr>
        <w:instrText>ADDIN CSL_CITATION { "citationItems" : [ { "id" : "ITEM-1", "itemData" : { "DOI" : "10.1016/S1473-3099(15)70044-7", "ISBN" : "doi:10.1016/S1473-3099(15)70044-7", "ISSN" : "14744457", "PMID" : "25801458", "abstract" : "Background: The 13-valent pneumococcal conjugate vaccine (PCV13) protects against key serotypes that increased after routine immunisation with the seven-valent vaccine (PCV7), but its potential for herd protection and serotype replacement is uncertain. The aim of this study was to analyse the effect of the 13-valent pneumococcal conjugate vaccine on invasive pneumococcal disease in England and Wales 4 years after its introduction. Methods: We used a national dataset of electronically reported and serotyped invasive pneumococcal disease cases in England and Wales to estimate incidence rate ratios (IRRs) for vaccine and non-vaccine type invasive pneumococcal disease between July, 2013, and June, 2014, versus the pre-PCV13 and pre-PCV7 baseline. Incidence rates were corrected for missing serotype data and changes in surveillance sensitivity over time. An over-dispersed Poisson model was used to estimate IRRs and confidence intervals. Findings: Incidence of invasive pneumococcal disease in the epidemiological year 2013/14 decreased by 32% compared with the pre-PCV13 baseline (incidence 10??14 per 100 000 in 2008-10 vs 6??85 per 100 000 in 2013/14; IRR 0??68, 95% CI 0??64-0??72). This was due to an 86% reduction of the serotypes covered by PCV7 (1??46 vs 0??20 per 100 000; IRR 0??14, 0??10-0??18) and a 69% reduction of the additional six serotypes covered by PCV13 (4??48 vs 1??40 per 100 000; IRR 0??31, 0??28-0??35). When compared with the pre-PCV7 baseline, there was a 56% overall reduction in invasive pneumococcal disease (15??63 vs 6??85 per 100 000; IRR 0??44, 95% CI 0??43-0??47). Compared with the pre-PCV13 baseline, the incidence of non-PCV13 serotypes increased (incidence all ages 4??19 vs 5??25 per 100 000; IRR 1??25, 95% CI 1??17-1??35) due to increases across a broad range of serotypes in children younger than 5 years and in people aged 45 years or more. In children younger than 5 years, incidence of non-PCV13 serotypes in 2013/14 was higher than in 2012/13 (age &lt;2 years: 12??03 vs 10??83 per 100 000; age 2-4 years: 4??08 vs 3??63 per 100 000). Interpretation: 8 years of PCV use in England and Wales has reduced the overall incidence of invasive pneumococcal disease by more than 50%. The herd protection induced by PCV7 is continuing, and similar indirect protection is occurring from the additional serotypes covered by PCV13. There is, however, evidence of increasing invasive pneumococcal disease due to non-PCV13 serotypes, particularly in children y\u2026", "author" : [ { "dropping-particle" : "", "family" : "Waight", "given" : "Pauline A.", "non-dropping-particle" : "", "parse-names" : false, "suffix" : "" }, { "dropping-particle" : "", "family" : "Andrews", "given" : "Nicholas J.", "non-dropping-particle" : "", "parse-names" : false, "suffix" : "" }, { "dropping-particle" : "", "family" : "Ladhani", "given" : "Shamez N.", "non-dropping-particle" : "", "parse-names" : false, "suffix" : "" }, { "dropping-particle" : "", "family" : "Sheppard", "given" : "Carmen L.", "non-dropping-particle" : "", "parse-names" : false, "suffix" : "" }, { "dropping-particle" : "", "family" : "Slack", "given" : "Mary P E", "non-dropping-particle" : "", "parse-names" : false, "suffix" : "" }, { "dropping-particle" : "", "family" : "Miller", "given" : "Elizabeth", "non-dropping-particle" : "", "parse-names" : false, "suffix" : "" } ], "container-title" : "The Lancet Infectious Diseases", "id" : "ITEM-1", "issue" : "5", "issued" : { "date-parts" : [ [ "2015" ] ] }, "page" : "535-543", "title" : "Effect of the 13-valent pneumococcal conjugate vaccine on invasive pneumococcal disease in England and Wales 4 years after its introduction: An observational cohort study", "type" : "article-journal", "volume" : "15" }, "uris" : [ "http://www.mendeley.com/documents/?uuid=d57166b5-3cc5-43f7-aba6-49b0c32066f0" ] } ], "mendeley" : { "formattedCitation" : "&lt;sup&gt;14&lt;/sup&gt;", "plainTextFormattedCitation" : "14", "previouslyFormattedCitation" : "&lt;sup&gt;14&lt;/sup&gt;" }, "properties" : { "noteIndex" : 0 }, "schema" : "https://github.com/citation-style-language/schema/raw/master/csl-citation.json" }</w:instrText>
      </w:r>
      <w:r w:rsidR="00F656FD" w:rsidRPr="001C409F">
        <w:rPr>
          <w:rFonts w:cs="Arial"/>
        </w:rPr>
        <w:fldChar w:fldCharType="separate"/>
      </w:r>
      <w:r w:rsidR="00C2513F" w:rsidRPr="00C2513F">
        <w:rPr>
          <w:rFonts w:cs="Arial"/>
          <w:noProof/>
          <w:vertAlign w:val="superscript"/>
        </w:rPr>
        <w:t>14</w:t>
      </w:r>
      <w:r w:rsidR="00F656FD" w:rsidRPr="001C409F">
        <w:rPr>
          <w:rFonts w:cs="Arial"/>
        </w:rPr>
        <w:fldChar w:fldCharType="end"/>
      </w:r>
    </w:p>
    <w:p w14:paraId="5FD95AA0" w14:textId="752F0FA0" w:rsidR="00CB4AC0" w:rsidRPr="001C409F" w:rsidRDefault="00BF149D" w:rsidP="004F2156">
      <w:pPr>
        <w:spacing w:line="360" w:lineRule="auto"/>
      </w:pPr>
      <w:r w:rsidRPr="001C409F">
        <w:t xml:space="preserve">In 2006, a </w:t>
      </w:r>
      <w:r w:rsidR="00930570" w:rsidRPr="001C409F">
        <w:t xml:space="preserve">newborn bloodspot screening programme for SCD was also implemented </w:t>
      </w:r>
      <w:r w:rsidR="00C75119">
        <w:t>in England</w:t>
      </w:r>
      <w:r w:rsidR="001C409F" w:rsidRPr="001C409F">
        <w:t>.</w:t>
      </w:r>
      <w:r w:rsidR="00F656FD" w:rsidRPr="001C409F">
        <w:fldChar w:fldCharType="begin" w:fldLock="1"/>
      </w:r>
      <w:r w:rsidR="00C2513F">
        <w:instrText>ADDIN CSL_CITATION { "citationItems" : [ { "id" : "ITEM-1", "itemData" : { "author" : [ { "dropping-particle" : "", "family" : "Spot", "given" : "Newborn Blood", "non-dropping-particle" : "", "parse-names" : false, "suffix" : "" } ], "id" : "ITEM-1", "issue" : "August", "issued" : { "date-parts" : [ [ "2013" ] ] }, "page" : "1-32", "title" : "Newborn Blood Spot Standards for newborn blood spot screening About the NHS Newborn Blood Spot Screening Programme", "type" : "article-journal" }, "uris" : [ "http://www.mendeley.com/documents/?uuid=75765ee6-169f-46d6-813c-27d9dd957ef3" ] } ], "mendeley" : { "formattedCitation" : "&lt;sup&gt;15&lt;/sup&gt;", "plainTextFormattedCitation" : "15", "previouslyFormattedCitation" : "&lt;sup&gt;15&lt;/sup&gt;" }, "properties" : { "noteIndex" : 0 }, "schema" : "https://github.com/citation-style-language/schema/raw/master/csl-citation.json" }</w:instrText>
      </w:r>
      <w:r w:rsidR="00F656FD" w:rsidRPr="001C409F">
        <w:fldChar w:fldCharType="separate"/>
      </w:r>
      <w:r w:rsidR="00C2513F" w:rsidRPr="00C2513F">
        <w:rPr>
          <w:noProof/>
          <w:vertAlign w:val="superscript"/>
        </w:rPr>
        <w:t>15</w:t>
      </w:r>
      <w:r w:rsidR="00F656FD" w:rsidRPr="001C409F">
        <w:fldChar w:fldCharType="end"/>
      </w:r>
      <w:r w:rsidR="00C75119">
        <w:t xml:space="preserve"> </w:t>
      </w:r>
      <w:r w:rsidR="00930570" w:rsidRPr="001C409F">
        <w:t xml:space="preserve">Prior to this, newborn screening was </w:t>
      </w:r>
      <w:r w:rsidR="00C75119">
        <w:t xml:space="preserve">only available in </w:t>
      </w:r>
      <w:r w:rsidR="00930570" w:rsidRPr="001C409F">
        <w:t xml:space="preserve">some high prevalence </w:t>
      </w:r>
      <w:r w:rsidR="00C75119">
        <w:t>regions</w:t>
      </w:r>
      <w:r w:rsidR="00DD4815">
        <w:t>.</w:t>
      </w:r>
      <w:r w:rsidR="00F656FD" w:rsidRPr="001C409F">
        <w:fldChar w:fldCharType="begin" w:fldLock="1"/>
      </w:r>
      <w:r w:rsidR="00C2513F">
        <w:instrText>ADDIN CSL_CITATION { "citationItems" : [ { "id" : "ITEM-1", "itemData" : { "container-title" : "BMJ", "id" : "ITEM-1", "issue" : "7007", "issued" : { "date-parts" : [ [ "1995" ] ] }, "page" : "726", "title" : "Survey of scope of neonatal screening in the United Kingdom (BMJ) Streetly, A., Grant, C, Pollitt, R.J, Addison, G.M", "type" : "article-journal", "volume" : "311" }, "uris" : [ "http://www.mendeley.com/documents/?uuid=7878ed42-5b9c-4a95-8561-ffb8e07587a3" ] } ], "mendeley" : { "formattedCitation" : "&lt;sup&gt;16&lt;/sup&gt;", "plainTextFormattedCitation" : "16", "previouslyFormattedCitation" : "&lt;sup&gt;16&lt;/sup&gt;" }, "properties" : { "noteIndex" : 0 }, "schema" : "https://github.com/citation-style-language/schema/raw/master/csl-citation.json" }</w:instrText>
      </w:r>
      <w:r w:rsidR="00F656FD" w:rsidRPr="001C409F">
        <w:fldChar w:fldCharType="separate"/>
      </w:r>
      <w:r w:rsidR="00C2513F" w:rsidRPr="00C2513F">
        <w:rPr>
          <w:noProof/>
          <w:vertAlign w:val="superscript"/>
        </w:rPr>
        <w:t>16</w:t>
      </w:r>
      <w:r w:rsidR="00F656FD" w:rsidRPr="001C409F">
        <w:fldChar w:fldCharType="end"/>
      </w:r>
      <w:r w:rsidR="00B9436B" w:rsidRPr="001C409F">
        <w:t xml:space="preserve"> </w:t>
      </w:r>
      <w:r w:rsidR="00FB5780" w:rsidRPr="001C409F">
        <w:t>Recently, t</w:t>
      </w:r>
      <w:r w:rsidR="00A4160B" w:rsidRPr="001C409F">
        <w:t xml:space="preserve">he newborn outcomes programme </w:t>
      </w:r>
      <w:r w:rsidRPr="001C409F">
        <w:t>identified nine</w:t>
      </w:r>
      <w:r w:rsidR="00852E07" w:rsidRPr="001C409F">
        <w:t xml:space="preserve"> deaths</w:t>
      </w:r>
      <w:r w:rsidR="001443B8" w:rsidRPr="001C409F">
        <w:t xml:space="preserve"> in </w:t>
      </w:r>
      <w:r w:rsidR="00C75119">
        <w:t>&lt;5 year-olds</w:t>
      </w:r>
      <w:r w:rsidR="00080545">
        <w:t xml:space="preserve"> </w:t>
      </w:r>
      <w:r w:rsidR="00A4160B" w:rsidRPr="001C409F">
        <w:t>wit</w:t>
      </w:r>
      <w:r w:rsidR="00FB5780" w:rsidRPr="001C409F">
        <w:t>h SCD</w:t>
      </w:r>
      <w:r w:rsidR="00852E07" w:rsidRPr="001C409F">
        <w:t xml:space="preserve">, including </w:t>
      </w:r>
      <w:r w:rsidRPr="001C409F">
        <w:t xml:space="preserve">three who died of </w:t>
      </w:r>
      <w:r w:rsidR="00852E07" w:rsidRPr="001C409F">
        <w:t>IPD</w:t>
      </w:r>
      <w:r w:rsidR="001443B8" w:rsidRPr="001C409F">
        <w:t xml:space="preserve">. </w:t>
      </w:r>
      <w:r w:rsidR="00852E07" w:rsidRPr="001C409F">
        <w:t>We</w:t>
      </w:r>
      <w:r w:rsidRPr="001C409F">
        <w:t>,</w:t>
      </w:r>
      <w:r w:rsidR="00852E07" w:rsidRPr="001C409F">
        <w:t xml:space="preserve"> therefore</w:t>
      </w:r>
      <w:r w:rsidRPr="001C409F">
        <w:t>,</w:t>
      </w:r>
      <w:r w:rsidR="00852E07" w:rsidRPr="001C409F">
        <w:t xml:space="preserve"> undertook this study to </w:t>
      </w:r>
      <w:r w:rsidR="00023A26" w:rsidRPr="001C409F">
        <w:t xml:space="preserve">describe the children with </w:t>
      </w:r>
      <w:r w:rsidR="00C01CE0" w:rsidRPr="001C409F">
        <w:t>SCD</w:t>
      </w:r>
      <w:r w:rsidR="00080545">
        <w:t xml:space="preserve"> </w:t>
      </w:r>
      <w:r w:rsidR="005379C6" w:rsidRPr="001C409F">
        <w:t>who were identified through the national newborn</w:t>
      </w:r>
      <w:r w:rsidR="00E6296F">
        <w:t xml:space="preserve"> </w:t>
      </w:r>
      <w:r w:rsidR="005379C6" w:rsidRPr="001C409F">
        <w:t>screening</w:t>
      </w:r>
      <w:r w:rsidR="00E6296F">
        <w:t xml:space="preserve"> </w:t>
      </w:r>
      <w:r w:rsidR="00930570" w:rsidRPr="001C409F">
        <w:t xml:space="preserve">programme and followed up as part of </w:t>
      </w:r>
      <w:r w:rsidR="001C409F" w:rsidRPr="001C409F">
        <w:t>the</w:t>
      </w:r>
      <w:r w:rsidR="00930570" w:rsidRPr="001C409F">
        <w:t xml:space="preserve"> national </w:t>
      </w:r>
      <w:r w:rsidR="001C409F" w:rsidRPr="001C409F">
        <w:t xml:space="preserve">SCD screening </w:t>
      </w:r>
      <w:r w:rsidR="00930570" w:rsidRPr="001C409F">
        <w:t>programme</w:t>
      </w:r>
      <w:r w:rsidR="001C409F">
        <w:t>,</w:t>
      </w:r>
      <w:r w:rsidR="00E6296F">
        <w:t xml:space="preserve"> </w:t>
      </w:r>
      <w:r w:rsidR="001C409F">
        <w:t xml:space="preserve">who </w:t>
      </w:r>
      <w:r w:rsidR="00023A26" w:rsidRPr="001C409F">
        <w:t xml:space="preserve">developed IPD </w:t>
      </w:r>
      <w:r w:rsidR="001C409F">
        <w:t xml:space="preserve">after </w:t>
      </w:r>
      <w:r w:rsidR="005379C6" w:rsidRPr="001C409F">
        <w:t xml:space="preserve">PCV13 </w:t>
      </w:r>
      <w:r w:rsidR="001C409F">
        <w:t>introduction</w:t>
      </w:r>
      <w:r w:rsidR="009A3FCA" w:rsidRPr="001C409F">
        <w:t>,</w:t>
      </w:r>
      <w:r w:rsidR="00023A26" w:rsidRPr="001C409F">
        <w:t xml:space="preserve"> and to </w:t>
      </w:r>
      <w:r w:rsidR="00852E07" w:rsidRPr="001C409F">
        <w:t xml:space="preserve">assess any additional </w:t>
      </w:r>
      <w:r w:rsidR="002016AB" w:rsidRPr="001C409F">
        <w:t>risk compared</w:t>
      </w:r>
      <w:r w:rsidR="005379C6" w:rsidRPr="001C409F">
        <w:t xml:space="preserve"> </w:t>
      </w:r>
      <w:r w:rsidR="00A94770" w:rsidRPr="001C409F">
        <w:t xml:space="preserve">with </w:t>
      </w:r>
      <w:r w:rsidR="001C409F">
        <w:t xml:space="preserve">their peers </w:t>
      </w:r>
      <w:r w:rsidR="005379C6" w:rsidRPr="001C409F">
        <w:t xml:space="preserve">without </w:t>
      </w:r>
      <w:r w:rsidR="0009104F" w:rsidRPr="001C409F">
        <w:t>SCD</w:t>
      </w:r>
      <w:r w:rsidR="00C75119">
        <w:t>,</w:t>
      </w:r>
      <w:r w:rsidR="005379C6" w:rsidRPr="001C409F">
        <w:t xml:space="preserve"> who developed IPD during the same </w:t>
      </w:r>
      <w:r w:rsidR="001C409F">
        <w:t xml:space="preserve">surveillance </w:t>
      </w:r>
      <w:r w:rsidR="005379C6" w:rsidRPr="001C409F">
        <w:t>period</w:t>
      </w:r>
      <w:r w:rsidR="001443B8" w:rsidRPr="001C409F">
        <w:t>.</w:t>
      </w:r>
    </w:p>
    <w:p w14:paraId="30768870" w14:textId="77777777" w:rsidR="00CB4AC0" w:rsidRPr="001C409F" w:rsidRDefault="00CB4AC0" w:rsidP="004F2156">
      <w:pPr>
        <w:widowControl w:val="0"/>
        <w:autoSpaceDE w:val="0"/>
        <w:autoSpaceDN w:val="0"/>
        <w:adjustRightInd w:val="0"/>
        <w:spacing w:after="0" w:line="360" w:lineRule="auto"/>
        <w:rPr>
          <w:rFonts w:eastAsia="MS Mincho" w:cs="Cambria"/>
          <w:b/>
          <w:bCs/>
          <w:lang w:val="en-US"/>
        </w:rPr>
      </w:pPr>
    </w:p>
    <w:p w14:paraId="4E5D0222" w14:textId="77777777" w:rsidR="003E7624" w:rsidRPr="001C409F" w:rsidRDefault="003E7624" w:rsidP="004F2156">
      <w:pPr>
        <w:widowControl w:val="0"/>
        <w:autoSpaceDE w:val="0"/>
        <w:autoSpaceDN w:val="0"/>
        <w:adjustRightInd w:val="0"/>
        <w:spacing w:after="0" w:line="360" w:lineRule="auto"/>
        <w:rPr>
          <w:rFonts w:eastAsia="MS Mincho" w:cs="Cambria"/>
          <w:b/>
          <w:bCs/>
          <w:sz w:val="28"/>
          <w:lang w:val="en-US"/>
        </w:rPr>
      </w:pPr>
      <w:r w:rsidRPr="001C409F">
        <w:rPr>
          <w:rFonts w:eastAsia="MS Mincho" w:cs="Cambria"/>
          <w:b/>
          <w:bCs/>
          <w:sz w:val="28"/>
          <w:lang w:val="en-US"/>
        </w:rPr>
        <w:t>Methods</w:t>
      </w:r>
    </w:p>
    <w:p w14:paraId="6127BD33" w14:textId="6A4CFD37" w:rsidR="00BB7EC4" w:rsidRPr="001C409F" w:rsidRDefault="00EB5A54" w:rsidP="004F2156">
      <w:pPr>
        <w:widowControl w:val="0"/>
        <w:autoSpaceDE w:val="0"/>
        <w:autoSpaceDN w:val="0"/>
        <w:adjustRightInd w:val="0"/>
        <w:spacing w:after="0" w:line="360" w:lineRule="auto"/>
        <w:rPr>
          <w:rFonts w:eastAsia="MS Mincho" w:cs="Cambria"/>
        </w:rPr>
      </w:pPr>
      <w:r>
        <w:rPr>
          <w:rFonts w:eastAsia="MS Mincho" w:cs="Cambria"/>
        </w:rPr>
        <w:t>A</w:t>
      </w:r>
      <w:r w:rsidR="00BB7EC4" w:rsidRPr="001C409F">
        <w:rPr>
          <w:rFonts w:eastAsia="MS Mincho" w:cs="Cambria"/>
        </w:rPr>
        <w:t xml:space="preserve"> national newborn screening programme for SCD </w:t>
      </w:r>
      <w:r>
        <w:rPr>
          <w:rFonts w:eastAsia="MS Mincho" w:cs="Cambria"/>
        </w:rPr>
        <w:t>was implemented across England between 2003-2006</w:t>
      </w:r>
      <w:r w:rsidR="004E162B" w:rsidRPr="001C409F">
        <w:rPr>
          <w:rFonts w:eastAsia="MS Mincho" w:cs="Cambria"/>
        </w:rPr>
        <w:t>.</w:t>
      </w:r>
      <w:r w:rsidR="00F656FD" w:rsidRPr="001C409F">
        <w:rPr>
          <w:rFonts w:eastAsia="MS Mincho" w:cs="Cambria"/>
        </w:rPr>
        <w:fldChar w:fldCharType="begin" w:fldLock="1"/>
      </w:r>
      <w:r w:rsidR="00C2513F">
        <w:rPr>
          <w:rFonts w:eastAsia="MS Mincho" w:cs="Cambria"/>
        </w:rPr>
        <w:instrText>ADDIN CSL_CITATION { "citationItems" : [ { "id" : "ITEM-1", "itemData" : { "DOI" : "10.3324/haematol.10937", "ISBN" : "0390-6078", "ISSN" : "03906078", "PMID" : "17606440", "abstract" : "BACKGROUND AND OBJECTIVES: We investigated outcomes in a UK neonatal cohort as a benchmark for care of children with sickle cell disease (SCD). DESIGN AND METHODS: Two-hundred and fifty-two children (180 with hemoglobin [Hb] SS, 64 with HbSC, and 8 with HbS/beta thalassemia), identified during 1983-2005 by universal birth screening in East London, were followed in a hospital and community-based program which included penicillin V prophylaxis from 3 months of age, 23-valent pneumococcal polysaccharide vaccine from 1993, conjugate pneumococcal vaccine from 2002 and transcranial Doppler screening from 1991. RESULTS: At the end of 2005, there were 2158 patient years of observation. The median age of the patients was 7.8 (interquartile range 3.3-13.0) years, and 2.8% of those enrolled had been lost to follow-up. The estimated survival of children with HbSS at 16 years was 99.0% (95% confidence interval, CI, 93.2 to 99.9%) and pneumococcal sepsis rate was 0.3 (95% CI 0.1-0.8) episodes per 100 patient-years. The risk of overt stroke was 4.3% (95%CI 1.5 to 11.4%) and could be further reduced by transcranial Doppler screening from infancy and transfusing all children with high-risk scans. No deaths, strokes or episodes of pneumococcal sepsis were observed in children with HbSC or HbS/beta thalassemia. The mortality rates from HbSS were significantly lower than those in other reported cohorts. INTERPRETATION AND CONCLUSIONS: Mortality in childhood SCD can virtually be eliminated in a well-resourced health service setting linking community-based care with a specialized, hospital-based center. SCD continues to cause substantial morbidity from acute complications and chronic organ damage. We recommend setting up of clinical networks to optimize the management of SCD.", "author" : [ { "dropping-particle" : "", "family" : "Telfer", "given" : "Paul", "non-dropping-particle" : "", "parse-names" : false, "suffix" : "" }, { "dropping-particle" : "", "family" : "Coen", "given" : "Pietro", "non-dropping-particle" : "", "parse-names" : false, "suffix" : "" }, { "dropping-particle" : "", "family" : "Chakravorty", "given" : "Subarna", "non-dropping-particle" : "", "parse-names" : false, "suffix" : "" }, { "dropping-particle" : "", "family" : "Wilkey", "given" : "Olu", "non-dropping-particle" : "", "parse-names" : false, "suffix" : "" }, { "dropping-particle" : "", "family" : "Evans", "given" : "Jane", "non-dropping-particle" : "", "parse-names" : false, "suffix" : "" }, { "dropping-particle" : "", "family" : "Newell", "given" : "Heather", "non-dropping-particle" : "", "parse-names" : false, "suffix" : "" }, { "dropping-particle" : "", "family" : "Smalling", "given" : "Beverley", "non-dropping-particle" : "", "parse-names" : false, "suffix" : "" }, { "dropping-particle" : "", "family" : "Amos", "given" : "Roger", "non-dropping-particle" : "", "parse-names" : false, "suffix" : "" }, { "dropping-particle" : "", "family" : "Stephens", "given" : "Adrian", "non-dropping-particle" : "", "parse-names" : false, "suffix" : "" }, { "dropping-particle" : "", "family" : "Rogers", "given" : "David", "non-dropping-particle" : "", "parse-names" : false, "suffix" : "" }, { "dropping-particle" : "", "family" : "Kirkham", "given" : "Fenella", "non-dropping-particle" : "", "parse-names" : false, "suffix" : "" } ], "container-title" : "Haematologica", "id" : "ITEM-1", "issue" : "7", "issued" : { "date-parts" : [ [ "2007" ] ] }, "page" : "905-912", "title" : "Clinical outcomes in children with sickle cell disease living in England: A neonatal cohort in East London", "type" : "article-journal", "volume" : "92" }, "uris" : [ "http://www.mendeley.com/documents/?uuid=fe178d58-210f-448b-b6da-58c485fc5af1" ] } ], "mendeley" : { "formattedCitation" : "&lt;sup&gt;17&lt;/sup&gt;", "plainTextFormattedCitation" : "17", "previouslyFormattedCitation" : "&lt;sup&gt;17&lt;/sup&gt;" }, "properties" : { "noteIndex" : 0 }, "schema" : "https://github.com/citation-style-language/schema/raw/master/csl-citation.json" }</w:instrText>
      </w:r>
      <w:r w:rsidR="00F656FD" w:rsidRPr="001C409F">
        <w:rPr>
          <w:rFonts w:eastAsia="MS Mincho" w:cs="Cambria"/>
        </w:rPr>
        <w:fldChar w:fldCharType="separate"/>
      </w:r>
      <w:r w:rsidR="00C2513F" w:rsidRPr="00C2513F">
        <w:rPr>
          <w:rFonts w:eastAsia="MS Mincho" w:cs="Cambria"/>
          <w:noProof/>
          <w:vertAlign w:val="superscript"/>
        </w:rPr>
        <w:t>17</w:t>
      </w:r>
      <w:r w:rsidR="00F656FD" w:rsidRPr="001C409F">
        <w:rPr>
          <w:rFonts w:eastAsia="MS Mincho" w:cs="Cambria"/>
        </w:rPr>
        <w:fldChar w:fldCharType="end"/>
      </w:r>
      <w:r>
        <w:rPr>
          <w:rFonts w:eastAsia="MS Mincho" w:cs="Cambria"/>
        </w:rPr>
        <w:t xml:space="preserve"> </w:t>
      </w:r>
      <w:r w:rsidR="0048176C">
        <w:rPr>
          <w:rFonts w:eastAsia="MS Mincho" w:cs="Cambria"/>
        </w:rPr>
        <w:t xml:space="preserve">SCD </w:t>
      </w:r>
      <w:r>
        <w:rPr>
          <w:rFonts w:eastAsia="MS Mincho" w:cs="Cambria"/>
        </w:rPr>
        <w:t>birth prevalence in England w</w:t>
      </w:r>
      <w:r w:rsidR="008C2E9D" w:rsidRPr="001C409F">
        <w:rPr>
          <w:rFonts w:eastAsia="MS Mincho" w:cs="Cambria"/>
        </w:rPr>
        <w:t xml:space="preserve">as </w:t>
      </w:r>
      <w:r w:rsidR="008C2E9D" w:rsidRPr="000C6132">
        <w:rPr>
          <w:rFonts w:eastAsia="MS Mincho" w:cs="Cambria"/>
        </w:rPr>
        <w:t xml:space="preserve">estimated </w:t>
      </w:r>
      <w:r>
        <w:rPr>
          <w:rFonts w:eastAsia="MS Mincho" w:cs="Cambria"/>
        </w:rPr>
        <w:t xml:space="preserve">at </w:t>
      </w:r>
      <w:r w:rsidR="008C2E9D" w:rsidRPr="000C6132">
        <w:rPr>
          <w:rFonts w:eastAsia="MS Mincho" w:cs="Cambria"/>
        </w:rPr>
        <w:t>1 in 2,</w:t>
      </w:r>
      <w:r w:rsidR="00204000">
        <w:rPr>
          <w:rFonts w:eastAsia="MS Mincho" w:cs="Cambria"/>
        </w:rPr>
        <w:t>5</w:t>
      </w:r>
      <w:r w:rsidR="008C2E9D" w:rsidRPr="000C6132">
        <w:rPr>
          <w:rFonts w:eastAsia="MS Mincho" w:cs="Cambria"/>
        </w:rPr>
        <w:t>00</w:t>
      </w:r>
      <w:r>
        <w:rPr>
          <w:rFonts w:eastAsia="MS Mincho" w:cs="Cambria"/>
        </w:rPr>
        <w:t xml:space="preserve"> live</w:t>
      </w:r>
      <w:r w:rsidR="008C2E9D" w:rsidRPr="000C6132">
        <w:rPr>
          <w:rFonts w:eastAsia="MS Mincho" w:cs="Cambria"/>
        </w:rPr>
        <w:t xml:space="preserve"> births. </w:t>
      </w:r>
      <w:r>
        <w:rPr>
          <w:rFonts w:eastAsia="MS Mincho" w:cs="Cambria"/>
        </w:rPr>
        <w:t>To support implementation</w:t>
      </w:r>
      <w:r w:rsidR="005A6AB2">
        <w:rPr>
          <w:rFonts w:eastAsia="MS Mincho" w:cs="Cambria"/>
        </w:rPr>
        <w:t>,</w:t>
      </w:r>
      <w:r>
        <w:rPr>
          <w:rFonts w:eastAsia="MS Mincho" w:cs="Cambria"/>
        </w:rPr>
        <w:t xml:space="preserve"> s</w:t>
      </w:r>
      <w:r w:rsidR="002B5DEE" w:rsidRPr="000C6132">
        <w:rPr>
          <w:rFonts w:eastAsia="MS Mincho" w:cs="Cambria"/>
        </w:rPr>
        <w:t>tandards for the programme (</w:t>
      </w:r>
      <w:r w:rsidR="003174BB" w:rsidRPr="00D40A1F">
        <w:rPr>
          <w:rStyle w:val="Hyperlink"/>
        </w:rPr>
        <w:t>https://www.gov.uk/government/uploads/system/uploads/attachment_data/file/402208/Standards2ndEdition1.pdf</w:t>
      </w:r>
      <w:r w:rsidR="002B5DEE" w:rsidRPr="000C6132">
        <w:rPr>
          <w:rFonts w:eastAsia="MS Mincho" w:cs="Cambria"/>
        </w:rPr>
        <w:t xml:space="preserve">) and guidelines for the clinical care of children with </w:t>
      </w:r>
      <w:r w:rsidR="000C6132" w:rsidRPr="000C6132">
        <w:rPr>
          <w:rFonts w:eastAsia="MS Mincho" w:cs="Cambria"/>
        </w:rPr>
        <w:t xml:space="preserve">SCD </w:t>
      </w:r>
      <w:r w:rsidR="0048176C">
        <w:rPr>
          <w:rFonts w:eastAsia="MS Mincho" w:cs="Cambria"/>
        </w:rPr>
        <w:t xml:space="preserve">have </w:t>
      </w:r>
      <w:r w:rsidR="002B5DEE" w:rsidRPr="000C6132">
        <w:rPr>
          <w:rFonts w:eastAsia="MS Mincho" w:cs="Cambria"/>
        </w:rPr>
        <w:t>been published</w:t>
      </w:r>
      <w:r w:rsidR="00C91BBD" w:rsidRPr="000C6132">
        <w:rPr>
          <w:rFonts w:eastAsia="MS Mincho" w:cs="Cambria"/>
        </w:rPr>
        <w:t>.</w:t>
      </w:r>
      <w:r w:rsidR="00F656FD" w:rsidRPr="000C6132">
        <w:rPr>
          <w:rFonts w:eastAsia="MS Mincho" w:cs="Cambria"/>
        </w:rPr>
        <w:fldChar w:fldCharType="begin" w:fldLock="1"/>
      </w:r>
      <w:r w:rsidR="00C2513F">
        <w:rPr>
          <w:rFonts w:eastAsia="MS Mincho" w:cs="Cambria"/>
        </w:rPr>
        <w:instrText>ADDIN CSL_CITATION { "citationItems" : [ { "id" : "ITEM-1", "itemData" : { "author" : [ { "dropping-particle" : "", "family" : "NICE", "given" : "", "non-dropping-particle" : "", "parse-names" : false, "suffix" : "" } ], "container-title" : "https://www.gov.uk/.../file/408961/1332-SC-Clinical-Standards-WEB.pdf", "id" : "ITEM-1", "issued" : { "date-parts" : [ [ "2016" ] ] }, "note" : "NULL", "title" : "Standards for the national screening programme and guidelines for the clinical care of children with sickle cell disease in England", "type" : "article-journal" }, "uris" : [ "http://www.mendeley.com/documents/?uuid=6a53a622-19c7-4778-bd20-1b7e35dac5b9" ] } ], "mendeley" : { "formattedCitation" : "&lt;sup&gt;18&lt;/sup&gt;", "plainTextFormattedCitation" : "18", "previouslyFormattedCitation" : "&lt;sup&gt;18&lt;/sup&gt;" }, "properties" : { "noteIndex" : 0 }, "schema" : "https://github.com/citation-style-language/schema/raw/master/csl-citation.json" }</w:instrText>
      </w:r>
      <w:r w:rsidR="00F656FD" w:rsidRPr="000C6132">
        <w:rPr>
          <w:rFonts w:eastAsia="MS Mincho" w:cs="Cambria"/>
        </w:rPr>
        <w:fldChar w:fldCharType="separate"/>
      </w:r>
      <w:r w:rsidR="00C2513F" w:rsidRPr="00C2513F">
        <w:rPr>
          <w:rFonts w:eastAsia="MS Mincho" w:cs="Cambria"/>
          <w:noProof/>
          <w:vertAlign w:val="superscript"/>
        </w:rPr>
        <w:t>18</w:t>
      </w:r>
      <w:r w:rsidR="00F656FD" w:rsidRPr="000C6132">
        <w:rPr>
          <w:rFonts w:eastAsia="MS Mincho" w:cs="Cambria"/>
        </w:rPr>
        <w:fldChar w:fldCharType="end"/>
      </w:r>
      <w:r w:rsidR="002B5DEE" w:rsidRPr="000C6132">
        <w:rPr>
          <w:rFonts w:eastAsia="MS Mincho" w:cs="Cambria"/>
        </w:rPr>
        <w:t xml:space="preserve"> The latter </w:t>
      </w:r>
      <w:r w:rsidR="00807954" w:rsidRPr="000C6132">
        <w:rPr>
          <w:rFonts w:eastAsia="MS Mincho" w:cs="Cambria"/>
        </w:rPr>
        <w:t xml:space="preserve">recommend </w:t>
      </w:r>
      <w:r w:rsidR="002B5DEE" w:rsidRPr="000C6132">
        <w:rPr>
          <w:rFonts w:eastAsia="MS Mincho" w:cs="Cambria"/>
        </w:rPr>
        <w:t xml:space="preserve">that infants with SCD should be </w:t>
      </w:r>
      <w:r w:rsidR="00AA1094" w:rsidRPr="000C6132">
        <w:rPr>
          <w:rFonts w:eastAsia="MS Mincho" w:cs="Cambria"/>
        </w:rPr>
        <w:t xml:space="preserve">referred to </w:t>
      </w:r>
      <w:r w:rsidR="002B5DEE" w:rsidRPr="000C6132">
        <w:rPr>
          <w:rFonts w:eastAsia="MS Mincho" w:cs="Cambria"/>
        </w:rPr>
        <w:t xml:space="preserve">a </w:t>
      </w:r>
      <w:r w:rsidR="00F27430">
        <w:rPr>
          <w:rFonts w:eastAsia="MS Mincho" w:cs="Cambria"/>
        </w:rPr>
        <w:t>specialist h</w:t>
      </w:r>
      <w:r w:rsidR="00376DA1">
        <w:rPr>
          <w:rFonts w:eastAsia="MS Mincho" w:cs="Cambria"/>
        </w:rPr>
        <w:t>a</w:t>
      </w:r>
      <w:r w:rsidR="00F07847" w:rsidRPr="000C6132">
        <w:rPr>
          <w:rFonts w:eastAsia="MS Mincho" w:cs="Cambria"/>
        </w:rPr>
        <w:t>emoglobinopathy</w:t>
      </w:r>
      <w:r w:rsidR="0048176C">
        <w:rPr>
          <w:rFonts w:eastAsia="MS Mincho" w:cs="Cambria"/>
        </w:rPr>
        <w:t xml:space="preserve"> </w:t>
      </w:r>
      <w:r w:rsidR="00807954" w:rsidRPr="000C6132">
        <w:rPr>
          <w:rFonts w:eastAsia="MS Mincho" w:cs="Cambria"/>
        </w:rPr>
        <w:t>t</w:t>
      </w:r>
      <w:r w:rsidR="002B5DEE" w:rsidRPr="000C6132">
        <w:rPr>
          <w:rFonts w:eastAsia="MS Mincho" w:cs="Cambria"/>
        </w:rPr>
        <w:t>eam by eight weeks of age</w:t>
      </w:r>
      <w:r w:rsidR="00897A1A" w:rsidRPr="000C6132">
        <w:rPr>
          <w:rFonts w:eastAsia="MS Mincho" w:cs="Cambria"/>
        </w:rPr>
        <w:t xml:space="preserve">, </w:t>
      </w:r>
      <w:r w:rsidR="00A5307F" w:rsidRPr="000C6132">
        <w:rPr>
          <w:rFonts w:eastAsia="MS Mincho" w:cs="Cambria"/>
        </w:rPr>
        <w:t>and assessed and offered penicillin prophylaxis</w:t>
      </w:r>
      <w:r w:rsidR="00AA1094" w:rsidRPr="000C6132">
        <w:rPr>
          <w:rFonts w:eastAsia="MS Mincho" w:cs="Cambria"/>
        </w:rPr>
        <w:t xml:space="preserve"> by </w:t>
      </w:r>
      <w:r w:rsidR="00A5307F" w:rsidRPr="000C6132">
        <w:rPr>
          <w:rFonts w:eastAsia="MS Mincho" w:cs="Cambria"/>
        </w:rPr>
        <w:t>three</w:t>
      </w:r>
      <w:r w:rsidR="00AA1094" w:rsidRPr="000C6132">
        <w:rPr>
          <w:rFonts w:eastAsia="MS Mincho" w:cs="Cambria"/>
        </w:rPr>
        <w:t xml:space="preserve"> months</w:t>
      </w:r>
      <w:r w:rsidR="009C10D9" w:rsidRPr="000C6132">
        <w:rPr>
          <w:rFonts w:eastAsia="MS Mincho" w:cs="Cambria"/>
        </w:rPr>
        <w:t xml:space="preserve">. For this study, </w:t>
      </w:r>
      <w:r w:rsidR="00066CB5" w:rsidRPr="000C6132">
        <w:rPr>
          <w:rFonts w:eastAsia="MS Mincho" w:cs="Cambria"/>
        </w:rPr>
        <w:t xml:space="preserve">children with </w:t>
      </w:r>
      <w:r w:rsidR="003350AC" w:rsidRPr="000C6132">
        <w:rPr>
          <w:rFonts w:eastAsia="MS Mincho" w:cs="Cambria"/>
          <w:lang w:val="en-US"/>
        </w:rPr>
        <w:t>SCD were</w:t>
      </w:r>
      <w:r w:rsidR="00066CB5" w:rsidRPr="000C6132">
        <w:rPr>
          <w:rFonts w:eastAsia="MS Mincho" w:cs="Cambria"/>
          <w:lang w:val="en-US"/>
        </w:rPr>
        <w:t xml:space="preserve"> identified</w:t>
      </w:r>
      <w:r w:rsidR="009C10D9" w:rsidRPr="000C6132">
        <w:rPr>
          <w:rFonts w:eastAsia="MS Mincho" w:cs="Cambria"/>
          <w:lang w:val="en-US"/>
        </w:rPr>
        <w:t xml:space="preserve"> from the </w:t>
      </w:r>
      <w:r w:rsidR="00066CB5" w:rsidRPr="000C6132">
        <w:rPr>
          <w:rFonts w:eastAsia="MS Mincho" w:cs="Cambria"/>
          <w:lang w:val="en-US"/>
        </w:rPr>
        <w:t>national</w:t>
      </w:r>
      <w:r w:rsidR="009C10D9" w:rsidRPr="000C6132">
        <w:rPr>
          <w:rFonts w:eastAsia="MS Mincho" w:cs="Cambria"/>
          <w:lang w:val="en-US"/>
        </w:rPr>
        <w:t xml:space="preserve"> newborn outcome</w:t>
      </w:r>
      <w:r>
        <w:rPr>
          <w:rFonts w:eastAsia="MS Mincho" w:cs="Cambria"/>
          <w:lang w:val="en-US"/>
        </w:rPr>
        <w:t>s</w:t>
      </w:r>
      <w:r w:rsidR="009C10D9" w:rsidRPr="000C6132">
        <w:rPr>
          <w:rFonts w:eastAsia="MS Mincho" w:cs="Cambria"/>
          <w:lang w:val="en-US"/>
        </w:rPr>
        <w:t xml:space="preserve"> project, </w:t>
      </w:r>
      <w:r>
        <w:rPr>
          <w:rFonts w:eastAsia="MS Mincho" w:cs="Cambria"/>
          <w:lang w:val="en-US"/>
        </w:rPr>
        <w:t>based at</w:t>
      </w:r>
      <w:r w:rsidR="009C10D9" w:rsidRPr="000C6132">
        <w:rPr>
          <w:rFonts w:eastAsia="MS Mincho" w:cs="Cambria"/>
          <w:lang w:val="en-US"/>
        </w:rPr>
        <w:t xml:space="preserve"> </w:t>
      </w:r>
      <w:r w:rsidR="00C4261A" w:rsidRPr="00E91BE2">
        <w:rPr>
          <w:sz w:val="24"/>
          <w:szCs w:val="24"/>
          <w:lang w:eastAsia="en-GB"/>
        </w:rPr>
        <w:t>K</w:t>
      </w:r>
      <w:r w:rsidR="00C4261A" w:rsidRPr="00E91BE2">
        <w:rPr>
          <w:bCs/>
        </w:rPr>
        <w:t>ings College London between 2010 and April 2017 (and now based at National Congenital and Rare Disease registration service (NCARDS</w:t>
      </w:r>
      <w:r w:rsidR="00227060" w:rsidRPr="00E91BE2">
        <w:rPr>
          <w:bCs/>
        </w:rPr>
        <w:t>)</w:t>
      </w:r>
      <w:r w:rsidR="00227060">
        <w:t xml:space="preserve">. </w:t>
      </w:r>
      <w:r w:rsidR="008F37F6" w:rsidRPr="00E91BE2">
        <w:rPr>
          <w:sz w:val="24"/>
          <w:szCs w:val="24"/>
          <w:lang w:eastAsia="en-GB"/>
        </w:rPr>
        <w:t>T</w:t>
      </w:r>
      <w:r w:rsidR="008F37F6" w:rsidRPr="00E91BE2">
        <w:rPr>
          <w:bCs/>
        </w:rPr>
        <w:t xml:space="preserve">he newborn outcomes </w:t>
      </w:r>
      <w:r w:rsidR="00227060" w:rsidRPr="00E91BE2">
        <w:rPr>
          <w:bCs/>
        </w:rPr>
        <w:t>study</w:t>
      </w:r>
      <w:r w:rsidR="00227060">
        <w:t xml:space="preserve"> </w:t>
      </w:r>
      <w:r w:rsidR="00227060" w:rsidRPr="000C6132">
        <w:rPr>
          <w:rFonts w:eastAsia="MS Mincho" w:cs="Cambria"/>
          <w:lang w:val="en-US"/>
        </w:rPr>
        <w:t>collects</w:t>
      </w:r>
      <w:r w:rsidR="00D71916" w:rsidRPr="000C6132">
        <w:rPr>
          <w:rFonts w:eastAsia="MS Mincho" w:cs="Cambria"/>
          <w:lang w:val="en-US"/>
        </w:rPr>
        <w:t xml:space="preserve"> named patient data </w:t>
      </w:r>
      <w:r w:rsidR="000C6132" w:rsidRPr="000C6132">
        <w:rPr>
          <w:rFonts w:eastAsia="MS Mincho" w:cs="Cambria"/>
          <w:lang w:val="en-US"/>
        </w:rPr>
        <w:t xml:space="preserve">for </w:t>
      </w:r>
      <w:r w:rsidR="009C10D9" w:rsidRPr="000C6132">
        <w:rPr>
          <w:rFonts w:eastAsia="MS Mincho" w:cs="Cambria"/>
          <w:lang w:val="en-US"/>
        </w:rPr>
        <w:t>all infants born in England</w:t>
      </w:r>
      <w:r w:rsidR="002B5846">
        <w:rPr>
          <w:rFonts w:eastAsia="MS Mincho" w:cs="Cambria"/>
          <w:lang w:val="en-US"/>
        </w:rPr>
        <w:t xml:space="preserve"> </w:t>
      </w:r>
      <w:r>
        <w:rPr>
          <w:rFonts w:eastAsia="MS Mincho" w:cs="Cambria"/>
          <w:lang w:val="en-US"/>
        </w:rPr>
        <w:t xml:space="preserve">with a screen positive result </w:t>
      </w:r>
      <w:r w:rsidR="000C6132">
        <w:rPr>
          <w:rFonts w:eastAsia="MS Mincho" w:cs="Cambria"/>
          <w:lang w:val="en-US"/>
        </w:rPr>
        <w:t xml:space="preserve">and </w:t>
      </w:r>
      <w:r>
        <w:rPr>
          <w:rFonts w:eastAsia="MS Mincho" w:cs="Cambria"/>
          <w:lang w:val="en-US"/>
        </w:rPr>
        <w:t>follows</w:t>
      </w:r>
      <w:r w:rsidR="00AD5287">
        <w:rPr>
          <w:rFonts w:eastAsia="MS Mincho" w:cs="Cambria"/>
          <w:lang w:val="en-US"/>
        </w:rPr>
        <w:t>-</w:t>
      </w:r>
      <w:r>
        <w:rPr>
          <w:rFonts w:eastAsia="MS Mincho" w:cs="Cambria"/>
          <w:lang w:val="en-US"/>
        </w:rPr>
        <w:t xml:space="preserve">up infants with </w:t>
      </w:r>
      <w:r w:rsidR="000C6132">
        <w:rPr>
          <w:rFonts w:eastAsia="MS Mincho" w:cs="Cambria"/>
          <w:lang w:val="en-US"/>
        </w:rPr>
        <w:t xml:space="preserve">confirmed SCD </w:t>
      </w:r>
      <w:r>
        <w:rPr>
          <w:rFonts w:eastAsia="MS Mincho" w:cs="Cambria"/>
          <w:lang w:val="en-US"/>
        </w:rPr>
        <w:t>to determine outcomes</w:t>
      </w:r>
      <w:r w:rsidR="00080545">
        <w:rPr>
          <w:rFonts w:eastAsia="MS Mincho" w:cs="Cambria"/>
          <w:lang w:val="en-US"/>
        </w:rPr>
        <w:t xml:space="preserve"> </w:t>
      </w:r>
      <w:r w:rsidR="00DB6D28">
        <w:rPr>
          <w:rFonts w:eastAsia="MS Mincho" w:cs="Cambria"/>
          <w:lang w:val="en-US"/>
        </w:rPr>
        <w:t>(</w:t>
      </w:r>
      <w:r w:rsidR="008F37F6" w:rsidRPr="00E91BE2">
        <w:rPr>
          <w:bCs/>
        </w:rPr>
        <w:t>https://www.gov.uk/government/publications/sickle-cell-and-thalassaemia-screening-outcome-data-collection-template</w:t>
      </w:r>
      <w:r w:rsidR="00C5306E" w:rsidRPr="00E91BE2">
        <w:rPr>
          <w:bCs/>
        </w:rPr>
        <w:t>)</w:t>
      </w:r>
      <w:r w:rsidR="00C5306E">
        <w:rPr>
          <w:rFonts w:eastAsia="MS Mincho" w:cs="Cambria"/>
          <w:lang w:val="en-US"/>
        </w:rPr>
        <w:t xml:space="preserve">. </w:t>
      </w:r>
      <w:r w:rsidR="00AD5287">
        <w:rPr>
          <w:rFonts w:eastAsia="MS Mincho" w:cs="Cambria"/>
          <w:lang w:val="en-US"/>
        </w:rPr>
        <w:t xml:space="preserve">Since April </w:t>
      </w:r>
      <w:r w:rsidR="006C232B">
        <w:rPr>
          <w:rFonts w:eastAsia="MS Mincho" w:cs="Cambria"/>
          <w:lang w:val="en-US"/>
        </w:rPr>
        <w:t>2010</w:t>
      </w:r>
      <w:r w:rsidR="000C6132">
        <w:rPr>
          <w:rFonts w:eastAsia="MS Mincho" w:cs="Cambria"/>
          <w:lang w:val="en-US"/>
        </w:rPr>
        <w:t xml:space="preserve">, </w:t>
      </w:r>
      <w:r w:rsidR="000C6132">
        <w:rPr>
          <w:rFonts w:eastAsia="MS Mincho" w:cs="Cambria"/>
        </w:rPr>
        <w:t xml:space="preserve">all </w:t>
      </w:r>
      <w:r w:rsidR="000F41DB">
        <w:rPr>
          <w:rFonts w:eastAsia="MS Mincho" w:cs="Cambria"/>
        </w:rPr>
        <w:t>infants</w:t>
      </w:r>
      <w:r w:rsidR="000F41DB" w:rsidRPr="001C409F">
        <w:rPr>
          <w:rFonts w:eastAsia="MS Mincho" w:cs="Cambria"/>
        </w:rPr>
        <w:t xml:space="preserve"> </w:t>
      </w:r>
      <w:r w:rsidR="00C74173" w:rsidRPr="001C409F">
        <w:rPr>
          <w:rFonts w:eastAsia="MS Mincho" w:cs="Cambria"/>
        </w:rPr>
        <w:t xml:space="preserve">are </w:t>
      </w:r>
      <w:r w:rsidR="00AD5287">
        <w:rPr>
          <w:rFonts w:eastAsia="MS Mincho" w:cs="Cambria"/>
        </w:rPr>
        <w:t xml:space="preserve">routinely </w:t>
      </w:r>
      <w:r w:rsidR="00C74173" w:rsidRPr="001C409F">
        <w:rPr>
          <w:rFonts w:eastAsia="MS Mincho" w:cs="Cambria"/>
        </w:rPr>
        <w:t xml:space="preserve">offered </w:t>
      </w:r>
      <w:r w:rsidR="005808EF">
        <w:rPr>
          <w:rFonts w:eastAsia="MS Mincho" w:cs="Cambria"/>
        </w:rPr>
        <w:t>PCV13</w:t>
      </w:r>
      <w:r w:rsidR="00C74173" w:rsidRPr="001C409F">
        <w:rPr>
          <w:rFonts w:eastAsia="MS Mincho" w:cs="Cambria"/>
        </w:rPr>
        <w:t xml:space="preserve"> </w:t>
      </w:r>
      <w:r w:rsidR="00AD5287">
        <w:rPr>
          <w:rFonts w:eastAsia="MS Mincho" w:cs="Cambria"/>
        </w:rPr>
        <w:t xml:space="preserve"> and t</w:t>
      </w:r>
      <w:r w:rsidR="00C74173" w:rsidRPr="001C409F">
        <w:rPr>
          <w:rFonts w:eastAsia="MS Mincho" w:cs="Cambria"/>
        </w:rPr>
        <w:t xml:space="preserve">hose at increased risk if IPD </w:t>
      </w:r>
      <w:r w:rsidR="00756B57" w:rsidRPr="001C409F">
        <w:rPr>
          <w:rFonts w:eastAsia="MS Mincho" w:cs="Cambria"/>
        </w:rPr>
        <w:t xml:space="preserve">(including SCD) </w:t>
      </w:r>
      <w:r w:rsidR="00AD5287">
        <w:rPr>
          <w:rFonts w:eastAsia="MS Mincho" w:cs="Cambria"/>
        </w:rPr>
        <w:t>a</w:t>
      </w:r>
      <w:r w:rsidR="006A17A2">
        <w:rPr>
          <w:rFonts w:eastAsia="MS Mincho" w:cs="Cambria"/>
        </w:rPr>
        <w:t>re</w:t>
      </w:r>
      <w:r w:rsidR="00C74173" w:rsidRPr="001C409F">
        <w:rPr>
          <w:rFonts w:eastAsia="MS Mincho" w:cs="Cambria"/>
        </w:rPr>
        <w:t xml:space="preserve"> also offered the 23-valent pneumococcal polysaccharide vaccine (PPV23) </w:t>
      </w:r>
      <w:r w:rsidR="000C6132">
        <w:rPr>
          <w:rFonts w:eastAsia="MS Mincho" w:cs="Cambria"/>
        </w:rPr>
        <w:t>from</w:t>
      </w:r>
      <w:r w:rsidR="002B5846">
        <w:rPr>
          <w:rFonts w:eastAsia="MS Mincho" w:cs="Cambria"/>
        </w:rPr>
        <w:t xml:space="preserve"> </w:t>
      </w:r>
      <w:r w:rsidR="00C74173" w:rsidRPr="001C409F">
        <w:rPr>
          <w:rFonts w:eastAsia="MS Mincho" w:cs="Cambria"/>
        </w:rPr>
        <w:t>two years of age</w:t>
      </w:r>
      <w:r w:rsidR="004E162B" w:rsidRPr="001C409F">
        <w:rPr>
          <w:rFonts w:eastAsia="MS Mincho" w:cs="Cambria"/>
        </w:rPr>
        <w:t>.</w:t>
      </w:r>
      <w:r w:rsidR="00F656FD" w:rsidRPr="000C6132">
        <w:rPr>
          <w:rFonts w:eastAsia="MS Mincho" w:cs="Cambria"/>
        </w:rPr>
        <w:fldChar w:fldCharType="begin" w:fldLock="1"/>
      </w:r>
      <w:r w:rsidR="00C2513F">
        <w:rPr>
          <w:rFonts w:eastAsia="MS Mincho" w:cs="Cambria"/>
        </w:rPr>
        <w:instrText>ADDIN CSL_CITATION { "citationItems" : [ { "id" : "ITEM-1", "itemData" : { "DOI" : "10.1136/bmj.297.6660.1406", "ISBN" : "9780113225286", "ISSN" : "0959-8138", "PMID" : "3146387", "abstract" : "This is the third edition of this publication which contains the latest information on vaccines and vaccination procedures for all the vaccine preventable infectious diseases that may occur in the UK or in travellers going outside of the UK, particularly those immunisations that comprise the routine immunisation programme for all children from birth to adolescence. It is divided into two sections: the first section covers principles, practices and procedures, including issues of consent, contraindications, storage, distribution and disposal of vaccines, surveillance and monitoring, and the Vaccine Damage Payment Scheme; the second section covers the range of different diseases and vaccines.", "author" : [ { "dropping-particle" : "", "family" : "Salisbury D, Ramsay M", "given" : "Noakes K", "non-dropping-particle" : "", "parse-names" : false, "suffix" : "" } ], "container-title" : "BMJ (Clinical research ed.)", "id" : "ITEM-1", "issue" : "6660", "issued" : { "date-parts" : [ [ "2013" ] ] }, "number-of-pages" : "1406", "title" : "Immunisation against infectious disease: the green book, Public Health England", "type" : "book", "volume" : "297" }, "uris" : [ "http://www.mendeley.com/documents/?uuid=32d2592b-4aa7-4ad5-ad49-995adb840b5b" ] } ], "mendeley" : { "formattedCitation" : "&lt;sup&gt;19&lt;/sup&gt;", "plainTextFormattedCitation" : "19", "previouslyFormattedCitation" : "&lt;sup&gt;19&lt;/sup&gt;" }, "properties" : { "noteIndex" : 0 }, "schema" : "https://github.com/citation-style-language/schema/raw/master/csl-citation.json" }</w:instrText>
      </w:r>
      <w:r w:rsidR="00F656FD" w:rsidRPr="000C6132">
        <w:rPr>
          <w:rFonts w:eastAsia="MS Mincho" w:cs="Cambria"/>
        </w:rPr>
        <w:fldChar w:fldCharType="separate"/>
      </w:r>
      <w:r w:rsidR="00C2513F" w:rsidRPr="00C2513F">
        <w:rPr>
          <w:rFonts w:eastAsia="MS Mincho" w:cs="Cambria"/>
          <w:noProof/>
          <w:vertAlign w:val="superscript"/>
        </w:rPr>
        <w:t>19</w:t>
      </w:r>
      <w:r w:rsidR="00F656FD" w:rsidRPr="000C6132">
        <w:rPr>
          <w:rFonts w:eastAsia="MS Mincho" w:cs="Cambria"/>
        </w:rPr>
        <w:fldChar w:fldCharType="end"/>
      </w:r>
    </w:p>
    <w:p w14:paraId="4C92281D" w14:textId="77777777" w:rsidR="00BB7EC4" w:rsidRPr="001C409F" w:rsidRDefault="00BB7EC4" w:rsidP="004F2156">
      <w:pPr>
        <w:widowControl w:val="0"/>
        <w:autoSpaceDE w:val="0"/>
        <w:autoSpaceDN w:val="0"/>
        <w:adjustRightInd w:val="0"/>
        <w:spacing w:after="0" w:line="360" w:lineRule="auto"/>
        <w:rPr>
          <w:rFonts w:eastAsia="MS Mincho" w:cs="Cambria"/>
        </w:rPr>
      </w:pPr>
    </w:p>
    <w:p w14:paraId="1E19D188" w14:textId="77777777" w:rsidR="009C10D9" w:rsidRPr="001C409F" w:rsidRDefault="00507A6F" w:rsidP="009C10D9">
      <w:pPr>
        <w:widowControl w:val="0"/>
        <w:autoSpaceDE w:val="0"/>
        <w:autoSpaceDN w:val="0"/>
        <w:adjustRightInd w:val="0"/>
        <w:spacing w:after="0" w:line="360" w:lineRule="auto"/>
        <w:rPr>
          <w:rFonts w:eastAsia="MS Mincho" w:cs="Cambria"/>
          <w:lang w:val="en-US"/>
        </w:rPr>
      </w:pPr>
      <w:r w:rsidRPr="004020BC">
        <w:rPr>
          <w:rFonts w:eastAsia="MS Mincho" w:cs="Cambria"/>
        </w:rPr>
        <w:t xml:space="preserve">In England, </w:t>
      </w:r>
      <w:r w:rsidR="00BB7EC4" w:rsidRPr="004020BC">
        <w:rPr>
          <w:rFonts w:eastAsia="MS Mincho" w:cs="Cambria"/>
        </w:rPr>
        <w:t>P</w:t>
      </w:r>
      <w:r w:rsidR="00075824" w:rsidRPr="004020BC">
        <w:rPr>
          <w:rFonts w:eastAsia="MS Mincho" w:cs="Cambria"/>
        </w:rPr>
        <w:t>ublic Health England (PHE) conducts enhanced national surveillance of IPD</w:t>
      </w:r>
      <w:r w:rsidR="00AD5287">
        <w:rPr>
          <w:rFonts w:eastAsia="MS Mincho" w:cs="Cambria"/>
        </w:rPr>
        <w:t xml:space="preserve">, </w:t>
      </w:r>
      <w:r w:rsidR="00AD5287" w:rsidRPr="001C409F">
        <w:rPr>
          <w:rFonts w:eastAsia="MS Mincho" w:cs="Cambria"/>
          <w:lang w:val="en-US"/>
        </w:rPr>
        <w:t xml:space="preserve">defined as </w:t>
      </w:r>
      <w:r w:rsidR="00AD5287" w:rsidRPr="001C409F">
        <w:rPr>
          <w:rFonts w:eastAsia="MS Mincho" w:cs="Cambria"/>
          <w:i/>
          <w:lang w:val="en-US"/>
        </w:rPr>
        <w:t>S. pneumoniae</w:t>
      </w:r>
      <w:r w:rsidR="00AD5287" w:rsidRPr="001C409F">
        <w:rPr>
          <w:rFonts w:eastAsia="MS Mincho" w:cs="Cambria"/>
          <w:lang w:val="en-US"/>
        </w:rPr>
        <w:t xml:space="preserve"> cultured from a normally sterile site or pneumococcal DNA detected in cerebrospinal fluid (CSF) or pleural fluid. </w:t>
      </w:r>
      <w:r w:rsidR="00075824" w:rsidRPr="001C409F">
        <w:rPr>
          <w:rFonts w:eastAsia="MS Mincho" w:cs="Cambria"/>
        </w:rPr>
        <w:t xml:space="preserve">Briefly, hospital laboratories routinely report clinically significant infections to PHE electronically and submit invasive pneumococcal isolates to the PHE Reference Laboratory for confirmation and serotyping. </w:t>
      </w:r>
      <w:r w:rsidR="00AD5287">
        <w:rPr>
          <w:rFonts w:eastAsia="MS Mincho" w:cs="Cambria"/>
        </w:rPr>
        <w:t>For confirmed IPD in &lt;5 year-olds</w:t>
      </w:r>
      <w:r w:rsidR="00075824" w:rsidRPr="001C409F">
        <w:rPr>
          <w:rFonts w:eastAsia="MS Mincho" w:cs="Cambria"/>
        </w:rPr>
        <w:t xml:space="preserve">, </w:t>
      </w:r>
      <w:r w:rsidR="00A81313" w:rsidRPr="001C409F">
        <w:rPr>
          <w:rFonts w:eastAsia="MS Mincho" w:cs="Cambria"/>
        </w:rPr>
        <w:t xml:space="preserve">PHE routinely contacts </w:t>
      </w:r>
      <w:r w:rsidR="00075824" w:rsidRPr="001C409F">
        <w:rPr>
          <w:rFonts w:eastAsia="MS Mincho" w:cs="Cambria"/>
        </w:rPr>
        <w:t xml:space="preserve">general practitioners (GPs) </w:t>
      </w:r>
      <w:r w:rsidR="00A81313" w:rsidRPr="001C409F">
        <w:rPr>
          <w:rFonts w:eastAsia="MS Mincho" w:cs="Cambria"/>
        </w:rPr>
        <w:t xml:space="preserve">to </w:t>
      </w:r>
      <w:r w:rsidR="00075824" w:rsidRPr="001C409F">
        <w:rPr>
          <w:rFonts w:eastAsia="MS Mincho" w:cs="Cambria"/>
        </w:rPr>
        <w:t xml:space="preserve">complete a short questionnaire on vaccination history, co-morbidities, </w:t>
      </w:r>
      <w:r w:rsidR="00A81313" w:rsidRPr="001C409F">
        <w:rPr>
          <w:rFonts w:eastAsia="MS Mincho" w:cs="Cambria"/>
        </w:rPr>
        <w:t xml:space="preserve">risk factors, clinical presentation </w:t>
      </w:r>
      <w:r w:rsidR="00075824" w:rsidRPr="001C409F">
        <w:rPr>
          <w:rFonts w:eastAsia="MS Mincho" w:cs="Cambria"/>
        </w:rPr>
        <w:t>complications and outcome</w:t>
      </w:r>
      <w:r w:rsidR="00AD5287">
        <w:rPr>
          <w:rFonts w:eastAsia="MS Mincho" w:cs="Cambria"/>
        </w:rPr>
        <w:t>s of infection</w:t>
      </w:r>
      <w:r w:rsidR="00A81313" w:rsidRPr="001C409F">
        <w:rPr>
          <w:rFonts w:eastAsia="MS Mincho" w:cs="Cambria"/>
        </w:rPr>
        <w:t xml:space="preserve">. </w:t>
      </w:r>
      <w:r w:rsidR="00CD550C" w:rsidRPr="001C409F">
        <w:rPr>
          <w:rFonts w:eastAsia="MS Mincho" w:cs="Cambria"/>
        </w:rPr>
        <w:t>Adherence</w:t>
      </w:r>
      <w:r w:rsidR="0089531F" w:rsidRPr="001C409F">
        <w:rPr>
          <w:rFonts w:eastAsia="MS Mincho" w:cs="Cambria"/>
        </w:rPr>
        <w:t xml:space="preserve"> to antibiotic prophylaxis </w:t>
      </w:r>
      <w:r w:rsidR="000C6132">
        <w:rPr>
          <w:rFonts w:eastAsia="MS Mincho" w:cs="Cambria"/>
        </w:rPr>
        <w:t xml:space="preserve">in children with SCD </w:t>
      </w:r>
      <w:r w:rsidR="0089531F" w:rsidRPr="001C409F">
        <w:rPr>
          <w:rFonts w:eastAsia="MS Mincho" w:cs="Cambria"/>
        </w:rPr>
        <w:t xml:space="preserve">was not formally assessed. </w:t>
      </w:r>
    </w:p>
    <w:p w14:paraId="5F87FE95" w14:textId="77777777" w:rsidR="0017219D" w:rsidRPr="001C409F" w:rsidRDefault="00AD5287" w:rsidP="0009565F">
      <w:pPr>
        <w:widowControl w:val="0"/>
        <w:autoSpaceDE w:val="0"/>
        <w:autoSpaceDN w:val="0"/>
        <w:adjustRightInd w:val="0"/>
        <w:spacing w:after="0" w:line="360" w:lineRule="auto"/>
        <w:rPr>
          <w:rFonts w:eastAsia="MS Mincho" w:cs="Cambria"/>
          <w:b/>
          <w:bCs/>
          <w:lang w:val="en-US"/>
        </w:rPr>
      </w:pPr>
      <w:r w:rsidRPr="001C409F" w:rsidDel="00AD5287">
        <w:rPr>
          <w:rFonts w:eastAsia="MS Mincho" w:cs="Cambria"/>
          <w:lang w:val="en-US"/>
        </w:rPr>
        <w:t xml:space="preserve"> </w:t>
      </w:r>
    </w:p>
    <w:p w14:paraId="7F3E9276" w14:textId="77777777" w:rsidR="008172E8" w:rsidRPr="001C409F" w:rsidRDefault="007E5611" w:rsidP="0009565F">
      <w:pPr>
        <w:widowControl w:val="0"/>
        <w:autoSpaceDE w:val="0"/>
        <w:autoSpaceDN w:val="0"/>
        <w:adjustRightInd w:val="0"/>
        <w:spacing w:after="0" w:line="360" w:lineRule="auto"/>
        <w:rPr>
          <w:rFonts w:eastAsia="MS Mincho" w:cs="Cambria"/>
          <w:b/>
          <w:bCs/>
          <w:color w:val="313131"/>
          <w:lang w:val="en-US"/>
        </w:rPr>
      </w:pPr>
      <w:r w:rsidRPr="001C409F">
        <w:rPr>
          <w:rFonts w:eastAsia="MS Mincho" w:cs="Cambria"/>
          <w:b/>
          <w:bCs/>
          <w:lang w:val="en-US"/>
        </w:rPr>
        <w:t>Data Analysis</w:t>
      </w:r>
    </w:p>
    <w:p w14:paraId="1E85AE22" w14:textId="73FC46B4" w:rsidR="009B776E" w:rsidRPr="001C409F" w:rsidRDefault="00AD5287" w:rsidP="0009565F">
      <w:pPr>
        <w:widowControl w:val="0"/>
        <w:autoSpaceDE w:val="0"/>
        <w:autoSpaceDN w:val="0"/>
        <w:adjustRightInd w:val="0"/>
        <w:spacing w:after="0" w:line="360" w:lineRule="auto"/>
        <w:rPr>
          <w:rFonts w:eastAsia="MS Mincho" w:cs="Cambria"/>
          <w:lang w:val="en-US"/>
        </w:rPr>
      </w:pPr>
      <w:r>
        <w:rPr>
          <w:rFonts w:eastAsia="MS Mincho" w:cs="Cambria"/>
          <w:lang w:val="en-US"/>
        </w:rPr>
        <w:t xml:space="preserve">Children born between </w:t>
      </w:r>
      <w:r w:rsidR="008172E8" w:rsidRPr="001C409F">
        <w:rPr>
          <w:rFonts w:eastAsia="MS Mincho" w:cs="Cambria"/>
          <w:lang w:val="en-US"/>
        </w:rPr>
        <w:t>01 September 2010 to 3</w:t>
      </w:r>
      <w:r w:rsidR="00FE685E" w:rsidRPr="001C409F">
        <w:rPr>
          <w:rFonts w:eastAsia="MS Mincho" w:cs="Cambria"/>
          <w:lang w:val="en-US"/>
        </w:rPr>
        <w:t xml:space="preserve">1 </w:t>
      </w:r>
      <w:r w:rsidR="00587C41" w:rsidRPr="001C409F">
        <w:rPr>
          <w:rFonts w:eastAsia="MS Mincho" w:cs="Cambria"/>
          <w:lang w:val="en-US"/>
        </w:rPr>
        <w:t>Augus</w:t>
      </w:r>
      <w:r w:rsidR="00FE685E" w:rsidRPr="001C409F">
        <w:rPr>
          <w:rFonts w:eastAsia="MS Mincho" w:cs="Cambria"/>
          <w:lang w:val="en-US"/>
        </w:rPr>
        <w:t>t 2</w:t>
      </w:r>
      <w:r w:rsidR="008172E8" w:rsidRPr="001C409F">
        <w:rPr>
          <w:rFonts w:eastAsia="MS Mincho" w:cs="Cambria"/>
          <w:lang w:val="en-US"/>
        </w:rPr>
        <w:t xml:space="preserve">014 </w:t>
      </w:r>
      <w:r w:rsidR="008172E8" w:rsidRPr="004020BC">
        <w:rPr>
          <w:rFonts w:eastAsia="MS Mincho" w:cs="Cambria"/>
          <w:lang w:val="en-US"/>
        </w:rPr>
        <w:t xml:space="preserve">(four annual birth cohorts) in England and diagnosed with laboratory-confirmed IPD </w:t>
      </w:r>
      <w:r w:rsidR="008172E8" w:rsidRPr="001C409F">
        <w:rPr>
          <w:rFonts w:eastAsia="MS Mincho" w:cs="Cambria"/>
          <w:lang w:val="en-US"/>
        </w:rPr>
        <w:t>until 31</w:t>
      </w:r>
      <w:r w:rsidR="00587C41" w:rsidRPr="001C409F">
        <w:rPr>
          <w:rFonts w:eastAsia="MS Mincho" w:cs="Cambria"/>
          <w:lang w:val="en-US"/>
        </w:rPr>
        <w:t xml:space="preserve"> December </w:t>
      </w:r>
      <w:r w:rsidR="008172E8" w:rsidRPr="001C409F">
        <w:rPr>
          <w:rFonts w:eastAsia="MS Mincho" w:cs="Cambria"/>
          <w:lang w:val="en-US"/>
        </w:rPr>
        <w:t>2015</w:t>
      </w:r>
      <w:r w:rsidR="00851673">
        <w:rPr>
          <w:rFonts w:eastAsia="MS Mincho" w:cs="Cambria"/>
          <w:lang w:val="en-US"/>
        </w:rPr>
        <w:t xml:space="preserve"> </w:t>
      </w:r>
      <w:r w:rsidR="008172E8" w:rsidRPr="001C409F">
        <w:rPr>
          <w:rFonts w:eastAsia="MS Mincho" w:cs="Cambria"/>
          <w:lang w:val="en-US"/>
        </w:rPr>
        <w:t>were included</w:t>
      </w:r>
      <w:r>
        <w:rPr>
          <w:rFonts w:eastAsia="MS Mincho" w:cs="Cambria"/>
          <w:lang w:val="en-US"/>
        </w:rPr>
        <w:t xml:space="preserve"> in the analysis</w:t>
      </w:r>
      <w:r w:rsidR="008172E8" w:rsidRPr="001C409F">
        <w:rPr>
          <w:rFonts w:eastAsia="MS Mincho" w:cs="Cambria"/>
          <w:lang w:val="en-US"/>
        </w:rPr>
        <w:t>.</w:t>
      </w:r>
      <w:r w:rsidR="00F36F93">
        <w:rPr>
          <w:rFonts w:eastAsia="MS Mincho" w:cs="Cambria"/>
          <w:lang w:val="en-US"/>
        </w:rPr>
        <w:t xml:space="preserve"> IPD cases in children with SCD</w:t>
      </w:r>
      <w:r w:rsidR="00080545">
        <w:rPr>
          <w:rFonts w:eastAsia="MS Mincho" w:cs="Cambria"/>
          <w:lang w:val="en-US"/>
        </w:rPr>
        <w:t xml:space="preserve"> </w:t>
      </w:r>
      <w:r w:rsidR="008172E8" w:rsidRPr="001C409F">
        <w:rPr>
          <w:rFonts w:eastAsia="MS Mincho" w:cs="Cambria"/>
          <w:lang w:val="en-US"/>
        </w:rPr>
        <w:t xml:space="preserve">were identified through the </w:t>
      </w:r>
      <w:r w:rsidR="000C6132">
        <w:rPr>
          <w:rFonts w:eastAsia="MS Mincho" w:cs="Cambria"/>
          <w:lang w:val="en-US"/>
        </w:rPr>
        <w:t xml:space="preserve">national </w:t>
      </w:r>
      <w:r w:rsidR="008172E8" w:rsidRPr="001C409F">
        <w:rPr>
          <w:rFonts w:eastAsia="MS Mincho" w:cs="Cambria"/>
          <w:lang w:val="en-US"/>
        </w:rPr>
        <w:t xml:space="preserve">surveillance questionnaires and compared to cases without </w:t>
      </w:r>
      <w:r w:rsidR="00F36F93">
        <w:rPr>
          <w:rFonts w:eastAsia="MS Mincho" w:cs="Cambria"/>
          <w:lang w:val="en-US"/>
        </w:rPr>
        <w:t>SCD</w:t>
      </w:r>
      <w:r w:rsidR="008172E8" w:rsidRPr="001C409F">
        <w:rPr>
          <w:rFonts w:eastAsia="MS Mincho" w:cs="Cambria"/>
          <w:lang w:val="en-US"/>
        </w:rPr>
        <w:t xml:space="preserve">. </w:t>
      </w:r>
      <w:r w:rsidR="00F36F93">
        <w:rPr>
          <w:rFonts w:eastAsia="MS Mincho" w:cs="Cambria"/>
          <w:lang w:val="en-US"/>
        </w:rPr>
        <w:t xml:space="preserve">The prevalence of SCD </w:t>
      </w:r>
      <w:r w:rsidR="009E23A1" w:rsidRPr="001C409F">
        <w:rPr>
          <w:rFonts w:eastAsia="MS Mincho" w:cs="Cambria"/>
          <w:lang w:val="en-US"/>
        </w:rPr>
        <w:t>in England</w:t>
      </w:r>
      <w:r w:rsidR="008172E8" w:rsidRPr="001C409F">
        <w:rPr>
          <w:rFonts w:eastAsia="MS Mincho" w:cs="Cambria"/>
          <w:lang w:val="en-US"/>
        </w:rPr>
        <w:t xml:space="preserve"> was </w:t>
      </w:r>
      <w:r w:rsidR="00E234D7">
        <w:rPr>
          <w:rFonts w:eastAsia="MS Mincho" w:cs="Cambria"/>
          <w:lang w:val="en-US"/>
        </w:rPr>
        <w:t>provided</w:t>
      </w:r>
      <w:r w:rsidR="008172E8" w:rsidRPr="001C409F">
        <w:rPr>
          <w:rFonts w:eastAsia="MS Mincho" w:cs="Cambria"/>
          <w:lang w:val="en-US"/>
        </w:rPr>
        <w:t xml:space="preserve"> from the </w:t>
      </w:r>
      <w:r w:rsidR="006B0A88" w:rsidRPr="001C409F">
        <w:rPr>
          <w:rFonts w:eastAsia="MS Mincho" w:cs="Cambria"/>
          <w:lang w:val="en-US"/>
        </w:rPr>
        <w:t>newborn outcomes project</w:t>
      </w:r>
      <w:r w:rsidR="00E234D7">
        <w:rPr>
          <w:rFonts w:eastAsia="MS Mincho" w:cs="Cambria"/>
          <w:lang w:val="en-US"/>
        </w:rPr>
        <w:t>,</w:t>
      </w:r>
      <w:r w:rsidR="006C232B">
        <w:rPr>
          <w:rFonts w:eastAsia="MS Mincho" w:cs="Cambria"/>
          <w:lang w:val="en-US"/>
        </w:rPr>
        <w:t xml:space="preserve"> which </w:t>
      </w:r>
      <w:r>
        <w:rPr>
          <w:rFonts w:eastAsia="MS Mincho" w:cs="Cambria"/>
          <w:lang w:val="en-US"/>
        </w:rPr>
        <w:t xml:space="preserve">also </w:t>
      </w:r>
      <w:r w:rsidR="006C232B">
        <w:rPr>
          <w:rFonts w:eastAsia="MS Mincho" w:cs="Cambria"/>
          <w:lang w:val="en-US"/>
        </w:rPr>
        <w:t xml:space="preserve">identified three deaths </w:t>
      </w:r>
      <w:r>
        <w:rPr>
          <w:rFonts w:eastAsia="MS Mincho" w:cs="Cambria"/>
          <w:lang w:val="en-US"/>
        </w:rPr>
        <w:t xml:space="preserve">following </w:t>
      </w:r>
      <w:r w:rsidR="006C232B">
        <w:rPr>
          <w:rFonts w:eastAsia="MS Mincho" w:cs="Cambria"/>
          <w:lang w:val="en-US"/>
        </w:rPr>
        <w:t xml:space="preserve">IPD </w:t>
      </w:r>
      <w:r>
        <w:rPr>
          <w:rFonts w:eastAsia="MS Mincho" w:cs="Cambria"/>
          <w:lang w:val="en-US"/>
        </w:rPr>
        <w:t>in this cohort</w:t>
      </w:r>
      <w:r w:rsidR="008F37F6">
        <w:rPr>
          <w:rFonts w:eastAsia="MS Mincho" w:cs="Cambria"/>
          <w:lang w:val="en-US"/>
        </w:rPr>
        <w:t xml:space="preserve"> </w:t>
      </w:r>
      <w:r w:rsidR="008F37F6">
        <w:rPr>
          <w:sz w:val="24"/>
          <w:szCs w:val="24"/>
          <w:lang w:eastAsia="en-GB"/>
        </w:rPr>
        <w:t>during this period</w:t>
      </w:r>
      <w:r w:rsidR="006C232B">
        <w:rPr>
          <w:rFonts w:eastAsia="MS Mincho" w:cs="Cambria"/>
          <w:lang w:val="en-US"/>
        </w:rPr>
        <w:t>.</w:t>
      </w:r>
      <w:r w:rsidR="00377983">
        <w:rPr>
          <w:rFonts w:eastAsia="MS Mincho" w:cs="Cambria"/>
          <w:lang w:val="en-US"/>
        </w:rPr>
        <w:t xml:space="preserve"> </w:t>
      </w:r>
      <w:r w:rsidR="00377983" w:rsidRPr="00E91BE2">
        <w:rPr>
          <w:bCs/>
        </w:rPr>
        <w:t>Data on numbers of births obtained from the office for national statistics were used to provide total population denominators.</w:t>
      </w:r>
      <w:r w:rsidR="006C232B">
        <w:rPr>
          <w:rFonts w:eastAsia="MS Mincho" w:cs="Cambria"/>
          <w:lang w:val="en-US"/>
        </w:rPr>
        <w:t xml:space="preserve"> </w:t>
      </w:r>
      <w:r w:rsidR="008172E8" w:rsidRPr="001C409F">
        <w:rPr>
          <w:rFonts w:eastAsia="MS Mincho" w:cs="Cambria"/>
          <w:lang w:val="en-US"/>
        </w:rPr>
        <w:t xml:space="preserve">Age-specific childhood population </w:t>
      </w:r>
      <w:r w:rsidR="00E234D7">
        <w:rPr>
          <w:rFonts w:eastAsia="MS Mincho" w:cs="Cambria"/>
          <w:lang w:val="en-US"/>
        </w:rPr>
        <w:t>rates</w:t>
      </w:r>
      <w:r w:rsidR="008172E8" w:rsidRPr="001C409F">
        <w:rPr>
          <w:rFonts w:eastAsia="MS Mincho" w:cs="Cambria"/>
          <w:lang w:val="en-US"/>
        </w:rPr>
        <w:t xml:space="preserve"> were obtained from the Office for National Statistics (</w:t>
      </w:r>
      <w:r w:rsidR="0086391C" w:rsidRPr="0086391C">
        <w:rPr>
          <w:rStyle w:val="Hyperlink"/>
          <w:rFonts w:eastAsia="MS Mincho" w:cs="Cambria"/>
          <w:lang w:val="en-US"/>
        </w:rPr>
        <w:t>https://www.ons.gov.uk/peoplepopulationandcommunity/birthsdeathsandmarriages/livebirths/adhocs/005962numberofhomebirthsandtotallivebirthsengland1994to2014</w:t>
      </w:r>
      <w:r w:rsidR="008172E8" w:rsidRPr="001C409F">
        <w:rPr>
          <w:rFonts w:eastAsia="MS Mincho" w:cs="Cambria"/>
          <w:lang w:val="en-US"/>
        </w:rPr>
        <w:t>)</w:t>
      </w:r>
      <w:r w:rsidR="0022224B" w:rsidRPr="001C409F">
        <w:rPr>
          <w:rFonts w:eastAsia="MS Mincho" w:cs="Cambria"/>
          <w:lang w:val="en-US"/>
        </w:rPr>
        <w:t>. Population</w:t>
      </w:r>
      <w:r w:rsidR="006C232B">
        <w:rPr>
          <w:rFonts w:eastAsia="MS Mincho" w:cs="Cambria"/>
          <w:lang w:val="en-US"/>
        </w:rPr>
        <w:t xml:space="preserve"> estimates</w:t>
      </w:r>
      <w:r w:rsidR="0022224B" w:rsidRPr="001C409F">
        <w:rPr>
          <w:rFonts w:eastAsia="MS Mincho" w:cs="Cambria"/>
          <w:lang w:val="en-US"/>
        </w:rPr>
        <w:t xml:space="preserve"> for incomplete year</w:t>
      </w:r>
      <w:r w:rsidR="007C3D9A" w:rsidRPr="001C409F">
        <w:rPr>
          <w:rFonts w:eastAsia="MS Mincho" w:cs="Cambria"/>
          <w:lang w:val="en-US"/>
        </w:rPr>
        <w:t>s</w:t>
      </w:r>
      <w:r w:rsidR="0022224B" w:rsidRPr="001C409F">
        <w:rPr>
          <w:rFonts w:eastAsia="MS Mincho" w:cs="Cambria"/>
          <w:lang w:val="en-US"/>
        </w:rPr>
        <w:t xml:space="preserve"> w</w:t>
      </w:r>
      <w:r w:rsidR="006C232B">
        <w:rPr>
          <w:rFonts w:eastAsia="MS Mincho" w:cs="Cambria"/>
          <w:lang w:val="en-US"/>
        </w:rPr>
        <w:t>ere</w:t>
      </w:r>
      <w:r w:rsidR="0022224B" w:rsidRPr="001C409F">
        <w:rPr>
          <w:rFonts w:eastAsia="MS Mincho" w:cs="Cambria"/>
          <w:lang w:val="en-US"/>
        </w:rPr>
        <w:t xml:space="preserve"> estimated by dividing the annual population in the defined age</w:t>
      </w:r>
      <w:r w:rsidR="007C3D9A" w:rsidRPr="001C409F">
        <w:rPr>
          <w:rFonts w:eastAsia="MS Mincho" w:cs="Cambria"/>
          <w:lang w:val="en-US"/>
        </w:rPr>
        <w:t>-</w:t>
      </w:r>
      <w:r w:rsidR="0022224B" w:rsidRPr="001C409F">
        <w:rPr>
          <w:rFonts w:eastAsia="MS Mincho" w:cs="Cambria"/>
          <w:lang w:val="en-US"/>
        </w:rPr>
        <w:t xml:space="preserve">group by the number of months </w:t>
      </w:r>
      <w:r w:rsidR="00D622D4">
        <w:rPr>
          <w:rFonts w:eastAsia="MS Mincho" w:cs="Cambria"/>
          <w:lang w:val="en-US"/>
        </w:rPr>
        <w:t xml:space="preserve">of </w:t>
      </w:r>
      <w:r w:rsidR="00D622D4" w:rsidRPr="001C409F">
        <w:rPr>
          <w:rFonts w:eastAsia="MS Mincho" w:cs="Cambria"/>
          <w:lang w:val="en-US"/>
        </w:rPr>
        <w:t>surveillance</w:t>
      </w:r>
      <w:r w:rsidR="00F660EA" w:rsidRPr="001C409F">
        <w:rPr>
          <w:rFonts w:eastAsia="MS Mincho" w:cs="Cambria"/>
          <w:lang w:val="en-US"/>
        </w:rPr>
        <w:t xml:space="preserve"> for that year</w:t>
      </w:r>
      <w:r w:rsidR="0022224B" w:rsidRPr="001C409F">
        <w:rPr>
          <w:rFonts w:eastAsia="MS Mincho" w:cs="Cambria"/>
          <w:lang w:val="en-US"/>
        </w:rPr>
        <w:t>.</w:t>
      </w:r>
      <w:r w:rsidR="00E6296F">
        <w:rPr>
          <w:rFonts w:eastAsia="MS Mincho" w:cs="Cambria"/>
          <w:lang w:val="en-US"/>
        </w:rPr>
        <w:t xml:space="preserve"> </w:t>
      </w:r>
      <w:r w:rsidR="007E5611" w:rsidRPr="001C409F">
        <w:rPr>
          <w:rFonts w:eastAsia="MS Mincho" w:cs="Cambria"/>
          <w:lang w:val="en-US"/>
        </w:rPr>
        <w:t xml:space="preserve">Data </w:t>
      </w:r>
      <w:r w:rsidR="008172E8" w:rsidRPr="001C409F">
        <w:rPr>
          <w:rFonts w:eastAsia="MS Mincho" w:cs="Cambria"/>
          <w:lang w:val="en-US"/>
        </w:rPr>
        <w:t>a</w:t>
      </w:r>
      <w:r w:rsidR="007E5611" w:rsidRPr="001C409F">
        <w:rPr>
          <w:rFonts w:eastAsia="MS Mincho" w:cs="Cambria"/>
          <w:lang w:val="en-US"/>
        </w:rPr>
        <w:t xml:space="preserve">re mainly descriptive; categorical variables </w:t>
      </w:r>
      <w:r w:rsidR="008172E8" w:rsidRPr="001C409F">
        <w:rPr>
          <w:rFonts w:eastAsia="MS Mincho" w:cs="Cambria"/>
          <w:lang w:val="en-US"/>
        </w:rPr>
        <w:t>a</w:t>
      </w:r>
      <w:r w:rsidR="007E5611" w:rsidRPr="001C409F">
        <w:rPr>
          <w:rFonts w:eastAsia="MS Mincho" w:cs="Cambria"/>
          <w:lang w:val="en-US"/>
        </w:rPr>
        <w:t xml:space="preserve">re described as percentages </w:t>
      </w:r>
      <w:r w:rsidR="000B039C" w:rsidRPr="0081522D">
        <w:rPr>
          <w:rFonts w:ascii="Times New Roman" w:hAnsi="Times New Roman"/>
          <w:sz w:val="24"/>
          <w:szCs w:val="24"/>
          <w:lang w:val="en-US"/>
        </w:rPr>
        <w:t xml:space="preserve">with binomial 95% confidence intervals (CI) and compared using the chi-squared test or </w:t>
      </w:r>
      <w:r w:rsidR="00D53954" w:rsidRPr="0081522D">
        <w:rPr>
          <w:rFonts w:ascii="Times New Roman" w:hAnsi="Times New Roman"/>
          <w:sz w:val="24"/>
          <w:szCs w:val="24"/>
          <w:lang w:val="en-US"/>
        </w:rPr>
        <w:t>F</w:t>
      </w:r>
      <w:r w:rsidR="000B039C" w:rsidRPr="0081522D">
        <w:rPr>
          <w:rFonts w:ascii="Times New Roman" w:hAnsi="Times New Roman"/>
          <w:sz w:val="24"/>
          <w:szCs w:val="24"/>
          <w:lang w:val="en-US"/>
        </w:rPr>
        <w:t>isher exact test</w:t>
      </w:r>
      <w:r w:rsidR="000B039C" w:rsidRPr="0081522D">
        <w:rPr>
          <w:rFonts w:eastAsia="MS Mincho" w:cs="Cambria"/>
          <w:lang w:val="en-US"/>
        </w:rPr>
        <w:t xml:space="preserve"> </w:t>
      </w:r>
      <w:r w:rsidR="007E5611" w:rsidRPr="001C409F">
        <w:rPr>
          <w:rFonts w:eastAsia="MS Mincho" w:cs="Cambria"/>
          <w:lang w:val="en-US"/>
        </w:rPr>
        <w:t xml:space="preserve">and </w:t>
      </w:r>
      <w:r w:rsidR="00C70EAB">
        <w:rPr>
          <w:rFonts w:eastAsia="MS Mincho" w:cs="Cambria"/>
          <w:lang w:val="en-US"/>
        </w:rPr>
        <w:t>c</w:t>
      </w:r>
      <w:r w:rsidR="007E5611" w:rsidRPr="001C409F">
        <w:rPr>
          <w:rFonts w:eastAsia="MS Mincho" w:cs="Cambria"/>
          <w:lang w:val="en-US"/>
        </w:rPr>
        <w:t xml:space="preserve">ontinuous variables that did not follow a normal distribution </w:t>
      </w:r>
      <w:r w:rsidR="008172E8" w:rsidRPr="001C409F">
        <w:rPr>
          <w:rFonts w:eastAsia="MS Mincho" w:cs="Cambria"/>
          <w:lang w:val="en-US"/>
        </w:rPr>
        <w:t>a</w:t>
      </w:r>
      <w:r w:rsidR="007E5611" w:rsidRPr="001C409F">
        <w:rPr>
          <w:rFonts w:eastAsia="MS Mincho" w:cs="Cambria"/>
          <w:lang w:val="en-US"/>
        </w:rPr>
        <w:t xml:space="preserve">re described as medians. </w:t>
      </w:r>
      <w:r w:rsidR="000C6132">
        <w:rPr>
          <w:rFonts w:eastAsia="MS Mincho" w:cs="Cambria"/>
          <w:lang w:val="en-US"/>
        </w:rPr>
        <w:t xml:space="preserve">Incidence rate ratios (IRR) with 95% CI were </w:t>
      </w:r>
      <w:r w:rsidR="00D25206">
        <w:rPr>
          <w:rFonts w:eastAsia="MS Mincho" w:cs="Cambria"/>
          <w:lang w:val="en-US"/>
        </w:rPr>
        <w:t xml:space="preserve">calculated using Poisson regression and </w:t>
      </w:r>
      <w:r w:rsidR="000C6132">
        <w:rPr>
          <w:rFonts w:eastAsia="MS Mincho" w:cs="Cambria"/>
          <w:lang w:val="en-US"/>
        </w:rPr>
        <w:t xml:space="preserve">used to estimate any additional risk of IPD in children with SCD compared to </w:t>
      </w:r>
      <w:r w:rsidR="00F531BC">
        <w:rPr>
          <w:rFonts w:eastAsia="MS Mincho" w:cs="Cambria"/>
          <w:lang w:val="en-US"/>
        </w:rPr>
        <w:t>their peers without SCD.</w:t>
      </w:r>
      <w:r w:rsidR="000B039C">
        <w:rPr>
          <w:rFonts w:eastAsia="MS Mincho" w:cs="Cambria"/>
          <w:lang w:val="en-US"/>
        </w:rPr>
        <w:t xml:space="preserve"> </w:t>
      </w:r>
      <w:r w:rsidR="000B039C" w:rsidRPr="0081522D">
        <w:rPr>
          <w:rFonts w:ascii="Times New Roman" w:hAnsi="Times New Roman"/>
          <w:sz w:val="24"/>
          <w:szCs w:val="24"/>
        </w:rPr>
        <w:t>A p value of &lt;0.05 was considered statistically significant</w:t>
      </w:r>
      <w:r w:rsidR="00E3274D" w:rsidRPr="0081522D">
        <w:rPr>
          <w:rFonts w:ascii="Times New Roman" w:hAnsi="Times New Roman"/>
          <w:sz w:val="24"/>
          <w:szCs w:val="24"/>
        </w:rPr>
        <w:t>.</w:t>
      </w:r>
    </w:p>
    <w:p w14:paraId="09760C2C" w14:textId="77777777" w:rsidR="007E5611" w:rsidRPr="001C409F" w:rsidRDefault="007E5611" w:rsidP="0009565F">
      <w:pPr>
        <w:spacing w:line="360" w:lineRule="auto"/>
      </w:pPr>
    </w:p>
    <w:p w14:paraId="10BDA1D8" w14:textId="77777777" w:rsidR="00852E07" w:rsidRPr="004020BC" w:rsidRDefault="00962C2D" w:rsidP="0009565F">
      <w:pPr>
        <w:spacing w:line="360" w:lineRule="auto"/>
        <w:rPr>
          <w:b/>
          <w:sz w:val="28"/>
        </w:rPr>
      </w:pPr>
      <w:r w:rsidRPr="004020BC">
        <w:rPr>
          <w:b/>
          <w:sz w:val="28"/>
        </w:rPr>
        <w:t>Results</w:t>
      </w:r>
    </w:p>
    <w:p w14:paraId="55F6953D" w14:textId="30315131" w:rsidR="00642FF8" w:rsidRPr="001C409F" w:rsidRDefault="00352B05" w:rsidP="0009565F">
      <w:pPr>
        <w:widowControl w:val="0"/>
        <w:autoSpaceDE w:val="0"/>
        <w:autoSpaceDN w:val="0"/>
        <w:adjustRightInd w:val="0"/>
        <w:spacing w:after="0" w:line="360" w:lineRule="auto"/>
        <w:rPr>
          <w:rFonts w:eastAsia="MS Mincho" w:cs="Cambria"/>
          <w:lang w:val="en-US"/>
        </w:rPr>
      </w:pPr>
      <w:r w:rsidRPr="001C409F">
        <w:rPr>
          <w:rFonts w:eastAsia="MS Mincho" w:cs="Cambria"/>
          <w:lang w:val="en-US"/>
        </w:rPr>
        <w:t>Between</w:t>
      </w:r>
      <w:r w:rsidR="00080545">
        <w:rPr>
          <w:rFonts w:eastAsia="MS Mincho" w:cs="Cambria"/>
          <w:lang w:val="en-US"/>
        </w:rPr>
        <w:t xml:space="preserve"> </w:t>
      </w:r>
      <w:r w:rsidR="00962C2D" w:rsidRPr="001C409F">
        <w:rPr>
          <w:rFonts w:eastAsia="MS Mincho" w:cs="Cambria"/>
          <w:lang w:val="en-US"/>
        </w:rPr>
        <w:t>01 September 2010 and 31 December 2015 (5 years and 4 months follow</w:t>
      </w:r>
      <w:r w:rsidR="00C50A1A" w:rsidRPr="001C409F">
        <w:rPr>
          <w:rFonts w:eastAsia="MS Mincho" w:cs="Cambria"/>
          <w:lang w:val="en-US"/>
        </w:rPr>
        <w:t>-</w:t>
      </w:r>
      <w:r w:rsidR="00962C2D" w:rsidRPr="001C409F">
        <w:rPr>
          <w:rFonts w:eastAsia="MS Mincho" w:cs="Cambria"/>
          <w:lang w:val="en-US"/>
        </w:rPr>
        <w:t xml:space="preserve">up), </w:t>
      </w:r>
      <w:r w:rsidR="007A1958" w:rsidRPr="001C409F">
        <w:rPr>
          <w:rFonts w:eastAsia="MS Mincho" w:cs="Cambria"/>
          <w:lang w:val="en-US"/>
        </w:rPr>
        <w:t>t</w:t>
      </w:r>
      <w:r w:rsidR="00962C2D" w:rsidRPr="001C409F">
        <w:rPr>
          <w:rFonts w:eastAsia="MS Mincho" w:cs="Cambria"/>
          <w:lang w:val="en-US"/>
        </w:rPr>
        <w:t xml:space="preserve">here were </w:t>
      </w:r>
      <w:r w:rsidR="008A0223">
        <w:rPr>
          <w:rFonts w:eastAsia="MS Mincho" w:cs="Cambria"/>
          <w:lang w:val="en-US"/>
        </w:rPr>
        <w:t>881</w:t>
      </w:r>
      <w:r w:rsidR="008A0223" w:rsidRPr="001C409F">
        <w:rPr>
          <w:rFonts w:eastAsia="MS Mincho" w:cs="Cambria"/>
          <w:lang w:val="en-US"/>
        </w:rPr>
        <w:t xml:space="preserve"> </w:t>
      </w:r>
      <w:r w:rsidR="00962C2D" w:rsidRPr="001C409F">
        <w:rPr>
          <w:rFonts w:eastAsia="MS Mincho" w:cs="Cambria"/>
          <w:lang w:val="en-US"/>
        </w:rPr>
        <w:t xml:space="preserve">IPD cases in </w:t>
      </w:r>
      <w:r w:rsidRPr="001C409F">
        <w:rPr>
          <w:rFonts w:eastAsia="MS Mincho" w:cs="Cambria"/>
          <w:lang w:val="en-US"/>
        </w:rPr>
        <w:t xml:space="preserve">the </w:t>
      </w:r>
      <w:r w:rsidR="00FD0674" w:rsidRPr="001C409F">
        <w:rPr>
          <w:rFonts w:eastAsia="MS Mincho" w:cs="Cambria"/>
          <w:lang w:val="en-US"/>
        </w:rPr>
        <w:t xml:space="preserve">four annual </w:t>
      </w:r>
      <w:r w:rsidRPr="001C409F">
        <w:rPr>
          <w:rFonts w:eastAsia="MS Mincho" w:cs="Cambria"/>
          <w:lang w:val="en-US"/>
        </w:rPr>
        <w:t>birth cohort</w:t>
      </w:r>
      <w:r w:rsidR="00FD0674" w:rsidRPr="001C409F">
        <w:rPr>
          <w:rFonts w:eastAsia="MS Mincho" w:cs="Cambria"/>
          <w:lang w:val="en-US"/>
        </w:rPr>
        <w:t>s</w:t>
      </w:r>
      <w:r w:rsidRPr="001C409F">
        <w:rPr>
          <w:rFonts w:eastAsia="MS Mincho" w:cs="Cambria"/>
          <w:lang w:val="en-US"/>
        </w:rPr>
        <w:t xml:space="preserve"> (</w:t>
      </w:r>
      <w:r w:rsidR="00EF49D8" w:rsidRPr="001C409F">
        <w:rPr>
          <w:rFonts w:eastAsia="MS Mincho" w:cs="Cambria"/>
          <w:lang w:val="en-US"/>
        </w:rPr>
        <w:t xml:space="preserve">born between </w:t>
      </w:r>
      <w:r w:rsidRPr="001C409F">
        <w:rPr>
          <w:rFonts w:eastAsia="MS Mincho" w:cs="Cambria"/>
          <w:lang w:val="en-US"/>
        </w:rPr>
        <w:t>0</w:t>
      </w:r>
      <w:r w:rsidR="00EF49D8" w:rsidRPr="001C409F">
        <w:rPr>
          <w:rFonts w:eastAsia="MS Mincho" w:cs="Cambria"/>
          <w:lang w:val="en-US"/>
        </w:rPr>
        <w:t>1 September 2010 and 3</w:t>
      </w:r>
      <w:r w:rsidR="0002512A" w:rsidRPr="001C409F">
        <w:rPr>
          <w:rFonts w:eastAsia="MS Mincho" w:cs="Cambria"/>
          <w:lang w:val="en-US"/>
        </w:rPr>
        <w:t>1</w:t>
      </w:r>
      <w:r w:rsidR="00EF49D8" w:rsidRPr="001C409F">
        <w:rPr>
          <w:rFonts w:eastAsia="MS Mincho" w:cs="Cambria"/>
          <w:lang w:val="en-US"/>
        </w:rPr>
        <w:t xml:space="preserve"> August </w:t>
      </w:r>
      <w:r w:rsidRPr="004020BC">
        <w:rPr>
          <w:rFonts w:eastAsia="MS Mincho" w:cs="Cambria"/>
          <w:lang w:val="en-US"/>
        </w:rPr>
        <w:t xml:space="preserve">2014) </w:t>
      </w:r>
      <w:r w:rsidR="00962C2D" w:rsidRPr="004020BC">
        <w:rPr>
          <w:rFonts w:eastAsia="MS Mincho" w:cs="Cambria"/>
          <w:lang w:val="en-US"/>
        </w:rPr>
        <w:t>in England</w:t>
      </w:r>
      <w:r w:rsidR="00C70EAB" w:rsidRPr="004020BC">
        <w:rPr>
          <w:rFonts w:eastAsia="MS Mincho" w:cs="Cambria"/>
          <w:lang w:val="en-US"/>
        </w:rPr>
        <w:t>. Within this cohort</w:t>
      </w:r>
      <w:r w:rsidR="004020BC">
        <w:rPr>
          <w:rFonts w:eastAsia="MS Mincho" w:cs="Cambria"/>
          <w:lang w:val="en-US"/>
        </w:rPr>
        <w:t>,</w:t>
      </w:r>
      <w:r w:rsidR="00E6296F">
        <w:rPr>
          <w:rFonts w:eastAsia="MS Mincho" w:cs="Cambria"/>
          <w:lang w:val="en-US"/>
        </w:rPr>
        <w:t xml:space="preserve"> </w:t>
      </w:r>
      <w:r w:rsidR="005B0766" w:rsidRPr="004020BC">
        <w:rPr>
          <w:rFonts w:eastAsia="MS Mincho" w:cs="Cambria"/>
          <w:lang w:val="en-US"/>
        </w:rPr>
        <w:t>1</w:t>
      </w:r>
      <w:r w:rsidR="00EB63C5" w:rsidRPr="004020BC">
        <w:rPr>
          <w:rFonts w:eastAsia="MS Mincho" w:cs="Cambria"/>
          <w:lang w:val="en-US"/>
        </w:rPr>
        <w:t xml:space="preserve">2 </w:t>
      </w:r>
      <w:r w:rsidR="00C70EAB" w:rsidRPr="004020BC">
        <w:rPr>
          <w:rFonts w:eastAsia="MS Mincho" w:cs="Cambria"/>
          <w:lang w:val="en-US"/>
        </w:rPr>
        <w:t xml:space="preserve">cases </w:t>
      </w:r>
      <w:r w:rsidR="00972755">
        <w:rPr>
          <w:rFonts w:eastAsia="MS Mincho" w:cs="Cambria"/>
          <w:lang w:val="en-US"/>
        </w:rPr>
        <w:t xml:space="preserve">in children with SCD </w:t>
      </w:r>
      <w:r w:rsidR="00C70EAB" w:rsidRPr="004020BC">
        <w:rPr>
          <w:rFonts w:eastAsia="MS Mincho" w:cs="Cambria"/>
          <w:lang w:val="en-US"/>
        </w:rPr>
        <w:t>were</w:t>
      </w:r>
      <w:r w:rsidR="00C70EAB">
        <w:rPr>
          <w:rFonts w:eastAsia="MS Mincho" w:cs="Cambria"/>
          <w:lang w:val="en-US"/>
        </w:rPr>
        <w:t xml:space="preserve"> identified</w:t>
      </w:r>
      <w:r w:rsidR="007B4E15" w:rsidRPr="001C409F">
        <w:rPr>
          <w:rFonts w:eastAsia="MS Mincho" w:cs="Cambria"/>
          <w:lang w:val="en-US"/>
        </w:rPr>
        <w:t xml:space="preserve">: </w:t>
      </w:r>
      <w:r w:rsidR="00EB63C5" w:rsidRPr="001C409F">
        <w:rPr>
          <w:rFonts w:eastAsia="MS Mincho" w:cs="Cambria"/>
          <w:lang w:val="en-US"/>
        </w:rPr>
        <w:t>11</w:t>
      </w:r>
      <w:r w:rsidR="00972755">
        <w:rPr>
          <w:rFonts w:eastAsia="MS Mincho" w:cs="Cambria"/>
          <w:lang w:val="en-US"/>
        </w:rPr>
        <w:t xml:space="preserve"> </w:t>
      </w:r>
      <w:r w:rsidR="00615C35">
        <w:rPr>
          <w:rFonts w:eastAsia="MS Mincho" w:cs="Cambria"/>
          <w:lang w:val="en-US"/>
        </w:rPr>
        <w:t>homozygote for haemoglobin S (HbSS)</w:t>
      </w:r>
      <w:r w:rsidR="007B4E15" w:rsidRPr="001C409F">
        <w:rPr>
          <w:rFonts w:eastAsia="MS Mincho" w:cs="Cambria"/>
          <w:lang w:val="en-US"/>
        </w:rPr>
        <w:t xml:space="preserve"> and</w:t>
      </w:r>
      <w:r w:rsidR="003B1165">
        <w:rPr>
          <w:rFonts w:eastAsia="MS Mincho" w:cs="Cambria"/>
          <w:lang w:val="en-US"/>
        </w:rPr>
        <w:t xml:space="preserve"> </w:t>
      </w:r>
      <w:r w:rsidR="007B4E15" w:rsidRPr="001C409F">
        <w:rPr>
          <w:rFonts w:eastAsia="MS Mincho" w:cs="Cambria"/>
          <w:lang w:val="en-US"/>
        </w:rPr>
        <w:t>one</w:t>
      </w:r>
      <w:r w:rsidR="0002512A" w:rsidRPr="001C409F">
        <w:rPr>
          <w:rFonts w:eastAsia="MS Mincho" w:cs="Cambria"/>
          <w:lang w:val="en-US"/>
        </w:rPr>
        <w:t xml:space="preserve"> double heterozygote</w:t>
      </w:r>
      <w:r w:rsidR="00C70EAB">
        <w:rPr>
          <w:rFonts w:eastAsia="MS Mincho" w:cs="Cambria"/>
          <w:lang w:val="en-US"/>
        </w:rPr>
        <w:t xml:space="preserve"> for</w:t>
      </w:r>
      <w:r w:rsidR="003B1165">
        <w:rPr>
          <w:rFonts w:eastAsia="MS Mincho" w:cs="Cambria"/>
          <w:lang w:val="en-US"/>
        </w:rPr>
        <w:t xml:space="preserve"> </w:t>
      </w:r>
      <w:r w:rsidR="004F6E22">
        <w:rPr>
          <w:rFonts w:eastAsia="MS Mincho" w:cs="Cambria"/>
          <w:lang w:val="en-US"/>
        </w:rPr>
        <w:t>h</w:t>
      </w:r>
      <w:r w:rsidR="006D05EA">
        <w:rPr>
          <w:rFonts w:eastAsia="MS Mincho" w:cs="Cambria"/>
          <w:lang w:val="en-US"/>
        </w:rPr>
        <w:t>a</w:t>
      </w:r>
      <w:r w:rsidR="007B4E15" w:rsidRPr="001C409F">
        <w:rPr>
          <w:rFonts w:eastAsia="MS Mincho" w:cs="Cambria"/>
          <w:lang w:val="en-US"/>
        </w:rPr>
        <w:t>emoglobin S and C (HbSC).</w:t>
      </w:r>
    </w:p>
    <w:p w14:paraId="6FC820B8" w14:textId="77777777" w:rsidR="00642FF8" w:rsidRPr="001C409F" w:rsidRDefault="00642FF8" w:rsidP="0009565F">
      <w:pPr>
        <w:widowControl w:val="0"/>
        <w:autoSpaceDE w:val="0"/>
        <w:autoSpaceDN w:val="0"/>
        <w:adjustRightInd w:val="0"/>
        <w:spacing w:after="0" w:line="360" w:lineRule="auto"/>
        <w:rPr>
          <w:rFonts w:eastAsia="MS Mincho" w:cs="Cambria"/>
          <w:lang w:val="en-US"/>
        </w:rPr>
      </w:pPr>
    </w:p>
    <w:p w14:paraId="6B9C31B2" w14:textId="2874B0AC" w:rsidR="00062FD0" w:rsidRPr="001C409F" w:rsidRDefault="00642FF8" w:rsidP="006D248D">
      <w:pPr>
        <w:widowControl w:val="0"/>
        <w:autoSpaceDE w:val="0"/>
        <w:autoSpaceDN w:val="0"/>
        <w:adjustRightInd w:val="0"/>
        <w:spacing w:after="0" w:line="360" w:lineRule="auto"/>
        <w:rPr>
          <w:rFonts w:eastAsia="MS Mincho" w:cs="Cambria"/>
          <w:lang w:val="en-US"/>
        </w:rPr>
      </w:pPr>
      <w:r w:rsidRPr="001C409F">
        <w:t xml:space="preserve">Seven </w:t>
      </w:r>
      <w:r w:rsidR="00E9465E" w:rsidRPr="001C409F">
        <w:t>of the eleven</w:t>
      </w:r>
      <w:r w:rsidR="00E6296F">
        <w:t xml:space="preserve"> </w:t>
      </w:r>
      <w:r w:rsidR="00CC4BAB">
        <w:t>HbSS</w:t>
      </w:r>
      <w:r w:rsidR="00972755">
        <w:t xml:space="preserve"> </w:t>
      </w:r>
      <w:r w:rsidR="00C70EAB">
        <w:t xml:space="preserve">cases with IPD </w:t>
      </w:r>
      <w:r w:rsidRPr="001C409F">
        <w:t xml:space="preserve">were African (64%), </w:t>
      </w:r>
      <w:r w:rsidR="00972755">
        <w:t xml:space="preserve">and </w:t>
      </w:r>
      <w:r w:rsidRPr="001C409F">
        <w:t xml:space="preserve">two each (18%) </w:t>
      </w:r>
      <w:r w:rsidRPr="00C70EAB">
        <w:t>were Caribbean and mixed African/Caucasian</w:t>
      </w:r>
      <w:r w:rsidR="00930570" w:rsidRPr="00C70EAB">
        <w:t xml:space="preserve">. All </w:t>
      </w:r>
      <w:r w:rsidR="005264E6" w:rsidRPr="00C70EAB">
        <w:t>were appropriately</w:t>
      </w:r>
      <w:r w:rsidR="004F6E22">
        <w:t xml:space="preserve"> immuni</w:t>
      </w:r>
      <w:r w:rsidR="006D05EA">
        <w:t>s</w:t>
      </w:r>
      <w:r w:rsidR="005264E6" w:rsidRPr="001C409F">
        <w:t>ed</w:t>
      </w:r>
      <w:r w:rsidR="007C5D8F">
        <w:t xml:space="preserve"> </w:t>
      </w:r>
      <w:r w:rsidR="0015114C" w:rsidRPr="001C409F">
        <w:t>with PCV</w:t>
      </w:r>
      <w:r w:rsidR="00972755">
        <w:t>13</w:t>
      </w:r>
      <w:r w:rsidR="0015114C" w:rsidRPr="001C409F">
        <w:t xml:space="preserve"> and PPV</w:t>
      </w:r>
      <w:r w:rsidR="00CD47C4" w:rsidRPr="001C409F">
        <w:t>23</w:t>
      </w:r>
      <w:r w:rsidR="007C5D8F">
        <w:t xml:space="preserve"> </w:t>
      </w:r>
      <w:r w:rsidR="005264E6" w:rsidRPr="001C409F">
        <w:t xml:space="preserve">for their age. </w:t>
      </w:r>
      <w:r w:rsidR="0015114C" w:rsidRPr="001C409F">
        <w:t xml:space="preserve">The median age at IPD </w:t>
      </w:r>
      <w:r w:rsidRPr="001C409F">
        <w:t>was 13 months</w:t>
      </w:r>
      <w:r w:rsidR="00023A26" w:rsidRPr="001C409F">
        <w:t xml:space="preserve">, with </w:t>
      </w:r>
      <w:r w:rsidR="00C70EAB">
        <w:t xml:space="preserve">the majority of </w:t>
      </w:r>
      <w:r w:rsidR="00023A26" w:rsidRPr="001C409F">
        <w:t xml:space="preserve">cases </w:t>
      </w:r>
      <w:r w:rsidR="0015114C" w:rsidRPr="001C409F">
        <w:t xml:space="preserve">(9/11, </w:t>
      </w:r>
      <w:r w:rsidR="00EB2BF6" w:rsidRPr="001C409F">
        <w:t>82</w:t>
      </w:r>
      <w:r w:rsidR="0015114C" w:rsidRPr="001C409F">
        <w:t xml:space="preserve">%) </w:t>
      </w:r>
      <w:r w:rsidR="00023A26" w:rsidRPr="001C409F">
        <w:t>diagnosed b</w:t>
      </w:r>
      <w:r w:rsidR="00C563AF" w:rsidRPr="001C409F">
        <w:t>efore</w:t>
      </w:r>
      <w:r w:rsidR="00023A26" w:rsidRPr="001C409F">
        <w:t xml:space="preserve"> two years of age (Table 1)</w:t>
      </w:r>
      <w:r w:rsidR="00972755">
        <w:t xml:space="preserve"> </w:t>
      </w:r>
      <w:r w:rsidR="004D52D7">
        <w:t>and</w:t>
      </w:r>
      <w:r w:rsidR="004D52D7" w:rsidRPr="001C409F">
        <w:t xml:space="preserve"> serogroup</w:t>
      </w:r>
      <w:r w:rsidR="00377154" w:rsidRPr="001C409F">
        <w:t xml:space="preserve"> 15 was most commonly responsible for IPD (8/11</w:t>
      </w:r>
      <w:r w:rsidR="002E1735" w:rsidRPr="001C409F">
        <w:t xml:space="preserve"> cases</w:t>
      </w:r>
      <w:r w:rsidR="00377154" w:rsidRPr="001C409F">
        <w:t xml:space="preserve">, </w:t>
      </w:r>
      <w:r w:rsidR="00377154" w:rsidRPr="001C409F">
        <w:rPr>
          <w:rFonts w:eastAsia="MS Mincho" w:cs="Cambria"/>
          <w:lang w:val="en-US"/>
        </w:rPr>
        <w:t>73%)</w:t>
      </w:r>
      <w:r w:rsidR="00972755">
        <w:rPr>
          <w:rFonts w:eastAsia="MS Mincho" w:cs="Cambria"/>
          <w:lang w:val="en-US"/>
        </w:rPr>
        <w:t>.</w:t>
      </w:r>
      <w:r w:rsidR="00377154" w:rsidRPr="001C409F">
        <w:rPr>
          <w:rFonts w:eastAsia="MS Mincho" w:cs="Cambria"/>
          <w:lang w:val="en-US"/>
        </w:rPr>
        <w:t xml:space="preserve"> </w:t>
      </w:r>
      <w:r w:rsidR="00023A26" w:rsidRPr="001C409F">
        <w:t>Two-thirds presen</w:t>
      </w:r>
      <w:r w:rsidR="009A3FCA" w:rsidRPr="001C409F">
        <w:t>ted wi</w:t>
      </w:r>
      <w:r w:rsidR="000B7B88">
        <w:t xml:space="preserve">th septicaemia and a third with </w:t>
      </w:r>
      <w:r w:rsidR="006119AA">
        <w:t>lower respiratory tract infection (</w:t>
      </w:r>
      <w:r w:rsidR="000B7B88">
        <w:t>LRTI</w:t>
      </w:r>
      <w:r w:rsidR="006119AA">
        <w:t>)</w:t>
      </w:r>
      <w:r w:rsidR="009A3FCA" w:rsidRPr="001C409F">
        <w:t xml:space="preserve">; there were no </w:t>
      </w:r>
      <w:r w:rsidR="000F41DB">
        <w:t xml:space="preserve">cases of </w:t>
      </w:r>
      <w:r w:rsidR="009A3FCA" w:rsidRPr="001C409F">
        <w:t>meningitis</w:t>
      </w:r>
      <w:r w:rsidR="009A3FCA" w:rsidRPr="00C70EAB">
        <w:t>.</w:t>
      </w:r>
      <w:r w:rsidR="00972755">
        <w:t xml:space="preserve"> </w:t>
      </w:r>
      <w:r w:rsidR="00377154" w:rsidRPr="00C70EAB">
        <w:rPr>
          <w:lang w:val="en-US"/>
        </w:rPr>
        <w:t xml:space="preserve">All LRTI cases were diagnosed </w:t>
      </w:r>
      <w:r w:rsidR="0015114C" w:rsidRPr="00C70EAB">
        <w:rPr>
          <w:lang w:val="en-US"/>
        </w:rPr>
        <w:t xml:space="preserve">by two </w:t>
      </w:r>
      <w:r w:rsidR="00377154" w:rsidRPr="00C70EAB">
        <w:rPr>
          <w:lang w:val="en-US"/>
        </w:rPr>
        <w:t xml:space="preserve">years </w:t>
      </w:r>
      <w:r w:rsidR="0015114C" w:rsidRPr="00C70EAB">
        <w:rPr>
          <w:lang w:val="en-US"/>
        </w:rPr>
        <w:t xml:space="preserve">of age </w:t>
      </w:r>
      <w:r w:rsidR="00377154" w:rsidRPr="00C70EAB">
        <w:rPr>
          <w:lang w:val="en-US"/>
        </w:rPr>
        <w:t xml:space="preserve">and were due to serogroup 15. </w:t>
      </w:r>
      <w:r w:rsidR="00C70EAB" w:rsidRPr="00C70EAB">
        <w:rPr>
          <w:rFonts w:eastAsia="MS Mincho" w:cs="Cambria"/>
          <w:lang w:val="en-US"/>
        </w:rPr>
        <w:t>O</w:t>
      </w:r>
      <w:r w:rsidR="00930570" w:rsidRPr="00C70EAB">
        <w:rPr>
          <w:rFonts w:eastAsia="MS Mincho" w:cs="Cambria"/>
          <w:lang w:val="en-US"/>
        </w:rPr>
        <w:t xml:space="preserve">ne </w:t>
      </w:r>
      <w:r w:rsidR="00C70EAB" w:rsidRPr="00C70EAB">
        <w:rPr>
          <w:rFonts w:eastAsia="MS Mincho" w:cs="Cambria"/>
          <w:lang w:val="en-US"/>
        </w:rPr>
        <w:t xml:space="preserve">child developed IPD </w:t>
      </w:r>
      <w:r w:rsidR="00930570" w:rsidRPr="00C70EAB">
        <w:rPr>
          <w:rFonts w:eastAsia="MS Mincho" w:cs="Cambria"/>
          <w:lang w:val="en-US"/>
        </w:rPr>
        <w:t>due to a vaccine-preventable serotype</w:t>
      </w:r>
      <w:r w:rsidR="00C70EAB" w:rsidRPr="00C70EAB">
        <w:rPr>
          <w:rFonts w:eastAsia="MS Mincho" w:cs="Cambria"/>
          <w:lang w:val="en-US"/>
        </w:rPr>
        <w:t>;</w:t>
      </w:r>
      <w:r w:rsidR="00930570" w:rsidRPr="00C70EAB">
        <w:rPr>
          <w:rFonts w:eastAsia="MS Mincho" w:cs="Cambria"/>
          <w:lang w:val="en-US"/>
        </w:rPr>
        <w:t xml:space="preserve"> an infant </w:t>
      </w:r>
      <w:r w:rsidR="00972755">
        <w:rPr>
          <w:rFonts w:eastAsia="MS Mincho" w:cs="Cambria"/>
          <w:lang w:val="en-US"/>
        </w:rPr>
        <w:t xml:space="preserve">with </w:t>
      </w:r>
      <w:r w:rsidR="00930570" w:rsidRPr="00C70EAB">
        <w:rPr>
          <w:rFonts w:eastAsia="MS Mincho" w:cs="Cambria"/>
          <w:lang w:val="en-US"/>
        </w:rPr>
        <w:t xml:space="preserve">uncomplicated serotype 7F </w:t>
      </w:r>
      <w:r w:rsidR="00C70EAB">
        <w:rPr>
          <w:rFonts w:eastAsia="MS Mincho" w:cs="Cambria"/>
          <w:lang w:val="en-US"/>
        </w:rPr>
        <w:t xml:space="preserve">pneumococcal </w:t>
      </w:r>
      <w:r w:rsidR="001245A2">
        <w:rPr>
          <w:rFonts w:eastAsia="MS Mincho" w:cs="Cambria"/>
          <w:lang w:val="en-US"/>
        </w:rPr>
        <w:t>septic</w:t>
      </w:r>
      <w:r w:rsidR="006D05EA">
        <w:rPr>
          <w:rFonts w:eastAsia="MS Mincho" w:cs="Cambria"/>
          <w:lang w:val="en-US"/>
        </w:rPr>
        <w:t>a</w:t>
      </w:r>
      <w:r w:rsidR="00930570" w:rsidRPr="00C70EAB">
        <w:rPr>
          <w:rFonts w:eastAsia="MS Mincho" w:cs="Cambria"/>
          <w:lang w:val="en-US"/>
        </w:rPr>
        <w:t>emia</w:t>
      </w:r>
      <w:r w:rsidR="00615C35">
        <w:rPr>
          <w:rFonts w:eastAsia="MS Mincho" w:cs="Cambria"/>
          <w:lang w:val="en-US"/>
        </w:rPr>
        <w:t xml:space="preserve"> at 3 months of age</w:t>
      </w:r>
      <w:r w:rsidR="00930570" w:rsidRPr="00C70EAB">
        <w:rPr>
          <w:rFonts w:eastAsia="MS Mincho" w:cs="Cambria"/>
          <w:lang w:val="en-US"/>
        </w:rPr>
        <w:t xml:space="preserve"> after a single </w:t>
      </w:r>
      <w:r w:rsidR="00972755">
        <w:rPr>
          <w:rFonts w:eastAsia="MS Mincho" w:cs="Cambria"/>
          <w:lang w:val="en-US"/>
        </w:rPr>
        <w:t xml:space="preserve">infant </w:t>
      </w:r>
      <w:r w:rsidR="00930570" w:rsidRPr="00C70EAB">
        <w:rPr>
          <w:rFonts w:eastAsia="MS Mincho" w:cs="Cambria"/>
          <w:lang w:val="en-US"/>
        </w:rPr>
        <w:t>PCV13 dose</w:t>
      </w:r>
      <w:r w:rsidR="00377154" w:rsidRPr="00C70EAB">
        <w:rPr>
          <w:rFonts w:eastAsia="MS Mincho" w:cs="Cambria"/>
          <w:lang w:val="en-US"/>
        </w:rPr>
        <w:t>.</w:t>
      </w:r>
    </w:p>
    <w:p w14:paraId="622B676F" w14:textId="77777777" w:rsidR="00062FD0" w:rsidRPr="001C409F" w:rsidRDefault="00062FD0" w:rsidP="006D248D">
      <w:pPr>
        <w:widowControl w:val="0"/>
        <w:autoSpaceDE w:val="0"/>
        <w:autoSpaceDN w:val="0"/>
        <w:adjustRightInd w:val="0"/>
        <w:spacing w:after="0" w:line="360" w:lineRule="auto"/>
        <w:rPr>
          <w:rFonts w:eastAsia="MS Mincho" w:cs="Cambria"/>
          <w:lang w:val="en-US"/>
        </w:rPr>
      </w:pPr>
    </w:p>
    <w:p w14:paraId="362BEB36" w14:textId="08395518" w:rsidR="00377154" w:rsidRPr="001C409F" w:rsidRDefault="00C563AF" w:rsidP="006D248D">
      <w:pPr>
        <w:widowControl w:val="0"/>
        <w:autoSpaceDE w:val="0"/>
        <w:autoSpaceDN w:val="0"/>
        <w:adjustRightInd w:val="0"/>
        <w:spacing w:after="0" w:line="360" w:lineRule="auto"/>
        <w:rPr>
          <w:rFonts w:eastAsia="MS Mincho" w:cs="Cambria"/>
          <w:lang w:val="en-US"/>
        </w:rPr>
      </w:pPr>
      <w:r w:rsidRPr="001C409F">
        <w:rPr>
          <w:rFonts w:eastAsia="MS Mincho" w:cs="Cambria"/>
          <w:lang w:val="en-US"/>
        </w:rPr>
        <w:t xml:space="preserve">Of the </w:t>
      </w:r>
      <w:r w:rsidR="004D52D7" w:rsidRPr="001C409F">
        <w:rPr>
          <w:rFonts w:eastAsia="MS Mincho" w:cs="Cambria"/>
          <w:lang w:val="en-US"/>
        </w:rPr>
        <w:t>two children</w:t>
      </w:r>
      <w:r w:rsidR="00E56FEF">
        <w:rPr>
          <w:rFonts w:eastAsia="MS Mincho" w:cs="Cambria"/>
          <w:lang w:val="en-US"/>
        </w:rPr>
        <w:t xml:space="preserve"> with </w:t>
      </w:r>
      <w:r w:rsidR="006119AA">
        <w:rPr>
          <w:rFonts w:eastAsia="MS Mincho" w:cs="Cambria"/>
          <w:lang w:val="en-US"/>
        </w:rPr>
        <w:t>HbSS</w:t>
      </w:r>
      <w:r w:rsidR="007252D6" w:rsidRPr="001C409F">
        <w:rPr>
          <w:rFonts w:eastAsia="MS Mincho" w:cs="Cambria"/>
          <w:lang w:val="en-US"/>
        </w:rPr>
        <w:t xml:space="preserve"> who </w:t>
      </w:r>
      <w:r w:rsidR="00062FD0" w:rsidRPr="001C409F">
        <w:rPr>
          <w:rFonts w:eastAsia="MS Mincho" w:cs="Cambria"/>
          <w:lang w:val="en-US"/>
        </w:rPr>
        <w:t xml:space="preserve">developed IPD </w:t>
      </w:r>
      <w:r w:rsidR="0068323D" w:rsidRPr="001C409F">
        <w:rPr>
          <w:rFonts w:eastAsia="MS Mincho" w:cs="Cambria"/>
          <w:lang w:val="en-US"/>
        </w:rPr>
        <w:t>a</w:t>
      </w:r>
      <w:r w:rsidR="00410DF5" w:rsidRPr="001C409F">
        <w:rPr>
          <w:rFonts w:eastAsia="MS Mincho" w:cs="Cambria"/>
          <w:lang w:val="en-US"/>
        </w:rPr>
        <w:t>fter their second birthday</w:t>
      </w:r>
      <w:r w:rsidR="001A5E71">
        <w:rPr>
          <w:rFonts w:eastAsia="MS Mincho" w:cs="Cambria"/>
          <w:lang w:val="en-US"/>
        </w:rPr>
        <w:t xml:space="preserve"> </w:t>
      </w:r>
      <w:r w:rsidR="001A5E71" w:rsidRPr="001C409F">
        <w:rPr>
          <w:rFonts w:eastAsia="MS Mincho" w:cs="Cambria"/>
          <w:lang w:val="en-US"/>
        </w:rPr>
        <w:t>(2/11 cases</w:t>
      </w:r>
      <w:r w:rsidR="001A5E71">
        <w:rPr>
          <w:rFonts w:eastAsia="MS Mincho" w:cs="Cambria"/>
          <w:lang w:val="en-US"/>
        </w:rPr>
        <w:t>,</w:t>
      </w:r>
      <w:r w:rsidR="001A5E71" w:rsidRPr="001C409F">
        <w:rPr>
          <w:rFonts w:eastAsia="MS Mincho" w:cs="Cambria"/>
          <w:lang w:val="en-US"/>
        </w:rPr>
        <w:t xml:space="preserve"> 18%)</w:t>
      </w:r>
      <w:r w:rsidR="004D52D7" w:rsidRPr="001C409F">
        <w:rPr>
          <w:rFonts w:eastAsia="MS Mincho" w:cs="Cambria"/>
          <w:lang w:val="en-US"/>
        </w:rPr>
        <w:t>,</w:t>
      </w:r>
      <w:r w:rsidR="004D52D7">
        <w:rPr>
          <w:rFonts w:eastAsia="MS Mincho" w:cs="Cambria"/>
          <w:lang w:val="en-US"/>
        </w:rPr>
        <w:t xml:space="preserve"> both</w:t>
      </w:r>
      <w:r w:rsidR="00410DF5" w:rsidRPr="001C409F">
        <w:rPr>
          <w:rFonts w:eastAsia="MS Mincho" w:cs="Cambria"/>
          <w:lang w:val="en-US"/>
        </w:rPr>
        <w:t xml:space="preserve"> were fully </w:t>
      </w:r>
      <w:r w:rsidR="001245A2" w:rsidRPr="001C409F">
        <w:rPr>
          <w:rFonts w:eastAsia="MS Mincho" w:cs="Cambria"/>
          <w:lang w:val="en-US"/>
        </w:rPr>
        <w:t>immuni</w:t>
      </w:r>
      <w:r w:rsidR="006D05EA">
        <w:rPr>
          <w:rFonts w:eastAsia="MS Mincho" w:cs="Cambria"/>
          <w:lang w:val="en-US"/>
        </w:rPr>
        <w:t>s</w:t>
      </w:r>
      <w:r w:rsidR="001245A2" w:rsidRPr="001C409F">
        <w:rPr>
          <w:rFonts w:eastAsia="MS Mincho" w:cs="Cambria"/>
          <w:lang w:val="en-US"/>
        </w:rPr>
        <w:t>ed</w:t>
      </w:r>
      <w:r w:rsidR="00410DF5" w:rsidRPr="001C409F">
        <w:rPr>
          <w:rFonts w:eastAsia="MS Mincho" w:cs="Cambria"/>
          <w:lang w:val="en-US"/>
        </w:rPr>
        <w:t xml:space="preserve"> with PCV</w:t>
      </w:r>
      <w:r w:rsidR="00C70EAB">
        <w:rPr>
          <w:rFonts w:eastAsia="MS Mincho" w:cs="Cambria"/>
          <w:lang w:val="en-US"/>
        </w:rPr>
        <w:t>13</w:t>
      </w:r>
      <w:r w:rsidR="00410DF5" w:rsidRPr="001C409F">
        <w:rPr>
          <w:rFonts w:eastAsia="MS Mincho" w:cs="Cambria"/>
          <w:lang w:val="en-US"/>
        </w:rPr>
        <w:t xml:space="preserve"> and </w:t>
      </w:r>
      <w:r w:rsidR="0068323D" w:rsidRPr="001C409F">
        <w:rPr>
          <w:rFonts w:eastAsia="MS Mincho" w:cs="Cambria"/>
          <w:lang w:val="en-US"/>
        </w:rPr>
        <w:t xml:space="preserve">one had also received PPV23. The former </w:t>
      </w:r>
      <w:r w:rsidR="00410DF5" w:rsidRPr="001C409F">
        <w:rPr>
          <w:rFonts w:eastAsia="MS Mincho" w:cs="Cambria"/>
          <w:lang w:val="en-US"/>
        </w:rPr>
        <w:t xml:space="preserve">developed </w:t>
      </w:r>
      <w:r w:rsidR="0068323D" w:rsidRPr="001C409F">
        <w:rPr>
          <w:rFonts w:eastAsia="MS Mincho" w:cs="Cambria"/>
          <w:lang w:val="en-US"/>
        </w:rPr>
        <w:t>IPD due to serogroup 15 and survived, while the la</w:t>
      </w:r>
      <w:r w:rsidR="00C70EAB">
        <w:rPr>
          <w:rFonts w:eastAsia="MS Mincho" w:cs="Cambria"/>
          <w:lang w:val="en-US"/>
        </w:rPr>
        <w:t>t</w:t>
      </w:r>
      <w:r w:rsidR="0068323D" w:rsidRPr="001C409F">
        <w:rPr>
          <w:rFonts w:eastAsia="MS Mincho" w:cs="Cambria"/>
          <w:lang w:val="en-US"/>
        </w:rPr>
        <w:t>ter developed IPD due to serotype 15B/C</w:t>
      </w:r>
      <w:r w:rsidR="00C70EAB">
        <w:rPr>
          <w:rFonts w:eastAsia="MS Mincho" w:cs="Cambria"/>
          <w:lang w:val="en-US"/>
        </w:rPr>
        <w:t xml:space="preserve"> and died</w:t>
      </w:r>
      <w:r w:rsidR="007252D6" w:rsidRPr="001C409F">
        <w:rPr>
          <w:rFonts w:eastAsia="MS Mincho" w:cs="Cambria"/>
          <w:lang w:val="en-US"/>
        </w:rPr>
        <w:t>.</w:t>
      </w:r>
      <w:r w:rsidR="00C70EAB">
        <w:rPr>
          <w:rFonts w:eastAsia="MS Mincho" w:cs="Cambria"/>
          <w:lang w:val="en-US"/>
        </w:rPr>
        <w:t xml:space="preserve"> T</w:t>
      </w:r>
      <w:r w:rsidR="00377154" w:rsidRPr="001C409F">
        <w:rPr>
          <w:rFonts w:eastAsia="MS Mincho" w:cs="Cambria"/>
          <w:lang w:val="en-US"/>
        </w:rPr>
        <w:t xml:space="preserve">hree children </w:t>
      </w:r>
      <w:r w:rsidR="00026276" w:rsidRPr="001C409F">
        <w:rPr>
          <w:rFonts w:eastAsia="MS Mincho" w:cs="Cambria"/>
          <w:lang w:val="en-US"/>
        </w:rPr>
        <w:t xml:space="preserve">with </w:t>
      </w:r>
      <w:r w:rsidR="008A0223">
        <w:rPr>
          <w:rFonts w:eastAsia="MS Mincho" w:cs="Cambria"/>
          <w:lang w:val="en-US"/>
        </w:rPr>
        <w:t>HbSS</w:t>
      </w:r>
      <w:r w:rsidR="005B5036" w:rsidRPr="001C409F">
        <w:rPr>
          <w:rFonts w:eastAsia="MS Mincho" w:cs="Cambria"/>
          <w:lang w:val="en-US"/>
        </w:rPr>
        <w:t>, including two born prematurely,</w:t>
      </w:r>
      <w:r w:rsidR="00080545">
        <w:rPr>
          <w:rFonts w:eastAsia="MS Mincho" w:cs="Cambria"/>
          <w:lang w:val="en-US"/>
        </w:rPr>
        <w:t xml:space="preserve"> </w:t>
      </w:r>
      <w:r w:rsidR="00377154" w:rsidRPr="001C409F">
        <w:rPr>
          <w:rFonts w:eastAsia="MS Mincho" w:cs="Cambria"/>
          <w:lang w:val="en-US"/>
        </w:rPr>
        <w:t xml:space="preserve">died of IPD </w:t>
      </w:r>
      <w:r w:rsidR="008A7544" w:rsidRPr="001C409F">
        <w:rPr>
          <w:rFonts w:eastAsia="MS Mincho" w:cs="Cambria"/>
          <w:lang w:val="en-US"/>
        </w:rPr>
        <w:t xml:space="preserve">– all </w:t>
      </w:r>
      <w:r w:rsidR="00DD12D1" w:rsidRPr="001C409F">
        <w:rPr>
          <w:rFonts w:eastAsia="MS Mincho" w:cs="Cambria"/>
          <w:lang w:val="en-US"/>
        </w:rPr>
        <w:t>due to sero</w:t>
      </w:r>
      <w:r w:rsidR="008A20AF" w:rsidRPr="001C409F">
        <w:rPr>
          <w:rFonts w:eastAsia="MS Mincho" w:cs="Cambria"/>
          <w:lang w:val="en-US"/>
        </w:rPr>
        <w:t>type</w:t>
      </w:r>
      <w:r w:rsidR="00DD12D1" w:rsidRPr="001C409F">
        <w:rPr>
          <w:rFonts w:eastAsia="MS Mincho" w:cs="Cambria"/>
          <w:lang w:val="en-US"/>
        </w:rPr>
        <w:t xml:space="preserve"> 15</w:t>
      </w:r>
      <w:r w:rsidR="008A20AF" w:rsidRPr="001C409F">
        <w:rPr>
          <w:rFonts w:eastAsia="MS Mincho" w:cs="Cambria"/>
          <w:lang w:val="en-US"/>
        </w:rPr>
        <w:t xml:space="preserve"> B/C</w:t>
      </w:r>
      <w:r w:rsidR="0005591F">
        <w:rPr>
          <w:rFonts w:eastAsia="MS Mincho" w:cs="Cambria"/>
          <w:lang w:val="en-US"/>
        </w:rPr>
        <w:t xml:space="preserve"> </w:t>
      </w:r>
      <w:r w:rsidR="00377154" w:rsidRPr="001C409F">
        <w:rPr>
          <w:rFonts w:eastAsia="MS Mincho" w:cs="Cambria"/>
          <w:lang w:val="en-US"/>
        </w:rPr>
        <w:t>(case fatality rat</w:t>
      </w:r>
      <w:r w:rsidR="00B87D19">
        <w:rPr>
          <w:rFonts w:eastAsia="MS Mincho" w:cs="Cambria"/>
          <w:lang w:val="en-US"/>
        </w:rPr>
        <w:t>e</w:t>
      </w:r>
      <w:r w:rsidR="00DD12D1" w:rsidRPr="001C409F">
        <w:rPr>
          <w:rFonts w:eastAsia="MS Mincho" w:cs="Cambria"/>
          <w:lang w:val="en-US"/>
        </w:rPr>
        <w:t xml:space="preserve"> [CFR],</w:t>
      </w:r>
      <w:r w:rsidR="00377154" w:rsidRPr="001C409F">
        <w:rPr>
          <w:rFonts w:eastAsia="MS Mincho" w:cs="Cambria"/>
          <w:lang w:val="en-US"/>
        </w:rPr>
        <w:t xml:space="preserve"> 27%)</w:t>
      </w:r>
      <w:r w:rsidR="00026276" w:rsidRPr="001C409F">
        <w:rPr>
          <w:rFonts w:eastAsia="MS Mincho" w:cs="Cambria"/>
          <w:lang w:val="en-US"/>
        </w:rPr>
        <w:t xml:space="preserve">; </w:t>
      </w:r>
      <w:r w:rsidR="005B5036" w:rsidRPr="001C409F">
        <w:rPr>
          <w:rFonts w:eastAsia="MS Mincho" w:cs="Cambria"/>
          <w:lang w:val="en-US"/>
        </w:rPr>
        <w:t xml:space="preserve">two </w:t>
      </w:r>
      <w:r w:rsidR="00DD12D1" w:rsidRPr="001C409F">
        <w:rPr>
          <w:rFonts w:eastAsia="MS Mincho" w:cs="Cambria"/>
          <w:lang w:val="en-US"/>
        </w:rPr>
        <w:t xml:space="preserve">had </w:t>
      </w:r>
      <w:r w:rsidR="001245A2" w:rsidRPr="001C409F">
        <w:rPr>
          <w:rFonts w:eastAsia="MS Mincho" w:cs="Cambria"/>
          <w:lang w:val="en-US"/>
        </w:rPr>
        <w:t>septic</w:t>
      </w:r>
      <w:r w:rsidR="006D05EA">
        <w:rPr>
          <w:rFonts w:eastAsia="MS Mincho" w:cs="Cambria"/>
          <w:lang w:val="en-US"/>
        </w:rPr>
        <w:t>a</w:t>
      </w:r>
      <w:r w:rsidR="001245A2" w:rsidRPr="001C409F">
        <w:rPr>
          <w:rFonts w:eastAsia="MS Mincho" w:cs="Cambria"/>
          <w:lang w:val="en-US"/>
        </w:rPr>
        <w:t>emia</w:t>
      </w:r>
      <w:r w:rsidR="00DD12D1" w:rsidRPr="001C409F">
        <w:rPr>
          <w:rFonts w:eastAsia="MS Mincho" w:cs="Cambria"/>
          <w:lang w:val="en-US"/>
        </w:rPr>
        <w:t xml:space="preserve"> and one had</w:t>
      </w:r>
      <w:r w:rsidR="00E6296F">
        <w:rPr>
          <w:rFonts w:eastAsia="MS Mincho" w:cs="Cambria"/>
          <w:lang w:val="en-US"/>
        </w:rPr>
        <w:t xml:space="preserve"> </w:t>
      </w:r>
      <w:r w:rsidR="00026276" w:rsidRPr="001C409F">
        <w:rPr>
          <w:rFonts w:eastAsia="MS Mincho" w:cs="Cambria"/>
          <w:lang w:val="en-US"/>
        </w:rPr>
        <w:t xml:space="preserve">LRTI. </w:t>
      </w:r>
    </w:p>
    <w:p w14:paraId="4DEB40F2" w14:textId="77777777" w:rsidR="00CD47C4" w:rsidRPr="001C409F" w:rsidRDefault="00CD47C4" w:rsidP="006D248D">
      <w:pPr>
        <w:widowControl w:val="0"/>
        <w:autoSpaceDE w:val="0"/>
        <w:autoSpaceDN w:val="0"/>
        <w:adjustRightInd w:val="0"/>
        <w:spacing w:after="0" w:line="360" w:lineRule="auto"/>
        <w:rPr>
          <w:rFonts w:eastAsia="MS Mincho" w:cs="Cambria"/>
          <w:lang w:val="en-US"/>
        </w:rPr>
      </w:pPr>
    </w:p>
    <w:p w14:paraId="552764F2" w14:textId="77777777" w:rsidR="00642FF8" w:rsidRPr="001C409F" w:rsidRDefault="0020565F" w:rsidP="006D248D">
      <w:pPr>
        <w:widowControl w:val="0"/>
        <w:autoSpaceDE w:val="0"/>
        <w:autoSpaceDN w:val="0"/>
        <w:adjustRightInd w:val="0"/>
        <w:spacing w:after="0" w:line="360" w:lineRule="auto"/>
      </w:pPr>
      <w:r w:rsidRPr="001C409F">
        <w:t xml:space="preserve">There was one </w:t>
      </w:r>
      <w:r w:rsidR="00B06E63">
        <w:t xml:space="preserve">additional </w:t>
      </w:r>
      <w:r w:rsidRPr="001C409F">
        <w:t xml:space="preserve">case of IPD in </w:t>
      </w:r>
      <w:r w:rsidR="00B06E63">
        <w:t xml:space="preserve">a child with </w:t>
      </w:r>
      <w:r w:rsidRPr="001C409F">
        <w:t>H</w:t>
      </w:r>
      <w:r w:rsidR="00647EA3" w:rsidRPr="001C409F">
        <w:t>b</w:t>
      </w:r>
      <w:r w:rsidRPr="001C409F">
        <w:t>S</w:t>
      </w:r>
      <w:r w:rsidR="00647EA3" w:rsidRPr="001C409F">
        <w:t>C</w:t>
      </w:r>
      <w:r w:rsidRPr="001C409F">
        <w:t xml:space="preserve">, </w:t>
      </w:r>
      <w:r w:rsidR="00B06E63">
        <w:t xml:space="preserve">who was fully immunised, </w:t>
      </w:r>
      <w:r w:rsidRPr="001C409F">
        <w:t xml:space="preserve">developed IPD due to </w:t>
      </w:r>
      <w:r w:rsidR="0086391C">
        <w:t xml:space="preserve">a </w:t>
      </w:r>
      <w:r w:rsidRPr="001C409F">
        <w:t>serotype 33F</w:t>
      </w:r>
      <w:r w:rsidR="00A12675">
        <w:t xml:space="preserve"> (</w:t>
      </w:r>
      <w:r w:rsidR="00A12675" w:rsidRPr="001C409F">
        <w:t>non</w:t>
      </w:r>
      <w:r w:rsidR="00A12675">
        <w:t>-</w:t>
      </w:r>
      <w:r w:rsidR="00A12675" w:rsidRPr="001C409F">
        <w:t>PCV13</w:t>
      </w:r>
      <w:r w:rsidR="0086391C">
        <w:t>)</w:t>
      </w:r>
      <w:r w:rsidRPr="001C409F">
        <w:t xml:space="preserve"> in the second year of life and recovered uneventfully.</w:t>
      </w:r>
    </w:p>
    <w:p w14:paraId="63587A5E" w14:textId="77777777" w:rsidR="0020565F" w:rsidRPr="001C409F" w:rsidRDefault="0020565F" w:rsidP="006D248D">
      <w:pPr>
        <w:widowControl w:val="0"/>
        <w:autoSpaceDE w:val="0"/>
        <w:autoSpaceDN w:val="0"/>
        <w:adjustRightInd w:val="0"/>
        <w:spacing w:after="0" w:line="360" w:lineRule="auto"/>
      </w:pPr>
    </w:p>
    <w:p w14:paraId="545B5BE9" w14:textId="77777777" w:rsidR="00642FF8" w:rsidRPr="004020BC" w:rsidRDefault="0009377F" w:rsidP="006D248D">
      <w:pPr>
        <w:widowControl w:val="0"/>
        <w:autoSpaceDE w:val="0"/>
        <w:autoSpaceDN w:val="0"/>
        <w:adjustRightInd w:val="0"/>
        <w:spacing w:after="0" w:line="360" w:lineRule="auto"/>
        <w:rPr>
          <w:rFonts w:eastAsia="MS Mincho" w:cs="Cambria"/>
          <w:b/>
          <w:lang w:val="en-US"/>
        </w:rPr>
      </w:pPr>
      <w:r w:rsidRPr="004020BC">
        <w:rPr>
          <w:rFonts w:eastAsia="MS Mincho" w:cs="Cambria"/>
          <w:b/>
          <w:lang w:val="en-US"/>
        </w:rPr>
        <w:t xml:space="preserve">Relative Risk of </w:t>
      </w:r>
      <w:r w:rsidR="00642FF8" w:rsidRPr="004020BC">
        <w:rPr>
          <w:rFonts w:eastAsia="MS Mincho" w:cs="Cambria"/>
          <w:b/>
          <w:lang w:val="en-US"/>
        </w:rPr>
        <w:t>IPD</w:t>
      </w:r>
    </w:p>
    <w:p w14:paraId="4FE1EBD6" w14:textId="11992B7B" w:rsidR="000D7714" w:rsidRPr="004020BC" w:rsidRDefault="00C50A1A" w:rsidP="000D7714">
      <w:pPr>
        <w:widowControl w:val="0"/>
        <w:autoSpaceDE w:val="0"/>
        <w:autoSpaceDN w:val="0"/>
        <w:adjustRightInd w:val="0"/>
        <w:spacing w:after="0" w:line="360" w:lineRule="auto"/>
      </w:pPr>
      <w:r w:rsidRPr="004020BC">
        <w:rPr>
          <w:rFonts w:eastAsia="MS Mincho" w:cs="Cambria"/>
          <w:lang w:val="en-US"/>
        </w:rPr>
        <w:t xml:space="preserve">The denominator </w:t>
      </w:r>
      <w:r w:rsidR="00A37A08" w:rsidRPr="004020BC">
        <w:rPr>
          <w:rFonts w:eastAsia="MS Mincho" w:cs="Cambria"/>
          <w:lang w:val="en-US"/>
        </w:rPr>
        <w:t>for the study cohort (</w:t>
      </w:r>
      <w:r w:rsidR="008A0223">
        <w:rPr>
          <w:rFonts w:eastAsia="MS Mincho" w:cs="Cambria"/>
          <w:lang w:val="en-US"/>
        </w:rPr>
        <w:t>a</w:t>
      </w:r>
      <w:r w:rsidR="003350AC">
        <w:rPr>
          <w:rFonts w:eastAsia="MS Mincho" w:cs="Cambria"/>
          <w:lang w:val="en-US"/>
        </w:rPr>
        <w:t xml:space="preserve">ll </w:t>
      </w:r>
      <w:r w:rsidR="00A37A08" w:rsidRPr="004020BC">
        <w:rPr>
          <w:rFonts w:eastAsia="MS Mincho" w:cs="Cambria"/>
          <w:lang w:val="en-US"/>
        </w:rPr>
        <w:t xml:space="preserve">children in England </w:t>
      </w:r>
      <w:r w:rsidR="00CC725E">
        <w:rPr>
          <w:rFonts w:eastAsia="MS Mincho" w:cs="Cambria"/>
          <w:lang w:val="en-US"/>
        </w:rPr>
        <w:t xml:space="preserve">born between </w:t>
      </w:r>
      <w:r w:rsidR="004B17DB" w:rsidRPr="004020BC">
        <w:rPr>
          <w:rFonts w:eastAsia="MS Mincho" w:cs="Cambria"/>
        </w:rPr>
        <w:t>01</w:t>
      </w:r>
      <w:r w:rsidR="00CC725E">
        <w:rPr>
          <w:rFonts w:eastAsia="MS Mincho" w:cs="Cambria"/>
        </w:rPr>
        <w:t>/09/</w:t>
      </w:r>
      <w:r w:rsidR="004B17DB" w:rsidRPr="004020BC">
        <w:rPr>
          <w:rFonts w:eastAsia="MS Mincho" w:cs="Cambria"/>
        </w:rPr>
        <w:t>2010 and 31/08/2014</w:t>
      </w:r>
      <w:r w:rsidR="00CC725E">
        <w:rPr>
          <w:rFonts w:eastAsia="MS Mincho" w:cs="Cambria"/>
        </w:rPr>
        <w:t>)</w:t>
      </w:r>
      <w:r w:rsidRPr="004020BC">
        <w:rPr>
          <w:rFonts w:eastAsia="MS Mincho" w:cs="Cambria"/>
          <w:lang w:val="en-US"/>
        </w:rPr>
        <w:t xml:space="preserve"> was </w:t>
      </w:r>
      <w:r w:rsidRPr="004020BC">
        <w:t>2,</w:t>
      </w:r>
      <w:r w:rsidR="001765CB" w:rsidRPr="004020BC">
        <w:t>716</w:t>
      </w:r>
      <w:r w:rsidRPr="004020BC">
        <w:t>,</w:t>
      </w:r>
      <w:r w:rsidR="001765CB" w:rsidRPr="004020BC">
        <w:t>879</w:t>
      </w:r>
      <w:r w:rsidRPr="004020BC">
        <w:t xml:space="preserve"> children, </w:t>
      </w:r>
      <w:r w:rsidR="00465065" w:rsidRPr="004020BC">
        <w:t>and included</w:t>
      </w:r>
      <w:r w:rsidR="008A5928">
        <w:t xml:space="preserve"> </w:t>
      </w:r>
      <w:r w:rsidR="00E62073" w:rsidRPr="004020BC">
        <w:rPr>
          <w:rFonts w:eastAsia="MS Mincho" w:cs="Cambria"/>
          <w:lang w:val="en-US"/>
        </w:rPr>
        <w:t xml:space="preserve">700 </w:t>
      </w:r>
      <w:r w:rsidRPr="004020BC">
        <w:rPr>
          <w:rFonts w:eastAsia="MS Mincho" w:cs="Cambria"/>
          <w:lang w:val="en-US"/>
        </w:rPr>
        <w:t xml:space="preserve">children with </w:t>
      </w:r>
      <w:r w:rsidR="00E62073" w:rsidRPr="004020BC">
        <w:rPr>
          <w:rFonts w:eastAsia="MS Mincho" w:cs="Cambria"/>
          <w:lang w:val="en-US"/>
        </w:rPr>
        <w:t>HbSS</w:t>
      </w:r>
      <w:r w:rsidR="0027742D" w:rsidRPr="004020BC">
        <w:rPr>
          <w:rFonts w:eastAsia="MS Mincho" w:cs="Cambria"/>
          <w:lang w:val="en-US"/>
        </w:rPr>
        <w:t xml:space="preserve"> and </w:t>
      </w:r>
      <w:r w:rsidR="00E62073" w:rsidRPr="004020BC">
        <w:rPr>
          <w:rFonts w:eastAsia="MS Mincho" w:cs="Cambria"/>
          <w:lang w:val="en-US"/>
        </w:rPr>
        <w:t xml:space="preserve">304 </w:t>
      </w:r>
      <w:r w:rsidR="0027742D" w:rsidRPr="004020BC">
        <w:rPr>
          <w:rFonts w:eastAsia="MS Mincho" w:cs="Cambria"/>
          <w:lang w:val="en-US"/>
        </w:rPr>
        <w:t xml:space="preserve">with </w:t>
      </w:r>
      <w:r w:rsidR="00E62073" w:rsidRPr="004020BC">
        <w:rPr>
          <w:rFonts w:eastAsia="MS Mincho" w:cs="Cambria"/>
          <w:lang w:val="en-US"/>
        </w:rPr>
        <w:t>HbSC</w:t>
      </w:r>
      <w:r w:rsidR="004C3C52">
        <w:rPr>
          <w:rFonts w:eastAsia="MS Mincho" w:cs="Cambria"/>
          <w:lang w:val="en-US"/>
        </w:rPr>
        <w:t xml:space="preserve">; within this cohort, </w:t>
      </w:r>
      <w:r w:rsidR="00B805ED">
        <w:rPr>
          <w:rFonts w:eastAsia="MS Mincho" w:cs="Cambria"/>
          <w:lang w:val="en-US"/>
        </w:rPr>
        <w:t xml:space="preserve">11 </w:t>
      </w:r>
      <w:r w:rsidR="004C3C52">
        <w:rPr>
          <w:rFonts w:eastAsia="MS Mincho" w:cs="Cambria"/>
          <w:lang w:val="en-US"/>
        </w:rPr>
        <w:t xml:space="preserve">children with </w:t>
      </w:r>
      <w:r w:rsidR="00B805ED">
        <w:rPr>
          <w:rFonts w:eastAsia="MS Mincho" w:cs="Cambria"/>
          <w:lang w:val="en-US"/>
        </w:rPr>
        <w:t xml:space="preserve">HbSS and </w:t>
      </w:r>
      <w:r w:rsidR="004C3C52">
        <w:rPr>
          <w:rFonts w:eastAsia="MS Mincho" w:cs="Cambria"/>
          <w:lang w:val="en-US"/>
        </w:rPr>
        <w:t xml:space="preserve">one with </w:t>
      </w:r>
      <w:r w:rsidR="00B805ED">
        <w:rPr>
          <w:rFonts w:eastAsia="MS Mincho" w:cs="Cambria"/>
          <w:lang w:val="en-US"/>
        </w:rPr>
        <w:t xml:space="preserve">HbSC </w:t>
      </w:r>
      <w:r w:rsidR="004C3C52">
        <w:rPr>
          <w:rFonts w:eastAsia="MS Mincho" w:cs="Cambria"/>
          <w:lang w:val="en-US"/>
        </w:rPr>
        <w:t>developed</w:t>
      </w:r>
      <w:r w:rsidR="00B805ED">
        <w:rPr>
          <w:rFonts w:eastAsia="MS Mincho" w:cs="Cambria"/>
          <w:lang w:val="en-US"/>
        </w:rPr>
        <w:t xml:space="preserve"> IPD</w:t>
      </w:r>
      <w:r w:rsidR="00815FF0" w:rsidRPr="004020BC">
        <w:rPr>
          <w:rFonts w:eastAsia="MS Mincho" w:cs="Cambria"/>
          <w:lang w:val="en-US"/>
        </w:rPr>
        <w:t>.</w:t>
      </w:r>
      <w:r w:rsidR="00BB3C56">
        <w:rPr>
          <w:rFonts w:eastAsia="MS Mincho" w:cs="Cambria"/>
          <w:lang w:val="en-US"/>
        </w:rPr>
        <w:t xml:space="preserve"> </w:t>
      </w:r>
      <w:r w:rsidR="003C6277" w:rsidRPr="004020BC">
        <w:t xml:space="preserve">The risk of IPD in </w:t>
      </w:r>
      <w:r w:rsidR="00907C8D" w:rsidRPr="004020BC">
        <w:t xml:space="preserve">the defined </w:t>
      </w:r>
      <w:r w:rsidR="00465065" w:rsidRPr="004020BC">
        <w:t xml:space="preserve">birth </w:t>
      </w:r>
      <w:r w:rsidR="00907C8D" w:rsidRPr="004020BC">
        <w:t xml:space="preserve">cohort </w:t>
      </w:r>
      <w:r w:rsidR="00465065" w:rsidRPr="004020BC">
        <w:t xml:space="preserve">over the surveillance period </w:t>
      </w:r>
      <w:r w:rsidR="003C6277" w:rsidRPr="004020BC">
        <w:t>was</w:t>
      </w:r>
      <w:r w:rsidR="00DD0C9E">
        <w:t xml:space="preserve"> </w:t>
      </w:r>
      <w:r w:rsidR="001765CB" w:rsidRPr="004020BC">
        <w:t>3</w:t>
      </w:r>
      <w:r w:rsidR="00796E06">
        <w:t>2</w:t>
      </w:r>
      <w:r w:rsidR="003C6277" w:rsidRPr="004020BC">
        <w:t>/100,000 children. This compares with 1,5</w:t>
      </w:r>
      <w:r w:rsidR="00456C3A" w:rsidRPr="004020BC">
        <w:t>71</w:t>
      </w:r>
      <w:r w:rsidR="003C6277" w:rsidRPr="004020BC">
        <w:t xml:space="preserve">/100,000 in children with </w:t>
      </w:r>
      <w:r w:rsidR="00B06E63" w:rsidRPr="004020BC">
        <w:t>H</w:t>
      </w:r>
      <w:r w:rsidR="00D758DA">
        <w:t>b</w:t>
      </w:r>
      <w:r w:rsidR="00B06E63" w:rsidRPr="004020BC">
        <w:t>SS</w:t>
      </w:r>
      <w:r w:rsidR="003C6277" w:rsidRPr="004020BC">
        <w:t xml:space="preserve">, which is </w:t>
      </w:r>
      <w:r w:rsidR="004020BC" w:rsidRPr="004020BC">
        <w:t>49-fold</w:t>
      </w:r>
      <w:r w:rsidR="002B5846">
        <w:t xml:space="preserve"> </w:t>
      </w:r>
      <w:r w:rsidR="005D46B8" w:rsidRPr="004020BC">
        <w:t>(</w:t>
      </w:r>
      <w:r w:rsidRPr="004020BC">
        <w:t>95% CI</w:t>
      </w:r>
      <w:r w:rsidR="006D248D" w:rsidRPr="004020BC">
        <w:t xml:space="preserve">, </w:t>
      </w:r>
      <w:r w:rsidR="004020BC" w:rsidRPr="004020BC">
        <w:t>27-89</w:t>
      </w:r>
      <w:r w:rsidR="005D46B8" w:rsidRPr="004020BC">
        <w:t>, p&lt;0.00001)</w:t>
      </w:r>
      <w:r w:rsidR="00BC3319">
        <w:t xml:space="preserve"> </w:t>
      </w:r>
      <w:r w:rsidR="003C6277" w:rsidRPr="004020BC">
        <w:t xml:space="preserve">higher </w:t>
      </w:r>
      <w:r w:rsidR="00FE2B00">
        <w:t xml:space="preserve">compared </w:t>
      </w:r>
      <w:r w:rsidR="00FE2B00" w:rsidRPr="004E51AF">
        <w:t xml:space="preserve">to their age-matched peers without </w:t>
      </w:r>
      <w:r w:rsidR="00B87D19">
        <w:t>SCD</w:t>
      </w:r>
      <w:r w:rsidR="000A0955" w:rsidRPr="004020BC">
        <w:t xml:space="preserve">. </w:t>
      </w:r>
      <w:r w:rsidR="000D7714" w:rsidRPr="004020BC">
        <w:t xml:space="preserve">Similarly, </w:t>
      </w:r>
      <w:r w:rsidR="00FE2B00">
        <w:t xml:space="preserve">a </w:t>
      </w:r>
      <w:r w:rsidR="00FE2B00" w:rsidRPr="004020BC">
        <w:t xml:space="preserve">10-fold (95% CI, 2-73; P=0.004) </w:t>
      </w:r>
      <w:r w:rsidR="000D7714" w:rsidRPr="004020BC">
        <w:t xml:space="preserve">risk </w:t>
      </w:r>
      <w:r w:rsidR="00FE2B00">
        <w:t xml:space="preserve">was identified in </w:t>
      </w:r>
      <w:r w:rsidR="000D7714" w:rsidRPr="004020BC">
        <w:t>children with H</w:t>
      </w:r>
      <w:r w:rsidR="00D758DA">
        <w:t>b</w:t>
      </w:r>
      <w:r w:rsidR="000D7714" w:rsidRPr="004020BC">
        <w:t>S</w:t>
      </w:r>
      <w:r w:rsidR="00A37A08" w:rsidRPr="004020BC">
        <w:t>C</w:t>
      </w:r>
      <w:r w:rsidR="000D7714" w:rsidRPr="004020BC">
        <w:t xml:space="preserve"> (329/100,000)</w:t>
      </w:r>
      <w:r w:rsidR="00D758DA">
        <w:t xml:space="preserve"> </w:t>
      </w:r>
      <w:r w:rsidR="005E617F">
        <w:t xml:space="preserve">higher </w:t>
      </w:r>
      <w:r w:rsidR="00FE2B00">
        <w:t xml:space="preserve">compared </w:t>
      </w:r>
      <w:r w:rsidR="00FE2B00" w:rsidRPr="004E51AF">
        <w:t>to their age-matched peers without SCD</w:t>
      </w:r>
      <w:r w:rsidR="000D7714" w:rsidRPr="004020BC">
        <w:t>.</w:t>
      </w:r>
    </w:p>
    <w:p w14:paraId="292143B1" w14:textId="77777777" w:rsidR="007C0493" w:rsidRPr="004020BC" w:rsidRDefault="007C0493" w:rsidP="00A31424">
      <w:pPr>
        <w:rPr>
          <w:b/>
          <w:lang w:val="en-US"/>
        </w:rPr>
      </w:pPr>
    </w:p>
    <w:p w14:paraId="7C2E93B2" w14:textId="77777777" w:rsidR="000E1375" w:rsidRPr="004020BC" w:rsidRDefault="007C0493" w:rsidP="00331463">
      <w:pPr>
        <w:spacing w:line="360" w:lineRule="auto"/>
        <w:rPr>
          <w:b/>
          <w:sz w:val="28"/>
          <w:lang w:val="en-US"/>
        </w:rPr>
      </w:pPr>
      <w:r w:rsidRPr="004020BC">
        <w:rPr>
          <w:b/>
          <w:sz w:val="28"/>
          <w:lang w:val="en-US"/>
        </w:rPr>
        <w:t>Discussion</w:t>
      </w:r>
    </w:p>
    <w:p w14:paraId="21E50EEC" w14:textId="1927B6FA" w:rsidR="00882566" w:rsidRPr="00E3647C" w:rsidRDefault="00E56FEF" w:rsidP="004020BC">
      <w:pPr>
        <w:spacing w:line="360" w:lineRule="auto"/>
      </w:pPr>
      <w:r>
        <w:t>Our study highlights the</w:t>
      </w:r>
      <w:r w:rsidR="00E11E38">
        <w:t xml:space="preserve"> case for </w:t>
      </w:r>
      <w:r w:rsidR="005C4705">
        <w:t xml:space="preserve">a </w:t>
      </w:r>
      <w:r w:rsidR="00C23A02" w:rsidRPr="00B06E63">
        <w:t xml:space="preserve">national screening programme to </w:t>
      </w:r>
      <w:r w:rsidR="0073324B" w:rsidRPr="00B06E63">
        <w:t xml:space="preserve">rapidly </w:t>
      </w:r>
      <w:r w:rsidR="00C23A02" w:rsidRPr="00B06E63">
        <w:t xml:space="preserve">detect </w:t>
      </w:r>
      <w:r>
        <w:t>SCD</w:t>
      </w:r>
      <w:r w:rsidR="00FE2B00">
        <w:t xml:space="preserve"> after birth</w:t>
      </w:r>
      <w:r>
        <w:t xml:space="preserve"> </w:t>
      </w:r>
      <w:r w:rsidR="000F41DB">
        <w:t>(</w:t>
      </w:r>
      <w:r w:rsidR="00515DC2">
        <w:t xml:space="preserve">a condition </w:t>
      </w:r>
      <w:r w:rsidR="00471469">
        <w:t>with persistently high morbidity an</w:t>
      </w:r>
      <w:r w:rsidR="001245A2">
        <w:t>d mortality even in industriali</w:t>
      </w:r>
      <w:r w:rsidR="006D05EA">
        <w:t>s</w:t>
      </w:r>
      <w:r w:rsidR="00471469">
        <w:t>ed countries</w:t>
      </w:r>
      <w:r w:rsidR="000F41DB">
        <w:t>)</w:t>
      </w:r>
      <w:r w:rsidR="00471469">
        <w:t xml:space="preserve"> </w:t>
      </w:r>
      <w:r w:rsidR="00D341D2">
        <w:t xml:space="preserve">and </w:t>
      </w:r>
      <w:r w:rsidR="004743C2">
        <w:t>the importance of vaccination</w:t>
      </w:r>
      <w:r w:rsidR="00212F7C">
        <w:t xml:space="preserve"> </w:t>
      </w:r>
      <w:r w:rsidR="000F41DB">
        <w:t xml:space="preserve">and penicillin prophylaxis </w:t>
      </w:r>
      <w:r w:rsidR="00212F7C">
        <w:t xml:space="preserve">in children with SCD. </w:t>
      </w:r>
      <w:r w:rsidR="0073324B" w:rsidRPr="00B06E63">
        <w:t xml:space="preserve"> </w:t>
      </w:r>
      <w:r w:rsidR="004020BC">
        <w:t xml:space="preserve">We conducted this analysis after an excess of </w:t>
      </w:r>
      <w:r w:rsidR="00E3647C">
        <w:t xml:space="preserve">IPD-related </w:t>
      </w:r>
      <w:r w:rsidR="004020BC">
        <w:t xml:space="preserve">deaths </w:t>
      </w:r>
      <w:r w:rsidR="00E3647C">
        <w:t xml:space="preserve">was identified during the long-term follow-up of </w:t>
      </w:r>
      <w:r w:rsidR="004020BC">
        <w:t>children</w:t>
      </w:r>
      <w:r w:rsidR="00E3647C">
        <w:t xml:space="preserve"> with </w:t>
      </w:r>
      <w:r w:rsidR="004020BC">
        <w:t xml:space="preserve">SCD </w:t>
      </w:r>
      <w:r w:rsidR="00FE2B00">
        <w:t xml:space="preserve">diagnosed </w:t>
      </w:r>
      <w:r w:rsidR="004020BC">
        <w:t xml:space="preserve">through the </w:t>
      </w:r>
      <w:r w:rsidR="00C42764">
        <w:t xml:space="preserve">evaluation of the </w:t>
      </w:r>
      <w:r w:rsidR="004020BC">
        <w:t>national screening programme</w:t>
      </w:r>
      <w:r w:rsidR="00E3647C">
        <w:t xml:space="preserve"> in England. </w:t>
      </w:r>
      <w:r w:rsidR="004020BC">
        <w:t xml:space="preserve">We found a 49-fold increased risk of IPD in children with </w:t>
      </w:r>
      <w:r w:rsidR="00216155">
        <w:t>HbSS</w:t>
      </w:r>
      <w:r w:rsidR="004020BC">
        <w:t xml:space="preserve"> compared </w:t>
      </w:r>
      <w:r w:rsidR="004020BC" w:rsidRPr="004E51AF">
        <w:t>to their age-matched peers without SCD</w:t>
      </w:r>
      <w:r w:rsidR="00471469">
        <w:t xml:space="preserve">, </w:t>
      </w:r>
      <w:r w:rsidR="00BE3EB8">
        <w:t xml:space="preserve">during the period </w:t>
      </w:r>
      <w:r w:rsidR="00471469">
        <w:t>after PCV13</w:t>
      </w:r>
      <w:r w:rsidR="00D74851">
        <w:t xml:space="preserve"> </w:t>
      </w:r>
      <w:r w:rsidR="00471469">
        <w:t>replaced PCV7</w:t>
      </w:r>
      <w:r w:rsidR="004020BC">
        <w:t xml:space="preserve"> in </w:t>
      </w:r>
      <w:r w:rsidR="00E3647C">
        <w:t>2010</w:t>
      </w:r>
      <w:r w:rsidR="004020BC">
        <w:t>. This increased risk, however,</w:t>
      </w:r>
      <w:r w:rsidR="0026601E" w:rsidRPr="00E3647C">
        <w:t xml:space="preserve"> is substantially lower than the &gt;600-fold increased risk reported </w:t>
      </w:r>
      <w:r w:rsidR="004743C2">
        <w:t>in the past</w:t>
      </w:r>
      <w:r w:rsidR="00D56FE7">
        <w:t>.</w:t>
      </w:r>
      <w:r w:rsidR="00D74851" w:rsidRPr="001C409F">
        <w:fldChar w:fldCharType="begin" w:fldLock="1"/>
      </w:r>
      <w:r w:rsidR="00C2513F">
        <w:instrText>ADDIN CSL_CITATION { "citationItems" : [ { "id" : "ITEM-1", "itemData" : { "DOI" : "10.1001/archpedi.1977.02120200066014", "ISSN" : "23742976", "abstract" : "A total of 422 patients with sickle cell disorders have been observed for 3,442 patient years. During this period, 53 episodes of septicemia or meningitis occurred, indicating a risk of 12.5% from these infections for each individual. If only patients with SS hemoglobinopathy (sickle cell anemia) (323 patients) are considered, the risk was 15.2%. The case fatality ratios for sepsis and meningitis were 35% and 10%, respectively. Disease due to Streptococcus pneumoniae occurred, almost exclusively, among children with SS hemoglobinopathy who were less than 5 years of age. After the first decade, illnesses among patients with all types of sickle cell disorders were frequently associated with an identifiable source of infection, a chronic course, and frequent involvement of Gram-negative organisms.", "author" : [ { "dropping-particle" : "", "family" : "Overturf", "given" : "G D", "non-dropping-particle" : "", "parse-names" : false, "suffix" : "" }, { "dropping-particle" : "", "family" : "Powars", "given" : "D", "non-dropping-particle" : "", "parse-names" : false, "suffix" : "" }, { "dropping-particle" : "", "family" : "Baraff", "given" : "L J", "non-dropping-particle" : "", "parse-names" : false, "suffix" : "" } ], "container-title" : "American Journal of Diseases of Children", "id" : "ITEM-1", "issue" : "7", "issued" : { "date-parts" : [ [ "1977" ] ] }, "page" : "784-787", "title" : "Bacterial meningitis and septicemia in sickle cell disease", "type" : "article-journal", "volume" : "131" }, "uris" : [ "http://www.mendeley.com/documents/?uuid=8724875c-aad7-47f1-8d63-02a384f56ced" ] } ], "mendeley" : { "formattedCitation" : "&lt;sup&gt;4&lt;/sup&gt;", "plainTextFormattedCitation" : "4", "previouslyFormattedCitation" : "&lt;sup&gt;4&lt;/sup&gt;" }, "properties" : { "noteIndex" : 0 }, "schema" : "https://github.com/citation-style-language/schema/raw/master/csl-citation.json" }</w:instrText>
      </w:r>
      <w:r w:rsidR="00D74851" w:rsidRPr="001C409F">
        <w:fldChar w:fldCharType="separate"/>
      </w:r>
      <w:r w:rsidR="00C2513F" w:rsidRPr="00C2513F">
        <w:rPr>
          <w:noProof/>
          <w:vertAlign w:val="superscript"/>
        </w:rPr>
        <w:t>4</w:t>
      </w:r>
      <w:r w:rsidR="00D74851" w:rsidRPr="001C409F">
        <w:fldChar w:fldCharType="end"/>
      </w:r>
      <w:r w:rsidR="0026601E" w:rsidRPr="00E3647C">
        <w:t xml:space="preserve"> </w:t>
      </w:r>
      <w:r w:rsidR="00817D77" w:rsidRPr="00E3647C">
        <w:t xml:space="preserve">Nearly all </w:t>
      </w:r>
      <w:r w:rsidR="00E3647C">
        <w:t xml:space="preserve">the IPD episodes in </w:t>
      </w:r>
      <w:r w:rsidR="00817D77" w:rsidRPr="00E3647C">
        <w:t xml:space="preserve">children with SCD </w:t>
      </w:r>
      <w:r w:rsidR="00E3647C">
        <w:t xml:space="preserve">occurred </w:t>
      </w:r>
      <w:r w:rsidR="00D56FE7">
        <w:t xml:space="preserve">in the first </w:t>
      </w:r>
      <w:r w:rsidR="00817D77" w:rsidRPr="00E3647C">
        <w:t xml:space="preserve">two years of </w:t>
      </w:r>
      <w:r w:rsidR="00D56FE7">
        <w:t>life</w:t>
      </w:r>
      <w:r w:rsidR="007B71E5" w:rsidRPr="00E3647C">
        <w:t xml:space="preserve">, which is not surprising because </w:t>
      </w:r>
      <w:r w:rsidR="00E3647C">
        <w:t xml:space="preserve">this age group </w:t>
      </w:r>
      <w:r w:rsidR="00F27F3E">
        <w:t>struggles</w:t>
      </w:r>
      <w:r w:rsidR="007B71E5" w:rsidRPr="00E3647C">
        <w:t xml:space="preserve"> to mount </w:t>
      </w:r>
      <w:r w:rsidR="00E85BC1">
        <w:t xml:space="preserve">protective </w:t>
      </w:r>
      <w:r w:rsidR="007B71E5" w:rsidRPr="00E3647C">
        <w:t>antibodies against encapsulated bacteria such as the pneumococc</w:t>
      </w:r>
      <w:r w:rsidR="00AC2A8D" w:rsidRPr="00E3647C">
        <w:t>us</w:t>
      </w:r>
      <w:r w:rsidR="007B71E5" w:rsidRPr="00E3647C">
        <w:t>. Additionally</w:t>
      </w:r>
      <w:r w:rsidR="00817D77" w:rsidRPr="00E3647C">
        <w:t>, wh</w:t>
      </w:r>
      <w:r w:rsidR="007B71E5" w:rsidRPr="00E3647C">
        <w:t>ilst it is reassuring</w:t>
      </w:r>
      <w:r w:rsidR="008A5928">
        <w:t xml:space="preserve"> </w:t>
      </w:r>
      <w:r w:rsidR="007B71E5" w:rsidRPr="00E3647C">
        <w:t xml:space="preserve">that </w:t>
      </w:r>
      <w:r w:rsidR="00E3647C">
        <w:t xml:space="preserve">all the children with SCD and IPD </w:t>
      </w:r>
      <w:r w:rsidR="00FE685E" w:rsidRPr="00E3647C">
        <w:t>had</w:t>
      </w:r>
      <w:r w:rsidR="00D341D2">
        <w:t xml:space="preserve"> been appropriately immuni</w:t>
      </w:r>
      <w:r w:rsidR="00007D7F">
        <w:t>s</w:t>
      </w:r>
      <w:r w:rsidR="00817D77" w:rsidRPr="00E3647C">
        <w:t xml:space="preserve">ed with PCV13 </w:t>
      </w:r>
      <w:r w:rsidR="00907B24">
        <w:t>according to the nationally recommended schedule</w:t>
      </w:r>
      <w:r w:rsidR="00817D77" w:rsidRPr="00E3647C">
        <w:t>, nearly all cases were due to serotypes not included</w:t>
      </w:r>
      <w:r w:rsidR="008A5928">
        <w:t xml:space="preserve"> </w:t>
      </w:r>
      <w:r w:rsidR="00817D77" w:rsidRPr="00E3647C">
        <w:t>in PCV13. Only one case was due to a PCV13</w:t>
      </w:r>
      <w:r w:rsidR="00D341D2">
        <w:t xml:space="preserve"> serotype in a partially immuniz</w:t>
      </w:r>
      <w:r w:rsidR="00817D77" w:rsidRPr="00E3647C">
        <w:t xml:space="preserve">ed infant. </w:t>
      </w:r>
      <w:r w:rsidR="00C42764">
        <w:t>M</w:t>
      </w:r>
      <w:r w:rsidR="00E647CE">
        <w:t>o</w:t>
      </w:r>
      <w:r w:rsidR="00817D77" w:rsidRPr="00E3647C">
        <w:t>re concerning was the observation that three of the 1</w:t>
      </w:r>
      <w:r w:rsidR="00E80B24">
        <w:t>1</w:t>
      </w:r>
      <w:r w:rsidR="00817D77" w:rsidRPr="00E3647C">
        <w:t xml:space="preserve"> children </w:t>
      </w:r>
      <w:r w:rsidR="00E80B24">
        <w:t xml:space="preserve">with HbSS </w:t>
      </w:r>
      <w:r w:rsidR="00817D77" w:rsidRPr="00E3647C">
        <w:t>died of their infection</w:t>
      </w:r>
      <w:r w:rsidR="00743446">
        <w:t>, despite all the pneumococcal strains being penicillin-sensitive</w:t>
      </w:r>
      <w:r w:rsidR="00817D77" w:rsidRPr="00E3647C">
        <w:t>.</w:t>
      </w:r>
    </w:p>
    <w:p w14:paraId="6B7A45EE" w14:textId="5050E8AC" w:rsidR="005240CD" w:rsidRPr="00E3647C" w:rsidRDefault="00C32290" w:rsidP="00331463">
      <w:pPr>
        <w:spacing w:line="360" w:lineRule="auto"/>
      </w:pPr>
      <w:r w:rsidRPr="00E3647C" w:rsidDel="00C32290">
        <w:t xml:space="preserve"> </w:t>
      </w:r>
      <w:r w:rsidR="0078588E" w:rsidRPr="00E3647C">
        <w:t xml:space="preserve">The introduction of PCV7 into national childhood immunisation programmes </w:t>
      </w:r>
      <w:r w:rsidR="005076B9">
        <w:t xml:space="preserve">had a greater than expected impact on </w:t>
      </w:r>
      <w:r w:rsidR="0078588E" w:rsidRPr="00E3647C">
        <w:t xml:space="preserve">IPD due to </w:t>
      </w:r>
      <w:r w:rsidR="004179F1" w:rsidRPr="00E3647C">
        <w:t xml:space="preserve">the </w:t>
      </w:r>
      <w:r w:rsidR="005234C3" w:rsidRPr="00E3647C">
        <w:t xml:space="preserve">PCV7 </w:t>
      </w:r>
      <w:r w:rsidR="0078588E" w:rsidRPr="00E3647C">
        <w:t>serotypes across all age group</w:t>
      </w:r>
      <w:r w:rsidR="00D81A31" w:rsidRPr="00E3647C">
        <w:t>s</w:t>
      </w:r>
      <w:r w:rsidR="00E3647C">
        <w:t>.</w:t>
      </w:r>
      <w:r w:rsidR="00F656FD" w:rsidRPr="00E3647C">
        <w:fldChar w:fldCharType="begin" w:fldLock="1"/>
      </w:r>
      <w:r w:rsidR="00C2513F">
        <w:instrText>ADDIN CSL_CITATION { "citationItems" : [ { "id" : "ITEM-1", "itemData" : { "DOI" : "10.1016/S1473-3099(11)70090-1", "ISBN" : "1474-4457 (Electronic)\\r1473-3099 (Linking)", "ISSN" : "14733099", "PMID" : "21621466", "abstract" : "Background: The seven-valent pneumococcal conjugate vaccine (PCV7) has reduced vaccine-type (VT) invasive pneumococcal disease but increases in non-vaccine-type (NVT) disease have varied between countries. We assess the effect of the PCV7 vaccination on VT and NVT disease in England and Wales. Methods: The study cohort was the population of England and Wales from July, 2000, to June, 2010. We calculated incidence rate ratios (IRRs) to compare incidences of VT and NVT disease before (2000-06) and after (2009-10) the introduction of PCV7. We used data from the national surveillance database. Cases included in our analysis were restricted to those confirmed by culture linked with isolates referred for serotyping at the national reference centre by laboratories in England and Wales. We adjusted for potential bias from missing data (serotype and age of patient) and changes in case ascertainment rates during the study period. Findings: 5809 cases of invasive pneumococcal disease were reported in 2009-10, giving an incidence of 10??6 per 100 000 population in 2009-10, which, when compared with the adjusted average annual incidence of 16??1 in 2000-06, gives an overall reduction of 34% (95% CI 28-39). VT disease decreased in all age groups, with reductions of 98% in individuals younger than 2 years and 81% in those aged 65 years or older. NVT disease increased by 68% in individuals younger than 2 years and 48% in those aged 65 years or older, giving an overall reduction in invasive pneumococcal disease of 56% in those younger than 2 years and 19% in those aged 65 years or older. After vaccine introduction, more NVT serotypes increased in frequency than decreased, which is consistent with vaccine-induced replacement. Key serotypes showing replacement were 7F, 19A, and 22F. Increases in NVT invasive pneumococcal disease were not associated with antimicrobial resistance. Interpretation: Despite much serotype replacement, a substantial reduction in invasive pneumococcal disease in young children can be achieved with PCV7 vaccination, with some indirect benefit in older age groups. Further reductions should be achievable by use of higher valency vaccines. Robust surveillance data are needed to properly assess the epidemiological effect of multivalent pneumococcal disease vaccines. Funding: Health Protection Agency. ?? 2011 Elsevier Ltd.", "author" : [ { "dropping-particle" : "", "family" : "Miller", "given" : "Elizabeth", "non-dropping-particle" : "", "parse-names" : false, "suffix" : "" }, { "dropping-particle" : "", "family" : "Andrews", "given" : "Nicholas J.", "non-dropping-particle" : "", "parse-names" : false, "suffix" : "" }, { "dropping-particle" : "", "family" : "Waight", "given" : "Pauline A.", "non-dropping-particle" : "", "parse-names" : false, "suffix" : "" }, { "dropping-particle" : "", "family" : "Slack", "given" : "Mary P E", "non-dropping-particle" : "", "parse-names" : false, "suffix" : "" }, { "dropping-particle" : "", "family" : "George", "given" : "Robert C.", "non-dropping-particle" : "", "parse-names" : false, "suffix" : "" } ], "container-title" : "The Lancet Infectious Diseases", "id" : "ITEM-1", "issue" : "10", "issued" : { "date-parts" : [ [ "2011" ] ] }, "page" : "760-768", "title" : "Herd immunity and serotype replacement 4 years after seven-valent pneumococcal conjugate vaccination in England and Wales: An observational cohort study", "type" : "article-journal", "volume" : "11" }, "uris" : [ "http://www.mendeley.com/documents/?uuid=2250e50b-4cea-4685-a1b0-d0ebd7d872f7" ] } ], "mendeley" : { "formattedCitation" : "&lt;sup&gt;13&lt;/sup&gt;", "plainTextFormattedCitation" : "13", "previouslyFormattedCitation" : "&lt;sup&gt;13&lt;/sup&gt;" }, "properties" : { "noteIndex" : 0 }, "schema" : "https://github.com/citation-style-language/schema/raw/master/csl-citation.json" }</w:instrText>
      </w:r>
      <w:r w:rsidR="00F656FD" w:rsidRPr="00E3647C">
        <w:fldChar w:fldCharType="separate"/>
      </w:r>
      <w:r w:rsidR="00C2513F" w:rsidRPr="00C2513F">
        <w:rPr>
          <w:noProof/>
          <w:vertAlign w:val="superscript"/>
        </w:rPr>
        <w:t>13</w:t>
      </w:r>
      <w:r w:rsidR="00F656FD" w:rsidRPr="00E3647C">
        <w:fldChar w:fldCharType="end"/>
      </w:r>
      <w:r w:rsidR="00D81A31" w:rsidRPr="00E3647C">
        <w:t xml:space="preserve"> Those</w:t>
      </w:r>
      <w:r w:rsidR="0078588E" w:rsidRPr="00E3647C">
        <w:t xml:space="preserve"> at increased risk of IPD</w:t>
      </w:r>
      <w:r w:rsidR="005076B9">
        <w:t xml:space="preserve"> (including </w:t>
      </w:r>
      <w:r w:rsidR="0078588E" w:rsidRPr="00E3647C">
        <w:t>SCD</w:t>
      </w:r>
      <w:r w:rsidR="005076B9">
        <w:t>)</w:t>
      </w:r>
      <w:r w:rsidR="0078588E" w:rsidRPr="00E3647C">
        <w:t xml:space="preserve"> benefited directly (through vaccination) and indirectly (through herd protection) from the programme. </w:t>
      </w:r>
      <w:r w:rsidR="00B7323C" w:rsidRPr="00E3647C">
        <w:t xml:space="preserve">In the US, </w:t>
      </w:r>
      <w:r w:rsidR="00A22E7F" w:rsidRPr="00E3647C">
        <w:t xml:space="preserve">where </w:t>
      </w:r>
      <w:r w:rsidR="00B7323C" w:rsidRPr="00E3647C">
        <w:t xml:space="preserve">PCV7 </w:t>
      </w:r>
      <w:r w:rsidR="00A22E7F" w:rsidRPr="00E3647C">
        <w:t xml:space="preserve">was introduced </w:t>
      </w:r>
      <w:r w:rsidR="00B7323C" w:rsidRPr="00E3647C">
        <w:t>in the early 2000’s</w:t>
      </w:r>
      <w:r w:rsidR="00D81A31" w:rsidRPr="00E3647C">
        <w:t>,</w:t>
      </w:r>
      <w:r w:rsidR="008A5928">
        <w:t xml:space="preserve"> </w:t>
      </w:r>
      <w:r w:rsidR="0034734C" w:rsidRPr="00E3647C">
        <w:t xml:space="preserve">the </w:t>
      </w:r>
      <w:r w:rsidR="0034734C" w:rsidRPr="00E3647C">
        <w:rPr>
          <w:lang w:val="en-US"/>
        </w:rPr>
        <w:t>Active Bacterial Core surveillance</w:t>
      </w:r>
      <w:r w:rsidR="002B5846">
        <w:rPr>
          <w:lang w:val="en-US"/>
        </w:rPr>
        <w:t xml:space="preserve"> </w:t>
      </w:r>
      <w:r w:rsidR="005076B9">
        <w:t xml:space="preserve">reported a 53% decline in </w:t>
      </w:r>
      <w:r w:rsidR="00A22E7F" w:rsidRPr="00E3647C">
        <w:t xml:space="preserve">IPD rates among children with SCD </w:t>
      </w:r>
      <w:r w:rsidR="00E3647C" w:rsidRPr="00E3647C">
        <w:t>during 1998-2009</w:t>
      </w:r>
      <w:r w:rsidR="00E3647C">
        <w:t>,</w:t>
      </w:r>
      <w:r w:rsidR="002B5846">
        <w:t xml:space="preserve"> </w:t>
      </w:r>
      <w:r w:rsidR="00E3647C">
        <w:t xml:space="preserve">which was lower than the 74% decline observed </w:t>
      </w:r>
      <w:r w:rsidR="00A22E7F" w:rsidRPr="00E3647C">
        <w:t>among African-American children</w:t>
      </w:r>
      <w:r w:rsidR="00E3647C">
        <w:t xml:space="preserve"> without SCD.</w:t>
      </w:r>
      <w:r w:rsidR="00F656FD" w:rsidRPr="00E3647C">
        <w:fldChar w:fldCharType="begin" w:fldLock="1"/>
      </w:r>
      <w:r w:rsidR="00C2513F">
        <w:instrText>ADDIN CSL_CITATION { "citationItems" : [ { "id" : "ITEM-1", "itemData" : { "DOI" : "10.1097/INF.0b013e3182a11808", "ISBN" : "1532-0987 (Electronic) 0891-3668 (Linking)", "ISSN" : "1532-0987", "PMID" : "23811745", "abstract" : "BACKGROUND: Children with sickle cell disease (SCD) are at increased risk of illness and death from invasive pneumococcal disease (IPD). The introduction in 2000 of the 7-valent pneumococcal conjugate vaccine and penicillin prophylaxis for children with SCD has greatly reduced the incidence of IPD in this population. However, a recent report suggested an increase in cases of IPD in children with SCD. METHODS: Using data from Active Bacterial Core surveillance, we analyzed trends in hospitalizations, mortality and serotype among children with SCD compared with other children. We used neonatal screening data to estimate SCD population denominators for each Active Bacterial Core surveillance site. RESULTS: From 1998 to 2009, 3069 cases of IPD occurred among African-American children less than 18 years of age in the Active Bacterial Core surveillance catchment area. Of these, 127 (4.1%) had SCD identified by medical chart review and 185 (6.0%) had 1 or more IPD risk factors, excluding SCD. Rates of IPD among children with SCD declined by 53% (1118 vs. 530 per 100,000) whereas the overall rates among African-American children declined by 74% (54 to 14 per 100,000). For all time periods, children with SCD and IPD were more likely to be hospitalized (84%-92% vs. 31%-56%) and more likely to die (6%-17% vs. 1%-2%) than children with no risk factors. CONCLUSIONS: Although the rate of IPD in children with SCD has dropped dramatically since 7-valent pneumococcal conjugate vaccine introduction, the rate of IPD in children with SCD remains higher than that of the general population of African-American children, pointing to the need for more effective prevention efforts to prevent IPD in children with SCD.", "author" : [ { "dropping-particle" : "", "family" : "Payne", "given" : "A B", "non-dropping-particle" : "", "parse-names" : false, "suffix" : "" }, { "dropping-particle" : "", "family" : "Link-Gelles", "given" : "R", "non-dropping-particle" : "", "parse-names" : false, "suffix" : "" }, { "dropping-particle" : "", "family" : "Azonobi", "given" : "I", "non-dropping-particle" : "", "parse-names" : false, "suffix" : "" }, { "dropping-particle" : "", "family" : "Hooper", "given" : "W C", "non-dropping-particle" : "", "parse-names" : false, "suffix" : "" }, { "dropping-particle" : "", "family" : "Beall", "given" : "B W", "non-dropping-particle" : "", "parse-names" : false, "suffix" : "" }, { "dropping-particle" : "", "family" : "Jorgensen", "given" : "J H", "non-dropping-particle" : "", "parse-names" : false, "suffix" : "" }, { "dropping-particle" : "", "family" : "Juni", "given" : "B", "non-dropping-particle" : "", "parse-names" : false, "suffix" : "" }, { "dropping-particle" : "", "family" : "Moore", "given" : "M", "non-dropping-particle" : "", "parse-names" : false, "suffix" : "" }, { "dropping-particle" : "", "family" : "Surveillance", "given" : "Team Active Bacterial Core", "non-dropping-particle" : "", "parse-names" : false, "suffix" : "" } ], "container-title" : "Pediatr Infect Dis J", "id" : "ITEM-1", "issue" : "12", "issued" : { "date-parts" : [ [ "2013" ] ] }, "page" : "1308-1312", "title" : "Invasive pneumococcal disease among children with and without sickle cell disease in the United States, 1998 to 2009", "type" : "article-journal", "volume" : "32" }, "uris" : [ "http://www.mendeley.com/documents/?uuid=85c518aa-9001-4b6d-882b-bd5dc7764e2b" ] } ], "mendeley" : { "formattedCitation" : "&lt;sup&gt;11&lt;/sup&gt;", "plainTextFormattedCitation" : "11", "previouslyFormattedCitation" : "&lt;sup&gt;11&lt;/sup&gt;" }, "properties" : { "noteIndex" : 0 }, "schema" : "https://github.com/citation-style-language/schema/raw/master/csl-citation.json" }</w:instrText>
      </w:r>
      <w:r w:rsidR="00F656FD" w:rsidRPr="00E3647C">
        <w:fldChar w:fldCharType="separate"/>
      </w:r>
      <w:r w:rsidR="00C2513F" w:rsidRPr="00C2513F">
        <w:rPr>
          <w:noProof/>
          <w:vertAlign w:val="superscript"/>
        </w:rPr>
        <w:t>11</w:t>
      </w:r>
      <w:r w:rsidR="00F656FD" w:rsidRPr="00E3647C">
        <w:fldChar w:fldCharType="end"/>
      </w:r>
      <w:r w:rsidR="00E3647C">
        <w:t xml:space="preserve"> Moreover, c</w:t>
      </w:r>
      <w:r w:rsidR="00A22E7F" w:rsidRPr="00E3647C">
        <w:t>hildren with SCD remained at significantly higher risk of IPD compared to their healthy peers</w:t>
      </w:r>
      <w:r w:rsidR="00A87441" w:rsidRPr="00E3647C">
        <w:t xml:space="preserve">. They </w:t>
      </w:r>
      <w:r w:rsidR="00A22E7F" w:rsidRPr="00E3647C">
        <w:t>were a</w:t>
      </w:r>
      <w:r w:rsidR="00CB48B5">
        <w:t>lso more likely to be hospitali</w:t>
      </w:r>
      <w:r w:rsidR="00E120A2">
        <w:t>s</w:t>
      </w:r>
      <w:r w:rsidR="00A22E7F" w:rsidRPr="00E3647C">
        <w:t xml:space="preserve">ed and die of their infection compared to </w:t>
      </w:r>
      <w:r w:rsidR="006D793E" w:rsidRPr="00E3647C">
        <w:t xml:space="preserve">healthy </w:t>
      </w:r>
      <w:r w:rsidR="00A22E7F" w:rsidRPr="00E3647C">
        <w:t xml:space="preserve">children </w:t>
      </w:r>
      <w:r w:rsidR="00A87441" w:rsidRPr="00E3647C">
        <w:t xml:space="preserve">with </w:t>
      </w:r>
      <w:r w:rsidR="00D81A31" w:rsidRPr="00E3647C">
        <w:t>IPD</w:t>
      </w:r>
      <w:r w:rsidR="00A22E7F" w:rsidRPr="00E3647C">
        <w:t xml:space="preserve">. </w:t>
      </w:r>
      <w:r w:rsidR="00C66F52" w:rsidRPr="00E3647C">
        <w:t>Other US studies have also reported significant declines in IPD rates among children with SCD following PCV7 introduction</w:t>
      </w:r>
      <w:r w:rsidR="00E3647C">
        <w:t>.</w:t>
      </w:r>
      <w:r w:rsidR="00EF3982">
        <w:fldChar w:fldCharType="begin" w:fldLock="1"/>
      </w:r>
      <w:r w:rsidR="00EF3982">
        <w:instrText>ADDIN CSL_CITATION { "citationItems" : [ { "id" : "ITEM-1", "itemData" : { "DOI" : "10.1086/516781", "ISBN" : "1537-6591; 1058-4838", "ISSN" : "1537-6591", "PMID" : "17479937", "abstract" : "BACKGROUND: We sought to determine the incidence of invasive pneumococcal disease (IPD) among individuals with sickle cell disease (SCD) before and after the introduction of the pneumococcal conjugate vaccine (PCV). METHODS: Individuals with SCD who were enrolled in Tennessee Medicaid from January 1995 through December 2004 were identified using SCD-specific International Classification of Diseases, Ninth Revision, Clinical Modification codes. Population-based surveillance data were used to identify individuals with IPD and were linked to patients with SCD in the Tennessee Medicaid database to determine incidence rates of IPD. Clinical data were collected on all subjects with IPD, and antibiotic susceptibility testing and serotyping were performed on all available pneumococcal isolates. RESULTS: We identified 2026 individuals with SCD, who constituted 13,687 person-years of follow-up. During the study period, 37 individuals with SCD developed IPD, and 21 of these patients were aged &lt;5 years. In a comparison of the pre-PCV period (1995-1999) with the post-PCV period (2001-2004), the rate of IPD decreased by 90.8% in children aged &lt;2 years (from 3630 to 335 cases per 100,000 person-years; P&lt;.001) and by 93.4% in children aged &lt;5 years (from 2044 to 134 cases per 100,000 person-years; P&lt;.001). Rates of IPD for patients with SCD who were aged &gt;or=5 years decreased from 161 cases per 100,000 person-years during the pre-PCV period to 99 cases per 100,000 person-years during the post-PCV period (P=.36). CONCLUSION: The rate of IPD among children with SCD who are aged &lt;5 years has decreased markedly since the introduction of routine administration of PCV to young children.", "author" : [ { "dropping-particle" : "", "family" : "Halasa", "given" : "Natasha B", "non-dropping-particle" : "", "parse-names" : false, "suffix" : "" }, { "dropping-particle" : "", "family" : "Shankar", "given" : "Sadhna M", "non-dropping-particle" : "", "parse-names" : false, "suffix" : "" }, { "dropping-particle" : "", "family" : "Talbot", "given" : "Thomas R", "non-dropping-particle" : "", "parse-names" : false, "suffix" : "" }, { "dropping-particle" : "", "family" : "Arbogast", "given" : "Patrick G", "non-dropping-particle" : "", "parse-names" : false, "suffix" : "" }, { "dropping-particle" : "", "family" : "Mitchel", "given" : "Ed F", "non-dropping-particle" : "", "parse-names" : false, "suffix" : "" }, { "dropping-particle" : "", "family" : "Wang", "given" : "Winfred C", "non-dropping-particle" : "", "parse-names" : false, "suffix" : "" }, { "dropping-particle" : "", "family" : "Schaffner", "given" : "William", "non-dropping-particle" : "", "parse-names" : false, "suffix" : "" }, { "dropping-particle" : "", "family" : "Craig", "given" : "Allen S", "non-dropping-particle" : "", "parse-names" : false, "suffix" : "" }, { "dropping-particle" : "", "family" : "Griffin", "given" : "Marie R", "non-dropping-particle" : "", "parse-names" : false, "suffix" : "" } ], "container-title" : "Clinical infectious diseases : an official publication of the Infectious Diseases Society of America", "id" : "ITEM-1", "issue" : "11", "issued" : { "date-parts" : [ [ "2007" ] ] }, "page" : "1428-1433", "title" : "Incidence of invasive pneumococcal disease among individuals with sickle cell disease before and after the introduction of the pneumococcal conjugate vaccine.", "type" : "article-journal", "volume" : "44" }, "uris" : [ "http://www.mendeley.com/documents/?uuid=f0322e5c-ea64-48cf-8d21-7219409667bf" ] } ], "mendeley" : { "formattedCitation" : "&lt;sup&gt;10&lt;/sup&gt;", "plainTextFormattedCitation" : "10" }, "properties" : { "noteIndex" : 0 }, "schema" : "https://github.com/citation-style-language/schema/raw/master/csl-citation.json" }</w:instrText>
      </w:r>
      <w:r w:rsidR="00EF3982">
        <w:fldChar w:fldCharType="separate"/>
      </w:r>
      <w:r w:rsidR="00EF3982" w:rsidRPr="00EF3982">
        <w:rPr>
          <w:noProof/>
          <w:vertAlign w:val="superscript"/>
        </w:rPr>
        <w:t>10</w:t>
      </w:r>
      <w:r w:rsidR="00EF3982">
        <w:fldChar w:fldCharType="end"/>
      </w:r>
      <w:r w:rsidR="00EF3982" w:rsidRPr="00E3647C">
        <w:rPr>
          <w:rFonts w:eastAsia="MS Mincho" w:cs="Cambria"/>
          <w:vertAlign w:val="superscript"/>
          <w:lang w:val="en-US"/>
        </w:rPr>
        <w:t>,</w:t>
      </w:r>
      <w:r w:rsidR="00F656FD" w:rsidRPr="00E3647C">
        <w:fldChar w:fldCharType="begin" w:fldLock="1"/>
      </w:r>
      <w:r w:rsidR="00C2513F">
        <w:instrText>ADDIN CSL_CITATION { "citationItems" : [ { "id" : "ITEM-1", "itemData" : { "DOI" : "10.1542/peds.2007-0018", "ISBN" : "1098-4275; 0031-4005", "ISSN" : "1098-4275", "PMID" : "18310206", "abstract" : "BACKGROUND: The incidence of and mortality from invasive pneumococcal disease are significantly higher in children with sickle cell disease than in the general pediatric population. The objective of this population-based study was to assess the effect of pneumococcal conjugate vaccine on rates of invasive pneumococcal disease among children with sickle cell disease. PATIENTS AND METHODS: Records, including the history of pneumococcal conjugate vaccine administration, of 1247 children born after 1983 residing in metropolitan Atlanta, Georgia, with confirmed hemoglobinopathies were linked to an active surveillance database for invasive pneumococcal disease for the period of January 1, 1995, through January 1, 2003. The incidence of invasive pneumococcal disease and the percentage of rate reduction were estimated before and after pneumococcal conjugate vaccine licensure. Survival analysis was used to estimate the effect of pneumococcal conjugate vaccine on invasive pneumococcal disease rates while accounting for herd immunity. RESULTS: A significant decline in invasive pneumococcal disease in children with sickle cell disease &lt; or = 10 years of age was noted after pneumococcal conjugate vaccine licensure, from 1.7 infections per 100 person-years (1995-2000) to 0.5 infections per 100 person-years (2001-2002), which represents a 68% reduction. The effectiveness of &gt; or = 1 dose of pneumococcal conjugate vaccine was estimated by crude analysis to be 84.5% and by stratified survival analysis to be 81.4% when controlling for the presence of herd immunity in the 2 years after pneumococcal conjugate vaccine licensure. Serotype 6A invasive pneumococcal disease represented 36% of invasive pneumococcal disease before pneumococcal conjugate vaccine licensure and 0% after pneumococcal conjugate vaccine licensure, suggesting a protective effect against this pneumococcal conjugate vaccine-related serotype. CONCLUSIONS: Invasive pneumococcal disease significantly decreased in children with sickle cell disease &lt; or = 10 years of age after pneumococcal conjugate vaccine licensure. Pneumococcal conjugate vaccine was effective even when controlling for herd immunity. Extending guideline recommendations for catch-up vaccination beyond 4 years of age should be considered.", "author" : [ { "dropping-particle" : "V", "family" : "Adamkiewicz", "given" : "Thomas", "non-dropping-particle" : "", "parse-names" : false, "suffix" : "" }, { "dropping-particle" : "", "family" : "Silk", "given" : "Benjamin J", "non-dropping-particle" : "", "parse-names" : false, "suffix" : "" }, { "dropping-particle" : "", "family" : "Howgate", "given" : "James", "non-dropping-particle" : "", "parse-names" : false, "suffix" : "" }, { "dropping-particle" : "", "family" : "Baughman", "given" : "Wendy", "non-dropping-particle" : "", "parse-names" : false, "suffix" : "" }, { "dropping-particle" : "", "family" : "Strayhorn", "given" : "Gregory", "non-dropping-particle" : "", "parse-names" : false, "suffix" : "" }, { "dropping-particle" : "", "family" : "Sullivan", "given" : "Kevin", "non-dropping-particle" : "", "parse-names" : false, "suffix" : "" }, { "dropping-particle" : "", "family" : "Farley", "given" : "Monica M", "non-dropping-particle" : "", "parse-names" : false, "suffix" : "" } ], "container-title" : "Pediatrics", "id" : "ITEM-1", "issue" : "3", "issued" : { "date-parts" : [ [ "2008" ] ] }, "page" : "562-569", "title" : "Effectiveness of the 7-valent pneumococcal conjugate vaccine in children with sickle cell disease in the first decade of life.", "type" : "article-journal", "volume" : "121" }, "uris" : [ "http://www.mendeley.com/documents/?uuid=f372b7ce-5bd1-4998-8664-b4e547c986cd" ] } ], "mendeley" : { "formattedCitation" : "&lt;sup&gt;20&lt;/sup&gt;", "plainTextFormattedCitation" : "20", "previouslyFormattedCitation" : "&lt;sup&gt;20&lt;/sup&gt;" }, "properties" : { "noteIndex" : 0 }, "schema" : "https://github.com/citation-style-language/schema/raw/master/csl-citation.json" }</w:instrText>
      </w:r>
      <w:r w:rsidR="00F656FD" w:rsidRPr="00E3647C">
        <w:fldChar w:fldCharType="separate"/>
      </w:r>
      <w:r w:rsidR="00C2513F" w:rsidRPr="00C2513F">
        <w:rPr>
          <w:noProof/>
          <w:vertAlign w:val="superscript"/>
        </w:rPr>
        <w:t>20</w:t>
      </w:r>
      <w:r w:rsidR="00F656FD" w:rsidRPr="00E3647C">
        <w:fldChar w:fldCharType="end"/>
      </w:r>
      <w:r w:rsidR="00EF3982" w:rsidRPr="00E3647C">
        <w:t xml:space="preserve"> </w:t>
      </w:r>
    </w:p>
    <w:p w14:paraId="48F8053F" w14:textId="0D15807F" w:rsidR="00271EED" w:rsidRDefault="00E85BC1" w:rsidP="00331463">
      <w:pPr>
        <w:spacing w:line="360" w:lineRule="auto"/>
      </w:pPr>
      <w:r>
        <w:t>After PCV7 introduction</w:t>
      </w:r>
      <w:r w:rsidR="00C04A74" w:rsidRPr="00E3647C">
        <w:t>, a number of report</w:t>
      </w:r>
      <w:r w:rsidR="0034734C" w:rsidRPr="00E3647C">
        <w:t>s</w:t>
      </w:r>
      <w:r w:rsidR="00C04A74" w:rsidRPr="00E3647C">
        <w:t xml:space="preserve"> emerged of </w:t>
      </w:r>
      <w:r w:rsidR="002951DD" w:rsidRPr="00E3647C">
        <w:t xml:space="preserve">IPD </w:t>
      </w:r>
      <w:r w:rsidR="00184A71" w:rsidRPr="00E3647C">
        <w:t xml:space="preserve">cases </w:t>
      </w:r>
      <w:r w:rsidR="00C04A74" w:rsidRPr="00E3647C">
        <w:t>in children with SCD that were</w:t>
      </w:r>
      <w:r w:rsidR="00742BB3" w:rsidRPr="00E3647C">
        <w:t xml:space="preserve"> due to serotypes that were not covered by PCV7</w:t>
      </w:r>
      <w:r w:rsidR="00CA0CBF" w:rsidRPr="00E3647C">
        <w:t>.</w:t>
      </w:r>
      <w:r w:rsidR="00F656FD" w:rsidRPr="00E3647C">
        <w:fldChar w:fldCharType="begin" w:fldLock="1"/>
      </w:r>
      <w:r w:rsidR="00C2513F">
        <w:instrText>ADDIN CSL_CITATION { "citationItems" : [ { "id" : "ITEM-1", "itemData" : { "DOI" : "10.1016/j.jpeds.2010.11.025", "ISBN" : "1097-6833 (Electronic)\\r0022-3476 (Linking)", "ISSN" : "1097-6833", "PMID" : "21193205", "abstract" : "Invasive pneumococcal disease (IPD) in children with sickle cell disease has decreased with prophylactic penicillin, pneumococcal polysaccharide vaccine, and pneumococcal protein-conjugate vaccine usage. We report 10 IPD cases since pneumococcal protein-conjugate vaccine licensure, including a recent surge of non-vaccine serotypes. IPD continues to be a serious risk in sickle cell disease.", "author" : [ { "dropping-particle" : "", "family" : "McCavit", "given" : "Timothy L", "non-dropping-particle" : "", "parse-names" : false, "suffix" : "" }, { "dropping-particle" : "", "family" : "Quinn", "given" : "Charles T", "non-dropping-particle" : "", "parse-names" : false, "suffix" : "" }, { "dropping-particle" : "", "family" : "Techasaensiri", "given" : "Chonnamet", "non-dropping-particle" : "", "parse-names" : false, "suffix" : "" }, { "dropping-particle" : "", "family" : "Rogers", "given" : "Zora R", "non-dropping-particle" : "", "parse-names" : false, "suffix" : "" } ], "container-title" : "The Journal of pediatrics", "id" : "ITEM-1", "issue" : "3", "issued" : { "date-parts" : [ [ "2011" ] ] }, "page" : "505-507", "title" : "Increase in invasive Streptococcus pneumoniae infections in children with sickle cell disease since pneumococcal conjugate vaccine licensure.", "type" : "article-journal", "volume" : "158" }, "uris" : [ "http://www.mendeley.com/documents/?uuid=a41039cb-1c57-43aa-b3d5-7a64399529a4" ] } ], "mendeley" : { "formattedCitation" : "&lt;sup&gt;21&lt;/sup&gt;", "plainTextFormattedCitation" : "21", "previouslyFormattedCitation" : "&lt;sup&gt;21&lt;/sup&gt;" }, "properties" : { "noteIndex" : 0 }, "schema" : "https://github.com/citation-style-language/schema/raw/master/csl-citation.json" }</w:instrText>
      </w:r>
      <w:r w:rsidR="00F656FD" w:rsidRPr="00E3647C">
        <w:fldChar w:fldCharType="separate"/>
      </w:r>
      <w:r w:rsidR="00C2513F" w:rsidRPr="00C2513F">
        <w:rPr>
          <w:noProof/>
          <w:vertAlign w:val="superscript"/>
        </w:rPr>
        <w:t>21</w:t>
      </w:r>
      <w:r w:rsidR="00F656FD" w:rsidRPr="00E3647C">
        <w:fldChar w:fldCharType="end"/>
      </w:r>
      <w:r w:rsidR="005076B9">
        <w:t xml:space="preserve"> </w:t>
      </w:r>
      <w:r w:rsidR="00F46133" w:rsidRPr="00E3647C">
        <w:t>The replacement of PCV7 with PCV13 in 2010 was timely because the latter vaccine provided protection against six additional serotypes.</w:t>
      </w:r>
      <w:r w:rsidR="002B5846">
        <w:t xml:space="preserve"> </w:t>
      </w:r>
      <w:r w:rsidR="0036763A" w:rsidRPr="00E3647C">
        <w:t xml:space="preserve">As yet, however, there </w:t>
      </w:r>
      <w:r w:rsidR="00E3647C">
        <w:t>are no published epidemiological</w:t>
      </w:r>
      <w:r w:rsidR="0036763A" w:rsidRPr="00E3647C">
        <w:t xml:space="preserve"> studies on the impact of PCV13 on IPD in children with SCD. </w:t>
      </w:r>
    </w:p>
    <w:p w14:paraId="4CD99F44" w14:textId="7AB3337C" w:rsidR="00706590" w:rsidRPr="00E3647C" w:rsidRDefault="001A3C56" w:rsidP="00331463">
      <w:pPr>
        <w:spacing w:line="360" w:lineRule="auto"/>
      </w:pPr>
      <w:r w:rsidRPr="00E3647C">
        <w:t>In England, the rapid decline in PCV13 serotypes across all age groups following PCV13 introduction is well-documented</w:t>
      </w:r>
      <w:r w:rsidR="00CA0CBF" w:rsidRPr="00E3647C">
        <w:t>.</w:t>
      </w:r>
      <w:r w:rsidR="00F656FD" w:rsidRPr="00E3647C">
        <w:fldChar w:fldCharType="begin" w:fldLock="1"/>
      </w:r>
      <w:r w:rsidR="00C2513F">
        <w:instrText>ADDIN CSL_CITATION { "citationItems" : [ { "id" : "ITEM-1", "itemData" : { "DOI" : "10.1016/S1473-3099(15)70044-7", "ISBN" : "doi:10.1016/S1473-3099(15)70044-7", "ISSN" : "14744457", "PMID" : "25801458", "abstract" : "Background: The 13-valent pneumococcal conjugate vaccine (PCV13) protects against key serotypes that increased after routine immunisation with the seven-valent vaccine (PCV7), but its potential for herd protection and serotype replacement is uncertain. The aim of this study was to analyse the effect of the 13-valent pneumococcal conjugate vaccine on invasive pneumococcal disease in England and Wales 4 years after its introduction. Methods: We used a national dataset of electronically reported and serotyped invasive pneumococcal disease cases in England and Wales to estimate incidence rate ratios (IRRs) for vaccine and non-vaccine type invasive pneumococcal disease between July, 2013, and June, 2014, versus the pre-PCV13 and pre-PCV7 baseline. Incidence rates were corrected for missing serotype data and changes in surveillance sensitivity over time. An over-dispersed Poisson model was used to estimate IRRs and confidence intervals. Findings: Incidence of invasive pneumococcal disease in the epidemiological year 2013/14 decreased by 32% compared with the pre-PCV13 baseline (incidence 10??14 per 100 000 in 2008-10 vs 6??85 per 100 000 in 2013/14; IRR 0??68, 95% CI 0??64-0??72). This was due to an 86% reduction of the serotypes covered by PCV7 (1??46 vs 0??20 per 100 000; IRR 0??14, 0??10-0??18) and a 69% reduction of the additional six serotypes covered by PCV13 (4??48 vs 1??40 per 100 000; IRR 0??31, 0??28-0??35). When compared with the pre-PCV7 baseline, there was a 56% overall reduction in invasive pneumococcal disease (15??63 vs 6??85 per 100 000; IRR 0??44, 95% CI 0??43-0??47). Compared with the pre-PCV13 baseline, the incidence of non-PCV13 serotypes increased (incidence all ages 4??19 vs 5??25 per 100 000; IRR 1??25, 95% CI 1??17-1??35) due to increases across a broad range of serotypes in children younger than 5 years and in people aged 45 years or more. In children younger than 5 years, incidence of non-PCV13 serotypes in 2013/14 was higher than in 2012/13 (age &lt;2 years: 12??03 vs 10??83 per 100 000; age 2-4 years: 4??08 vs 3??63 per 100 000). Interpretation: 8 years of PCV use in England and Wales has reduced the overall incidence of invasive pneumococcal disease by more than 50%. The herd protection induced by PCV7 is continuing, and similar indirect protection is occurring from the additional serotypes covered by PCV13. There is, however, evidence of increasing invasive pneumococcal disease due to non-PCV13 serotypes, particularly in children y\u2026", "author" : [ { "dropping-particle" : "", "family" : "Waight", "given" : "Pauline A.", "non-dropping-particle" : "", "parse-names" : false, "suffix" : "" }, { "dropping-particle" : "", "family" : "Andrews", "given" : "Nicholas J.", "non-dropping-particle" : "", "parse-names" : false, "suffix" : "" }, { "dropping-particle" : "", "family" : "Ladhani", "given" : "Shamez N.", "non-dropping-particle" : "", "parse-names" : false, "suffix" : "" }, { "dropping-particle" : "", "family" : "Sheppard", "given" : "Carmen L.", "non-dropping-particle" : "", "parse-names" : false, "suffix" : "" }, { "dropping-particle" : "", "family" : "Slack", "given" : "Mary P E", "non-dropping-particle" : "", "parse-names" : false, "suffix" : "" }, { "dropping-particle" : "", "family" : "Miller", "given" : "Elizabeth", "non-dropping-particle" : "", "parse-names" : false, "suffix" : "" } ], "container-title" : "The Lancet Infectious Diseases", "id" : "ITEM-1", "issue" : "5", "issued" : { "date-parts" : [ [ "2015" ] ] }, "page" : "535-543", "title" : "Effect of the 13-valent pneumococcal conjugate vaccine on invasive pneumococcal disease in England and Wales 4 years after its introduction: An observational cohort study", "type" : "article-journal", "volume" : "15" }, "uris" : [ "http://www.mendeley.com/documents/?uuid=d57166b5-3cc5-43f7-aba6-49b0c32066f0" ] } ], "mendeley" : { "formattedCitation" : "&lt;sup&gt;14&lt;/sup&gt;", "plainTextFormattedCitation" : "14", "previouslyFormattedCitation" : "&lt;sup&gt;14&lt;/sup&gt;" }, "properties" : { "noteIndex" : 0 }, "schema" : "https://github.com/citation-style-language/schema/raw/master/csl-citation.json" }</w:instrText>
      </w:r>
      <w:r w:rsidR="00F656FD" w:rsidRPr="00E3647C">
        <w:fldChar w:fldCharType="separate"/>
      </w:r>
      <w:r w:rsidR="00C2513F" w:rsidRPr="00C2513F">
        <w:rPr>
          <w:noProof/>
          <w:vertAlign w:val="superscript"/>
        </w:rPr>
        <w:t>14</w:t>
      </w:r>
      <w:r w:rsidR="00F656FD" w:rsidRPr="00E3647C">
        <w:fldChar w:fldCharType="end"/>
      </w:r>
      <w:r w:rsidR="005076B9">
        <w:t xml:space="preserve"> </w:t>
      </w:r>
      <w:r w:rsidR="00CA0CBF" w:rsidRPr="00E3647C">
        <w:t xml:space="preserve">We were unable to </w:t>
      </w:r>
      <w:r w:rsidR="006E08F2" w:rsidRPr="00E3647C">
        <w:t xml:space="preserve">undertake any trends analysis </w:t>
      </w:r>
      <w:r w:rsidR="00E3647C" w:rsidRPr="00E3647C">
        <w:t xml:space="preserve">in our cohort of children with SCD </w:t>
      </w:r>
      <w:r w:rsidR="006E08F2" w:rsidRPr="00E3647C">
        <w:t>b</w:t>
      </w:r>
      <w:r w:rsidR="00C06403" w:rsidRPr="00E3647C">
        <w:t xml:space="preserve">ecause of the relatively few IPD cases. </w:t>
      </w:r>
      <w:r w:rsidR="00A32E55" w:rsidRPr="00E3647C">
        <w:t>Our result</w:t>
      </w:r>
      <w:r w:rsidR="00113298" w:rsidRPr="00E3647C">
        <w:t>s</w:t>
      </w:r>
      <w:r w:rsidR="00A32E55" w:rsidRPr="00E3647C">
        <w:t>, however, show that PCV13 serotypes are</w:t>
      </w:r>
      <w:r w:rsidR="005C4705">
        <w:t xml:space="preserve"> now</w:t>
      </w:r>
      <w:r w:rsidR="00A32E55" w:rsidRPr="00E3647C">
        <w:t xml:space="preserve"> rarely responsible for IPD </w:t>
      </w:r>
      <w:r w:rsidR="009D3DFC" w:rsidRPr="00E3647C">
        <w:t>in children with SCD</w:t>
      </w:r>
      <w:r w:rsidR="00B411A2" w:rsidRPr="00E3647C">
        <w:t xml:space="preserve">, most likely because of the excellent direct and indirect protection offered by </w:t>
      </w:r>
      <w:r w:rsidR="00CB48B5">
        <w:t>the current immuni</w:t>
      </w:r>
      <w:r w:rsidR="00E120A2">
        <w:t>s</w:t>
      </w:r>
      <w:r w:rsidR="00E3647C">
        <w:t>ation programme</w:t>
      </w:r>
      <w:r w:rsidR="00FF0CF1" w:rsidRPr="00E3647C">
        <w:t xml:space="preserve">. Consequently, </w:t>
      </w:r>
      <w:r w:rsidR="009D3DFC" w:rsidRPr="00E3647C">
        <w:t xml:space="preserve">the majority of </w:t>
      </w:r>
      <w:r w:rsidR="00FF0CF1" w:rsidRPr="00E3647C">
        <w:t xml:space="preserve">IPD </w:t>
      </w:r>
      <w:r w:rsidR="009D3DFC" w:rsidRPr="00E3647C">
        <w:t xml:space="preserve">cases </w:t>
      </w:r>
      <w:r w:rsidR="00FF0CF1" w:rsidRPr="00E3647C">
        <w:t xml:space="preserve">in children (including those with SCD) </w:t>
      </w:r>
      <w:r w:rsidR="009D3DFC" w:rsidRPr="00E3647C">
        <w:t>are no</w:t>
      </w:r>
      <w:r w:rsidR="00FF0CF1" w:rsidRPr="00E3647C">
        <w:t>w due to serotypes not included in PCV13.</w:t>
      </w:r>
      <w:r w:rsidR="00F656FD" w:rsidRPr="00A00017">
        <w:fldChar w:fldCharType="begin" w:fldLock="1"/>
      </w:r>
      <w:r w:rsidR="00C2513F">
        <w:instrText>ADDIN CSL_CITATION { "citationItems" : [ { "id" : "ITEM-1", "itemData" : { "DOI" : "10.1016/S1473-3099(15)70044-7", "ISBN" : "doi:10.1016/S1473-3099(15)70044-7", "ISSN" : "14744457", "PMID" : "25801458", "abstract" : "Background: The 13-valent pneumococcal conjugate vaccine (PCV13) protects against key serotypes that increased after routine immunisation with the seven-valent vaccine (PCV7), but its potential for herd protection and serotype replacement is uncertain. The aim of this study was to analyse the effect of the 13-valent pneumococcal conjugate vaccine on invasive pneumococcal disease in England and Wales 4 years after its introduction. Methods: We used a national dataset of electronically reported and serotyped invasive pneumococcal disease cases in England and Wales to estimate incidence rate ratios (IRRs) for vaccine and non-vaccine type invasive pneumococcal disease between July, 2013, and June, 2014, versus the pre-PCV13 and pre-PCV7 baseline. Incidence rates were corrected for missing serotype data and changes in surveillance sensitivity over time. An over-dispersed Poisson model was used to estimate IRRs and confidence intervals. Findings: Incidence of invasive pneumococcal disease in the epidemiological year 2013/14 decreased by 32% compared with the pre-PCV13 baseline (incidence 10??14 per 100 000 in 2008-10 vs 6??85 per 100 000 in 2013/14; IRR 0??68, 95% CI 0??64-0??72). This was due to an 86% reduction of the serotypes covered by PCV7 (1??46 vs 0??20 per 100 000; IRR 0??14, 0??10-0??18) and a 69% reduction of the additional six serotypes covered by PCV13 (4??48 vs 1??40 per 100 000; IRR 0??31, 0??28-0??35). When compared with the pre-PCV7 baseline, there was a 56% overall reduction in invasive pneumococcal disease (15??63 vs 6??85 per 100 000; IRR 0??44, 95% CI 0??43-0??47). Compared with the pre-PCV13 baseline, the incidence of non-PCV13 serotypes increased (incidence all ages 4??19 vs 5??25 per 100 000; IRR 1??25, 95% CI 1??17-1??35) due to increases across a broad range of serotypes in children younger than 5 years and in people aged 45 years or more. In children younger than 5 years, incidence of non-PCV13 serotypes in 2013/14 was higher than in 2012/13 (age &lt;2 years: 12??03 vs 10??83 per 100 000; age 2-4 years: 4??08 vs 3??63 per 100 000). Interpretation: 8 years of PCV use in England and Wales has reduced the overall incidence of invasive pneumococcal disease by more than 50%. The herd protection induced by PCV7 is continuing, and similar indirect protection is occurring from the additional serotypes covered by PCV13. There is, however, evidence of increasing invasive pneumococcal disease due to non-PCV13 serotypes, particularly in children y\u2026", "author" : [ { "dropping-particle" : "", "family" : "Waight", "given" : "Pauline A.", "non-dropping-particle" : "", "parse-names" : false, "suffix" : "" }, { "dropping-particle" : "", "family" : "Andrews", "given" : "Nicholas J.", "non-dropping-particle" : "", "parse-names" : false, "suffix" : "" }, { "dropping-particle" : "", "family" : "Ladhani", "given" : "Shamez N.", "non-dropping-particle" : "", "parse-names" : false, "suffix" : "" }, { "dropping-particle" : "", "family" : "Sheppard", "given" : "Carmen L.", "non-dropping-particle" : "", "parse-names" : false, "suffix" : "" }, { "dropping-particle" : "", "family" : "Slack", "given" : "Mary P E", "non-dropping-particle" : "", "parse-names" : false, "suffix" : "" }, { "dropping-particle" : "", "family" : "Miller", "given" : "Elizabeth", "non-dropping-particle" : "", "parse-names" : false, "suffix" : "" } ], "container-title" : "The Lancet Infectious Diseases", "id" : "ITEM-1", "issue" : "5", "issued" : { "date-parts" : [ [ "2015" ] ] }, "page" : "535-543", "title" : "Effect of the 13-valent pneumococcal conjugate vaccine on invasive pneumococcal disease in England and Wales 4 years after its introduction: An observational cohort study", "type" : "article-journal", "volume" : "15" }, "uris" : [ "http://www.mendeley.com/documents/?uuid=d57166b5-3cc5-43f7-aba6-49b0c32066f0" ] } ], "mendeley" : { "formattedCitation" : "&lt;sup&gt;14&lt;/sup&gt;", "plainTextFormattedCitation" : "14", "previouslyFormattedCitation" : "&lt;sup&gt;14&lt;/sup&gt;" }, "properties" : { "noteIndex" : 0 }, "schema" : "https://github.com/citation-style-language/schema/raw/master/csl-citation.json" }</w:instrText>
      </w:r>
      <w:r w:rsidR="00F656FD" w:rsidRPr="00A00017">
        <w:fldChar w:fldCharType="separate"/>
      </w:r>
      <w:r w:rsidR="00C2513F" w:rsidRPr="00C2513F">
        <w:rPr>
          <w:noProof/>
          <w:vertAlign w:val="superscript"/>
        </w:rPr>
        <w:t>14</w:t>
      </w:r>
      <w:r w:rsidR="00F656FD" w:rsidRPr="00A00017">
        <w:fldChar w:fldCharType="end"/>
      </w:r>
      <w:r w:rsidR="005076B9">
        <w:t xml:space="preserve"> </w:t>
      </w:r>
      <w:r w:rsidR="00590781" w:rsidRPr="00E3647C">
        <w:t>Other</w:t>
      </w:r>
      <w:r w:rsidR="002F0AC3" w:rsidRPr="00E3647C">
        <w:t>s</w:t>
      </w:r>
      <w:r w:rsidR="00590781" w:rsidRPr="00E3647C">
        <w:t xml:space="preserve"> have also reported a disproportionate </w:t>
      </w:r>
      <w:r w:rsidR="00EA2129">
        <w:t xml:space="preserve">proportion </w:t>
      </w:r>
      <w:r w:rsidR="005076B9">
        <w:t xml:space="preserve">of IPD </w:t>
      </w:r>
      <w:r w:rsidR="00EA2129">
        <w:t xml:space="preserve">cases </w:t>
      </w:r>
      <w:r w:rsidR="005076B9">
        <w:t xml:space="preserve">due to </w:t>
      </w:r>
      <w:r w:rsidR="00590781" w:rsidRPr="00E3647C">
        <w:t>non</w:t>
      </w:r>
      <w:r w:rsidR="009D3DFC" w:rsidRPr="00E3647C">
        <w:t>-</w:t>
      </w:r>
      <w:r w:rsidR="002F0AC3" w:rsidRPr="00E3647C">
        <w:t xml:space="preserve">PCV </w:t>
      </w:r>
      <w:r w:rsidR="00590781" w:rsidRPr="00E3647C">
        <w:t xml:space="preserve">serotypes in </w:t>
      </w:r>
      <w:r w:rsidR="002F0AC3" w:rsidRPr="00E3647C">
        <w:t xml:space="preserve">children with </w:t>
      </w:r>
      <w:r w:rsidR="00590781" w:rsidRPr="00E3647C">
        <w:t xml:space="preserve">SCD compared to children </w:t>
      </w:r>
      <w:r w:rsidR="00A00017">
        <w:t xml:space="preserve">without SCD </w:t>
      </w:r>
      <w:r w:rsidR="00E65C1C">
        <w:t xml:space="preserve">after PCV7 </w:t>
      </w:r>
      <w:r w:rsidR="00590781" w:rsidRPr="00E3647C">
        <w:t>(77% vs</w:t>
      </w:r>
      <w:r w:rsidR="007A421A" w:rsidRPr="00E3647C">
        <w:t>.</w:t>
      </w:r>
      <w:r w:rsidR="00590781" w:rsidRPr="00E3647C">
        <w:t xml:space="preserve"> 44%</w:t>
      </w:r>
      <w:r w:rsidR="00436DA4" w:rsidRPr="00E3647C">
        <w:t xml:space="preserve"> in one study</w:t>
      </w:r>
      <w:r w:rsidR="00590781" w:rsidRPr="00E3647C">
        <w:t>)</w:t>
      </w:r>
      <w:r w:rsidR="00E65C1C">
        <w:t>,</w:t>
      </w:r>
      <w:r w:rsidR="00F656FD" w:rsidRPr="00A00017">
        <w:fldChar w:fldCharType="begin" w:fldLock="1"/>
      </w:r>
      <w:r w:rsidR="00C2513F">
        <w:instrText>ADDIN CSL_CITATION { "citationItems" : [ { "id" : "ITEM-1", "itemData" : { "DOI" : "10.1097/INF.0b013e3182a11808", "ISBN" : "1532-0987 (Electronic) 0891-3668 (Linking)", "ISSN" : "1532-0987", "PMID" : "23811745", "abstract" : "BACKGROUND: Children with sickle cell disease (SCD) are at increased risk of illness and death from invasive pneumococcal disease (IPD). The introduction in 2000 of the 7-valent pneumococcal conjugate vaccine and penicillin prophylaxis for children with SCD has greatly reduced the incidence of IPD in this population. However, a recent report suggested an increase in cases of IPD in children with SCD. METHODS: Using data from Active Bacterial Core surveillance, we analyzed trends in hospitalizations, mortality and serotype among children with SCD compared with other children. We used neonatal screening data to estimate SCD population denominators for each Active Bacterial Core surveillance site. RESULTS: From 1998 to 2009, 3069 cases of IPD occurred among African-American children less than 18 years of age in the Active Bacterial Core surveillance catchment area. Of these, 127 (4.1%) had SCD identified by medical chart review and 185 (6.0%) had 1 or more IPD risk factors, excluding SCD. Rates of IPD among children with SCD declined by 53% (1118 vs. 530 per 100,000) whereas the overall rates among African-American children declined by 74% (54 to 14 per 100,000). For all time periods, children with SCD and IPD were more likely to be hospitalized (84%-92% vs. 31%-56%) and more likely to die (6%-17% vs. 1%-2%) than children with no risk factors. CONCLUSIONS: Although the rate of IPD in children with SCD has dropped dramatically since 7-valent pneumococcal conjugate vaccine introduction, the rate of IPD in children with SCD remains higher than that of the general population of African-American children, pointing to the need for more effective prevention efforts to prevent IPD in children with SCD.", "author" : [ { "dropping-particle" : "", "family" : "Payne", "given" : "A B", "non-dropping-particle" : "", "parse-names" : false, "suffix" : "" }, { "dropping-particle" : "", "family" : "Link-Gelles", "given" : "R", "non-dropping-particle" : "", "parse-names" : false, "suffix" : "" }, { "dropping-particle" : "", "family" : "Azonobi", "given" : "I", "non-dropping-particle" : "", "parse-names" : false, "suffix" : "" }, { "dropping-particle" : "", "family" : "Hooper", "given" : "W C", "non-dropping-particle" : "", "parse-names" : false, "suffix" : "" }, { "dropping-particle" : "", "family" : "Beall", "given" : "B W", "non-dropping-particle" : "", "parse-names" : false, "suffix" : "" }, { "dropping-particle" : "", "family" : "Jorgensen", "given" : "J H", "non-dropping-particle" : "", "parse-names" : false, "suffix" : "" }, { "dropping-particle" : "", "family" : "Juni", "given" : "B", "non-dropping-particle" : "", "parse-names" : false, "suffix" : "" }, { "dropping-particle" : "", "family" : "Moore", "given" : "M", "non-dropping-particle" : "", "parse-names" : false, "suffix" : "" }, { "dropping-particle" : "", "family" : "Surveillance", "given" : "Team Active Bacterial Core", "non-dropping-particle" : "", "parse-names" : false, "suffix" : "" } ], "container-title" : "Pediatr Infect Dis J", "id" : "ITEM-1", "issue" : "12", "issued" : { "date-parts" : [ [ "2013" ] ] }, "page" : "1308-1312", "title" : "Invasive pneumococcal disease among children with and without sickle cell disease in the United States, 1998 to 2009", "type" : "article-journal", "volume" : "32" }, "uris" : [ "http://www.mendeley.com/documents/?uuid=85c518aa-9001-4b6d-882b-bd5dc7764e2b" ] } ], "mendeley" : { "formattedCitation" : "&lt;sup&gt;11&lt;/sup&gt;", "plainTextFormattedCitation" : "11", "previouslyFormattedCitation" : "&lt;sup&gt;11&lt;/sup&gt;" }, "properties" : { "noteIndex" : 0 }, "schema" : "https://github.com/citation-style-language/schema/raw/master/csl-citation.json" }</w:instrText>
      </w:r>
      <w:r w:rsidR="00F656FD" w:rsidRPr="00A00017">
        <w:fldChar w:fldCharType="separate"/>
      </w:r>
      <w:r w:rsidR="00C2513F" w:rsidRPr="00C2513F">
        <w:rPr>
          <w:noProof/>
          <w:vertAlign w:val="superscript"/>
        </w:rPr>
        <w:t>11</w:t>
      </w:r>
      <w:r w:rsidR="00F656FD" w:rsidRPr="00A00017">
        <w:fldChar w:fldCharType="end"/>
      </w:r>
      <w:r w:rsidR="005076B9">
        <w:t xml:space="preserve"> </w:t>
      </w:r>
      <w:r w:rsidR="00E65C1C">
        <w:t>and –more recently – after PCV13.</w:t>
      </w:r>
      <w:r w:rsidR="00C2513F">
        <w:fldChar w:fldCharType="begin" w:fldLock="1"/>
      </w:r>
      <w:r w:rsidR="00C2513F">
        <w:instrText>ADDIN CSL_CITATION { "citationItems" : [ { "id" : "ITEM-1", "itemData" : { "author" : [ { "dropping-particle" : "", "family" : "Martin OO, Moquist KL, Hennessy JM", "given" : "Nelson SC.", "non-dropping-particle" : "", "parse-names" : false, "suffix" : "" } ], "container-title" : "Pediatr Blood Cancer", "id" : "ITEM-1", "issued" : { "date-parts" : [ [ "2017" ] ] }, "title" : "invasive pneumococcal disease in children with sickle cell disease in the pneumococcal conjugate vaccine era", "type" : "article-journal" }, "uris" : [ "http://www.mendeley.com/documents/?uuid=e51783af-9413-4912-845d-c0bc1bd387d1" ] } ], "mendeley" : { "formattedCitation" : "&lt;sup&gt;22&lt;/sup&gt;", "plainTextFormattedCitation" : "22", "previouslyFormattedCitation" : "&lt;sup&gt;22&lt;/sup&gt;" }, "properties" : { "noteIndex" : 0 }, "schema" : "https://github.com/citation-style-language/schema/raw/master/csl-citation.json" }</w:instrText>
      </w:r>
      <w:r w:rsidR="00C2513F">
        <w:fldChar w:fldCharType="separate"/>
      </w:r>
      <w:r w:rsidR="00C2513F" w:rsidRPr="00C2513F">
        <w:rPr>
          <w:noProof/>
          <w:vertAlign w:val="superscript"/>
        </w:rPr>
        <w:t>22</w:t>
      </w:r>
      <w:r w:rsidR="00C2513F">
        <w:fldChar w:fldCharType="end"/>
      </w:r>
      <w:r w:rsidR="00E65C1C">
        <w:t xml:space="preserve"> </w:t>
      </w:r>
      <w:r w:rsidR="00B22400" w:rsidRPr="00E3647C">
        <w:t>I</w:t>
      </w:r>
      <w:r w:rsidR="00C10D71" w:rsidRPr="00E3647C">
        <w:t>t is noteworthy that</w:t>
      </w:r>
      <w:r w:rsidR="00A00017">
        <w:t xml:space="preserve">, after </w:t>
      </w:r>
      <w:r w:rsidR="00A00017" w:rsidRPr="00E3647C">
        <w:t>PCV7 introduction</w:t>
      </w:r>
      <w:r w:rsidR="00A00017">
        <w:t>,</w:t>
      </w:r>
      <w:r w:rsidR="00E65C1C" w:rsidRPr="00E65C1C">
        <w:t xml:space="preserve"> </w:t>
      </w:r>
      <w:r w:rsidR="00E65C1C" w:rsidRPr="00A00017">
        <w:fldChar w:fldCharType="begin" w:fldLock="1"/>
      </w:r>
      <w:r w:rsidR="00E65C1C">
        <w:instrText>ADDIN CSL_CITATION { "citationItems" : [ { "id" : "ITEM-1", "itemData" : { "DOI" : "10.1086/516781", "ISBN" : "1537-6591; 1058-4838", "ISSN" : "1537-6591", "PMID" : "17479937", "abstract" : "BACKGROUND: We sought to determine the incidence of invasive pneumococcal disease (IPD) among individuals with sickle cell disease (SCD) before and after the introduction of the pneumococcal conjugate vaccine (PCV). METHODS: Individuals with SCD who were enrolled in Tennessee Medicaid from January 1995 through December 2004 were identified using SCD-specific International Classification of Diseases, Ninth Revision, Clinical Modification codes. Population-based surveillance data were used to identify individuals with IPD and were linked to patients with SCD in the Tennessee Medicaid database to determine incidence rates of IPD. Clinical data were collected on all subjects with IPD, and antibiotic susceptibility testing and serotyping were performed on all available pneumococcal isolates. RESULTS: We identified 2026 individuals with SCD, who constituted 13,687 person-years of follow-up. During the study period, 37 individuals with SCD developed IPD, and 21 of these patients were aged &lt;5 years. In a comparison of the pre-PCV period (1995-1999) with the post-PCV period (2001-2004), the rate of IPD decreased by 90.8% in children aged &lt;2 years (from 3630 to 335 cases per 100,000 person-years; P&lt;.001) and by 93.4% in children aged &lt;5 years (from 2044 to 134 cases per 100,000 person-years; P&lt;.001). Rates of IPD for patients with SCD who were aged &gt;or=5 years decreased from 161 cases per 100,000 person-years during the pre-PCV period to 99 cases per 100,000 person-years during the post-PCV period (P=.36). CONCLUSION: The rate of IPD among children with SCD who are aged &lt;5 years has decreased markedly since the introduction of routine administration of PCV to young children.", "author" : [ { "dropping-particle" : "", "family" : "Halasa", "given" : "Natasha B", "non-dropping-particle" : "", "parse-names" : false, "suffix" : "" }, { "dropping-particle" : "", "family" : "Shankar", "given" : "Sadhna M", "non-dropping-particle" : "", "parse-names" : false, "suffix" : "" }, { "dropping-particle" : "", "family" : "Talbot", "given" : "Thomas R", "non-dropping-particle" : "", "parse-names" : false, "suffix" : "" }, { "dropping-particle" : "", "family" : "Arbogast", "given" : "Patrick G", "non-dropping-particle" : "", "parse-names" : false, "suffix" : "" }, { "dropping-particle" : "", "family" : "Mitchel", "given" : "Ed F", "non-dropping-particle" : "", "parse-names" : false, "suffix" : "" }, { "dropping-particle" : "", "family" : "Wang", "given" : "Winfred C", "non-dropping-particle" : "", "parse-names" : false, "suffix" : "" }, { "dropping-particle" : "", "family" : "Schaffner", "given" : "William", "non-dropping-particle" : "", "parse-names" : false, "suffix" : "" }, { "dropping-particle" : "", "family" : "Craig", "given" : "Allen S", "non-dropping-particle" : "", "parse-names" : false, "suffix" : "" }, { "dropping-particle" : "", "family" : "Griffin", "given" : "Marie R", "non-dropping-particle" : "", "parse-names" : false, "suffix" : "" } ], "container-title" : "Clinical infectious diseases : an official publication of the Infectious Diseases Society of America", "id" : "ITEM-1", "issue" : "11", "issued" : { "date-parts" : [ [ "2007" ] ] }, "page" : "1428-1433", "title" : "Incidence of invasive pneumococcal disease among individuals with sickle cell disease before and after the introduction of the pneumococcal conjugate vaccine.", "type" : "article-journal", "volume" : "44" }, "uris" : [ "http://www.mendeley.com/documents/?uuid=f0322e5c-ea64-48cf-8d21-7219409667bf" ] } ], "mendeley" : { "formattedCitation" : "&lt;sup&gt;10&lt;/sup&gt;", "plainTextFormattedCitation" : "10", "previouslyFormattedCitation" : "&lt;sup&gt;10&lt;/sup&gt;" }, "properties" : { "noteIndex" : 0 }, "schema" : "https://github.com/citation-style-language/schema/raw/master/csl-citation.json" }</w:instrText>
      </w:r>
      <w:r w:rsidR="00E65C1C" w:rsidRPr="00A00017">
        <w:fldChar w:fldCharType="separate"/>
      </w:r>
      <w:r w:rsidR="00E65C1C" w:rsidRPr="00763971">
        <w:rPr>
          <w:noProof/>
          <w:vertAlign w:val="superscript"/>
        </w:rPr>
        <w:t>10</w:t>
      </w:r>
      <w:r w:rsidR="00E65C1C" w:rsidRPr="00A00017">
        <w:fldChar w:fldCharType="end"/>
      </w:r>
      <w:r w:rsidR="00BF6393">
        <w:t xml:space="preserve"> </w:t>
      </w:r>
      <w:r w:rsidR="00E65C1C">
        <w:t>and after PCV13 introduction,</w:t>
      </w:r>
      <w:r w:rsidR="00C2513F">
        <w:fldChar w:fldCharType="begin" w:fldLock="1"/>
      </w:r>
      <w:r w:rsidR="00EF3982">
        <w:instrText>ADDIN CSL_CITATION { "citationItems" : [ { "id" : "ITEM-1", "itemData" : { "DOI" : "10.1097/MPH.0000000000000858", "ISSN" : "1536-3678", "PMID" : "28538501", "abstract" : "BACKGROUND Patients with sickle cell disease (SCD) are at risk of fatal sepsis with encapsulated bacteria, such as Streptococcus pneumoniae, because of the inherent autosplenectomy that occurs in SCD. This risk is thwarted with oral penicillin prophylaxis during the first 5 years of life, and with stringent vaccination against S. pneumoniae alongside routine childhood immunization. But compared with the general African American pediatric population, the rate of invasive pneumococcal disease (IPD) in patients with SCD still remains high, resulting in hospitalization and fatality. METHODS Patients with SCD who developed IPD from 2004 up to 2013 were identified using microbiology records. Descriptive analysis of presence of risk factors for IPD, type of SCD, pneumococcal vaccination and prophylaxis status, clinical presentation, microbiological data, and the outcome of IPD was performed. RESULTS Eight patients with SCD developed IPD (7 bacteremia and 1 respiratory tract infection). Three of the 8 isolates underwent serotype analysis (15 C in 2 and 15A in 1), none covered with the current vaccination program. One patient had fatal outcome (15A). CONCLUSIONS Breakthrough cases of IPD may involve nonvaccine isolates, and seem to occur after 5 years of age when oral penicillin prophylaxis has been terminated.", "author" : [ { "dropping-particle" : "", "family" : "Navalkele", "given" : "Pournima", "non-dropping-particle" : "", "parse-names" : false, "suffix" : "" }, { "dropping-particle" : "", "family" : "\u00d6zg\u00f6nenel", "given" : "B\u00fclent", "non-dropping-particle" : "", "parse-names" : false, "suffix" : "" }, { "dropping-particle" : "", "family" : "McGrath", "given" : "Eric", "non-dropping-particle" : "", "parse-names" : false, "suffix" : "" }, { "dropping-particle" : "", "family" : "Lephart", "given" : "Paul", "non-dropping-particle" : "", "parse-names" : false, "suffix" : "" }, { "dropping-particle" : "", "family" : "Sarnaik", "given" : "Sharada", "non-dropping-particle" : "", "parse-names" : false, "suffix" : "" } ], "container-title" : "Journal of pediatric hematology/oncology", "id" : "ITEM-1", "issue" : "00", "issued" : { "date-parts" : [ [ "2017" ] ] }, "page" : "1", "title" : "Invasive Pneumococcal Disease in Patients With Sickle Cell Disease.", "type" : "article-journal", "volume" : "00" }, "uris" : [ "http://www.mendeley.com/documents/?uuid=6c0cb99d-6e9b-494a-afe3-dfb6532ed17a" ] } ], "mendeley" : { "formattedCitation" : "&lt;sup&gt;23&lt;/sup&gt;", "plainTextFormattedCitation" : "23", "previouslyFormattedCitation" : "&lt;sup&gt;23&lt;/sup&gt;" }, "properties" : { "noteIndex" : 0 }, "schema" : "https://github.com/citation-style-language/schema/raw/master/csl-citation.json" }</w:instrText>
      </w:r>
      <w:r w:rsidR="00C2513F">
        <w:fldChar w:fldCharType="separate"/>
      </w:r>
      <w:r w:rsidR="00C2513F" w:rsidRPr="00C2513F">
        <w:rPr>
          <w:noProof/>
          <w:vertAlign w:val="superscript"/>
        </w:rPr>
        <w:t>23</w:t>
      </w:r>
      <w:r w:rsidR="00C2513F">
        <w:fldChar w:fldCharType="end"/>
      </w:r>
      <w:r w:rsidR="00E65C1C">
        <w:t xml:space="preserve"> </w:t>
      </w:r>
      <w:r w:rsidR="00C10D71" w:rsidRPr="00E3647C">
        <w:t>sero</w:t>
      </w:r>
      <w:r w:rsidR="00A00017">
        <w:t>group</w:t>
      </w:r>
      <w:r w:rsidR="00C10D71" w:rsidRPr="00E3647C">
        <w:t xml:space="preserve"> 15 appears to be a particularly common cause of IPD among children with SCD</w:t>
      </w:r>
      <w:r w:rsidR="001D6F10" w:rsidRPr="00E3647C">
        <w:t>, accounting for 73% of IPD cases in our cohort</w:t>
      </w:r>
      <w:r w:rsidR="00EB2BF6" w:rsidRPr="00E3647C">
        <w:t>.</w:t>
      </w:r>
      <w:r w:rsidR="006B57B9" w:rsidRPr="00E3647C">
        <w:t xml:space="preserve"> Genomic analysis of invasive isolates and murine SCD studies have suggested that some pneumococcal strains may be particularly adapted to cause invasive disease in children with SCD</w:t>
      </w:r>
      <w:r w:rsidR="005D706B" w:rsidRPr="00E3647C">
        <w:t>.</w:t>
      </w:r>
      <w:r w:rsidR="00F656FD" w:rsidRPr="00A00017">
        <w:fldChar w:fldCharType="begin" w:fldLock="1"/>
      </w:r>
      <w:r w:rsidR="00EF3982">
        <w:instrText>ADDIN CSL_CITATION { "citationItems" : [ { "id" : "ITEM-1", "itemData" : { "DOI" : "10.1016/j.chom.2014.04.005", "ISBN" : "1934-6069 (Electronic) 1931-3128 (Linking)", "ISSN" : "19346069", "PMID" : "24832453", "abstract" : "Sickle cell disease (SCD) patients are at high risk of contracting pneumococcal infection. To address this risk, they receive pneumococcal vaccines, and antibiotic prophylaxis and treatment. To assess the impact of SCD and these interventions on pneumococcal genetic architecture, we examined the genomes of more than 300 pneumococcal isolates from SCD patients over 20 years. Modern SCD strains retained invasive capacity but shifted away from the serotypes used in vaccines. These strains had specific genetic changes related to antibiotic resistance, capsule biosynthesis, metabolism, and metal transport. A murine SCD model coupled with Tn-seq mutagenesis identified 60 noncapsular pneumococcal genes under differential selective pressure in SCD, which correlated with aspects of SCD pathophysiology. Further, virulence determinants in the SCD context were distinct from the general population, and protective capacity of potential antigens was lost over time in SCD. This highlights the importance of understanding bacterial pathogenesis in the context of high-risk individuals. ?? 2014 Elsevier Inc.", "author" : [ { "dropping-particle" : "", "family" : "Carter", "given" : "Robert", "non-dropping-particle" : "", "parse-names" : false, "suffix" : "" }, { "dropping-particle" : "", "family" : "Wolf", "given" : "Joshua", "non-dropping-particle" : "", "parse-names" : false, "suffix" : "" }, { "dropping-particle" : "", "family" : "Opijnen", "given" : "Tim", "non-dropping-particle" : "Van", "parse-names" : false, "suffix" : "" }, { "dropping-particle" : "", "family" : "Muller", "given" : "Martha", "non-dropping-particle" : "", "parse-names" : false, "suffix" : "" }, { "dropping-particle" : "", "family" : "Obert", "given" : "Caroline", "non-dropping-particle" : "", "parse-names" : false, "suffix" : "" }, { "dropping-particle" : "", "family" : "Burnham", "given" : "Corinna", "non-dropping-particle" : "", "parse-names" : false, "suffix" : "" }, { "dropping-particle" : "", "family" : "Mann", "given" : "Beth", "non-dropping-particle" : "", "parse-names" : false, "suffix" : "" }, { "dropping-particle" : "", "family" : "Li", "given" : "Yimei", "non-dropping-particle" : "", "parse-names" : false, "suffix" : "" }, { "dropping-particle" : "", "family" : "Hayden", "given" : "Randall T.", "non-dropping-particle" : "", "parse-names" : false, "suffix" : "" }, { "dropping-particle" : "", "family" : "Pestina", "given" : "Tamara", "non-dropping-particle" : "", "parse-names" : false, "suffix" : "" }, { "dropping-particle" : "", "family" : "Persons", "given" : "Derek", "non-dropping-particle" : "", "parse-names" : false, "suffix" : "" }, { "dropping-particle" : "", "family" : "Camilli", "given" : "Andrew", "non-dropping-particle" : "", "parse-names" : false, "suffix" : "" }, { "dropping-particle" : "", "family" : "Flynn", "given" : "Patricia M.", "non-dropping-particle" : "", "parse-names" : false, "suffix" : "" }, { "dropping-particle" : "", "family" : "Tuomanen", "given" : "Elaine I.", "non-dropping-particle" : "", "parse-names" : false, "suffix" : "" }, { "dropping-particle" : "", "family" : "Rosch", "given" : "Jason W.", "non-dropping-particle" : "", "parse-names" : false, "suffix" : "" } ], "container-title" : "Cell Host and Microbe", "id" : "ITEM-1", "issue" : "5", "issued" : { "date-parts" : [ [ "2014" ] ] }, "page" : "587-599", "title" : "Genomic analyses of pneumococci from children with sickle cell disease expose host-specific bacterial adaptations and deficits in current interventions", "type" : "article-journal", "volume" : "15" }, "uris" : [ "http://www.mendeley.com/documents/?uuid=dba2651f-096c-4eba-816d-be84661efa52" ] } ], "mendeley" : { "formattedCitation" : "&lt;sup&gt;24&lt;/sup&gt;", "plainTextFormattedCitation" : "24", "previouslyFormattedCitation" : "&lt;sup&gt;24&lt;/sup&gt;" }, "properties" : { "noteIndex" : 0 }, "schema" : "https://github.com/citation-style-language/schema/raw/master/csl-citation.json" }</w:instrText>
      </w:r>
      <w:r w:rsidR="00F656FD" w:rsidRPr="00A00017">
        <w:fldChar w:fldCharType="separate"/>
      </w:r>
      <w:r w:rsidR="00C2513F" w:rsidRPr="00C2513F">
        <w:rPr>
          <w:noProof/>
          <w:vertAlign w:val="superscript"/>
        </w:rPr>
        <w:t>24</w:t>
      </w:r>
      <w:r w:rsidR="00F656FD" w:rsidRPr="00A00017">
        <w:fldChar w:fldCharType="end"/>
      </w:r>
    </w:p>
    <w:p w14:paraId="53BFCB71" w14:textId="6E2A3DB9" w:rsidR="003D76AC" w:rsidRPr="00E3647C" w:rsidRDefault="000F0CDE" w:rsidP="00331463">
      <w:pPr>
        <w:spacing w:line="360" w:lineRule="auto"/>
        <w:rPr>
          <w:b/>
        </w:rPr>
      </w:pPr>
      <w:r w:rsidRPr="00E3647C">
        <w:t xml:space="preserve">Whilst it is reassuring that there were no cases of meningitis </w:t>
      </w:r>
      <w:r w:rsidR="00A46655" w:rsidRPr="00E3647C">
        <w:t>(the most severe presentation</w:t>
      </w:r>
      <w:r w:rsidR="006279EE" w:rsidRPr="00E3647C">
        <w:t xml:space="preserve"> of IPD</w:t>
      </w:r>
      <w:r w:rsidR="00A46655" w:rsidRPr="00E3647C">
        <w:t xml:space="preserve">) </w:t>
      </w:r>
      <w:r w:rsidRPr="00E3647C">
        <w:t xml:space="preserve">in </w:t>
      </w:r>
      <w:r w:rsidR="00590781" w:rsidRPr="00E3647C">
        <w:t xml:space="preserve">our </w:t>
      </w:r>
      <w:r w:rsidRPr="00E3647C">
        <w:t>SCD cohort, the CFR of 27%</w:t>
      </w:r>
      <w:r w:rsidR="00796E06">
        <w:t xml:space="preserve"> in </w:t>
      </w:r>
      <w:r w:rsidR="00E80B24">
        <w:t xml:space="preserve">children with </w:t>
      </w:r>
      <w:r w:rsidR="00796E06">
        <w:t>HbSS</w:t>
      </w:r>
      <w:r w:rsidRPr="00E3647C">
        <w:t xml:space="preserve"> is </w:t>
      </w:r>
      <w:r w:rsidR="00A46655" w:rsidRPr="00E3647C">
        <w:t>much</w:t>
      </w:r>
      <w:r w:rsidRPr="00E3647C">
        <w:t xml:space="preserve"> higher</w:t>
      </w:r>
      <w:r w:rsidR="004B5184" w:rsidRPr="00E3647C">
        <w:t xml:space="preserve"> than that reported for overall childhood IPD </w:t>
      </w:r>
      <w:r w:rsidR="00321405" w:rsidRPr="00E3647C">
        <w:t>(4.4%), IPD in children with co-morbidities (8.5%)</w:t>
      </w:r>
      <w:r w:rsidR="002B5846">
        <w:t xml:space="preserve"> </w:t>
      </w:r>
      <w:r w:rsidR="00321405" w:rsidRPr="00E3647C">
        <w:t>and even pneumococcal meningitis (11.0%) in England and Wales</w:t>
      </w:r>
      <w:r w:rsidR="00A00017">
        <w:t>.</w:t>
      </w:r>
      <w:r w:rsidR="00F656FD" w:rsidRPr="00A00017">
        <w:fldChar w:fldCharType="begin" w:fldLock="1"/>
      </w:r>
      <w:r w:rsidR="00EF3982">
        <w:instrText>ADDIN CSL_CITATION { "citationItems" : [ { "id" : "ITEM-1", "itemData" : { "DOI" : "10.3201/eid1901.120741", "ISSN" : "10806040", "PMID" : "23259937", "abstract" : "We assessed known risk factors, clinical presentation, and outcome of invasive pneumococcal disease (IPD) in children 3-59 months of age after introduction of the 7-valent pneumococcal conjugate vaccine (PCV7) in England and Wales. During September 2006-March 2010, a total of 1,342 IPD episodes occurred in 1,332 children; 14.9{%} (198/1,332) had comorbidities. Compared with IPD caused by PCV7 serotypes (44/248; 17.7{%}), comorbidities were less common for the extra 3 serotypes in the 10-valent vaccine (15/299; 5.0{%}) but similar to the 3 additional PCV13 serotypes (45/336; 13.4{%}) and increased for the 11 extra serotypes in 23-valent polysaccharide vaccine (PPV23) (39/186; 21.0{%}) and non-PPV23 serotypes (38/138; 27.5{%}). Fifty-two (3.9{%}) cases resulted from PCV7 failure; 9 (0.7{%}) case-patients had recurrent IPD. Case-fatality rate was 4.4{%} (58/1,332) but higher for meningitis (11.0{%}) and children with comorbidities (9.1{%}). Thus, comorbidities were more prevalent in children with IPD caused by non-PCV13 serotypes and were associated with increased case fatality.", "author" : [ { "dropping-particle" : "", "family" : "Ladhani", "given" : "Shamez N", "non-dropping-particle" : "", "parse-names" : false, "suffix" : "" }, { "dropping-particle" : "", "family" : "Slack", "given" : "Mary P E", "non-dropping-particle" : "", "parse-names" : false, "suffix" : "" }, { "dropping-particle" : "", "family" : "Andrews", "given" : "Nick", "non-dropping-particle" : "", "parse-names" : false, "suffix" : "" }, { "dropping-particle" : "", "family" : "Waight", "given" : "Pauline a.", "non-dropping-particle" : "", "parse-names" : false, "suffix" : "" }, { "dropping-particle" : "", "family" : "Borrow", "given" : "Ray", "non-dropping-particle" : "", "parse-names" : false, "suffix" : "" }, { "dropping-particle" : "", "family" : "Miller", "given" : "Elizabeth", "non-dropping-particle" : "", "parse-names" : false, "suffix" : "" } ], "container-title" : "Emerging Infectious Diseases", "id" : "ITEM-1", "issue" : "1", "issued" : { "date-parts" : [ [ "2013" ] ] }, "page" : "61-68", "title" : "Invasive pneumococcal disease after routine pneumococcal conjugate vaccination in children, England and Wales", "type" : "article-journal", "volume" : "19" }, "uris" : [ "http://www.mendeley.com/documents/?uuid=c2da4e35-20cc-49be-aebb-caacc0d51cc1" ] } ], "mendeley" : { "formattedCitation" : "&lt;sup&gt;25&lt;/sup&gt;", "plainTextFormattedCitation" : "25", "previouslyFormattedCitation" : "&lt;sup&gt;25&lt;/sup&gt;" }, "properties" : { "noteIndex" : 0 }, "schema" : "https://github.com/citation-style-language/schema/raw/master/csl-citation.json" }</w:instrText>
      </w:r>
      <w:r w:rsidR="00F656FD" w:rsidRPr="00A00017">
        <w:fldChar w:fldCharType="separate"/>
      </w:r>
      <w:r w:rsidR="00C2513F" w:rsidRPr="00C2513F">
        <w:rPr>
          <w:noProof/>
          <w:vertAlign w:val="superscript"/>
        </w:rPr>
        <w:t>25</w:t>
      </w:r>
      <w:r w:rsidR="00F656FD" w:rsidRPr="00A00017">
        <w:fldChar w:fldCharType="end"/>
      </w:r>
      <w:r w:rsidR="00EA2129">
        <w:t xml:space="preserve"> </w:t>
      </w:r>
      <w:r w:rsidR="003A28A0" w:rsidRPr="00E3647C">
        <w:t xml:space="preserve">Moreover, two of the three IPD-related deaths occurred in infants who had been born prematurely, </w:t>
      </w:r>
      <w:r w:rsidR="001800CB" w:rsidRPr="00E3647C">
        <w:t xml:space="preserve">who </w:t>
      </w:r>
      <w:r w:rsidR="00A00017">
        <w:t xml:space="preserve">are </w:t>
      </w:r>
      <w:r w:rsidR="005D706B" w:rsidRPr="00E3647C">
        <w:t xml:space="preserve">also </w:t>
      </w:r>
      <w:r w:rsidR="00A00017">
        <w:t xml:space="preserve">known to </w:t>
      </w:r>
      <w:r w:rsidR="00EA2129">
        <w:t>be at</w:t>
      </w:r>
      <w:r w:rsidR="005D706B" w:rsidRPr="00E3647C">
        <w:t xml:space="preserve"> increased risk of IPD</w:t>
      </w:r>
      <w:r w:rsidR="00C91BBD" w:rsidRPr="00E3647C">
        <w:t>.</w:t>
      </w:r>
      <w:r w:rsidR="00F656FD" w:rsidRPr="00A00017">
        <w:fldChar w:fldCharType="begin" w:fldLock="1"/>
      </w:r>
      <w:r w:rsidR="00EF3982">
        <w:instrText>ADDIN CSL_CITATION { "citationItems" : [ { "id" : "ITEM-1", "itemData" : { "author" : [ { "dropping-particle" : "", "family" : "Shinefield H1, Black S, Ray P, Fireman B, Schwalbe J", "given" : "Lewis E.", "non-dropping-particle" : "", "parse-names" : false, "suffix" : "" } ], "container-title" : "Pediatric Infectious Disease Journal", "id" : "ITEM-1", "issue" : "3", "issued" : { "date-parts" : [ [ "2002" ] ] }, "page" : "182-6", "title" : "Efficacy, immunogenicity and safety of heptavalent pneumococcal conjugate vaccine in low birth weight and preterm infants.", "type" : "article-journal", "volume" : "21" }, "uris" : [ "http://www.mendeley.com/documents/?uuid=beb8ac8b-9512-4aff-8d65-52c88394f012" ] } ], "mendeley" : { "formattedCitation" : "&lt;sup&gt;26&lt;/sup&gt;", "plainTextFormattedCitation" : "26", "previouslyFormattedCitation" : "&lt;sup&gt;26&lt;/sup&gt;" }, "properties" : { "noteIndex" : 0 }, "schema" : "https://github.com/citation-style-language/schema/raw/master/csl-citation.json" }</w:instrText>
      </w:r>
      <w:r w:rsidR="00F656FD" w:rsidRPr="00A00017">
        <w:fldChar w:fldCharType="separate"/>
      </w:r>
      <w:r w:rsidR="00C2513F" w:rsidRPr="00C2513F">
        <w:rPr>
          <w:noProof/>
          <w:vertAlign w:val="superscript"/>
        </w:rPr>
        <w:t>26</w:t>
      </w:r>
      <w:r w:rsidR="00F656FD" w:rsidRPr="00A00017">
        <w:fldChar w:fldCharType="end"/>
      </w:r>
    </w:p>
    <w:p w14:paraId="7FECA2C9" w14:textId="77777777" w:rsidR="00706590" w:rsidRPr="00E3647C" w:rsidRDefault="00706590" w:rsidP="00331463">
      <w:pPr>
        <w:spacing w:line="360" w:lineRule="auto"/>
        <w:rPr>
          <w:b/>
        </w:rPr>
      </w:pPr>
      <w:r w:rsidRPr="00E3647C">
        <w:rPr>
          <w:b/>
        </w:rPr>
        <w:t>Clinical Implications</w:t>
      </w:r>
    </w:p>
    <w:p w14:paraId="342DF913" w14:textId="590337E3" w:rsidR="00DD4095" w:rsidRPr="0070734B" w:rsidRDefault="00DD4095" w:rsidP="00431C84">
      <w:pPr>
        <w:spacing w:line="360" w:lineRule="auto"/>
      </w:pPr>
      <w:r w:rsidRPr="0070734B">
        <w:t>IPD due to PCV13 serotypes is now rare in UK children</w:t>
      </w:r>
      <w:r w:rsidR="00617AC4" w:rsidRPr="0070734B">
        <w:t xml:space="preserve">, even in high-risk groups such as </w:t>
      </w:r>
      <w:r w:rsidRPr="0070734B">
        <w:t>those with SCD.</w:t>
      </w:r>
      <w:r w:rsidR="00F656FD" w:rsidRPr="0070734B">
        <w:fldChar w:fldCharType="begin" w:fldLock="1"/>
      </w:r>
      <w:r w:rsidR="00C2513F">
        <w:instrText>ADDIN CSL_CITATION { "citationItems" : [ { "id" : "ITEM-1", "itemData" : { "DOI" : "10.1016/S1473-3099(15)70044-7", "ISBN" : "doi:10.1016/S1473-3099(15)70044-7", "ISSN" : "14744457", "PMID" : "25801458", "abstract" : "Background: The 13-valent pneumococcal conjugate vaccine (PCV13) protects against key serotypes that increased after routine immunisation with the seven-valent vaccine (PCV7), but its potential for herd protection and serotype replacement is uncertain. The aim of this study was to analyse the effect of the 13-valent pneumococcal conjugate vaccine on invasive pneumococcal disease in England and Wales 4 years after its introduction. Methods: We used a national dataset of electronically reported and serotyped invasive pneumococcal disease cases in England and Wales to estimate incidence rate ratios (IRRs) for vaccine and non-vaccine type invasive pneumococcal disease between July, 2013, and June, 2014, versus the pre-PCV13 and pre-PCV7 baseline. Incidence rates were corrected for missing serotype data and changes in surveillance sensitivity over time. An over-dispersed Poisson model was used to estimate IRRs and confidence intervals. Findings: Incidence of invasive pneumococcal disease in the epidemiological year 2013/14 decreased by 32% compared with the pre-PCV13 baseline (incidence 10??14 per 100 000 in 2008-10 vs 6??85 per 100 000 in 2013/14; IRR 0??68, 95% CI 0??64-0??72). This was due to an 86% reduction of the serotypes covered by PCV7 (1??46 vs 0??20 per 100 000; IRR 0??14, 0??10-0??18) and a 69% reduction of the additional six serotypes covered by PCV13 (4??48 vs 1??40 per 100 000; IRR 0??31, 0??28-0??35). When compared with the pre-PCV7 baseline, there was a 56% overall reduction in invasive pneumococcal disease (15??63 vs 6??85 per 100 000; IRR 0??44, 95% CI 0??43-0??47). Compared with the pre-PCV13 baseline, the incidence of non-PCV13 serotypes increased (incidence all ages 4??19 vs 5??25 per 100 000; IRR 1??25, 95% CI 1??17-1??35) due to increases across a broad range of serotypes in children younger than 5 years and in people aged 45 years or more. In children younger than 5 years, incidence of non-PCV13 serotypes in 2013/14 was higher than in 2012/13 (age &lt;2 years: 12??03 vs 10??83 per 100 000; age 2-4 years: 4??08 vs 3??63 per 100 000). Interpretation: 8 years of PCV use in England and Wales has reduced the overall incidence of invasive pneumococcal disease by more than 50%. The herd protection induced by PCV7 is continuing, and similar indirect protection is occurring from the additional serotypes covered by PCV13. There is, however, evidence of increasing invasive pneumococcal disease due to non-PCV13 serotypes, particularly in children y\u2026", "author" : [ { "dropping-particle" : "", "family" : "Waight", "given" : "Pauline A.", "non-dropping-particle" : "", "parse-names" : false, "suffix" : "" }, { "dropping-particle" : "", "family" : "Andrews", "given" : "Nicholas J.", "non-dropping-particle" : "", "parse-names" : false, "suffix" : "" }, { "dropping-particle" : "", "family" : "Ladhani", "given" : "Shamez N.", "non-dropping-particle" : "", "parse-names" : false, "suffix" : "" }, { "dropping-particle" : "", "family" : "Sheppard", "given" : "Carmen L.", "non-dropping-particle" : "", "parse-names" : false, "suffix" : "" }, { "dropping-particle" : "", "family" : "Slack", "given" : "Mary P E", "non-dropping-particle" : "", "parse-names" : false, "suffix" : "" }, { "dropping-particle" : "", "family" : "Miller", "given" : "Elizabeth", "non-dropping-particle" : "", "parse-names" : false, "suffix" : "" } ], "container-title" : "The Lancet Infectious Diseases", "id" : "ITEM-1", "issue" : "5", "issued" : { "date-parts" : [ [ "2015" ] ] }, "page" : "535-543", "title" : "Effect of the 13-valent pneumococcal conjugate vaccine on invasive pneumococcal disease in England and Wales 4 years after its introduction: An observational cohort study", "type" : "article-journal", "volume" : "15" }, "uris" : [ "http://www.mendeley.com/documents/?uuid=d57166b5-3cc5-43f7-aba6-49b0c32066f0" ] } ], "mendeley" : { "formattedCitation" : "&lt;sup&gt;14&lt;/sup&gt;", "plainTextFormattedCitation" : "14", "previouslyFormattedCitation" : "&lt;sup&gt;14&lt;/sup&gt;" }, "properties" : { "noteIndex" : 0 }, "schema" : "https://github.com/citation-style-language/schema/raw/master/csl-citation.json" }</w:instrText>
      </w:r>
      <w:r w:rsidR="00F656FD" w:rsidRPr="0070734B">
        <w:fldChar w:fldCharType="separate"/>
      </w:r>
      <w:r w:rsidR="00C2513F" w:rsidRPr="00C2513F">
        <w:rPr>
          <w:noProof/>
          <w:vertAlign w:val="superscript"/>
        </w:rPr>
        <w:t>14</w:t>
      </w:r>
      <w:r w:rsidR="00F656FD" w:rsidRPr="0070734B">
        <w:fldChar w:fldCharType="end"/>
      </w:r>
      <w:r w:rsidR="00216155">
        <w:t xml:space="preserve"> </w:t>
      </w:r>
      <w:r w:rsidR="00CB48B5">
        <w:t>Timely immuni</w:t>
      </w:r>
      <w:r w:rsidR="00E120A2">
        <w:t>s</w:t>
      </w:r>
      <w:r w:rsidRPr="0070734B">
        <w:t>ation according to th</w:t>
      </w:r>
      <w:r w:rsidR="00CB48B5">
        <w:t xml:space="preserve">e nationally recommended </w:t>
      </w:r>
      <w:r w:rsidRPr="0070734B">
        <w:t xml:space="preserve">schedule is vital to ensure that children with SCD are adequately protected against all vaccine-preventable diseases. In the UK, </w:t>
      </w:r>
      <w:r w:rsidR="00431C84" w:rsidRPr="0070734B">
        <w:t xml:space="preserve">children with asplenia or splenic dysfunction, including those </w:t>
      </w:r>
      <w:r w:rsidRPr="0070734B">
        <w:t>with SCD</w:t>
      </w:r>
      <w:r w:rsidR="00BC3319">
        <w:t xml:space="preserve"> </w:t>
      </w:r>
      <w:r w:rsidR="00930570" w:rsidRPr="0070734B">
        <w:t>are recommended to also</w:t>
      </w:r>
      <w:r w:rsidR="001A09AB" w:rsidRPr="0070734B">
        <w:t xml:space="preserve"> have PPV23 from two years of age and</w:t>
      </w:r>
      <w:r w:rsidR="00872A44">
        <w:t xml:space="preserve"> </w:t>
      </w:r>
      <w:r w:rsidR="001A09AB" w:rsidRPr="0070734B">
        <w:t>every five years</w:t>
      </w:r>
      <w:r w:rsidR="003237D6" w:rsidRPr="0070734B">
        <w:t xml:space="preserve"> thereafte</w:t>
      </w:r>
      <w:r w:rsidR="00431C84" w:rsidRPr="0070734B">
        <w:t>r</w:t>
      </w:r>
      <w:r w:rsidR="00D758DA">
        <w:t>,</w:t>
      </w:r>
      <w:r w:rsidR="00025846">
        <w:t xml:space="preserve"> </w:t>
      </w:r>
      <w:r w:rsidR="00EA2129">
        <w:t xml:space="preserve">although </w:t>
      </w:r>
      <w:r w:rsidR="00273D79">
        <w:t xml:space="preserve">it’s </w:t>
      </w:r>
      <w:r w:rsidR="00431C84" w:rsidRPr="00E3647C">
        <w:t xml:space="preserve"> effectiveness  in at-risk individuals remains </w:t>
      </w:r>
      <w:r w:rsidR="009A3DBC" w:rsidRPr="00E3647C">
        <w:t>under</w:t>
      </w:r>
      <w:r w:rsidR="00431C84" w:rsidRPr="00E3647C">
        <w:t xml:space="preserve"> considerable debate</w:t>
      </w:r>
      <w:r w:rsidR="006D1BA2">
        <w:t>.</w:t>
      </w:r>
      <w:r w:rsidR="004911D8">
        <w:t xml:space="preserve"> </w:t>
      </w:r>
      <w:r w:rsidR="00F656FD" w:rsidRPr="0070734B">
        <w:fldChar w:fldCharType="begin" w:fldLock="1"/>
      </w:r>
      <w:r w:rsidR="00EF3982">
        <w:instrText>ADDIN CSL_CITATION { "citationItems" : [ { "id" : "ITEM-1", "itemData" : { "author" : [ { "dropping-particle" : "", "family" : "Borrow R1, Heath PT", "given" : "Siegrist CA.", "non-dropping-particle" : "", "parse-names" : false, "suffix" : "" } ], "container-title" : "Curr Opin Infect Dis", "id" : "ITEM-1", "issue" : "3", "issued" : { "date-parts" : [ [ "2012" ] ] }, "page" : "292-303", "title" : "Use of pneumococcal polysaccharide vaccine in children: what is the evidence?", "type" : "article-journal", "volume" : "25" }, "uris" : [ "http://www.mendeley.com/documents/?uuid=4b1f35d6-68b9-43e4-8131-83f41e4ff459" ] } ], "mendeley" : { "formattedCitation" : "&lt;sup&gt;27&lt;/sup&gt;", "plainTextFormattedCitation" : "27", "previouslyFormattedCitation" : "&lt;sup&gt;27&lt;/sup&gt;" }, "properties" : { "noteIndex" : 0 }, "schema" : "https://github.com/citation-style-language/schema/raw/master/csl-citation.json" }</w:instrText>
      </w:r>
      <w:r w:rsidR="00F656FD" w:rsidRPr="0070734B">
        <w:fldChar w:fldCharType="separate"/>
      </w:r>
      <w:r w:rsidR="00C2513F" w:rsidRPr="00C2513F">
        <w:rPr>
          <w:noProof/>
          <w:vertAlign w:val="superscript"/>
        </w:rPr>
        <w:t>27</w:t>
      </w:r>
      <w:r w:rsidR="00F656FD" w:rsidRPr="0070734B">
        <w:fldChar w:fldCharType="end"/>
      </w:r>
      <w:r w:rsidR="00662953" w:rsidRPr="0070734B">
        <w:rPr>
          <w:b/>
          <w:vertAlign w:val="superscript"/>
        </w:rPr>
        <w:t>,</w:t>
      </w:r>
      <w:r w:rsidR="00F656FD" w:rsidRPr="0070734B">
        <w:fldChar w:fldCharType="begin" w:fldLock="1"/>
      </w:r>
      <w:r w:rsidR="00EF3982">
        <w:instrText>ADDIN CSL_CITATION { "citationItems" : [ { "id" : "ITEM-1", "itemData" : { "author" : [ { "dropping-particle" : "", "family" : "Davies JM, Lewis MP, Wimperis J, Rafi I, Ladhani S", "given" : "Bolton-Maggs PH; British Committee for Standards in Haematology..", "non-dropping-particle" : "", "parse-names" : false, "suffix" : "" } ], "container-title" : "Br J Haematol", "id" : "ITEM-1", "issue" : "3", "issued" : { "date-parts" : [ [ "2011" ] ] }, "page" : "308-17", "title" : "Review of guidelines for the prevention and treatment of infection in patients with an absent or dysfunctional spleen: prepared on behalf of the British Committee for Standards in Haematology by a working party of the Haemato-Oncology task force.", "type" : "article-journal", "volume" : "155" }, "uris" : [ "http://www.mendeley.com/documents/?uuid=5d7c5a8b-6c7f-412b-b1d0-4a7970df3a2b" ] } ], "mendeley" : { "formattedCitation" : "&lt;sup&gt;28&lt;/sup&gt;", "plainTextFormattedCitation" : "28", "previouslyFormattedCitation" : "&lt;sup&gt;28&lt;/sup&gt;" }, "properties" : { "noteIndex" : 0 }, "schema" : "https://github.com/citation-style-language/schema/raw/master/csl-citation.json" }</w:instrText>
      </w:r>
      <w:r w:rsidR="00F656FD" w:rsidRPr="0070734B">
        <w:fldChar w:fldCharType="separate"/>
      </w:r>
      <w:r w:rsidR="00C2513F" w:rsidRPr="00C2513F">
        <w:rPr>
          <w:noProof/>
          <w:vertAlign w:val="superscript"/>
        </w:rPr>
        <w:t>28</w:t>
      </w:r>
      <w:r w:rsidR="00F656FD" w:rsidRPr="0070734B">
        <w:fldChar w:fldCharType="end"/>
      </w:r>
    </w:p>
    <w:p w14:paraId="62B911B6" w14:textId="797B55F5" w:rsidR="006C5E93" w:rsidRPr="0070734B" w:rsidRDefault="00431C84" w:rsidP="00331463">
      <w:pPr>
        <w:spacing w:line="360" w:lineRule="auto"/>
      </w:pPr>
      <w:r w:rsidRPr="0070734B">
        <w:t xml:space="preserve">More importantly, however, </w:t>
      </w:r>
      <w:r w:rsidR="002C63BF">
        <w:t>since PCV13</w:t>
      </w:r>
      <w:r w:rsidR="00C5393F">
        <w:t xml:space="preserve">-type </w:t>
      </w:r>
      <w:r w:rsidR="002C63BF">
        <w:t xml:space="preserve">IPD is now rare, </w:t>
      </w:r>
      <w:r w:rsidRPr="0070734B">
        <w:t xml:space="preserve">our results </w:t>
      </w:r>
      <w:r w:rsidR="002C63BF">
        <w:t xml:space="preserve">therefore, </w:t>
      </w:r>
      <w:r w:rsidRPr="0070734B">
        <w:t xml:space="preserve">highlight the importance of </w:t>
      </w:r>
      <w:r w:rsidR="00EA2129">
        <w:t xml:space="preserve">education and </w:t>
      </w:r>
      <w:r w:rsidR="005C4705">
        <w:t xml:space="preserve">advising on the importance of </w:t>
      </w:r>
      <w:r w:rsidR="00720546" w:rsidRPr="0070734B">
        <w:t xml:space="preserve">strict adherence to penicillin prophylaxis, which will not only </w:t>
      </w:r>
      <w:r w:rsidR="00EA2129">
        <w:t xml:space="preserve">help protect </w:t>
      </w:r>
      <w:r w:rsidR="00720546" w:rsidRPr="0070734B">
        <w:t xml:space="preserve">against all pneumococcal </w:t>
      </w:r>
      <w:r w:rsidR="0070734B" w:rsidRPr="0070734B">
        <w:t xml:space="preserve">infections </w:t>
      </w:r>
      <w:r w:rsidR="00720546" w:rsidRPr="0070734B">
        <w:t>but also against other encapsulated bacteria</w:t>
      </w:r>
      <w:r w:rsidR="00662953" w:rsidRPr="0070734B">
        <w:t>.</w:t>
      </w:r>
      <w:r w:rsidR="00F656FD" w:rsidRPr="0070734B">
        <w:fldChar w:fldCharType="begin" w:fldLock="1"/>
      </w:r>
      <w:r w:rsidR="00EF3982">
        <w:instrText>ADDIN CSL_CITATION { "citationItems" : [ { "id" : "ITEM-1", "itemData" : { "author" : [ { "dropping-particle" : "", "family" : "Berkovitch M, Papadouris D, Shaw D, Onuaha N, Dias C", "given" : "Olivieri NF", "non-dropping-particle" : "", "parse-names" : false, "suffix" : "" } ], "container-title" : "Br J Clin Pharmacol.", "id" : "ITEM-1", "issue" : "6", "issued" : { "date-parts" : [ [ "1998" ] ] }, "page" : "605-7", "title" : "Trying to improve compliance with prophylactic penicillin therapy in children with sickle cell disease.", "type" : "article-journal", "volume" : "45" }, "uris" : [ "http://www.mendeley.com/documents/?uuid=63781951-9843-4386-a25c-84550916d11a" ] } ], "mendeley" : { "formattedCitation" : "&lt;sup&gt;29&lt;/sup&gt;", "plainTextFormattedCitation" : "29", "previouslyFormattedCitation" : "&lt;sup&gt;29&lt;/sup&gt;" }, "properties" : { "noteIndex" : 0 }, "schema" : "https://github.com/citation-style-language/schema/raw/master/csl-citation.json" }</w:instrText>
      </w:r>
      <w:r w:rsidR="00F656FD" w:rsidRPr="0070734B">
        <w:fldChar w:fldCharType="separate"/>
      </w:r>
      <w:r w:rsidR="00C2513F" w:rsidRPr="00C2513F">
        <w:rPr>
          <w:noProof/>
          <w:vertAlign w:val="superscript"/>
        </w:rPr>
        <w:t>29</w:t>
      </w:r>
      <w:r w:rsidR="00F656FD" w:rsidRPr="0070734B">
        <w:fldChar w:fldCharType="end"/>
      </w:r>
      <w:r w:rsidR="00EA2129">
        <w:t xml:space="preserve"> </w:t>
      </w:r>
      <w:r w:rsidR="006C5E93" w:rsidRPr="0070734B">
        <w:t>The lack of penicillin resistance among pneumococcal isolates causing IPD</w:t>
      </w:r>
      <w:r w:rsidR="00872A44">
        <w:t xml:space="preserve"> </w:t>
      </w:r>
      <w:r w:rsidR="0043303D" w:rsidRPr="0070734B">
        <w:t xml:space="preserve">in </w:t>
      </w:r>
      <w:r w:rsidR="00D634F7" w:rsidRPr="0070734B">
        <w:t xml:space="preserve">our cohort of </w:t>
      </w:r>
      <w:r w:rsidR="0043303D" w:rsidRPr="0070734B">
        <w:t>children with SCD may suggest that</w:t>
      </w:r>
      <w:r w:rsidR="00104245" w:rsidRPr="0070734B">
        <w:t xml:space="preserve"> the</w:t>
      </w:r>
      <w:r w:rsidR="0043303D" w:rsidRPr="0070734B">
        <w:t xml:space="preserve">se </w:t>
      </w:r>
      <w:r w:rsidR="00104245" w:rsidRPr="0070734B">
        <w:t xml:space="preserve">children </w:t>
      </w:r>
      <w:r w:rsidR="0043303D" w:rsidRPr="0070734B">
        <w:t xml:space="preserve">were not </w:t>
      </w:r>
      <w:r w:rsidR="005C4705">
        <w:t>adherent</w:t>
      </w:r>
      <w:r w:rsidR="009A11FD">
        <w:t xml:space="preserve"> </w:t>
      </w:r>
      <w:r w:rsidR="003265F4">
        <w:t>to</w:t>
      </w:r>
      <w:r w:rsidR="009A11FD">
        <w:t xml:space="preserve"> </w:t>
      </w:r>
      <w:r w:rsidR="00104245" w:rsidRPr="0070734B">
        <w:t xml:space="preserve">penicillin </w:t>
      </w:r>
      <w:r w:rsidR="00930570" w:rsidRPr="0070734B">
        <w:t>prophylaxis at the time of infection</w:t>
      </w:r>
      <w:r w:rsidR="00104245" w:rsidRPr="0070734B">
        <w:t xml:space="preserve">. </w:t>
      </w:r>
      <w:r w:rsidR="00EA2129">
        <w:rPr>
          <w:rFonts w:cs="Arial"/>
        </w:rPr>
        <w:t xml:space="preserve">Nationally, surveillance of children with SCD found that </w:t>
      </w:r>
      <w:r w:rsidR="00EB35A4">
        <w:rPr>
          <w:rFonts w:cs="Arial"/>
        </w:rPr>
        <w:t xml:space="preserve">97% of children with SCD were prescribed penicillin prophylaxis by 6 months, with only </w:t>
      </w:r>
      <w:r w:rsidR="00EB35A4" w:rsidRPr="00583F2E">
        <w:rPr>
          <w:rFonts w:cs="Arial"/>
        </w:rPr>
        <w:t xml:space="preserve">7 refusals </w:t>
      </w:r>
      <w:r w:rsidR="00EA2129">
        <w:rPr>
          <w:rFonts w:cs="Arial"/>
        </w:rPr>
        <w:t xml:space="preserve">during the </w:t>
      </w:r>
      <w:r w:rsidR="00DD0C9E">
        <w:rPr>
          <w:rFonts w:cs="Arial"/>
        </w:rPr>
        <w:t>follow</w:t>
      </w:r>
      <w:r w:rsidR="00EA2129">
        <w:rPr>
          <w:rFonts w:cs="Arial"/>
        </w:rPr>
        <w:t>-</w:t>
      </w:r>
      <w:r w:rsidR="00DD0C9E">
        <w:rPr>
          <w:rFonts w:cs="Arial"/>
        </w:rPr>
        <w:t xml:space="preserve">up </w:t>
      </w:r>
      <w:r w:rsidR="00EA2129">
        <w:rPr>
          <w:rFonts w:cs="Arial"/>
        </w:rPr>
        <w:t xml:space="preserve">period </w:t>
      </w:r>
      <w:r w:rsidR="00DD0C9E">
        <w:rPr>
          <w:rFonts w:cs="Arial"/>
        </w:rPr>
        <w:t>of this study</w:t>
      </w:r>
      <w:r w:rsidR="00E43DEB">
        <w:rPr>
          <w:rFonts w:cs="Arial"/>
        </w:rPr>
        <w:t>.</w:t>
      </w:r>
      <w:r w:rsidR="00DD0C9E">
        <w:rPr>
          <w:rFonts w:cs="Arial"/>
        </w:rPr>
        <w:t xml:space="preserve"> </w:t>
      </w:r>
      <w:r w:rsidR="00E43DEB">
        <w:t>A</w:t>
      </w:r>
      <w:r w:rsidR="00CE7E88" w:rsidRPr="0070734B">
        <w:t xml:space="preserve"> recent systematic review found that</w:t>
      </w:r>
      <w:r w:rsidR="0043303D" w:rsidRPr="0070734B">
        <w:rPr>
          <w:lang w:val="en-US"/>
        </w:rPr>
        <w:t xml:space="preserve"> compliance ra</w:t>
      </w:r>
      <w:r w:rsidR="00CE7E88" w:rsidRPr="0070734B">
        <w:rPr>
          <w:lang w:val="en-US"/>
        </w:rPr>
        <w:t xml:space="preserve">tes for </w:t>
      </w:r>
      <w:r w:rsidR="0030656E" w:rsidRPr="0070734B">
        <w:rPr>
          <w:lang w:val="en-US"/>
        </w:rPr>
        <w:t>long-term medications</w:t>
      </w:r>
      <w:r w:rsidR="00CE7E88" w:rsidRPr="0070734B">
        <w:rPr>
          <w:lang w:val="en-US"/>
        </w:rPr>
        <w:t xml:space="preserve"> in children with SCD ranged from 16% to </w:t>
      </w:r>
      <w:r w:rsidR="0030656E" w:rsidRPr="0070734B">
        <w:rPr>
          <w:lang w:val="en-US"/>
        </w:rPr>
        <w:t>8</w:t>
      </w:r>
      <w:r w:rsidR="0043303D" w:rsidRPr="0070734B">
        <w:rPr>
          <w:lang w:val="en-US"/>
        </w:rPr>
        <w:t>9%</w:t>
      </w:r>
      <w:r w:rsidR="00662953" w:rsidRPr="0070734B">
        <w:rPr>
          <w:lang w:val="en-US"/>
        </w:rPr>
        <w:t>.</w:t>
      </w:r>
      <w:r w:rsidR="00F656FD" w:rsidRPr="0070734B">
        <w:fldChar w:fldCharType="begin" w:fldLock="1"/>
      </w:r>
      <w:r w:rsidR="00EF3982">
        <w:instrText>ADDIN CSL_CITATION { "citationItems" : [ { "id" : "ITEM-1", "itemData" : { "DOI" : "10.2147/PPA.S103874", "PMID" : "27354768", "abstract" : "BACKGROUND: Antibiotic prophylaxis is a mainstay in sickle cell disease management. However, adherence is estimated at only 66%. This study aimed to develop and validate a Sickle Cell Antibiotic Adherence Level Evaluation (SCAALE) to promote systematic and detailed adherence evaluation.\n\nMETHODS: A 28-item questionnaire was created, covering seven adherence areas. General Adherence Ratings from the parent and one health care provider and medication possession ratios were obtained as validation measures.\n\nRESULTS: Internal consistency was very good to excellent for the total SCAALE (\u03b1=0.89) and four of the seven subscales. Correlations between SCAALE scores and validation measures were strong for the total SCAALE and five of the seven subscales.\n\nCONCLUSION: The SCAALE provides a detailed, quantitative, multidimensional, and global measurement of adherence and can promote clinical care and research.", "author" : [ { "dropping-particle" : "", "family" : "Duncan", "given" : "Natalie A", "non-dropping-particle" : "", "parse-names" : false, "suffix" : "" }, { "dropping-particle" : "", "family" : "Kronenberger", "given" : "William G", "non-dropping-particle" : "", "parse-names" : false, "suffix" : "" }, { "dropping-particle" : "", "family" : "Hampton", "given" : "Kisha C", "non-dropping-particle" : "", "parse-names" : false, "suffix" : "" }, { "dropping-particle" : "", "family" : "Bloom", "given" : "Ellen M", "non-dropping-particle" : "", "parse-names" : false, "suffix" : "" }, { "dropping-particle" : "", "family" : "Rampersad", "given" : "Angeli G", "non-dropping-particle" : "", "parse-names" : false, "suffix" : "" }, { "dropping-particle" : "", "family" : "Roberson", "given" : "Christopher P", "non-dropping-particle" : "", "parse-names" : false, "suffix" : "" }, { "dropping-particle" : "", "family" : "Shapiro", "given" : "Amy D", "non-dropping-particle" : "", "parse-names" : false, "suffix" : "" } ], "container-title" : "Patient preference and adherence", "id" : "ITEM-1", "issued" : { "date-parts" : [ [ "2016", "1", "8" ] ] }, "language" : "English", "page" : "983-92", "publisher" : "Dove Press", "title" : "A validated measure of adherence to antibiotic prophylaxis in children with sickle cell disease.", "type" : "article-journal", "volume" : "10" }, "uris" : [ "http://www.mendeley.com/documents/?uuid=3da35086-85c1-473d-a77a-ab039bf7b9bd" ] } ], "mendeley" : { "formattedCitation" : "&lt;sup&gt;30&lt;/sup&gt;", "plainTextFormattedCitation" : "30", "previouslyFormattedCitation" : "&lt;sup&gt;30&lt;/sup&gt;" }, "properties" : { "noteIndex" : 0 }, "schema" : "https://github.com/citation-style-language/schema/raw/master/csl-citation.json" }</w:instrText>
      </w:r>
      <w:r w:rsidR="00F656FD" w:rsidRPr="0070734B">
        <w:fldChar w:fldCharType="separate"/>
      </w:r>
      <w:r w:rsidR="00C2513F" w:rsidRPr="00C2513F">
        <w:rPr>
          <w:noProof/>
          <w:vertAlign w:val="superscript"/>
        </w:rPr>
        <w:t>30</w:t>
      </w:r>
      <w:r w:rsidR="00F656FD" w:rsidRPr="0070734B">
        <w:fldChar w:fldCharType="end"/>
      </w:r>
      <w:r w:rsidR="0072119F">
        <w:t xml:space="preserve"> </w:t>
      </w:r>
      <w:r w:rsidR="0030656E" w:rsidRPr="0070734B">
        <w:t xml:space="preserve">In addition to </w:t>
      </w:r>
      <w:r w:rsidR="0070734B">
        <w:t xml:space="preserve">the </w:t>
      </w:r>
      <w:r w:rsidR="0030656E" w:rsidRPr="0070734B">
        <w:t>difficulties in administering daily medication to young children</w:t>
      </w:r>
      <w:r w:rsidR="00B67F41" w:rsidRPr="0070734B">
        <w:t xml:space="preserve"> and </w:t>
      </w:r>
      <w:r w:rsidR="0070734B">
        <w:t xml:space="preserve">to </w:t>
      </w:r>
      <w:r w:rsidR="00B67F41" w:rsidRPr="0070734B">
        <w:t>lifestyle factors</w:t>
      </w:r>
      <w:r w:rsidR="00D634F7" w:rsidRPr="0070734B">
        <w:t>,</w:t>
      </w:r>
      <w:r w:rsidR="00B67F41" w:rsidRPr="0070734B">
        <w:t xml:space="preserve"> such as forgetting to give the medication or </w:t>
      </w:r>
      <w:r w:rsidR="00274831" w:rsidRPr="0070734B">
        <w:t>to obtain refill prescriptions on time</w:t>
      </w:r>
      <w:r w:rsidR="0030656E" w:rsidRPr="0070734B">
        <w:t>,</w:t>
      </w:r>
      <w:r w:rsidR="0070734B">
        <w:t xml:space="preserve"> p</w:t>
      </w:r>
      <w:r w:rsidR="0030656E" w:rsidRPr="0070734B">
        <w:t xml:space="preserve">oor compliance </w:t>
      </w:r>
      <w:r w:rsidR="00D634F7" w:rsidRPr="0070734B">
        <w:t xml:space="preserve">is </w:t>
      </w:r>
      <w:r w:rsidR="0030656E" w:rsidRPr="0070734B">
        <w:t>also</w:t>
      </w:r>
      <w:r w:rsidR="009A11FD">
        <w:t xml:space="preserve"> </w:t>
      </w:r>
      <w:r w:rsidR="0030656E" w:rsidRPr="0070734B">
        <w:t xml:space="preserve">related to </w:t>
      </w:r>
      <w:r w:rsidR="0072119F">
        <w:t xml:space="preserve">levels of </w:t>
      </w:r>
      <w:r w:rsidR="00274831" w:rsidRPr="0070734B">
        <w:t xml:space="preserve">parental knowledge, understanding and </w:t>
      </w:r>
      <w:r w:rsidR="0030656E" w:rsidRPr="0070734B">
        <w:t>beliefs about safety and effectiveness of medications</w:t>
      </w:r>
      <w:r w:rsidR="00274831" w:rsidRPr="0070734B">
        <w:t>.</w:t>
      </w:r>
      <w:r w:rsidR="00872A44">
        <w:t xml:space="preserve"> </w:t>
      </w:r>
      <w:r w:rsidR="006B3326" w:rsidRPr="0070734B">
        <w:t xml:space="preserve">Healthcare professionals </w:t>
      </w:r>
      <w:r w:rsidR="00930570" w:rsidRPr="0070734B">
        <w:t xml:space="preserve">need to continue to work closely with SCD families and </w:t>
      </w:r>
      <w:r w:rsidR="00AC2A8D" w:rsidRPr="0070734B">
        <w:t xml:space="preserve">local </w:t>
      </w:r>
      <w:r w:rsidR="00CB48B5">
        <w:t>communities to emphasi</w:t>
      </w:r>
      <w:r w:rsidR="0072119F">
        <w:t>s</w:t>
      </w:r>
      <w:r w:rsidR="00930570" w:rsidRPr="0070734B">
        <w:t xml:space="preserve">e </w:t>
      </w:r>
      <w:r w:rsidR="0072119F">
        <w:t xml:space="preserve">the </w:t>
      </w:r>
      <w:r w:rsidR="00930570" w:rsidRPr="0070734B">
        <w:t>importance of prophylaxis</w:t>
      </w:r>
      <w:r w:rsidR="0059373D" w:rsidRPr="0070734B">
        <w:t xml:space="preserve">, </w:t>
      </w:r>
      <w:r w:rsidR="002006BC" w:rsidRPr="0070734B">
        <w:t xml:space="preserve">explore barriers, </w:t>
      </w:r>
      <w:r w:rsidR="006B3326" w:rsidRPr="0070734B">
        <w:t xml:space="preserve">allay </w:t>
      </w:r>
      <w:r w:rsidR="00BE679C" w:rsidRPr="0070734B">
        <w:t xml:space="preserve">any misguided negative </w:t>
      </w:r>
      <w:r w:rsidR="007C0534" w:rsidRPr="0070734B">
        <w:t xml:space="preserve">personal or religious </w:t>
      </w:r>
      <w:r w:rsidR="00BE679C" w:rsidRPr="0070734B">
        <w:t>beliefs</w:t>
      </w:r>
      <w:r w:rsidR="009A11FD">
        <w:t xml:space="preserve"> </w:t>
      </w:r>
      <w:r w:rsidR="009A709F" w:rsidRPr="0070734B">
        <w:t>about SCD</w:t>
      </w:r>
      <w:r w:rsidR="0059373D" w:rsidRPr="0070734B">
        <w:t xml:space="preserve"> and</w:t>
      </w:r>
      <w:r w:rsidR="009A11FD">
        <w:t xml:space="preserve"> </w:t>
      </w:r>
      <w:r w:rsidR="009A709F" w:rsidRPr="0070734B">
        <w:t>infections</w:t>
      </w:r>
      <w:r w:rsidR="002006BC" w:rsidRPr="0070734B">
        <w:t xml:space="preserve">, and </w:t>
      </w:r>
      <w:r w:rsidR="005C4705">
        <w:t xml:space="preserve">also to </w:t>
      </w:r>
      <w:r w:rsidR="002006BC" w:rsidRPr="0070734B">
        <w:t>facilitate rapid access to healthcare</w:t>
      </w:r>
      <w:r w:rsidR="00C836F7">
        <w:t>,</w:t>
      </w:r>
      <w:r w:rsidR="005C4705">
        <w:t xml:space="preserve"> including penicillin prescriptions when requested</w:t>
      </w:r>
      <w:r w:rsidR="00662953" w:rsidRPr="0070734B">
        <w:t>.</w:t>
      </w:r>
      <w:r w:rsidR="00F656FD" w:rsidRPr="0070734B">
        <w:fldChar w:fldCharType="begin" w:fldLock="1"/>
      </w:r>
      <w:r w:rsidR="00EF3982">
        <w:instrText>ADDIN CSL_CITATION { "citationItems" : [ { "id" : "ITEM-1", "itemData" : { "author" : [ { "dropping-particle" : "", "family" : "Elliott V1, Morgan S, Day S, Mollerup LS", "given" : "Wang W.", "non-dropping-particle" : "", "parse-names" : false, "suffix" : "" } ], "container-title" : "J Pediatr Hematol Oncol.", "id" : "ITEM-1", "issue" : "2", "issued" : { "date-parts" : [ [ "2001" ] ] }, "page" : "112-6", "title" : "Parental health beliefs and compliance with prophylactic penicillin administration in children with sickle cell disease.", "type" : "article-journal", "volume" : "23" }, "uris" : [ "http://www.mendeley.com/documents/?uuid=52dcf0ad-6934-49c6-abfd-1b544f300df6" ] } ], "mendeley" : { "formattedCitation" : "&lt;sup&gt;31&lt;/sup&gt;", "plainTextFormattedCitation" : "31", "previouslyFormattedCitation" : "&lt;sup&gt;31&lt;/sup&gt;" }, "properties" : { "noteIndex" : 0 }, "schema" : "https://github.com/citation-style-language/schema/raw/master/csl-citation.json" }</w:instrText>
      </w:r>
      <w:r w:rsidR="00F656FD" w:rsidRPr="0070734B">
        <w:fldChar w:fldCharType="separate"/>
      </w:r>
      <w:r w:rsidR="00C2513F" w:rsidRPr="00C2513F">
        <w:rPr>
          <w:noProof/>
          <w:vertAlign w:val="superscript"/>
        </w:rPr>
        <w:t>31</w:t>
      </w:r>
      <w:r w:rsidR="00F656FD" w:rsidRPr="0070734B">
        <w:fldChar w:fldCharType="end"/>
      </w:r>
      <w:r w:rsidR="00025846">
        <w:t xml:space="preserve"> </w:t>
      </w:r>
      <w:r w:rsidR="0059373D" w:rsidRPr="0070734B">
        <w:t>Moreover,</w:t>
      </w:r>
      <w:r w:rsidR="002B5846">
        <w:t xml:space="preserve"> </w:t>
      </w:r>
      <w:r w:rsidR="0059373D" w:rsidRPr="0070734B">
        <w:t>n</w:t>
      </w:r>
      <w:r w:rsidR="002E0323" w:rsidRPr="0070734B">
        <w:t>ational screening programmes for SCD should consider including objective assessments of compliance to penicillin prophylaxis when evaluating outcomes</w:t>
      </w:r>
      <w:r w:rsidR="00662953" w:rsidRPr="0070734B">
        <w:t>.</w:t>
      </w:r>
      <w:r w:rsidR="00F656FD" w:rsidRPr="0070734B">
        <w:fldChar w:fldCharType="begin" w:fldLock="1"/>
      </w:r>
      <w:r w:rsidR="00EF3982">
        <w:instrText>ADDIN CSL_CITATION { "citationItems" : [ { "id" : "ITEM-1", "itemData" : { "DOI" : "10.2147/PPA.S103874", "PMID" : "27354768", "abstract" : "BACKGROUND: Antibiotic prophylaxis is a mainstay in sickle cell disease management. However, adherence is estimated at only 66%. This study aimed to develop and validate a Sickle Cell Antibiotic Adherence Level Evaluation (SCAALE) to promote systematic and detailed adherence evaluation.\n\nMETHODS: A 28-item questionnaire was created, covering seven adherence areas. General Adherence Ratings from the parent and one health care provider and medication possession ratios were obtained as validation measures.\n\nRESULTS: Internal consistency was very good to excellent for the total SCAALE (\u03b1=0.89) and four of the seven subscales. Correlations between SCAALE scores and validation measures were strong for the total SCAALE and five of the seven subscales.\n\nCONCLUSION: The SCAALE provides a detailed, quantitative, multidimensional, and global measurement of adherence and can promote clinical care and research.", "author" : [ { "dropping-particle" : "", "family" : "Duncan", "given" : "Natalie A", "non-dropping-particle" : "", "parse-names" : false, "suffix" : "" }, { "dropping-particle" : "", "family" : "Kronenberger", "given" : "William G", "non-dropping-particle" : "", "parse-names" : false, "suffix" : "" }, { "dropping-particle" : "", "family" : "Hampton", "given" : "Kisha C", "non-dropping-particle" : "", "parse-names" : false, "suffix" : "" }, { "dropping-particle" : "", "family" : "Bloom", "given" : "Ellen M", "non-dropping-particle" : "", "parse-names" : false, "suffix" : "" }, { "dropping-particle" : "", "family" : "Rampersad", "given" : "Angeli G", "non-dropping-particle" : "", "parse-names" : false, "suffix" : "" }, { "dropping-particle" : "", "family" : "Roberson", "given" : "Christopher P", "non-dropping-particle" : "", "parse-names" : false, "suffix" : "" }, { "dropping-particle" : "", "family" : "Shapiro", "given" : "Amy D", "non-dropping-particle" : "", "parse-names" : false, "suffix" : "" } ], "container-title" : "Patient preference and adherence", "id" : "ITEM-1", "issued" : { "date-parts" : [ [ "2016", "1", "8" ] ] }, "language" : "English", "page" : "983-92", "publisher" : "Dove Press", "title" : "A validated measure of adherence to antibiotic prophylaxis in children with sickle cell disease.", "type" : "article-journal", "volume" : "10" }, "uris" : [ "http://www.mendeley.com/documents/?uuid=3da35086-85c1-473d-a77a-ab039bf7b9bd" ] } ], "mendeley" : { "formattedCitation" : "&lt;sup&gt;30&lt;/sup&gt;", "plainTextFormattedCitation" : "30", "previouslyFormattedCitation" : "&lt;sup&gt;30&lt;/sup&gt;" }, "properties" : { "noteIndex" : 0 }, "schema" : "https://github.com/citation-style-language/schema/raw/master/csl-citation.json" }</w:instrText>
      </w:r>
      <w:r w:rsidR="00F656FD" w:rsidRPr="0070734B">
        <w:fldChar w:fldCharType="separate"/>
      </w:r>
      <w:r w:rsidR="00C2513F" w:rsidRPr="00C2513F">
        <w:rPr>
          <w:noProof/>
          <w:vertAlign w:val="superscript"/>
        </w:rPr>
        <w:t>30</w:t>
      </w:r>
      <w:r w:rsidR="00F656FD" w:rsidRPr="0070734B">
        <w:fldChar w:fldCharType="end"/>
      </w:r>
    </w:p>
    <w:p w14:paraId="70E95BB7" w14:textId="77777777" w:rsidR="00006E53" w:rsidRPr="0070734B" w:rsidRDefault="001F4168" w:rsidP="00331463">
      <w:pPr>
        <w:spacing w:line="360" w:lineRule="auto"/>
        <w:rPr>
          <w:b/>
        </w:rPr>
      </w:pPr>
      <w:r w:rsidRPr="0070734B">
        <w:rPr>
          <w:b/>
        </w:rPr>
        <w:t>Strength</w:t>
      </w:r>
      <w:r w:rsidR="00D95D86" w:rsidRPr="0070734B">
        <w:rPr>
          <w:b/>
        </w:rPr>
        <w:t>s</w:t>
      </w:r>
      <w:r w:rsidRPr="0070734B">
        <w:rPr>
          <w:b/>
        </w:rPr>
        <w:t xml:space="preserve"> and </w:t>
      </w:r>
      <w:r w:rsidR="00A954F5" w:rsidRPr="0070734B">
        <w:rPr>
          <w:b/>
        </w:rPr>
        <w:t>Limitation</w:t>
      </w:r>
      <w:r w:rsidR="0070734B">
        <w:rPr>
          <w:b/>
        </w:rPr>
        <w:t>s</w:t>
      </w:r>
    </w:p>
    <w:p w14:paraId="43706B33" w14:textId="7DA27543" w:rsidR="0060311B" w:rsidRPr="0070734B" w:rsidRDefault="00D05E68" w:rsidP="00331463">
      <w:pPr>
        <w:spacing w:line="360" w:lineRule="auto"/>
      </w:pPr>
      <w:r w:rsidRPr="0070734B">
        <w:t>The UK newborn</w:t>
      </w:r>
      <w:r w:rsidR="00AC2BCA">
        <w:t xml:space="preserve"> </w:t>
      </w:r>
      <w:r w:rsidRPr="0070734B">
        <w:t xml:space="preserve">screening programme has been highly successful in identifying children with SCD because of </w:t>
      </w:r>
      <w:r w:rsidR="00C836F7">
        <w:t xml:space="preserve">the </w:t>
      </w:r>
      <w:r w:rsidR="005C4705">
        <w:t xml:space="preserve">high </w:t>
      </w:r>
      <w:r w:rsidR="00930570" w:rsidRPr="0070734B">
        <w:t>screening</w:t>
      </w:r>
      <w:r w:rsidR="00C836F7">
        <w:t xml:space="preserve"> coverage achieved</w:t>
      </w:r>
      <w:r w:rsidRPr="0070734B">
        <w:t xml:space="preserve">, </w:t>
      </w:r>
      <w:r w:rsidR="005C4705">
        <w:t>with</w:t>
      </w:r>
      <w:r w:rsidR="00C46493">
        <w:t xml:space="preserve"> </w:t>
      </w:r>
      <w:r w:rsidR="0060311B">
        <w:t xml:space="preserve">nearly all </w:t>
      </w:r>
      <w:r w:rsidR="00C836F7">
        <w:t xml:space="preserve">infants </w:t>
      </w:r>
      <w:r w:rsidR="0060311B">
        <w:t>diagnosed before they developed their first symptoms</w:t>
      </w:r>
      <w:r w:rsidRPr="0070734B">
        <w:t xml:space="preserve">. </w:t>
      </w:r>
      <w:r w:rsidR="005C4705">
        <w:t>T</w:t>
      </w:r>
      <w:r w:rsidR="001F4168" w:rsidRPr="0070734B">
        <w:rPr>
          <w:rFonts w:cs="Arial"/>
        </w:rPr>
        <w:t xml:space="preserve">he </w:t>
      </w:r>
      <w:r w:rsidR="00575B49">
        <w:rPr>
          <w:rFonts w:cs="Arial"/>
        </w:rPr>
        <w:t>well-</w:t>
      </w:r>
      <w:r w:rsidR="00575B49" w:rsidRPr="0070734B">
        <w:rPr>
          <w:rFonts w:cs="Arial"/>
        </w:rPr>
        <w:t>established</w:t>
      </w:r>
      <w:r w:rsidR="001F4168" w:rsidRPr="0070734B">
        <w:rPr>
          <w:rFonts w:cs="Arial"/>
        </w:rPr>
        <w:t xml:space="preserve"> </w:t>
      </w:r>
      <w:r w:rsidR="00D95D86" w:rsidRPr="0070734B">
        <w:rPr>
          <w:rFonts w:cs="Arial"/>
        </w:rPr>
        <w:t xml:space="preserve">national </w:t>
      </w:r>
      <w:r w:rsidR="001F4168" w:rsidRPr="0070734B">
        <w:rPr>
          <w:rFonts w:cs="Arial"/>
        </w:rPr>
        <w:t>IPD surveillance</w:t>
      </w:r>
      <w:r w:rsidR="00872A44">
        <w:rPr>
          <w:rFonts w:cs="Arial"/>
        </w:rPr>
        <w:t xml:space="preserve"> </w:t>
      </w:r>
      <w:r w:rsidR="0042100B">
        <w:rPr>
          <w:rFonts w:cs="Arial"/>
        </w:rPr>
        <w:t xml:space="preserve">has been in place </w:t>
      </w:r>
      <w:r w:rsidR="005C4705">
        <w:rPr>
          <w:rFonts w:cs="Arial"/>
        </w:rPr>
        <w:t xml:space="preserve">for </w:t>
      </w:r>
      <w:r w:rsidR="0042100B">
        <w:rPr>
          <w:rFonts w:cs="Arial"/>
        </w:rPr>
        <w:t xml:space="preserve">more than </w:t>
      </w:r>
      <w:r w:rsidR="001F4168" w:rsidRPr="0070734B">
        <w:rPr>
          <w:rFonts w:cs="Arial"/>
        </w:rPr>
        <w:t>two decades</w:t>
      </w:r>
      <w:r w:rsidR="0070734B">
        <w:rPr>
          <w:rFonts w:cs="Arial"/>
        </w:rPr>
        <w:t>,</w:t>
      </w:r>
      <w:r w:rsidR="00AC2BCA">
        <w:rPr>
          <w:rFonts w:cs="Arial"/>
        </w:rPr>
        <w:t xml:space="preserve"> </w:t>
      </w:r>
      <w:r w:rsidRPr="0070734B">
        <w:rPr>
          <w:rFonts w:cs="Arial"/>
        </w:rPr>
        <w:t xml:space="preserve">with </w:t>
      </w:r>
      <w:r w:rsidR="001F4168" w:rsidRPr="0070734B">
        <w:rPr>
          <w:rFonts w:cs="Arial"/>
        </w:rPr>
        <w:t xml:space="preserve">high case ascertainment </w:t>
      </w:r>
      <w:r w:rsidR="005C4705">
        <w:rPr>
          <w:rFonts w:cs="Arial"/>
        </w:rPr>
        <w:t>due</w:t>
      </w:r>
      <w:r w:rsidRPr="0070734B">
        <w:rPr>
          <w:rFonts w:cs="Arial"/>
        </w:rPr>
        <w:t xml:space="preserve"> to a single national reference laboratory </w:t>
      </w:r>
      <w:r w:rsidR="001F4168" w:rsidRPr="0070734B">
        <w:rPr>
          <w:rFonts w:cs="Arial"/>
        </w:rPr>
        <w:t>and near-complete follow-up of cases</w:t>
      </w:r>
      <w:r w:rsidRPr="0070734B">
        <w:rPr>
          <w:rFonts w:cs="Arial"/>
        </w:rPr>
        <w:t xml:space="preserve"> in &lt;5 year-olds</w:t>
      </w:r>
      <w:r w:rsidR="001F4168" w:rsidRPr="0070734B">
        <w:rPr>
          <w:rFonts w:cs="Arial"/>
        </w:rPr>
        <w:t>.</w:t>
      </w:r>
      <w:r w:rsidR="0042100B">
        <w:rPr>
          <w:rFonts w:cs="Arial"/>
        </w:rPr>
        <w:t xml:space="preserve"> </w:t>
      </w:r>
      <w:r w:rsidRPr="0070734B">
        <w:rPr>
          <w:rFonts w:cs="Arial"/>
        </w:rPr>
        <w:t>This study also highlights the value of linking different national dataset</w:t>
      </w:r>
      <w:r w:rsidR="0070734B">
        <w:rPr>
          <w:rFonts w:cs="Arial"/>
        </w:rPr>
        <w:t>s</w:t>
      </w:r>
      <w:r w:rsidRPr="0070734B">
        <w:rPr>
          <w:rFonts w:cs="Arial"/>
        </w:rPr>
        <w:t xml:space="preserve"> to study rare outcomes in small cohorts</w:t>
      </w:r>
      <w:r w:rsidR="0042100B">
        <w:rPr>
          <w:rFonts w:cs="Arial"/>
        </w:rPr>
        <w:t xml:space="preserve">, which is often limited by </w:t>
      </w:r>
      <w:r w:rsidR="00D95D86" w:rsidRPr="0070734B">
        <w:rPr>
          <w:rFonts w:cs="Arial"/>
        </w:rPr>
        <w:t>the lack of</w:t>
      </w:r>
      <w:r w:rsidR="007A7468" w:rsidRPr="0070734B">
        <w:rPr>
          <w:rFonts w:cs="Arial"/>
        </w:rPr>
        <w:t xml:space="preserve"> appropriate</w:t>
      </w:r>
      <w:r w:rsidR="00D95D86" w:rsidRPr="0070734B">
        <w:rPr>
          <w:rFonts w:cs="Arial"/>
        </w:rPr>
        <w:t xml:space="preserve"> denominator data. </w:t>
      </w:r>
      <w:r w:rsidR="003A28A0" w:rsidRPr="0070734B">
        <w:rPr>
          <w:rFonts w:cs="Arial"/>
        </w:rPr>
        <w:t xml:space="preserve">Ideally, we would have liked to compare IPD </w:t>
      </w:r>
      <w:r w:rsidR="006279EE" w:rsidRPr="0070734B">
        <w:rPr>
          <w:rFonts w:cs="Arial"/>
        </w:rPr>
        <w:t xml:space="preserve">rates </w:t>
      </w:r>
      <w:r w:rsidR="003A28A0" w:rsidRPr="0070734B">
        <w:rPr>
          <w:rFonts w:cs="Arial"/>
        </w:rPr>
        <w:t xml:space="preserve">in children with SCD to </w:t>
      </w:r>
      <w:r w:rsidR="002006BC" w:rsidRPr="0070734B">
        <w:rPr>
          <w:rFonts w:cs="Arial"/>
        </w:rPr>
        <w:t xml:space="preserve">IPD </w:t>
      </w:r>
      <w:r w:rsidR="003A28A0" w:rsidRPr="0070734B">
        <w:rPr>
          <w:rFonts w:cs="Arial"/>
        </w:rPr>
        <w:t>rates in Afr</w:t>
      </w:r>
      <w:r w:rsidR="0042100B">
        <w:rPr>
          <w:rFonts w:cs="Arial"/>
        </w:rPr>
        <w:t>o-</w:t>
      </w:r>
      <w:r w:rsidR="000F0B32" w:rsidRPr="0070734B">
        <w:rPr>
          <w:rFonts w:cs="Arial"/>
        </w:rPr>
        <w:t xml:space="preserve">Caribbean </w:t>
      </w:r>
      <w:r w:rsidR="003A28A0" w:rsidRPr="0070734B">
        <w:rPr>
          <w:rFonts w:cs="Arial"/>
        </w:rPr>
        <w:t xml:space="preserve">children </w:t>
      </w:r>
      <w:r w:rsidR="0070734B">
        <w:rPr>
          <w:rFonts w:cs="Arial"/>
        </w:rPr>
        <w:t xml:space="preserve">without SCD, </w:t>
      </w:r>
      <w:r w:rsidR="003A28A0" w:rsidRPr="0070734B">
        <w:rPr>
          <w:rFonts w:cs="Arial"/>
        </w:rPr>
        <w:t xml:space="preserve">and </w:t>
      </w:r>
      <w:r w:rsidR="006279EE" w:rsidRPr="0070734B">
        <w:rPr>
          <w:rFonts w:cs="Arial"/>
        </w:rPr>
        <w:t xml:space="preserve">to children </w:t>
      </w:r>
      <w:r w:rsidR="003A28A0" w:rsidRPr="0070734B">
        <w:rPr>
          <w:rFonts w:cs="Arial"/>
        </w:rPr>
        <w:t xml:space="preserve">with and without co-morbidities. However, ethnicity is poorly </w:t>
      </w:r>
      <w:r w:rsidR="0042100B">
        <w:rPr>
          <w:rFonts w:cs="Arial"/>
        </w:rPr>
        <w:t xml:space="preserve">reported </w:t>
      </w:r>
      <w:r w:rsidR="003A28A0" w:rsidRPr="0070734B">
        <w:rPr>
          <w:rFonts w:cs="Arial"/>
        </w:rPr>
        <w:t xml:space="preserve">and we do not have reliable </w:t>
      </w:r>
      <w:r w:rsidR="006279EE" w:rsidRPr="0070734B">
        <w:rPr>
          <w:rFonts w:cs="Arial"/>
        </w:rPr>
        <w:t xml:space="preserve">national </w:t>
      </w:r>
      <w:r w:rsidR="003A28A0" w:rsidRPr="0070734B">
        <w:rPr>
          <w:rFonts w:cs="Arial"/>
        </w:rPr>
        <w:t xml:space="preserve">denominator data for children </w:t>
      </w:r>
      <w:r w:rsidR="006279EE" w:rsidRPr="0070734B">
        <w:rPr>
          <w:rFonts w:cs="Arial"/>
        </w:rPr>
        <w:t xml:space="preserve">with </w:t>
      </w:r>
      <w:r w:rsidR="003A28A0" w:rsidRPr="0070734B">
        <w:rPr>
          <w:rFonts w:cs="Arial"/>
        </w:rPr>
        <w:t xml:space="preserve">different co-morbidities. </w:t>
      </w:r>
      <w:r w:rsidR="00114FF0" w:rsidRPr="0070734B">
        <w:rPr>
          <w:rFonts w:cs="Arial"/>
        </w:rPr>
        <w:t xml:space="preserve">It is also important to </w:t>
      </w:r>
      <w:r w:rsidR="003A3B9C">
        <w:rPr>
          <w:rFonts w:cs="Arial"/>
        </w:rPr>
        <w:t>emphasi</w:t>
      </w:r>
      <w:r w:rsidR="00E43DEB">
        <w:rPr>
          <w:rFonts w:cs="Arial"/>
        </w:rPr>
        <w:t>s</w:t>
      </w:r>
      <w:r w:rsidR="0070734B">
        <w:rPr>
          <w:rFonts w:cs="Arial"/>
        </w:rPr>
        <w:t>e</w:t>
      </w:r>
      <w:r w:rsidR="005808EF">
        <w:rPr>
          <w:rFonts w:cs="Arial"/>
        </w:rPr>
        <w:t xml:space="preserve"> </w:t>
      </w:r>
      <w:r w:rsidR="00114FF0" w:rsidRPr="0070734B">
        <w:rPr>
          <w:rFonts w:cs="Arial"/>
        </w:rPr>
        <w:t xml:space="preserve">that, despite the high relative risk, there were only </w:t>
      </w:r>
      <w:r w:rsidR="006279EE" w:rsidRPr="0070734B">
        <w:rPr>
          <w:rFonts w:cs="Arial"/>
        </w:rPr>
        <w:t>1</w:t>
      </w:r>
      <w:r w:rsidR="006119AA">
        <w:rPr>
          <w:rFonts w:cs="Arial"/>
        </w:rPr>
        <w:t>2</w:t>
      </w:r>
      <w:r w:rsidR="00114FF0" w:rsidRPr="0070734B">
        <w:rPr>
          <w:rFonts w:cs="Arial"/>
        </w:rPr>
        <w:t xml:space="preserve"> children </w:t>
      </w:r>
      <w:r w:rsidR="0042100B">
        <w:rPr>
          <w:rFonts w:cs="Arial"/>
        </w:rPr>
        <w:t xml:space="preserve">with SCD in </w:t>
      </w:r>
      <w:r w:rsidR="006279EE" w:rsidRPr="0070734B">
        <w:rPr>
          <w:rFonts w:cs="Arial"/>
        </w:rPr>
        <w:t xml:space="preserve">England </w:t>
      </w:r>
      <w:r w:rsidR="002006BC" w:rsidRPr="0070734B">
        <w:rPr>
          <w:rFonts w:cs="Arial"/>
        </w:rPr>
        <w:t xml:space="preserve">who developed </w:t>
      </w:r>
      <w:r w:rsidR="0042100B">
        <w:rPr>
          <w:rFonts w:cs="Arial"/>
        </w:rPr>
        <w:t xml:space="preserve">laboratory-confirmed </w:t>
      </w:r>
      <w:r w:rsidR="002006BC" w:rsidRPr="0070734B">
        <w:rPr>
          <w:rFonts w:cs="Arial"/>
        </w:rPr>
        <w:t xml:space="preserve">IPD </w:t>
      </w:r>
      <w:r w:rsidR="00114FF0" w:rsidRPr="0070734B">
        <w:rPr>
          <w:rFonts w:cs="Arial"/>
        </w:rPr>
        <w:t xml:space="preserve">over </w:t>
      </w:r>
      <w:r w:rsidR="0042100B">
        <w:rPr>
          <w:rFonts w:cs="Arial"/>
        </w:rPr>
        <w:t xml:space="preserve">&gt;5 follow-up </w:t>
      </w:r>
      <w:r w:rsidR="006279EE" w:rsidRPr="0070734B">
        <w:rPr>
          <w:rFonts w:cs="Arial"/>
        </w:rPr>
        <w:t>years</w:t>
      </w:r>
      <w:r w:rsidR="00114FF0" w:rsidRPr="0070734B">
        <w:rPr>
          <w:rFonts w:cs="Arial"/>
        </w:rPr>
        <w:t>.</w:t>
      </w:r>
      <w:r w:rsidR="00AC2BCA">
        <w:rPr>
          <w:rFonts w:cs="Arial"/>
        </w:rPr>
        <w:t xml:space="preserve"> </w:t>
      </w:r>
      <w:r w:rsidR="00114FF0" w:rsidRPr="0070734B">
        <w:rPr>
          <w:rFonts w:cs="Arial"/>
        </w:rPr>
        <w:t>Additionally, we did not formally assess compliance with penicillin prophylaxis, which is known to be highly protective against IPD, especially in countries such as the UK</w:t>
      </w:r>
      <w:r w:rsidR="0070734B">
        <w:rPr>
          <w:rFonts w:cs="Arial"/>
        </w:rPr>
        <w:t>,</w:t>
      </w:r>
      <w:r w:rsidR="00114FF0" w:rsidRPr="0070734B">
        <w:rPr>
          <w:rFonts w:cs="Arial"/>
        </w:rPr>
        <w:t xml:space="preserve"> where </w:t>
      </w:r>
      <w:r w:rsidR="0042100B">
        <w:rPr>
          <w:rFonts w:cs="Arial"/>
        </w:rPr>
        <w:t xml:space="preserve">pneumococcal </w:t>
      </w:r>
      <w:r w:rsidR="00114FF0" w:rsidRPr="0070734B">
        <w:rPr>
          <w:rFonts w:cs="Arial"/>
        </w:rPr>
        <w:t xml:space="preserve">penicillin-resistance is </w:t>
      </w:r>
      <w:r w:rsidR="0042100B">
        <w:rPr>
          <w:rFonts w:cs="Arial"/>
        </w:rPr>
        <w:t>rare</w:t>
      </w:r>
      <w:r w:rsidR="006D685E" w:rsidRPr="0070734B">
        <w:rPr>
          <w:rFonts w:cs="Arial"/>
        </w:rPr>
        <w:t>.</w:t>
      </w:r>
      <w:r w:rsidR="00F656FD" w:rsidRPr="0070734B">
        <w:rPr>
          <w:rFonts w:cs="Arial"/>
        </w:rPr>
        <w:fldChar w:fldCharType="begin" w:fldLock="1"/>
      </w:r>
      <w:r w:rsidR="00EF3982">
        <w:rPr>
          <w:rFonts w:cs="Arial"/>
        </w:rPr>
        <w:instrText>ADDIN CSL_CITATION { "citationItems" : [ { "id" : "ITEM-1", "itemData" : { "author" : [ { "dropping-particle" : "", "family" : "KL", "given" : "Henderson", "non-dropping-particle" : "", "parse-names" : false, "suffix" : "" } ], "container-title" : "BMJ", "id" : "ITEM-1", "issued" : { "date-parts" : [ [ "2010" ] ] }, "title" : "NICE on bacterial meningitis. Vancomycin may not be necessary", "type" : "article-journal" }, "uris" : [ "http://www.mendeley.com/documents/?uuid=2a7560a2-7f58-450a-84e0-e079162fb76d" ] } ], "mendeley" : { "formattedCitation" : "&lt;sup&gt;32&lt;/sup&gt;", "plainTextFormattedCitation" : "32", "previouslyFormattedCitation" : "&lt;sup&gt;32&lt;/sup&gt;" }, "properties" : { "noteIndex" : 0 }, "schema" : "https://github.com/citation-style-language/schema/raw/master/csl-citation.json" }</w:instrText>
      </w:r>
      <w:r w:rsidR="00F656FD" w:rsidRPr="0070734B">
        <w:rPr>
          <w:rFonts w:cs="Arial"/>
        </w:rPr>
        <w:fldChar w:fldCharType="separate"/>
      </w:r>
      <w:r w:rsidR="00C2513F" w:rsidRPr="00C2513F">
        <w:rPr>
          <w:rFonts w:cs="Arial"/>
          <w:noProof/>
          <w:vertAlign w:val="superscript"/>
        </w:rPr>
        <w:t>32</w:t>
      </w:r>
      <w:r w:rsidR="00F656FD" w:rsidRPr="0070734B">
        <w:rPr>
          <w:rFonts w:cs="Arial"/>
        </w:rPr>
        <w:fldChar w:fldCharType="end"/>
      </w:r>
      <w:r w:rsidR="00D40A1F">
        <w:rPr>
          <w:rFonts w:cs="Arial"/>
        </w:rPr>
        <w:t xml:space="preserve"> </w:t>
      </w:r>
    </w:p>
    <w:p w14:paraId="4ACD56C6" w14:textId="77777777" w:rsidR="00006E53" w:rsidRPr="0070734B" w:rsidRDefault="00006E53" w:rsidP="00331463">
      <w:pPr>
        <w:spacing w:line="360" w:lineRule="auto"/>
        <w:rPr>
          <w:b/>
          <w:sz w:val="28"/>
        </w:rPr>
      </w:pPr>
      <w:r w:rsidRPr="0070734B">
        <w:rPr>
          <w:b/>
          <w:sz w:val="28"/>
        </w:rPr>
        <w:t>Conclusion</w:t>
      </w:r>
      <w:r w:rsidR="0070734B" w:rsidRPr="0070734B">
        <w:rPr>
          <w:b/>
          <w:sz w:val="28"/>
        </w:rPr>
        <w:t>s</w:t>
      </w:r>
    </w:p>
    <w:p w14:paraId="4286BC33" w14:textId="3D138EDE" w:rsidR="00E23269" w:rsidRPr="0070734B" w:rsidRDefault="0015441A" w:rsidP="00331463">
      <w:pPr>
        <w:spacing w:line="360" w:lineRule="auto"/>
        <w:rPr>
          <w:color w:val="FF0000"/>
        </w:rPr>
      </w:pPr>
      <w:r w:rsidRPr="0070734B">
        <w:t>Children with SCD remain at increased risk of IPD in</w:t>
      </w:r>
      <w:r w:rsidR="001F5CF4" w:rsidRPr="0070734B">
        <w:t xml:space="preserve"> spite of all the current interventions, including newborn screening, early referral for long-term specialist care, recommendation</w:t>
      </w:r>
      <w:r w:rsidR="00FE149A" w:rsidRPr="0070734B">
        <w:t xml:space="preserve">s for daily penicillin prophylaxis from three </w:t>
      </w:r>
      <w:r w:rsidR="003A3B9C">
        <w:t>months of age and timely immuni</w:t>
      </w:r>
      <w:r w:rsidR="00291C94">
        <w:t>s</w:t>
      </w:r>
      <w:r w:rsidR="00FE149A" w:rsidRPr="0070734B">
        <w:t xml:space="preserve">ation with high uptake rates. </w:t>
      </w:r>
      <w:r w:rsidR="004B5184" w:rsidRPr="0070734B">
        <w:t xml:space="preserve">Given that </w:t>
      </w:r>
      <w:r w:rsidR="0042100B">
        <w:t xml:space="preserve">most </w:t>
      </w:r>
      <w:r w:rsidR="004B5184" w:rsidRPr="0070734B">
        <w:t>serotypes causing IPD in children with SCD are now no</w:t>
      </w:r>
      <w:r w:rsidR="00FE149A" w:rsidRPr="0070734B">
        <w:t xml:space="preserve"> longe</w:t>
      </w:r>
      <w:r w:rsidR="002437FF" w:rsidRPr="0070734B">
        <w:t>r</w:t>
      </w:r>
      <w:r w:rsidR="00BF6393">
        <w:t xml:space="preserve"> </w:t>
      </w:r>
      <w:r w:rsidR="004B5184" w:rsidRPr="0070734B">
        <w:t xml:space="preserve">vaccine preventable, increased efforts must be made to improve uptake and adherence to penicillin prophylaxis. </w:t>
      </w:r>
      <w:r w:rsidR="00770DF5" w:rsidRPr="0070734B">
        <w:t>Further studies should assess whether improv</w:t>
      </w:r>
      <w:r w:rsidR="00A73705" w:rsidRPr="0070734B">
        <w:t xml:space="preserve">ing parental education to seek early medical help </w:t>
      </w:r>
      <w:r w:rsidR="00770DF5" w:rsidRPr="0070734B">
        <w:t xml:space="preserve">might also </w:t>
      </w:r>
      <w:r w:rsidR="0042100B">
        <w:t xml:space="preserve">achieve better </w:t>
      </w:r>
      <w:r w:rsidR="00770DF5" w:rsidRPr="0070734B">
        <w:t xml:space="preserve">outcomes. </w:t>
      </w:r>
      <w:r w:rsidR="00FE149A" w:rsidRPr="0070734B">
        <w:t>Our</w:t>
      </w:r>
      <w:r w:rsidR="00C46493">
        <w:t xml:space="preserve"> </w:t>
      </w:r>
      <w:r w:rsidR="004E162B" w:rsidRPr="0070734B">
        <w:t>findings also highlight</w:t>
      </w:r>
      <w:r w:rsidR="004B5184" w:rsidRPr="0070734B">
        <w:t xml:space="preserve"> the need for higher valen</w:t>
      </w:r>
      <w:r w:rsidR="008465BD">
        <w:t>cy</w:t>
      </w:r>
      <w:r w:rsidR="004B5184" w:rsidRPr="0070734B">
        <w:t xml:space="preserve"> PCV or, preferabl</w:t>
      </w:r>
      <w:r w:rsidR="00C15FA7" w:rsidRPr="0070734B">
        <w:t>y</w:t>
      </w:r>
      <w:r w:rsidR="004B5184" w:rsidRPr="0070734B">
        <w:t>, a universal vaccine</w:t>
      </w:r>
      <w:r w:rsidR="006D685E" w:rsidRPr="0070734B">
        <w:t xml:space="preserve"> targeting all pneumococci irrespective of their capsular serotype</w:t>
      </w:r>
      <w:r w:rsidR="004E162B" w:rsidRPr="0070734B">
        <w:t>.</w:t>
      </w:r>
      <w:r w:rsidR="00F656FD" w:rsidRPr="00D4276A">
        <w:fldChar w:fldCharType="begin" w:fldLock="1"/>
      </w:r>
      <w:r w:rsidR="00EF3982">
        <w:instrText>ADDIN CSL_CITATION { "citationItems" : [ { "id" : "ITEM-1", "itemData" : { "author" : [ { "dropping-particle" : "", "family" : "Ladhani", "given" : "Shamez N.", "non-dropping-particle" : "", "parse-names" : false, "suffix" : "" } ], "container-title" : "Clinical Infectious Diseases", "id" : "ITEM-1", "issued" : { "date-parts" : [ [ "2015" ] ] }, "title" : "The Story of Sisyphus: Why We Need a Universal Pneumococcal Vaccine to Replace Current Conjugate Vaccines", "type" : "article-journal" }, "uris" : [ "http://www.mendeley.com/documents/?uuid=aae8629f-3e78-4440-8f10-4386bdf8d006" ] } ], "mendeley" : { "formattedCitation" : "&lt;sup&gt;33&lt;/sup&gt;", "plainTextFormattedCitation" : "33", "previouslyFormattedCitation" : "&lt;sup&gt;33&lt;/sup&gt;" }, "properties" : { "noteIndex" : 0 }, "schema" : "https://github.com/citation-style-language/schema/raw/master/csl-citation.json" }</w:instrText>
      </w:r>
      <w:r w:rsidR="00F656FD" w:rsidRPr="00D4276A">
        <w:fldChar w:fldCharType="separate"/>
      </w:r>
      <w:r w:rsidR="00C2513F" w:rsidRPr="00C2513F">
        <w:rPr>
          <w:noProof/>
          <w:vertAlign w:val="superscript"/>
        </w:rPr>
        <w:t>33</w:t>
      </w:r>
      <w:r w:rsidR="00F656FD" w:rsidRPr="00D4276A">
        <w:fldChar w:fldCharType="end"/>
      </w:r>
    </w:p>
    <w:p w14:paraId="45EEDB4D" w14:textId="77777777" w:rsidR="00E23269" w:rsidRPr="0070734B" w:rsidRDefault="00E23269" w:rsidP="00331463">
      <w:pPr>
        <w:spacing w:line="360" w:lineRule="auto"/>
        <w:rPr>
          <w:b/>
        </w:rPr>
      </w:pPr>
    </w:p>
    <w:p w14:paraId="775FEC97" w14:textId="77777777" w:rsidR="00491628" w:rsidRPr="0070734B" w:rsidRDefault="00491628" w:rsidP="00331463">
      <w:pPr>
        <w:spacing w:line="360" w:lineRule="auto"/>
        <w:rPr>
          <w:b/>
        </w:rPr>
      </w:pPr>
      <w:r w:rsidRPr="0070734B">
        <w:rPr>
          <w:b/>
        </w:rPr>
        <w:t>Acknowledgements</w:t>
      </w:r>
    </w:p>
    <w:p w14:paraId="360451F8" w14:textId="77777777" w:rsidR="003A04DA" w:rsidRPr="00D4276A" w:rsidRDefault="003A04DA" w:rsidP="00491628">
      <w:pPr>
        <w:pStyle w:val="PlainText"/>
        <w:spacing w:line="360" w:lineRule="auto"/>
        <w:rPr>
          <w:szCs w:val="22"/>
        </w:rPr>
      </w:pPr>
      <w:r w:rsidRPr="00D4276A">
        <w:rPr>
          <w:szCs w:val="22"/>
        </w:rPr>
        <w:t xml:space="preserve">We thank all those who have helped with the study – in particular those who have contributed data and those who have supported the work. This includes the Sickle Cell Society, the UK </w:t>
      </w:r>
      <w:r w:rsidR="003A3B9C" w:rsidRPr="00D4276A">
        <w:rPr>
          <w:szCs w:val="22"/>
        </w:rPr>
        <w:t>Thalassemia</w:t>
      </w:r>
      <w:r w:rsidRPr="00D4276A">
        <w:rPr>
          <w:szCs w:val="22"/>
        </w:rPr>
        <w:t xml:space="preserve"> Society and the Information governance group including the Chair Prof Dame Elizabeth Anionwu, all the Newborn Screening laboratories and staff and Clinicians both those in the community and in hospital and Rupa</w:t>
      </w:r>
      <w:r w:rsidR="00E6296F">
        <w:rPr>
          <w:szCs w:val="22"/>
        </w:rPr>
        <w:t xml:space="preserve"> </w:t>
      </w:r>
      <w:r w:rsidRPr="00D4276A">
        <w:rPr>
          <w:szCs w:val="22"/>
        </w:rPr>
        <w:t>Sis</w:t>
      </w:r>
      <w:r w:rsidR="00AC2A8D" w:rsidRPr="00D4276A">
        <w:rPr>
          <w:szCs w:val="22"/>
        </w:rPr>
        <w:t>od</w:t>
      </w:r>
      <w:r w:rsidRPr="00D4276A">
        <w:rPr>
          <w:szCs w:val="22"/>
        </w:rPr>
        <w:t>ia for data collection for the project, Rad Latinovic for leadership on data security and governance and Elizabeth Dormandy for overall support to design of the project. Funding for the project has been through the D</w:t>
      </w:r>
      <w:r w:rsidR="00912EC5" w:rsidRPr="00D4276A">
        <w:rPr>
          <w:szCs w:val="22"/>
        </w:rPr>
        <w:t>ep</w:t>
      </w:r>
      <w:r w:rsidR="00AC2A8D" w:rsidRPr="00D4276A">
        <w:rPr>
          <w:szCs w:val="22"/>
        </w:rPr>
        <w:t>artment</w:t>
      </w:r>
      <w:r w:rsidR="00912EC5" w:rsidRPr="00D4276A">
        <w:rPr>
          <w:szCs w:val="22"/>
        </w:rPr>
        <w:t xml:space="preserve"> of Health</w:t>
      </w:r>
      <w:r w:rsidRPr="00D4276A">
        <w:rPr>
          <w:szCs w:val="22"/>
        </w:rPr>
        <w:t xml:space="preserve"> to the National Screening programme.</w:t>
      </w:r>
      <w:r w:rsidR="0060311B">
        <w:rPr>
          <w:szCs w:val="22"/>
        </w:rPr>
        <w:t xml:space="preserve"> W</w:t>
      </w:r>
      <w:r w:rsidR="00291C94">
        <w:rPr>
          <w:szCs w:val="22"/>
        </w:rPr>
        <w:t>e</w:t>
      </w:r>
      <w:r w:rsidR="0060311B">
        <w:rPr>
          <w:szCs w:val="22"/>
        </w:rPr>
        <w:t xml:space="preserve"> would also </w:t>
      </w:r>
      <w:r w:rsidR="003A3B9C">
        <w:rPr>
          <w:szCs w:val="22"/>
        </w:rPr>
        <w:t>like to thank all the GPs and P</w:t>
      </w:r>
      <w:r w:rsidR="00291C94">
        <w:rPr>
          <w:szCs w:val="22"/>
        </w:rPr>
        <w:t>a</w:t>
      </w:r>
      <w:r w:rsidR="0060311B">
        <w:rPr>
          <w:szCs w:val="22"/>
        </w:rPr>
        <w:t>ediatricians who regularly complete surveillance questionnaires for the childhood IPD cases</w:t>
      </w:r>
    </w:p>
    <w:p w14:paraId="5EC96D56" w14:textId="77777777" w:rsidR="00B63B63" w:rsidRDefault="00B63B63">
      <w:pPr>
        <w:rPr>
          <w:rFonts w:ascii="Cambria" w:hAnsi="Cambria"/>
          <w:b/>
          <w:sz w:val="28"/>
          <w:szCs w:val="28"/>
        </w:rPr>
      </w:pPr>
    </w:p>
    <w:p w14:paraId="707458B3" w14:textId="77777777" w:rsidR="00B63B63" w:rsidRDefault="00B63B63">
      <w:pPr>
        <w:rPr>
          <w:rFonts w:ascii="Cambria" w:hAnsi="Cambria"/>
          <w:b/>
          <w:sz w:val="28"/>
          <w:szCs w:val="28"/>
        </w:rPr>
      </w:pPr>
    </w:p>
    <w:p w14:paraId="3A7BD0C6" w14:textId="77777777" w:rsidR="00FC251F" w:rsidRDefault="00FC251F">
      <w:pPr>
        <w:rPr>
          <w:b/>
          <w:sz w:val="28"/>
          <w:szCs w:val="28"/>
        </w:rPr>
      </w:pPr>
    </w:p>
    <w:p w14:paraId="3B051E9C" w14:textId="77777777" w:rsidR="00292ABB" w:rsidRPr="00D4276A" w:rsidRDefault="00292ABB">
      <w:pPr>
        <w:rPr>
          <w:b/>
          <w:sz w:val="28"/>
          <w:szCs w:val="28"/>
        </w:rPr>
      </w:pPr>
      <w:r w:rsidRPr="00D4276A">
        <w:rPr>
          <w:b/>
          <w:sz w:val="28"/>
          <w:szCs w:val="28"/>
        </w:rPr>
        <w:t>References</w:t>
      </w:r>
    </w:p>
    <w:p w14:paraId="4C0DB3E9" w14:textId="74077971" w:rsidR="00EF3982" w:rsidRPr="00EF3982" w:rsidRDefault="00F656FD" w:rsidP="00EF3982">
      <w:pPr>
        <w:widowControl w:val="0"/>
        <w:autoSpaceDE w:val="0"/>
        <w:autoSpaceDN w:val="0"/>
        <w:adjustRightInd w:val="0"/>
        <w:spacing w:line="360" w:lineRule="auto"/>
        <w:ind w:left="640" w:hanging="640"/>
        <w:rPr>
          <w:noProof/>
          <w:szCs w:val="24"/>
        </w:rPr>
      </w:pPr>
      <w:r w:rsidRPr="00D4276A">
        <w:fldChar w:fldCharType="begin" w:fldLock="1"/>
      </w:r>
      <w:r w:rsidR="002B6D8D" w:rsidRPr="00D4276A">
        <w:instrText xml:space="preserve">ADDIN Mendeley Bibliography CSL_BIBLIOGRAPHY </w:instrText>
      </w:r>
      <w:r w:rsidRPr="00D4276A">
        <w:fldChar w:fldCharType="separate"/>
      </w:r>
      <w:r w:rsidR="00EF3982" w:rsidRPr="00EF3982">
        <w:rPr>
          <w:noProof/>
          <w:szCs w:val="24"/>
        </w:rPr>
        <w:t xml:space="preserve">1. </w:t>
      </w:r>
      <w:r w:rsidR="00EF3982" w:rsidRPr="00EF3982">
        <w:rPr>
          <w:noProof/>
          <w:szCs w:val="24"/>
        </w:rPr>
        <w:tab/>
        <w:t xml:space="preserve">Beauvais P. Sickle cell anemia and functional asplenia (author’s transl). </w:t>
      </w:r>
      <w:r w:rsidR="00EF3982" w:rsidRPr="00EF3982">
        <w:rPr>
          <w:i/>
          <w:iCs/>
          <w:noProof/>
          <w:szCs w:val="24"/>
        </w:rPr>
        <w:t>Arch Fr Pediatr</w:t>
      </w:r>
      <w:r w:rsidR="00EF3982" w:rsidRPr="00EF3982">
        <w:rPr>
          <w:noProof/>
          <w:szCs w:val="24"/>
        </w:rPr>
        <w:t>. 1982;39(3):141-144.</w:t>
      </w:r>
    </w:p>
    <w:p w14:paraId="44BBD5E6" w14:textId="07D3494B"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 </w:t>
      </w:r>
      <w:r w:rsidRPr="00EF3982">
        <w:rPr>
          <w:noProof/>
          <w:szCs w:val="24"/>
        </w:rPr>
        <w:tab/>
        <w:t xml:space="preserve">Battersby AJ, Knox-Macaulay HHM, Carrol ED. Susceptibility to invasive bacterial infections in children with sickle cell disease. </w:t>
      </w:r>
      <w:r w:rsidRPr="00EF3982">
        <w:rPr>
          <w:i/>
          <w:iCs/>
          <w:noProof/>
          <w:szCs w:val="24"/>
        </w:rPr>
        <w:t>Pediatr Blood Cancer</w:t>
      </w:r>
      <w:r w:rsidRPr="00EF3982">
        <w:rPr>
          <w:noProof/>
          <w:szCs w:val="24"/>
        </w:rPr>
        <w:t xml:space="preserve">. </w:t>
      </w:r>
      <w:r w:rsidR="00DF6E42">
        <w:rPr>
          <w:noProof/>
          <w:szCs w:val="24"/>
        </w:rPr>
        <w:t xml:space="preserve">2010;55(3):401-406. </w:t>
      </w:r>
    </w:p>
    <w:p w14:paraId="7509B3BD" w14:textId="04F93762"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3. </w:t>
      </w:r>
      <w:r w:rsidRPr="00EF3982">
        <w:rPr>
          <w:noProof/>
          <w:szCs w:val="24"/>
        </w:rPr>
        <w:tab/>
        <w:t xml:space="preserve">Pearson HA. Sickle cell anemia and severe infections due to encapsulated bacteria. </w:t>
      </w:r>
      <w:r w:rsidRPr="00EF3982">
        <w:rPr>
          <w:i/>
          <w:iCs/>
          <w:noProof/>
          <w:szCs w:val="24"/>
        </w:rPr>
        <w:t>J Infect Dis</w:t>
      </w:r>
      <w:r w:rsidRPr="00EF3982">
        <w:rPr>
          <w:noProof/>
          <w:szCs w:val="24"/>
        </w:rPr>
        <w:t>. 1977;136 Suppl:</w:t>
      </w:r>
      <w:r w:rsidR="00DF6E42">
        <w:rPr>
          <w:noProof/>
          <w:szCs w:val="24"/>
        </w:rPr>
        <w:t xml:space="preserve">S25-S30. </w:t>
      </w:r>
    </w:p>
    <w:p w14:paraId="10415C0A" w14:textId="23BA3C60"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4. </w:t>
      </w:r>
      <w:r w:rsidRPr="00EF3982">
        <w:rPr>
          <w:noProof/>
          <w:szCs w:val="24"/>
        </w:rPr>
        <w:tab/>
        <w:t xml:space="preserve">Overturf GD, Powars D, Baraff LJ. Bacterial meningitis and septicemia in sickle cell disease. </w:t>
      </w:r>
      <w:r w:rsidRPr="00EF3982">
        <w:rPr>
          <w:i/>
          <w:iCs/>
          <w:noProof/>
          <w:szCs w:val="24"/>
        </w:rPr>
        <w:t>Am J Dis Child</w:t>
      </w:r>
      <w:r w:rsidR="00DF6E42">
        <w:rPr>
          <w:noProof/>
          <w:szCs w:val="24"/>
        </w:rPr>
        <w:t xml:space="preserve">. 1977;131(7):784-787. </w:t>
      </w:r>
    </w:p>
    <w:p w14:paraId="3674A135" w14:textId="23A3412E"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5. </w:t>
      </w:r>
      <w:r w:rsidRPr="00EF3982">
        <w:rPr>
          <w:noProof/>
          <w:szCs w:val="24"/>
        </w:rPr>
        <w:tab/>
        <w:t xml:space="preserve">Adamkiewicz T V, Sarnaik S, Buchanan GR, et al. Invasive pneumococcal infections in children with sickle cell disease in the era of penicillin prophylaxis, antibiotic resistance, and 23-valent pneumococcal polysaccharide vaccination. </w:t>
      </w:r>
      <w:r w:rsidRPr="00EF3982">
        <w:rPr>
          <w:i/>
          <w:iCs/>
          <w:noProof/>
          <w:szCs w:val="24"/>
        </w:rPr>
        <w:t>J Pediatr</w:t>
      </w:r>
      <w:r w:rsidR="00132896">
        <w:rPr>
          <w:noProof/>
          <w:szCs w:val="24"/>
        </w:rPr>
        <w:t xml:space="preserve">. 2003;143(4):438-444. </w:t>
      </w:r>
    </w:p>
    <w:p w14:paraId="33594339" w14:textId="7374813C"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6. </w:t>
      </w:r>
      <w:r w:rsidRPr="00EF3982">
        <w:rPr>
          <w:noProof/>
          <w:szCs w:val="24"/>
        </w:rPr>
        <w:tab/>
        <w:t xml:space="preserve">Gaston MH, Verter JI, Woods G, et al. Prophylaxis with oral penicillin in children with sickle cell anemia. A randomized trial. </w:t>
      </w:r>
      <w:r w:rsidRPr="00EF3982">
        <w:rPr>
          <w:i/>
          <w:iCs/>
          <w:noProof/>
          <w:szCs w:val="24"/>
        </w:rPr>
        <w:t>N Engl J Med</w:t>
      </w:r>
      <w:r w:rsidRPr="00EF3982">
        <w:rPr>
          <w:noProof/>
          <w:szCs w:val="24"/>
        </w:rPr>
        <w:t xml:space="preserve">. 1986;314(25):1593-1599. </w:t>
      </w:r>
    </w:p>
    <w:p w14:paraId="0274BACD" w14:textId="4D4087C1"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7. </w:t>
      </w:r>
      <w:r w:rsidRPr="00EF3982">
        <w:rPr>
          <w:noProof/>
          <w:szCs w:val="24"/>
        </w:rPr>
        <w:tab/>
        <w:t xml:space="preserve">Hord J, Byrd R, Stowe L, Windsor B, Smith-Whitley K. Streptococcus pneumoniae sepsis and meningitis during the penicillin prophylaxis era in children with sickle cell disease. </w:t>
      </w:r>
      <w:r w:rsidRPr="00EF3982">
        <w:rPr>
          <w:i/>
          <w:iCs/>
          <w:noProof/>
          <w:szCs w:val="24"/>
        </w:rPr>
        <w:t>J Pediatr Hematol  Off J Am Soc Pediatr Hematol</w:t>
      </w:r>
      <w:r w:rsidR="00DF6E42">
        <w:rPr>
          <w:noProof/>
          <w:szCs w:val="24"/>
        </w:rPr>
        <w:t xml:space="preserve">. 2004;24(6):470-472. </w:t>
      </w:r>
    </w:p>
    <w:p w14:paraId="532EFCD3" w14:textId="42645C6A"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8. </w:t>
      </w:r>
      <w:r w:rsidRPr="00EF3982">
        <w:rPr>
          <w:noProof/>
          <w:szCs w:val="24"/>
        </w:rPr>
        <w:tab/>
        <w:t xml:space="preserve">Davies EG, Riddington C, Lottenberg R, Dower N. Pneumococcal vaccines for sickle cell disease. </w:t>
      </w:r>
      <w:r w:rsidRPr="00EF3982">
        <w:rPr>
          <w:i/>
          <w:iCs/>
          <w:noProof/>
          <w:szCs w:val="24"/>
        </w:rPr>
        <w:t>Cochrane Database Syst Rev</w:t>
      </w:r>
      <w:r w:rsidR="00DF6E42">
        <w:rPr>
          <w:noProof/>
          <w:szCs w:val="24"/>
        </w:rPr>
        <w:t xml:space="preserve">. 2004;(1):CD003885. </w:t>
      </w:r>
    </w:p>
    <w:p w14:paraId="4CA606E4" w14:textId="01EA6E8F"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9. </w:t>
      </w:r>
      <w:r w:rsidRPr="00EF3982">
        <w:rPr>
          <w:noProof/>
          <w:szCs w:val="24"/>
        </w:rPr>
        <w:tab/>
        <w:t xml:space="preserve">Black S, Shinefield H, Fireman B, et al. Efficacy, safety and immunogenicity of heptavalent pneumococcal conjugate vaccine in children. Northern California Kaiser Permanente Vaccine Study Center Group. </w:t>
      </w:r>
      <w:r w:rsidRPr="00EF3982">
        <w:rPr>
          <w:i/>
          <w:iCs/>
          <w:noProof/>
          <w:szCs w:val="24"/>
        </w:rPr>
        <w:t>Pediatr Infect Dis J</w:t>
      </w:r>
      <w:r w:rsidR="00DF6E42">
        <w:rPr>
          <w:noProof/>
          <w:szCs w:val="24"/>
        </w:rPr>
        <w:t xml:space="preserve">. 2000;19(3):187-195. </w:t>
      </w:r>
    </w:p>
    <w:p w14:paraId="18633A50" w14:textId="2DFFFEA7"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10. </w:t>
      </w:r>
      <w:r w:rsidRPr="00EF3982">
        <w:rPr>
          <w:noProof/>
          <w:szCs w:val="24"/>
        </w:rPr>
        <w:tab/>
        <w:t xml:space="preserve">Halasa NB, Shankar SM, Talbot TR, et al. Incidence of invasive pneumococcal disease among individuals with sickle cell disease before and after the introduction of the pneumococcal conjugate vaccine. </w:t>
      </w:r>
      <w:r w:rsidRPr="00EF3982">
        <w:rPr>
          <w:i/>
          <w:iCs/>
          <w:noProof/>
          <w:szCs w:val="24"/>
        </w:rPr>
        <w:t>Clin Infect Dis</w:t>
      </w:r>
      <w:r w:rsidRPr="00EF3982">
        <w:rPr>
          <w:noProof/>
          <w:szCs w:val="24"/>
        </w:rPr>
        <w:t>. 2007;44(11</w:t>
      </w:r>
      <w:r w:rsidR="00DF6E42">
        <w:rPr>
          <w:noProof/>
          <w:szCs w:val="24"/>
        </w:rPr>
        <w:t xml:space="preserve">):1428-1433. </w:t>
      </w:r>
    </w:p>
    <w:p w14:paraId="31C0CE9A" w14:textId="499CD474"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11. </w:t>
      </w:r>
      <w:r w:rsidRPr="00EF3982">
        <w:rPr>
          <w:noProof/>
          <w:szCs w:val="24"/>
        </w:rPr>
        <w:tab/>
        <w:t xml:space="preserve">Payne AB, Link-Gelles R, Azonobi I, et al. Invasive pneumococcal disease among children with and without sickle cell disease in the United States, 1998 to 2009. </w:t>
      </w:r>
      <w:r w:rsidRPr="00EF3982">
        <w:rPr>
          <w:i/>
          <w:iCs/>
          <w:noProof/>
          <w:szCs w:val="24"/>
        </w:rPr>
        <w:t>Pediatr Infect Dis J</w:t>
      </w:r>
      <w:r w:rsidR="00DF6E42">
        <w:rPr>
          <w:noProof/>
          <w:szCs w:val="24"/>
        </w:rPr>
        <w:t xml:space="preserve">. 2013;32(12):1308-1312. </w:t>
      </w:r>
    </w:p>
    <w:p w14:paraId="4CC2C4FC" w14:textId="49084991"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12. </w:t>
      </w:r>
      <w:r w:rsidRPr="00EF3982">
        <w:rPr>
          <w:noProof/>
          <w:szCs w:val="24"/>
        </w:rPr>
        <w:tab/>
        <w:t xml:space="preserve">Department of Health Planned changes to the routine Childhood Immunization Programme. </w:t>
      </w:r>
      <w:r w:rsidRPr="00EF3982">
        <w:rPr>
          <w:i/>
          <w:iCs/>
          <w:noProof/>
          <w:szCs w:val="24"/>
        </w:rPr>
        <w:t>http//www.dh.gov.uk/en/Publicationand Stat</w:t>
      </w:r>
      <w:r w:rsidRPr="00EF3982">
        <w:rPr>
          <w:noProof/>
          <w:szCs w:val="24"/>
        </w:rPr>
        <w:t>. 2012.</w:t>
      </w:r>
    </w:p>
    <w:p w14:paraId="670BC59F" w14:textId="0F25E27A"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13. </w:t>
      </w:r>
      <w:r w:rsidRPr="00EF3982">
        <w:rPr>
          <w:noProof/>
          <w:szCs w:val="24"/>
        </w:rPr>
        <w:tab/>
        <w:t xml:space="preserve">Miller E, Andrews NJ, Waight PA, Slack MPE, George RC. Herd immunity and serotype replacement 4 years after seven-valent pneumococcal conjugate vaccination in England and Wales: An observational cohort study. </w:t>
      </w:r>
      <w:r w:rsidRPr="00EF3982">
        <w:rPr>
          <w:i/>
          <w:iCs/>
          <w:noProof/>
          <w:szCs w:val="24"/>
        </w:rPr>
        <w:t>Lancet Infect Dis</w:t>
      </w:r>
      <w:r w:rsidR="00DF6E42">
        <w:rPr>
          <w:noProof/>
          <w:szCs w:val="24"/>
        </w:rPr>
        <w:t xml:space="preserve">. 2011;11(10):760-768. </w:t>
      </w:r>
    </w:p>
    <w:p w14:paraId="49A948F1" w14:textId="2A46ADA7"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14. </w:t>
      </w:r>
      <w:r w:rsidRPr="00EF3982">
        <w:rPr>
          <w:noProof/>
          <w:szCs w:val="24"/>
        </w:rPr>
        <w:tab/>
        <w:t xml:space="preserve">Waight PA, Andrews NJ, Ladhani SN, Sheppard CL, Slack MPE, Miller E. Effect of the 13-valent pneumococcal conjugate vaccine on invasive pneumococcal disease in England and Wales 4 years after its introduction: An observational cohort study. </w:t>
      </w:r>
      <w:r w:rsidRPr="00EF3982">
        <w:rPr>
          <w:i/>
          <w:iCs/>
          <w:noProof/>
          <w:szCs w:val="24"/>
        </w:rPr>
        <w:t>Lancet Infect Dis</w:t>
      </w:r>
      <w:r w:rsidR="00DF6E42">
        <w:rPr>
          <w:noProof/>
          <w:szCs w:val="24"/>
        </w:rPr>
        <w:t xml:space="preserve">. 2015;15(5):535-543. </w:t>
      </w:r>
    </w:p>
    <w:p w14:paraId="7E6019C4" w14:textId="5DFB20EE"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15. </w:t>
      </w:r>
      <w:r w:rsidRPr="00EF3982">
        <w:rPr>
          <w:noProof/>
          <w:szCs w:val="24"/>
        </w:rPr>
        <w:tab/>
        <w:t>Newborn Blood Spot Standards for newborn blood spot screening About the NHS Newborn Blood Spot Screening Programme. 2013;(August):1-32.</w:t>
      </w:r>
    </w:p>
    <w:p w14:paraId="47C97AB3" w14:textId="77777777"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16. </w:t>
      </w:r>
      <w:r w:rsidRPr="00EF3982">
        <w:rPr>
          <w:noProof/>
          <w:szCs w:val="24"/>
        </w:rPr>
        <w:tab/>
        <w:t xml:space="preserve">Survey of scope of neonatal screening in the United Kingdom (BMJ) Streetly, A., Grant, C, Pollitt, R.J, Addison, G.M. </w:t>
      </w:r>
      <w:r w:rsidRPr="00EF3982">
        <w:rPr>
          <w:i/>
          <w:iCs/>
          <w:noProof/>
          <w:szCs w:val="24"/>
        </w:rPr>
        <w:t>BMJ</w:t>
      </w:r>
      <w:r w:rsidRPr="00EF3982">
        <w:rPr>
          <w:noProof/>
          <w:szCs w:val="24"/>
        </w:rPr>
        <w:t>. 1995;311(7007):726.</w:t>
      </w:r>
    </w:p>
    <w:p w14:paraId="177500AB" w14:textId="0451BBD7"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17. </w:t>
      </w:r>
      <w:r w:rsidRPr="00EF3982">
        <w:rPr>
          <w:noProof/>
          <w:szCs w:val="24"/>
        </w:rPr>
        <w:tab/>
        <w:t xml:space="preserve">Telfer P, Coen P, Chakravorty S, et al. Clinical outcomes in children with sickle cell disease living in England: A neonatal cohort in East London. </w:t>
      </w:r>
      <w:r w:rsidRPr="00EF3982">
        <w:rPr>
          <w:i/>
          <w:iCs/>
          <w:noProof/>
          <w:szCs w:val="24"/>
        </w:rPr>
        <w:t>Haematologica</w:t>
      </w:r>
      <w:r w:rsidRPr="00EF3982">
        <w:rPr>
          <w:noProof/>
          <w:szCs w:val="24"/>
        </w:rPr>
        <w:t>. 2007;92(7):905-</w:t>
      </w:r>
      <w:r w:rsidR="00DF6E42">
        <w:rPr>
          <w:noProof/>
          <w:szCs w:val="24"/>
        </w:rPr>
        <w:t xml:space="preserve">912. </w:t>
      </w:r>
    </w:p>
    <w:p w14:paraId="7EA75937" w14:textId="77777777"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18. </w:t>
      </w:r>
      <w:r w:rsidRPr="00EF3982">
        <w:rPr>
          <w:noProof/>
          <w:szCs w:val="24"/>
        </w:rPr>
        <w:tab/>
        <w:t xml:space="preserve">NICE. Standards for the national screening programme and guidelines for the clinical care of children with sickle cell disease in England. </w:t>
      </w:r>
      <w:r w:rsidRPr="00EF3982">
        <w:rPr>
          <w:i/>
          <w:iCs/>
          <w:noProof/>
          <w:szCs w:val="24"/>
        </w:rPr>
        <w:t>https://www.gov.uk/./file/408961/1332-SC-Clinical-Standards-WEB.pdf</w:t>
      </w:r>
      <w:r w:rsidRPr="00EF3982">
        <w:rPr>
          <w:noProof/>
          <w:szCs w:val="24"/>
        </w:rPr>
        <w:t>. 2016.</w:t>
      </w:r>
    </w:p>
    <w:p w14:paraId="75167C8D" w14:textId="20D363F3"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19. </w:t>
      </w:r>
      <w:r w:rsidRPr="00EF3982">
        <w:rPr>
          <w:noProof/>
          <w:szCs w:val="24"/>
        </w:rPr>
        <w:tab/>
        <w:t xml:space="preserve">Ramsay M. </w:t>
      </w:r>
      <w:r w:rsidRPr="00EF3982">
        <w:rPr>
          <w:i/>
          <w:iCs/>
          <w:noProof/>
          <w:szCs w:val="24"/>
        </w:rPr>
        <w:t>Immunisation against Infectious Disease: The Green Book, Public Health England</w:t>
      </w:r>
      <w:r w:rsidRPr="00EF3982">
        <w:rPr>
          <w:noProof/>
          <w:szCs w:val="24"/>
        </w:rPr>
        <w:t xml:space="preserve">. </w:t>
      </w:r>
      <w:r w:rsidR="000F41DB" w:rsidRPr="00EF3982">
        <w:rPr>
          <w:noProof/>
          <w:szCs w:val="24"/>
        </w:rPr>
        <w:t>201</w:t>
      </w:r>
      <w:r w:rsidR="000F41DB">
        <w:rPr>
          <w:noProof/>
          <w:szCs w:val="24"/>
        </w:rPr>
        <w:t>7</w:t>
      </w:r>
      <w:r w:rsidRPr="00EF3982">
        <w:rPr>
          <w:noProof/>
          <w:szCs w:val="24"/>
        </w:rPr>
        <w:t>.</w:t>
      </w:r>
      <w:r w:rsidR="00D80079" w:rsidRPr="00D80079">
        <w:t xml:space="preserve"> </w:t>
      </w:r>
      <w:r w:rsidR="00D80079" w:rsidRPr="00D80079">
        <w:rPr>
          <w:noProof/>
          <w:szCs w:val="24"/>
        </w:rPr>
        <w:t>https://www.gov.uk/government/collections/immunisation-against-infectious-disease-the-green-book</w:t>
      </w:r>
      <w:r w:rsidRPr="00EF3982">
        <w:rPr>
          <w:noProof/>
          <w:szCs w:val="24"/>
        </w:rPr>
        <w:t>.</w:t>
      </w:r>
    </w:p>
    <w:p w14:paraId="7AB52AE0" w14:textId="649F73F4"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20. </w:t>
      </w:r>
      <w:r w:rsidRPr="00EF3982">
        <w:rPr>
          <w:noProof/>
          <w:szCs w:val="24"/>
        </w:rPr>
        <w:tab/>
        <w:t xml:space="preserve">Adamkiewicz T V, Silk BJ, Howgate J, et al. Effectiveness of the 7-valent pneumococcal conjugate vaccine in children with sickle cell disease in the first decade of life. </w:t>
      </w:r>
      <w:r w:rsidRPr="00EF3982">
        <w:rPr>
          <w:i/>
          <w:iCs/>
          <w:noProof/>
          <w:szCs w:val="24"/>
        </w:rPr>
        <w:t>Pediatrics</w:t>
      </w:r>
      <w:r w:rsidRPr="00EF3982">
        <w:rPr>
          <w:noProof/>
          <w:szCs w:val="24"/>
        </w:rPr>
        <w:t>. 2008;121(3):562-</w:t>
      </w:r>
      <w:r w:rsidR="00DF6E42">
        <w:rPr>
          <w:noProof/>
          <w:szCs w:val="24"/>
        </w:rPr>
        <w:t xml:space="preserve">569. </w:t>
      </w:r>
    </w:p>
    <w:p w14:paraId="133AC4BF" w14:textId="41FA63F4"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21. </w:t>
      </w:r>
      <w:r w:rsidRPr="00EF3982">
        <w:rPr>
          <w:noProof/>
          <w:szCs w:val="24"/>
        </w:rPr>
        <w:tab/>
        <w:t xml:space="preserve">McCavit TL, Quinn CT, Techasaensiri C, Rogers ZR. Increase in invasive Streptococcus pneumoniae infections in children with sickle cell disease since pneumococcal conjugate vaccine licensure. </w:t>
      </w:r>
      <w:r w:rsidRPr="00EF3982">
        <w:rPr>
          <w:i/>
          <w:iCs/>
          <w:noProof/>
          <w:szCs w:val="24"/>
        </w:rPr>
        <w:t>J Pediatr</w:t>
      </w:r>
      <w:r w:rsidRPr="00EF3982">
        <w:rPr>
          <w:noProof/>
          <w:szCs w:val="24"/>
        </w:rPr>
        <w:t>. 2011;158(3):505-</w:t>
      </w:r>
      <w:r w:rsidR="00DF6E42">
        <w:rPr>
          <w:noProof/>
          <w:szCs w:val="24"/>
        </w:rPr>
        <w:t xml:space="preserve">507. </w:t>
      </w:r>
    </w:p>
    <w:p w14:paraId="509A801E" w14:textId="77777777"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22. </w:t>
      </w:r>
      <w:r w:rsidRPr="00EF3982">
        <w:rPr>
          <w:noProof/>
          <w:szCs w:val="24"/>
        </w:rPr>
        <w:tab/>
        <w:t xml:space="preserve">Martin OO, Moquist KL, Hennessy JM NS. invasive pneumococcal disease in children with sickle cell disease in the pneumococcal conjugate vaccine era. </w:t>
      </w:r>
      <w:r w:rsidRPr="00EF3982">
        <w:rPr>
          <w:i/>
          <w:iCs/>
          <w:noProof/>
          <w:szCs w:val="24"/>
        </w:rPr>
        <w:t>Pediatr Blood Cancer</w:t>
      </w:r>
      <w:r w:rsidRPr="00EF3982">
        <w:rPr>
          <w:noProof/>
          <w:szCs w:val="24"/>
        </w:rPr>
        <w:t>. 2017.</w:t>
      </w:r>
    </w:p>
    <w:p w14:paraId="5231E998" w14:textId="4ED3E8E8"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23. </w:t>
      </w:r>
      <w:r w:rsidRPr="00EF3982">
        <w:rPr>
          <w:noProof/>
          <w:szCs w:val="24"/>
        </w:rPr>
        <w:tab/>
        <w:t xml:space="preserve">Navalkele P, Özgönenel B, McGrath E, Lephart P, Sarnaik S. Invasive Pneumococcal Disease in Patients With Sickle Cell Disease. </w:t>
      </w:r>
      <w:r w:rsidRPr="00EF3982">
        <w:rPr>
          <w:i/>
          <w:iCs/>
          <w:noProof/>
          <w:szCs w:val="24"/>
        </w:rPr>
        <w:t>J Pediatr Hematol Oncol</w:t>
      </w:r>
      <w:r w:rsidR="00DF6E42">
        <w:rPr>
          <w:noProof/>
          <w:szCs w:val="24"/>
        </w:rPr>
        <w:t xml:space="preserve">. 2017;0(0):1. </w:t>
      </w:r>
    </w:p>
    <w:p w14:paraId="5FDB5F3B" w14:textId="7B754530"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24. </w:t>
      </w:r>
      <w:r w:rsidRPr="00EF3982">
        <w:rPr>
          <w:noProof/>
          <w:szCs w:val="24"/>
        </w:rPr>
        <w:tab/>
        <w:t xml:space="preserve">Carter R, Wolf J, Van Opijnen T, et al. Genomic analyses of pneumococci from children with sickle cell disease expose host-specific bacterial adaptations and deficits in current interventions. </w:t>
      </w:r>
      <w:r w:rsidRPr="00EF3982">
        <w:rPr>
          <w:i/>
          <w:iCs/>
          <w:noProof/>
          <w:szCs w:val="24"/>
        </w:rPr>
        <w:t>Cell Host Microbe</w:t>
      </w:r>
      <w:r w:rsidRPr="00EF3982">
        <w:rPr>
          <w:noProof/>
          <w:szCs w:val="24"/>
        </w:rPr>
        <w:t>. 2014;15(5):587-599.</w:t>
      </w:r>
      <w:r w:rsidR="00DF6E42">
        <w:rPr>
          <w:noProof/>
          <w:szCs w:val="24"/>
        </w:rPr>
        <w:t xml:space="preserve"> </w:t>
      </w:r>
    </w:p>
    <w:p w14:paraId="7DE153AA" w14:textId="6FF051DF"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25. </w:t>
      </w:r>
      <w:r w:rsidRPr="00EF3982">
        <w:rPr>
          <w:noProof/>
          <w:szCs w:val="24"/>
        </w:rPr>
        <w:tab/>
        <w:t xml:space="preserve">Ladhani SN, Slack MPE, Andrews N, Waight P a., Borrow R, Miller E. Invasive pneumococcal disease after routine pneumococcal conjugate vaccination in children, England and Wales. </w:t>
      </w:r>
      <w:r w:rsidRPr="00EF3982">
        <w:rPr>
          <w:i/>
          <w:iCs/>
          <w:noProof/>
          <w:szCs w:val="24"/>
        </w:rPr>
        <w:t>Emerg Infect Dis</w:t>
      </w:r>
      <w:r w:rsidRPr="00EF3982">
        <w:rPr>
          <w:noProof/>
          <w:szCs w:val="24"/>
        </w:rPr>
        <w:t>. 2013;19(1):61</w:t>
      </w:r>
      <w:r w:rsidR="00DF6E42">
        <w:rPr>
          <w:noProof/>
          <w:szCs w:val="24"/>
        </w:rPr>
        <w:t xml:space="preserve">-68. </w:t>
      </w:r>
    </w:p>
    <w:p w14:paraId="48539CEA" w14:textId="68AE156D"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26. </w:t>
      </w:r>
      <w:r w:rsidRPr="00EF3982">
        <w:rPr>
          <w:noProof/>
          <w:szCs w:val="24"/>
        </w:rPr>
        <w:tab/>
        <w:t xml:space="preserve">Shinefield H, Black S, Ray P, Fireman B, Schwalbe J LE. Efficacy, immunogenicity and safety of heptavalent pneumococcal conjugate vaccine in low birth weight and preterm infants. </w:t>
      </w:r>
      <w:r w:rsidRPr="00EF3982">
        <w:rPr>
          <w:i/>
          <w:iCs/>
          <w:noProof/>
          <w:szCs w:val="24"/>
        </w:rPr>
        <w:t>Pediatr Infect Dis J</w:t>
      </w:r>
      <w:r w:rsidRPr="00EF3982">
        <w:rPr>
          <w:noProof/>
          <w:szCs w:val="24"/>
        </w:rPr>
        <w:t>. 2002;21(3):182-186.</w:t>
      </w:r>
    </w:p>
    <w:p w14:paraId="4AB79619" w14:textId="7978E09E"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27. </w:t>
      </w:r>
      <w:r w:rsidRPr="00EF3982">
        <w:rPr>
          <w:noProof/>
          <w:szCs w:val="24"/>
        </w:rPr>
        <w:tab/>
        <w:t xml:space="preserve">Borrow R, Heath PT SC. Use of pneumococcal polysaccharide vaccine in children: what is the evidence? </w:t>
      </w:r>
      <w:r w:rsidRPr="00EF3982">
        <w:rPr>
          <w:i/>
          <w:iCs/>
          <w:noProof/>
          <w:szCs w:val="24"/>
        </w:rPr>
        <w:t>Curr Opin Infect Dis</w:t>
      </w:r>
      <w:r w:rsidRPr="00EF3982">
        <w:rPr>
          <w:noProof/>
          <w:szCs w:val="24"/>
        </w:rPr>
        <w:t>. 2012;25(3):292-303.</w:t>
      </w:r>
    </w:p>
    <w:p w14:paraId="000615CD" w14:textId="77777777"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28. </w:t>
      </w:r>
      <w:r w:rsidRPr="00EF3982">
        <w:rPr>
          <w:noProof/>
          <w:szCs w:val="24"/>
        </w:rPr>
        <w:tab/>
        <w:t xml:space="preserve">Davies JM, Lewis MP, Wimperis J, Rafi I, Ladhani S B-MPBC for S in H. Review of guidelines for the prevention and treatment of infection in patients with an absent or dysfunctional spleen: prepared on behalf of the British Committee for Standards in Haematology by a working party of the Haemato-Oncology task force. </w:t>
      </w:r>
      <w:r w:rsidRPr="00EF3982">
        <w:rPr>
          <w:i/>
          <w:iCs/>
          <w:noProof/>
          <w:szCs w:val="24"/>
        </w:rPr>
        <w:t>Br J Haematol</w:t>
      </w:r>
      <w:r w:rsidRPr="00EF3982">
        <w:rPr>
          <w:noProof/>
          <w:szCs w:val="24"/>
        </w:rPr>
        <w:t>. 2011;155(3):308-317.</w:t>
      </w:r>
    </w:p>
    <w:p w14:paraId="047F0F5A" w14:textId="77777777"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29. </w:t>
      </w:r>
      <w:r w:rsidRPr="00EF3982">
        <w:rPr>
          <w:noProof/>
          <w:szCs w:val="24"/>
        </w:rPr>
        <w:tab/>
        <w:t xml:space="preserve">Berkovitch M, Papadouris D, Shaw D, Onuaha N, Dias C ON. Trying to improve compliance with prophylactic penicillin therapy in children with sickle cell disease. </w:t>
      </w:r>
      <w:r w:rsidRPr="00EF3982">
        <w:rPr>
          <w:i/>
          <w:iCs/>
          <w:noProof/>
          <w:szCs w:val="24"/>
        </w:rPr>
        <w:t>Br J Clin Pharmacol</w:t>
      </w:r>
      <w:r w:rsidRPr="00EF3982">
        <w:rPr>
          <w:noProof/>
          <w:szCs w:val="24"/>
        </w:rPr>
        <w:t>. 1998;45(6):605-607.</w:t>
      </w:r>
    </w:p>
    <w:p w14:paraId="197C93D1" w14:textId="66980EB3"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30. </w:t>
      </w:r>
      <w:r w:rsidRPr="00EF3982">
        <w:rPr>
          <w:noProof/>
          <w:szCs w:val="24"/>
        </w:rPr>
        <w:tab/>
        <w:t xml:space="preserve">Duncan NA, Kronenberger WG, Hampton KC, et al. A validated measure of adherence to antibiotic prophylaxis in children with sickle cell disease. </w:t>
      </w:r>
      <w:r w:rsidRPr="00EF3982">
        <w:rPr>
          <w:i/>
          <w:iCs/>
          <w:noProof/>
          <w:szCs w:val="24"/>
        </w:rPr>
        <w:t>Patient Prefer Adherence</w:t>
      </w:r>
      <w:r w:rsidRPr="00EF3982">
        <w:rPr>
          <w:noProof/>
          <w:szCs w:val="24"/>
        </w:rPr>
        <w:t>. 2016;10:9</w:t>
      </w:r>
      <w:r w:rsidR="00575B49">
        <w:rPr>
          <w:noProof/>
          <w:szCs w:val="24"/>
        </w:rPr>
        <w:t xml:space="preserve">83-992. </w:t>
      </w:r>
    </w:p>
    <w:p w14:paraId="5B3F68D3" w14:textId="2D4E0E6D"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31. </w:t>
      </w:r>
      <w:r w:rsidRPr="00EF3982">
        <w:rPr>
          <w:noProof/>
          <w:szCs w:val="24"/>
        </w:rPr>
        <w:tab/>
        <w:t>Elliott V, Morgan S, Day S, Mollerup LS W</w:t>
      </w:r>
      <w:r w:rsidR="00D80079">
        <w:rPr>
          <w:noProof/>
          <w:szCs w:val="24"/>
        </w:rPr>
        <w:t xml:space="preserve">ang </w:t>
      </w:r>
      <w:r w:rsidRPr="00EF3982">
        <w:rPr>
          <w:noProof/>
          <w:szCs w:val="24"/>
        </w:rPr>
        <w:t xml:space="preserve">W. Parental health beliefs and compliance with prophylactic penicillin administration in children with sickle cell disease. </w:t>
      </w:r>
      <w:r w:rsidRPr="00EF3982">
        <w:rPr>
          <w:i/>
          <w:iCs/>
          <w:noProof/>
          <w:szCs w:val="24"/>
        </w:rPr>
        <w:t>J Pediatr Hematol Oncol</w:t>
      </w:r>
      <w:r w:rsidRPr="00EF3982">
        <w:rPr>
          <w:noProof/>
          <w:szCs w:val="24"/>
        </w:rPr>
        <w:t>. 2001;23(2):112-116.</w:t>
      </w:r>
    </w:p>
    <w:p w14:paraId="2AA53B44" w14:textId="2216159F" w:rsidR="00EF3982" w:rsidRPr="00EF3982" w:rsidRDefault="00EF3982" w:rsidP="00EF3982">
      <w:pPr>
        <w:widowControl w:val="0"/>
        <w:autoSpaceDE w:val="0"/>
        <w:autoSpaceDN w:val="0"/>
        <w:adjustRightInd w:val="0"/>
        <w:spacing w:line="360" w:lineRule="auto"/>
        <w:ind w:left="640" w:hanging="640"/>
        <w:rPr>
          <w:noProof/>
          <w:szCs w:val="24"/>
        </w:rPr>
      </w:pPr>
      <w:r w:rsidRPr="00EF3982">
        <w:rPr>
          <w:noProof/>
          <w:szCs w:val="24"/>
        </w:rPr>
        <w:t xml:space="preserve">32. </w:t>
      </w:r>
      <w:r w:rsidRPr="00EF3982">
        <w:rPr>
          <w:noProof/>
          <w:szCs w:val="24"/>
        </w:rPr>
        <w:tab/>
      </w:r>
      <w:r w:rsidR="00D80079" w:rsidRPr="00D80079">
        <w:rPr>
          <w:noProof/>
          <w:szCs w:val="24"/>
        </w:rPr>
        <w:t xml:space="preserve">Henderson KL, Muller-Pebody B, Ladhani S, </w:t>
      </w:r>
      <w:r w:rsidR="00D80079">
        <w:rPr>
          <w:noProof/>
          <w:szCs w:val="24"/>
        </w:rPr>
        <w:t>et al</w:t>
      </w:r>
      <w:r w:rsidRPr="00EF3982">
        <w:rPr>
          <w:noProof/>
          <w:szCs w:val="24"/>
        </w:rPr>
        <w:t xml:space="preserve">. NICE on bacterial meningitis. Vancomycin may not be necessary. </w:t>
      </w:r>
      <w:r w:rsidR="00D80079" w:rsidRPr="00D80079">
        <w:rPr>
          <w:i/>
          <w:iCs/>
          <w:noProof/>
          <w:szCs w:val="24"/>
        </w:rPr>
        <w:t>BMJ. 2010 Aug 27;341:c4704. doi: 10.1136/bmj.c4704.</w:t>
      </w:r>
      <w:r w:rsidRPr="00EF3982">
        <w:rPr>
          <w:noProof/>
          <w:szCs w:val="24"/>
        </w:rPr>
        <w:t>.</w:t>
      </w:r>
    </w:p>
    <w:p w14:paraId="1FDF7473" w14:textId="77777777" w:rsidR="00EF3982" w:rsidRPr="00EF3982" w:rsidRDefault="00EF3982" w:rsidP="00EF3982">
      <w:pPr>
        <w:widowControl w:val="0"/>
        <w:autoSpaceDE w:val="0"/>
        <w:autoSpaceDN w:val="0"/>
        <w:adjustRightInd w:val="0"/>
        <w:spacing w:line="360" w:lineRule="auto"/>
        <w:ind w:left="640" w:hanging="640"/>
        <w:rPr>
          <w:noProof/>
        </w:rPr>
      </w:pPr>
      <w:r w:rsidRPr="00EF3982">
        <w:rPr>
          <w:noProof/>
          <w:szCs w:val="24"/>
        </w:rPr>
        <w:t xml:space="preserve">33. </w:t>
      </w:r>
      <w:r w:rsidRPr="00EF3982">
        <w:rPr>
          <w:noProof/>
          <w:szCs w:val="24"/>
        </w:rPr>
        <w:tab/>
        <w:t xml:space="preserve">Ladhani SN. The Story of Sisyphus: Why We Need a Universal Pneumococcal Vaccine to Replace Current Conjugate Vaccines. </w:t>
      </w:r>
      <w:r w:rsidRPr="00EF3982">
        <w:rPr>
          <w:i/>
          <w:iCs/>
          <w:noProof/>
          <w:szCs w:val="24"/>
        </w:rPr>
        <w:t>Clin Infect Dis</w:t>
      </w:r>
      <w:r w:rsidRPr="00EF3982">
        <w:rPr>
          <w:noProof/>
          <w:szCs w:val="24"/>
        </w:rPr>
        <w:t>. 2015.</w:t>
      </w:r>
    </w:p>
    <w:p w14:paraId="3D5C400F" w14:textId="7FDF82E3" w:rsidR="00457C0A" w:rsidRPr="00C4261A" w:rsidRDefault="00F656FD" w:rsidP="00C4261A">
      <w:pPr>
        <w:rPr>
          <w:rFonts w:ascii="Cambria" w:hAnsi="Cambria"/>
          <w:sz w:val="24"/>
          <w:szCs w:val="24"/>
          <w:lang w:val="en-US"/>
        </w:rPr>
        <w:sectPr w:rsidR="00457C0A" w:rsidRPr="00C4261A" w:rsidSect="00930570">
          <w:footerReference w:type="default" r:id="rId9"/>
          <w:pgSz w:w="11906" w:h="16838"/>
          <w:pgMar w:top="1440" w:right="1440" w:bottom="1440" w:left="1440" w:header="708" w:footer="708" w:gutter="0"/>
          <w:cols w:space="708"/>
          <w:docGrid w:linePitch="360"/>
        </w:sectPr>
      </w:pPr>
      <w:r w:rsidRPr="00D4276A">
        <w:fldChar w:fldCharType="end"/>
      </w:r>
    </w:p>
    <w:p w14:paraId="171266C7" w14:textId="444840F7" w:rsidR="00EA6E35" w:rsidRDefault="00023A26" w:rsidP="00023A26">
      <w:pPr>
        <w:rPr>
          <w:rFonts w:ascii="Cambria" w:hAnsi="Cambria"/>
          <w:b/>
          <w:bCs/>
          <w:sz w:val="24"/>
          <w:szCs w:val="24"/>
          <w:lang w:val="en-US"/>
        </w:rPr>
      </w:pPr>
      <w:r>
        <w:rPr>
          <w:rFonts w:ascii="Cambria" w:hAnsi="Cambria"/>
          <w:b/>
          <w:bCs/>
          <w:sz w:val="24"/>
          <w:szCs w:val="24"/>
          <w:lang w:val="en-US"/>
        </w:rPr>
        <w:t xml:space="preserve">Table 1: </w:t>
      </w:r>
      <w:r w:rsidR="00EA6E35">
        <w:rPr>
          <w:rFonts w:ascii="Cambria" w:hAnsi="Cambria"/>
          <w:b/>
          <w:bCs/>
          <w:sz w:val="24"/>
          <w:szCs w:val="24"/>
          <w:lang w:val="en-US"/>
        </w:rPr>
        <w:t xml:space="preserve">Characteristics of </w:t>
      </w:r>
      <w:r>
        <w:rPr>
          <w:rFonts w:ascii="Cambria" w:hAnsi="Cambria"/>
          <w:b/>
          <w:bCs/>
          <w:sz w:val="24"/>
          <w:szCs w:val="24"/>
          <w:lang w:val="en-US"/>
        </w:rPr>
        <w:t xml:space="preserve">Children with </w:t>
      </w:r>
      <w:r w:rsidR="00EA6E35">
        <w:rPr>
          <w:rFonts w:ascii="Cambria" w:hAnsi="Cambria"/>
          <w:b/>
          <w:bCs/>
          <w:sz w:val="24"/>
          <w:szCs w:val="24"/>
          <w:lang w:val="en-US"/>
        </w:rPr>
        <w:t xml:space="preserve">Sickle Cell </w:t>
      </w:r>
      <w:r w:rsidR="00BB20F6">
        <w:rPr>
          <w:rFonts w:ascii="Cambria" w:hAnsi="Cambria"/>
          <w:b/>
          <w:bCs/>
          <w:sz w:val="24"/>
          <w:szCs w:val="24"/>
          <w:lang w:val="en-US"/>
        </w:rPr>
        <w:t>Disease</w:t>
      </w:r>
      <w:r w:rsidR="0082003D">
        <w:rPr>
          <w:rFonts w:ascii="Cambria" w:hAnsi="Cambria"/>
          <w:b/>
          <w:bCs/>
          <w:sz w:val="24"/>
          <w:szCs w:val="24"/>
          <w:lang w:val="en-US"/>
        </w:rPr>
        <w:t xml:space="preserve"> (HbSS)</w:t>
      </w:r>
      <w:r w:rsidR="00BB20F6">
        <w:rPr>
          <w:rFonts w:ascii="Cambria" w:hAnsi="Cambria"/>
          <w:b/>
          <w:bCs/>
          <w:sz w:val="24"/>
          <w:szCs w:val="24"/>
          <w:lang w:val="en-US"/>
        </w:rPr>
        <w:t xml:space="preserve"> born</w:t>
      </w:r>
      <w:r w:rsidR="00EA6E35">
        <w:rPr>
          <w:rFonts w:ascii="Cambria" w:hAnsi="Cambria"/>
          <w:b/>
          <w:bCs/>
          <w:sz w:val="24"/>
          <w:szCs w:val="24"/>
          <w:lang w:val="en-US"/>
        </w:rPr>
        <w:t xml:space="preserve"> between 01 September 2010 and 31 August 2014</w:t>
      </w:r>
      <w:r w:rsidR="00FC2DC8">
        <w:rPr>
          <w:rFonts w:ascii="Cambria" w:hAnsi="Cambria"/>
          <w:b/>
          <w:bCs/>
          <w:sz w:val="24"/>
          <w:szCs w:val="24"/>
          <w:lang w:val="en-US"/>
        </w:rPr>
        <w:t xml:space="preserve"> </w:t>
      </w:r>
      <w:r w:rsidR="00EA6E35">
        <w:rPr>
          <w:rFonts w:ascii="Cambria" w:hAnsi="Cambria"/>
          <w:b/>
          <w:bCs/>
          <w:sz w:val="24"/>
          <w:szCs w:val="24"/>
          <w:lang w:val="en-US"/>
        </w:rPr>
        <w:t xml:space="preserve">who developed </w:t>
      </w:r>
      <w:r w:rsidR="00D80079">
        <w:rPr>
          <w:rFonts w:ascii="Cambria" w:hAnsi="Cambria"/>
          <w:b/>
          <w:bCs/>
          <w:sz w:val="24"/>
          <w:szCs w:val="24"/>
          <w:lang w:val="en-US"/>
        </w:rPr>
        <w:t>Invasive Pneumococcal Disease (</w:t>
      </w:r>
      <w:r w:rsidR="00EA6E35">
        <w:rPr>
          <w:rFonts w:ascii="Cambria" w:hAnsi="Cambria"/>
          <w:b/>
          <w:bCs/>
          <w:sz w:val="24"/>
          <w:szCs w:val="24"/>
          <w:lang w:val="en-US"/>
        </w:rPr>
        <w:t>IPD</w:t>
      </w:r>
      <w:r w:rsidR="00D80079">
        <w:rPr>
          <w:rFonts w:ascii="Cambria" w:hAnsi="Cambria"/>
          <w:b/>
          <w:bCs/>
          <w:sz w:val="24"/>
          <w:szCs w:val="24"/>
          <w:lang w:val="en-US"/>
        </w:rPr>
        <w:t>)</w:t>
      </w:r>
      <w:r w:rsidR="00EA6E35">
        <w:rPr>
          <w:rFonts w:ascii="Cambria" w:hAnsi="Cambria"/>
          <w:b/>
          <w:bCs/>
          <w:sz w:val="24"/>
          <w:szCs w:val="24"/>
          <w:lang w:val="en-US"/>
        </w:rPr>
        <w:t xml:space="preserve"> </w:t>
      </w:r>
      <w:r>
        <w:rPr>
          <w:rFonts w:ascii="Cambria" w:hAnsi="Cambria"/>
          <w:b/>
          <w:bCs/>
          <w:sz w:val="24"/>
          <w:szCs w:val="24"/>
          <w:lang w:val="en-US"/>
        </w:rPr>
        <w:t xml:space="preserve">in England and </w:t>
      </w:r>
      <w:r w:rsidR="00EA6E35">
        <w:rPr>
          <w:rFonts w:ascii="Cambria" w:hAnsi="Cambria"/>
          <w:b/>
          <w:bCs/>
          <w:sz w:val="24"/>
          <w:szCs w:val="24"/>
          <w:lang w:val="en-US"/>
        </w:rPr>
        <w:t xml:space="preserve">Wales between </w:t>
      </w:r>
      <w:r>
        <w:rPr>
          <w:rFonts w:ascii="Cambria" w:hAnsi="Cambria"/>
          <w:b/>
          <w:bCs/>
          <w:sz w:val="24"/>
          <w:szCs w:val="24"/>
          <w:lang w:val="en-US"/>
        </w:rPr>
        <w:t>Sept</w:t>
      </w:r>
      <w:r w:rsidR="00EA6E35">
        <w:rPr>
          <w:rFonts w:ascii="Cambria" w:hAnsi="Cambria"/>
          <w:b/>
          <w:bCs/>
          <w:sz w:val="24"/>
          <w:szCs w:val="24"/>
          <w:lang w:val="en-US"/>
        </w:rPr>
        <w:t>ember</w:t>
      </w:r>
      <w:r>
        <w:rPr>
          <w:rFonts w:ascii="Cambria" w:hAnsi="Cambria"/>
          <w:b/>
          <w:bCs/>
          <w:sz w:val="24"/>
          <w:szCs w:val="24"/>
          <w:lang w:val="en-US"/>
        </w:rPr>
        <w:t xml:space="preserve"> 2010 </w:t>
      </w:r>
      <w:r w:rsidR="00EA6E35">
        <w:rPr>
          <w:rFonts w:ascii="Cambria" w:hAnsi="Cambria"/>
          <w:b/>
          <w:bCs/>
          <w:sz w:val="24"/>
          <w:szCs w:val="24"/>
          <w:lang w:val="en-US"/>
        </w:rPr>
        <w:t>and</w:t>
      </w:r>
      <w:r>
        <w:rPr>
          <w:rFonts w:ascii="Cambria" w:hAnsi="Cambria"/>
          <w:b/>
          <w:bCs/>
          <w:sz w:val="24"/>
          <w:szCs w:val="24"/>
          <w:lang w:val="en-US"/>
        </w:rPr>
        <w:t xml:space="preserve"> 31 Dec</w:t>
      </w:r>
      <w:r w:rsidR="00EA6E35">
        <w:rPr>
          <w:rFonts w:ascii="Cambria" w:hAnsi="Cambria"/>
          <w:b/>
          <w:bCs/>
          <w:sz w:val="24"/>
          <w:szCs w:val="24"/>
          <w:lang w:val="en-US"/>
        </w:rPr>
        <w:t>ember</w:t>
      </w:r>
      <w:r>
        <w:rPr>
          <w:rFonts w:ascii="Cambria" w:hAnsi="Cambria"/>
          <w:b/>
          <w:bCs/>
          <w:sz w:val="24"/>
          <w:szCs w:val="24"/>
          <w:lang w:val="en-US"/>
        </w:rPr>
        <w:t xml:space="preserve"> 2015 </w:t>
      </w:r>
    </w:p>
    <w:p w14:paraId="37FDA647" w14:textId="77777777" w:rsidR="00023A26" w:rsidRPr="006B24B9" w:rsidRDefault="00023A26" w:rsidP="00023A26">
      <w:pPr>
        <w:rPr>
          <w:rFonts w:ascii="Cambria" w:hAnsi="Cambria"/>
          <w:b/>
          <w:bCs/>
          <w:sz w:val="24"/>
          <w:szCs w:val="24"/>
          <w:lang w:val="en-US"/>
        </w:rPr>
      </w:pPr>
    </w:p>
    <w:tbl>
      <w:tblPr>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142"/>
        <w:gridCol w:w="1200"/>
        <w:gridCol w:w="1200"/>
        <w:gridCol w:w="1200"/>
        <w:gridCol w:w="1200"/>
      </w:tblGrid>
      <w:tr w:rsidR="004D42DB" w:rsidRPr="00AC2A8D" w14:paraId="760C38D7" w14:textId="77777777" w:rsidTr="00271EED">
        <w:trPr>
          <w:trHeight w:val="300"/>
        </w:trPr>
        <w:tc>
          <w:tcPr>
            <w:tcW w:w="1556" w:type="dxa"/>
            <w:noWrap/>
            <w:hideMark/>
          </w:tcPr>
          <w:p w14:paraId="18E0BE4C" w14:textId="77777777" w:rsidR="00023A26" w:rsidRPr="00AC2A8D" w:rsidRDefault="0093252A" w:rsidP="00AC2A8D">
            <w:pPr>
              <w:spacing w:after="0" w:line="240" w:lineRule="auto"/>
              <w:rPr>
                <w:rFonts w:eastAsia="Times New Roman"/>
                <w:b/>
                <w:bCs/>
                <w:color w:val="000000"/>
                <w:lang w:eastAsia="en-GB"/>
              </w:rPr>
            </w:pPr>
            <w:r w:rsidRPr="00AC2A8D">
              <w:rPr>
                <w:rFonts w:eastAsia="Times New Roman"/>
                <w:b/>
                <w:bCs/>
                <w:color w:val="000000"/>
                <w:lang w:eastAsia="en-GB"/>
              </w:rPr>
              <w:t>C</w:t>
            </w:r>
            <w:r w:rsidR="00023A26" w:rsidRPr="00AC2A8D">
              <w:rPr>
                <w:rFonts w:eastAsia="Times New Roman"/>
                <w:b/>
                <w:bCs/>
                <w:color w:val="000000"/>
                <w:lang w:eastAsia="en-GB"/>
              </w:rPr>
              <w:t>haracteristics</w:t>
            </w:r>
          </w:p>
        </w:tc>
        <w:tc>
          <w:tcPr>
            <w:tcW w:w="2142" w:type="dxa"/>
            <w:noWrap/>
            <w:hideMark/>
          </w:tcPr>
          <w:p w14:paraId="00F12E8C" w14:textId="77777777" w:rsidR="00023A26" w:rsidRPr="00AC2A8D" w:rsidRDefault="00023A26" w:rsidP="00AC2A8D">
            <w:pPr>
              <w:spacing w:after="0" w:line="240" w:lineRule="auto"/>
              <w:rPr>
                <w:rFonts w:eastAsia="Times New Roman"/>
                <w:b/>
                <w:bCs/>
                <w:color w:val="000000"/>
                <w:lang w:eastAsia="en-GB"/>
              </w:rPr>
            </w:pPr>
          </w:p>
        </w:tc>
        <w:tc>
          <w:tcPr>
            <w:tcW w:w="1200" w:type="dxa"/>
            <w:noWrap/>
            <w:hideMark/>
          </w:tcPr>
          <w:p w14:paraId="3F936888" w14:textId="39FA44DF" w:rsidR="00023A26" w:rsidRPr="00AC2A8D" w:rsidRDefault="00682EE2" w:rsidP="00AC2A8D">
            <w:pPr>
              <w:spacing w:after="0" w:line="240" w:lineRule="auto"/>
              <w:rPr>
                <w:rFonts w:eastAsia="Times New Roman"/>
                <w:b/>
                <w:bCs/>
                <w:color w:val="000000"/>
                <w:lang w:eastAsia="en-GB"/>
              </w:rPr>
            </w:pPr>
            <w:r>
              <w:rPr>
                <w:rFonts w:eastAsia="Times New Roman"/>
                <w:b/>
                <w:bCs/>
                <w:color w:val="000000"/>
                <w:lang w:eastAsia="en-GB"/>
              </w:rPr>
              <w:t>0-12 months</w:t>
            </w:r>
          </w:p>
        </w:tc>
        <w:tc>
          <w:tcPr>
            <w:tcW w:w="1200" w:type="dxa"/>
            <w:noWrap/>
            <w:hideMark/>
          </w:tcPr>
          <w:p w14:paraId="151E01AD" w14:textId="568D3122" w:rsidR="00023A26" w:rsidRPr="00AC2A8D" w:rsidRDefault="00682EE2" w:rsidP="00AC2A8D">
            <w:pPr>
              <w:spacing w:after="0" w:line="240" w:lineRule="auto"/>
              <w:rPr>
                <w:rFonts w:eastAsia="Times New Roman"/>
                <w:b/>
                <w:bCs/>
                <w:color w:val="000000"/>
                <w:lang w:eastAsia="en-GB"/>
              </w:rPr>
            </w:pPr>
            <w:r>
              <w:rPr>
                <w:rFonts w:eastAsia="Times New Roman"/>
                <w:b/>
                <w:bCs/>
                <w:color w:val="000000"/>
                <w:lang w:eastAsia="en-GB"/>
              </w:rPr>
              <w:t>13-24 months</w:t>
            </w:r>
          </w:p>
        </w:tc>
        <w:tc>
          <w:tcPr>
            <w:tcW w:w="1200" w:type="dxa"/>
            <w:noWrap/>
            <w:hideMark/>
          </w:tcPr>
          <w:p w14:paraId="3B3307BD" w14:textId="51AC0FB4" w:rsidR="00023A26" w:rsidRPr="00AC2A8D" w:rsidRDefault="00F01578" w:rsidP="00AC2A8D">
            <w:pPr>
              <w:spacing w:after="0" w:line="240" w:lineRule="auto"/>
              <w:rPr>
                <w:rFonts w:eastAsia="Times New Roman"/>
                <w:b/>
                <w:bCs/>
                <w:color w:val="000000"/>
                <w:lang w:eastAsia="en-GB"/>
              </w:rPr>
            </w:pPr>
            <w:r>
              <w:rPr>
                <w:rFonts w:eastAsia="Times New Roman"/>
                <w:b/>
                <w:bCs/>
                <w:color w:val="000000"/>
                <w:lang w:eastAsia="en-GB"/>
              </w:rPr>
              <w:t>&gt;</w:t>
            </w:r>
            <w:r w:rsidR="00023A26" w:rsidRPr="00AC2A8D">
              <w:rPr>
                <w:rFonts w:eastAsia="Times New Roman"/>
                <w:b/>
                <w:bCs/>
                <w:color w:val="000000"/>
                <w:lang w:eastAsia="en-GB"/>
              </w:rPr>
              <w:t>2 years</w:t>
            </w:r>
          </w:p>
        </w:tc>
        <w:tc>
          <w:tcPr>
            <w:tcW w:w="1200" w:type="dxa"/>
            <w:noWrap/>
            <w:hideMark/>
          </w:tcPr>
          <w:p w14:paraId="2FBCB8D9" w14:textId="77777777" w:rsidR="00023A26" w:rsidRPr="00AC2A8D" w:rsidRDefault="00023A26" w:rsidP="00AC2A8D">
            <w:pPr>
              <w:spacing w:after="0" w:line="240" w:lineRule="auto"/>
              <w:rPr>
                <w:rFonts w:eastAsia="Times New Roman"/>
                <w:b/>
                <w:bCs/>
                <w:color w:val="000000"/>
                <w:lang w:eastAsia="en-GB"/>
              </w:rPr>
            </w:pPr>
            <w:r w:rsidRPr="00AC2A8D">
              <w:rPr>
                <w:rFonts w:eastAsia="Times New Roman"/>
                <w:b/>
                <w:bCs/>
                <w:color w:val="000000"/>
                <w:lang w:eastAsia="en-GB"/>
              </w:rPr>
              <w:t>Total</w:t>
            </w:r>
          </w:p>
        </w:tc>
      </w:tr>
      <w:tr w:rsidR="004D42DB" w:rsidRPr="00AC2A8D" w14:paraId="78FC9730" w14:textId="77777777" w:rsidTr="00271EED">
        <w:trPr>
          <w:trHeight w:val="300"/>
        </w:trPr>
        <w:tc>
          <w:tcPr>
            <w:tcW w:w="1556" w:type="dxa"/>
            <w:noWrap/>
            <w:hideMark/>
          </w:tcPr>
          <w:p w14:paraId="4DED9268" w14:textId="77777777" w:rsidR="00023A26" w:rsidRPr="00AC2A8D" w:rsidRDefault="00150EEF" w:rsidP="00AC2A8D">
            <w:pPr>
              <w:spacing w:after="0" w:line="240" w:lineRule="auto"/>
              <w:rPr>
                <w:rFonts w:eastAsia="Times New Roman"/>
                <w:color w:val="000000"/>
                <w:lang w:eastAsia="en-GB"/>
              </w:rPr>
            </w:pPr>
            <w:r w:rsidRPr="00AC2A8D">
              <w:rPr>
                <w:rFonts w:eastAsia="Times New Roman"/>
                <w:color w:val="000000"/>
                <w:lang w:eastAsia="en-GB"/>
              </w:rPr>
              <w:t>N</w:t>
            </w:r>
            <w:r w:rsidR="00EA6E35" w:rsidRPr="00AC2A8D">
              <w:rPr>
                <w:rFonts w:eastAsia="Times New Roman"/>
                <w:color w:val="000000"/>
                <w:lang w:eastAsia="en-GB"/>
              </w:rPr>
              <w:t xml:space="preserve"> (%)</w:t>
            </w:r>
          </w:p>
        </w:tc>
        <w:tc>
          <w:tcPr>
            <w:tcW w:w="2142" w:type="dxa"/>
            <w:noWrap/>
            <w:hideMark/>
          </w:tcPr>
          <w:p w14:paraId="2E1674D4" w14:textId="77777777" w:rsidR="00023A26" w:rsidRPr="00AC2A8D" w:rsidRDefault="00023A26" w:rsidP="00AC2A8D">
            <w:pPr>
              <w:spacing w:after="0" w:line="240" w:lineRule="auto"/>
              <w:rPr>
                <w:rFonts w:eastAsia="Times New Roman"/>
                <w:color w:val="000000"/>
                <w:lang w:eastAsia="en-GB"/>
              </w:rPr>
            </w:pPr>
          </w:p>
        </w:tc>
        <w:tc>
          <w:tcPr>
            <w:tcW w:w="1200" w:type="dxa"/>
            <w:noWrap/>
            <w:hideMark/>
          </w:tcPr>
          <w:p w14:paraId="2E8CA2B6"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4(36)</w:t>
            </w:r>
          </w:p>
        </w:tc>
        <w:tc>
          <w:tcPr>
            <w:tcW w:w="1200" w:type="dxa"/>
            <w:noWrap/>
            <w:hideMark/>
          </w:tcPr>
          <w:p w14:paraId="644AF4B6"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5(46)</w:t>
            </w:r>
          </w:p>
        </w:tc>
        <w:tc>
          <w:tcPr>
            <w:tcW w:w="1200" w:type="dxa"/>
            <w:noWrap/>
            <w:hideMark/>
          </w:tcPr>
          <w:p w14:paraId="2A9AC6BB"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2(18)</w:t>
            </w:r>
          </w:p>
        </w:tc>
        <w:tc>
          <w:tcPr>
            <w:tcW w:w="1200" w:type="dxa"/>
            <w:noWrap/>
            <w:hideMark/>
          </w:tcPr>
          <w:p w14:paraId="0EC6BAE5"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11(100)</w:t>
            </w:r>
          </w:p>
        </w:tc>
      </w:tr>
      <w:tr w:rsidR="004D42DB" w:rsidRPr="00AC2A8D" w14:paraId="477B4BCD" w14:textId="77777777" w:rsidTr="00271EED">
        <w:trPr>
          <w:trHeight w:val="300"/>
        </w:trPr>
        <w:tc>
          <w:tcPr>
            <w:tcW w:w="1556" w:type="dxa"/>
            <w:noWrap/>
            <w:hideMark/>
          </w:tcPr>
          <w:p w14:paraId="0D410EE4" w14:textId="77777777" w:rsidR="00023A26" w:rsidRPr="00AC2A8D" w:rsidRDefault="00023A26" w:rsidP="00AC2A8D">
            <w:pPr>
              <w:spacing w:after="0" w:line="240" w:lineRule="auto"/>
              <w:rPr>
                <w:rFonts w:eastAsia="Times New Roman"/>
                <w:b/>
                <w:bCs/>
                <w:color w:val="000000"/>
                <w:lang w:eastAsia="en-GB"/>
              </w:rPr>
            </w:pPr>
            <w:r w:rsidRPr="00AC2A8D">
              <w:rPr>
                <w:rFonts w:eastAsia="Times New Roman"/>
                <w:b/>
                <w:bCs/>
                <w:color w:val="000000"/>
                <w:lang w:eastAsia="en-GB"/>
              </w:rPr>
              <w:t>Sex</w:t>
            </w:r>
          </w:p>
        </w:tc>
        <w:tc>
          <w:tcPr>
            <w:tcW w:w="2142" w:type="dxa"/>
            <w:noWrap/>
            <w:hideMark/>
          </w:tcPr>
          <w:p w14:paraId="13E4FD73" w14:textId="77777777" w:rsidR="00023A26" w:rsidRPr="00AC2A8D" w:rsidRDefault="00023A26" w:rsidP="00AC2A8D">
            <w:pPr>
              <w:spacing w:after="0" w:line="240" w:lineRule="auto"/>
              <w:rPr>
                <w:rFonts w:eastAsia="Times New Roman"/>
                <w:b/>
                <w:bCs/>
                <w:color w:val="000000"/>
                <w:lang w:eastAsia="en-GB"/>
              </w:rPr>
            </w:pPr>
          </w:p>
        </w:tc>
        <w:tc>
          <w:tcPr>
            <w:tcW w:w="1200" w:type="dxa"/>
            <w:noWrap/>
            <w:hideMark/>
          </w:tcPr>
          <w:p w14:paraId="52DBD63B"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56B66AC7"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2F2B29DD"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25F1C766" w14:textId="77777777" w:rsidR="00023A26" w:rsidRPr="00AC2A8D" w:rsidRDefault="00023A26" w:rsidP="00AC2A8D">
            <w:pPr>
              <w:spacing w:after="0" w:line="240" w:lineRule="auto"/>
              <w:rPr>
                <w:rFonts w:ascii="Times New Roman" w:eastAsia="Times New Roman" w:hAnsi="Times New Roman"/>
                <w:sz w:val="20"/>
                <w:szCs w:val="20"/>
                <w:lang w:eastAsia="en-GB"/>
              </w:rPr>
            </w:pPr>
          </w:p>
        </w:tc>
      </w:tr>
      <w:tr w:rsidR="004D42DB" w:rsidRPr="00AC2A8D" w14:paraId="049D842F" w14:textId="77777777" w:rsidTr="00271EED">
        <w:trPr>
          <w:trHeight w:val="300"/>
        </w:trPr>
        <w:tc>
          <w:tcPr>
            <w:tcW w:w="1556" w:type="dxa"/>
            <w:noWrap/>
            <w:hideMark/>
          </w:tcPr>
          <w:p w14:paraId="6017D6B4"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2142" w:type="dxa"/>
            <w:noWrap/>
            <w:hideMark/>
          </w:tcPr>
          <w:p w14:paraId="0D94B26D"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Male</w:t>
            </w:r>
          </w:p>
        </w:tc>
        <w:tc>
          <w:tcPr>
            <w:tcW w:w="1200" w:type="dxa"/>
            <w:noWrap/>
            <w:hideMark/>
          </w:tcPr>
          <w:p w14:paraId="1C8DBCD1"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2(50)</w:t>
            </w:r>
          </w:p>
        </w:tc>
        <w:tc>
          <w:tcPr>
            <w:tcW w:w="1200" w:type="dxa"/>
            <w:noWrap/>
            <w:hideMark/>
          </w:tcPr>
          <w:p w14:paraId="049160C4"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3(60)</w:t>
            </w:r>
          </w:p>
        </w:tc>
        <w:tc>
          <w:tcPr>
            <w:tcW w:w="1200" w:type="dxa"/>
            <w:noWrap/>
            <w:hideMark/>
          </w:tcPr>
          <w:p w14:paraId="5839F394"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1(50)</w:t>
            </w:r>
          </w:p>
        </w:tc>
        <w:tc>
          <w:tcPr>
            <w:tcW w:w="1200" w:type="dxa"/>
            <w:noWrap/>
            <w:hideMark/>
          </w:tcPr>
          <w:p w14:paraId="42424D55"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6(55)</w:t>
            </w:r>
          </w:p>
        </w:tc>
      </w:tr>
      <w:tr w:rsidR="004D42DB" w:rsidRPr="00AC2A8D" w14:paraId="06C8B958" w14:textId="77777777" w:rsidTr="00271EED">
        <w:trPr>
          <w:trHeight w:val="300"/>
        </w:trPr>
        <w:tc>
          <w:tcPr>
            <w:tcW w:w="1556" w:type="dxa"/>
            <w:noWrap/>
            <w:hideMark/>
          </w:tcPr>
          <w:p w14:paraId="29E4AB6F" w14:textId="77777777" w:rsidR="00185412" w:rsidRPr="00AC2A8D" w:rsidRDefault="00185412" w:rsidP="00AC2A8D">
            <w:pPr>
              <w:spacing w:after="0" w:line="240" w:lineRule="auto"/>
              <w:rPr>
                <w:rFonts w:eastAsia="Times New Roman"/>
                <w:color w:val="000000"/>
                <w:lang w:eastAsia="en-GB"/>
              </w:rPr>
            </w:pPr>
            <w:r w:rsidRPr="00AC2A8D">
              <w:rPr>
                <w:rFonts w:eastAsia="Times New Roman"/>
                <w:b/>
                <w:bCs/>
                <w:color w:val="000000"/>
                <w:lang w:eastAsia="en-GB"/>
              </w:rPr>
              <w:t>Ethnicity</w:t>
            </w:r>
          </w:p>
        </w:tc>
        <w:tc>
          <w:tcPr>
            <w:tcW w:w="2142" w:type="dxa"/>
            <w:noWrap/>
            <w:hideMark/>
          </w:tcPr>
          <w:p w14:paraId="4491892E" w14:textId="77777777" w:rsidR="00185412" w:rsidRPr="00AC2A8D" w:rsidRDefault="00185412" w:rsidP="00AC2A8D">
            <w:pPr>
              <w:spacing w:after="0" w:line="240" w:lineRule="auto"/>
              <w:rPr>
                <w:rFonts w:eastAsia="Times New Roman"/>
                <w:color w:val="000000"/>
                <w:lang w:eastAsia="en-GB"/>
              </w:rPr>
            </w:pPr>
          </w:p>
        </w:tc>
        <w:tc>
          <w:tcPr>
            <w:tcW w:w="1200" w:type="dxa"/>
            <w:noWrap/>
            <w:hideMark/>
          </w:tcPr>
          <w:p w14:paraId="1E488AF8" w14:textId="77777777" w:rsidR="00185412" w:rsidRPr="00AC2A8D" w:rsidRDefault="00185412" w:rsidP="00AC2A8D">
            <w:pPr>
              <w:spacing w:after="0" w:line="240" w:lineRule="auto"/>
              <w:rPr>
                <w:rFonts w:eastAsia="Times New Roman"/>
                <w:color w:val="000000"/>
                <w:lang w:eastAsia="en-GB"/>
              </w:rPr>
            </w:pPr>
          </w:p>
        </w:tc>
        <w:tc>
          <w:tcPr>
            <w:tcW w:w="1200" w:type="dxa"/>
            <w:noWrap/>
            <w:hideMark/>
          </w:tcPr>
          <w:p w14:paraId="60081D17" w14:textId="77777777" w:rsidR="00185412" w:rsidRPr="00AC2A8D" w:rsidRDefault="00185412" w:rsidP="00AC2A8D">
            <w:pPr>
              <w:spacing w:after="0" w:line="240" w:lineRule="auto"/>
              <w:rPr>
                <w:rFonts w:eastAsia="Times New Roman"/>
                <w:color w:val="000000"/>
                <w:lang w:eastAsia="en-GB"/>
              </w:rPr>
            </w:pPr>
          </w:p>
        </w:tc>
        <w:tc>
          <w:tcPr>
            <w:tcW w:w="1200" w:type="dxa"/>
            <w:noWrap/>
            <w:hideMark/>
          </w:tcPr>
          <w:p w14:paraId="3250E2C2" w14:textId="77777777" w:rsidR="00185412" w:rsidRPr="00AC2A8D" w:rsidRDefault="00185412" w:rsidP="00AC2A8D">
            <w:pPr>
              <w:spacing w:after="0" w:line="240" w:lineRule="auto"/>
              <w:rPr>
                <w:rFonts w:eastAsia="Times New Roman"/>
                <w:color w:val="000000"/>
                <w:lang w:eastAsia="en-GB"/>
              </w:rPr>
            </w:pPr>
          </w:p>
        </w:tc>
        <w:tc>
          <w:tcPr>
            <w:tcW w:w="1200" w:type="dxa"/>
            <w:noWrap/>
            <w:hideMark/>
          </w:tcPr>
          <w:p w14:paraId="6417F96D" w14:textId="77777777" w:rsidR="00185412" w:rsidRPr="00AC2A8D" w:rsidRDefault="00185412" w:rsidP="00AC2A8D">
            <w:pPr>
              <w:spacing w:after="0" w:line="240" w:lineRule="auto"/>
              <w:rPr>
                <w:rFonts w:eastAsia="Times New Roman"/>
                <w:color w:val="000000"/>
                <w:lang w:eastAsia="en-GB"/>
              </w:rPr>
            </w:pPr>
          </w:p>
        </w:tc>
      </w:tr>
      <w:tr w:rsidR="004D42DB" w:rsidRPr="00AC2A8D" w14:paraId="4939B024" w14:textId="77777777" w:rsidTr="00271EED">
        <w:trPr>
          <w:trHeight w:val="300"/>
        </w:trPr>
        <w:tc>
          <w:tcPr>
            <w:tcW w:w="1556" w:type="dxa"/>
            <w:noWrap/>
            <w:hideMark/>
          </w:tcPr>
          <w:p w14:paraId="5D7B2A47" w14:textId="77777777" w:rsidR="00185412" w:rsidRPr="00AC2A8D" w:rsidRDefault="00185412" w:rsidP="00AC2A8D">
            <w:pPr>
              <w:spacing w:after="0" w:line="240" w:lineRule="auto"/>
              <w:rPr>
                <w:rFonts w:eastAsia="Times New Roman"/>
                <w:color w:val="000000"/>
                <w:lang w:eastAsia="en-GB"/>
              </w:rPr>
            </w:pPr>
          </w:p>
        </w:tc>
        <w:tc>
          <w:tcPr>
            <w:tcW w:w="2142" w:type="dxa"/>
            <w:noWrap/>
            <w:hideMark/>
          </w:tcPr>
          <w:p w14:paraId="5911C04E"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African</w:t>
            </w:r>
          </w:p>
        </w:tc>
        <w:tc>
          <w:tcPr>
            <w:tcW w:w="1200" w:type="dxa"/>
            <w:noWrap/>
            <w:hideMark/>
          </w:tcPr>
          <w:p w14:paraId="190B5A5D"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3(75)</w:t>
            </w:r>
          </w:p>
        </w:tc>
        <w:tc>
          <w:tcPr>
            <w:tcW w:w="1200" w:type="dxa"/>
            <w:noWrap/>
            <w:hideMark/>
          </w:tcPr>
          <w:p w14:paraId="63965615"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3(60)</w:t>
            </w:r>
          </w:p>
        </w:tc>
        <w:tc>
          <w:tcPr>
            <w:tcW w:w="1200" w:type="dxa"/>
            <w:noWrap/>
            <w:hideMark/>
          </w:tcPr>
          <w:p w14:paraId="19715B97"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1(50)</w:t>
            </w:r>
          </w:p>
        </w:tc>
        <w:tc>
          <w:tcPr>
            <w:tcW w:w="1200" w:type="dxa"/>
            <w:noWrap/>
            <w:hideMark/>
          </w:tcPr>
          <w:p w14:paraId="2CD38247"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7(64)</w:t>
            </w:r>
          </w:p>
        </w:tc>
      </w:tr>
      <w:tr w:rsidR="004D42DB" w:rsidRPr="00AC2A8D" w14:paraId="1C3D6F21" w14:textId="77777777" w:rsidTr="00271EED">
        <w:trPr>
          <w:trHeight w:val="300"/>
        </w:trPr>
        <w:tc>
          <w:tcPr>
            <w:tcW w:w="1556" w:type="dxa"/>
            <w:noWrap/>
            <w:hideMark/>
          </w:tcPr>
          <w:p w14:paraId="45272075" w14:textId="77777777" w:rsidR="00185412" w:rsidRPr="00AC2A8D" w:rsidRDefault="00185412" w:rsidP="00AC2A8D">
            <w:pPr>
              <w:spacing w:after="0" w:line="240" w:lineRule="auto"/>
              <w:rPr>
                <w:rFonts w:eastAsia="Times New Roman"/>
                <w:b/>
                <w:bCs/>
                <w:color w:val="000000"/>
                <w:lang w:eastAsia="en-GB"/>
              </w:rPr>
            </w:pPr>
          </w:p>
        </w:tc>
        <w:tc>
          <w:tcPr>
            <w:tcW w:w="2142" w:type="dxa"/>
            <w:noWrap/>
            <w:hideMark/>
          </w:tcPr>
          <w:p w14:paraId="0914F802" w14:textId="77777777" w:rsidR="00185412" w:rsidRPr="00AC2A8D" w:rsidRDefault="00185412" w:rsidP="00AC2A8D">
            <w:pPr>
              <w:spacing w:after="0" w:line="240" w:lineRule="auto"/>
              <w:rPr>
                <w:rFonts w:eastAsia="Times New Roman"/>
                <w:b/>
                <w:bCs/>
                <w:color w:val="000000"/>
                <w:lang w:eastAsia="en-GB"/>
              </w:rPr>
            </w:pPr>
            <w:r w:rsidRPr="00AC2A8D">
              <w:rPr>
                <w:rFonts w:eastAsia="Times New Roman"/>
                <w:color w:val="000000"/>
                <w:lang w:eastAsia="en-GB"/>
              </w:rPr>
              <w:t>Caribbean</w:t>
            </w:r>
          </w:p>
        </w:tc>
        <w:tc>
          <w:tcPr>
            <w:tcW w:w="1200" w:type="dxa"/>
            <w:noWrap/>
            <w:hideMark/>
          </w:tcPr>
          <w:p w14:paraId="047B0D7E" w14:textId="77777777" w:rsidR="00185412" w:rsidRPr="00AC2A8D" w:rsidRDefault="00185412" w:rsidP="00AC2A8D">
            <w:pPr>
              <w:spacing w:after="0" w:line="240" w:lineRule="auto"/>
              <w:rPr>
                <w:rFonts w:ascii="Times New Roman" w:eastAsia="Times New Roman" w:hAnsi="Times New Roman"/>
                <w:sz w:val="20"/>
                <w:szCs w:val="20"/>
                <w:lang w:eastAsia="en-GB"/>
              </w:rPr>
            </w:pPr>
            <w:r w:rsidRPr="00AC2A8D">
              <w:rPr>
                <w:rFonts w:eastAsia="Times New Roman"/>
                <w:color w:val="000000"/>
                <w:lang w:eastAsia="en-GB"/>
              </w:rPr>
              <w:t>1(25)</w:t>
            </w:r>
          </w:p>
        </w:tc>
        <w:tc>
          <w:tcPr>
            <w:tcW w:w="1200" w:type="dxa"/>
            <w:noWrap/>
            <w:hideMark/>
          </w:tcPr>
          <w:p w14:paraId="7FC1470D" w14:textId="77777777" w:rsidR="00185412" w:rsidRPr="00AC2A8D" w:rsidRDefault="00185412" w:rsidP="00AC2A8D">
            <w:pPr>
              <w:spacing w:after="0" w:line="240" w:lineRule="auto"/>
              <w:rPr>
                <w:rFonts w:ascii="Times New Roman" w:eastAsia="Times New Roman" w:hAnsi="Times New Roman"/>
                <w:sz w:val="20"/>
                <w:szCs w:val="20"/>
                <w:lang w:eastAsia="en-GB"/>
              </w:rPr>
            </w:pPr>
            <w:r w:rsidRPr="00AC2A8D">
              <w:rPr>
                <w:rFonts w:eastAsia="Times New Roman"/>
                <w:color w:val="000000"/>
                <w:lang w:eastAsia="en-GB"/>
              </w:rPr>
              <w:t>1(20)</w:t>
            </w:r>
          </w:p>
        </w:tc>
        <w:tc>
          <w:tcPr>
            <w:tcW w:w="1200" w:type="dxa"/>
            <w:noWrap/>
            <w:hideMark/>
          </w:tcPr>
          <w:p w14:paraId="34CFCB57" w14:textId="77777777" w:rsidR="00185412" w:rsidRPr="00AC2A8D" w:rsidRDefault="00185412" w:rsidP="00AC2A8D">
            <w:pPr>
              <w:spacing w:after="0" w:line="240" w:lineRule="auto"/>
              <w:rPr>
                <w:rFonts w:ascii="Times New Roman" w:eastAsia="Times New Roman" w:hAnsi="Times New Roman"/>
                <w:sz w:val="20"/>
                <w:szCs w:val="20"/>
                <w:lang w:eastAsia="en-GB"/>
              </w:rPr>
            </w:pPr>
            <w:r w:rsidRPr="00AC2A8D">
              <w:rPr>
                <w:rFonts w:eastAsia="Times New Roman"/>
                <w:color w:val="000000"/>
                <w:lang w:eastAsia="en-GB"/>
              </w:rPr>
              <w:t>0(0)</w:t>
            </w:r>
          </w:p>
        </w:tc>
        <w:tc>
          <w:tcPr>
            <w:tcW w:w="1200" w:type="dxa"/>
            <w:noWrap/>
            <w:hideMark/>
          </w:tcPr>
          <w:p w14:paraId="22B887C6" w14:textId="77777777" w:rsidR="00185412" w:rsidRPr="00AC2A8D" w:rsidRDefault="00185412" w:rsidP="00AC2A8D">
            <w:pPr>
              <w:spacing w:after="0" w:line="240" w:lineRule="auto"/>
              <w:rPr>
                <w:rFonts w:ascii="Times New Roman" w:eastAsia="Times New Roman" w:hAnsi="Times New Roman"/>
                <w:sz w:val="20"/>
                <w:szCs w:val="20"/>
                <w:lang w:eastAsia="en-GB"/>
              </w:rPr>
            </w:pPr>
            <w:r w:rsidRPr="00AC2A8D">
              <w:rPr>
                <w:rFonts w:eastAsia="Times New Roman"/>
                <w:color w:val="000000"/>
                <w:lang w:eastAsia="en-GB"/>
              </w:rPr>
              <w:t>2(18)</w:t>
            </w:r>
          </w:p>
        </w:tc>
      </w:tr>
      <w:tr w:rsidR="00C4261A" w:rsidRPr="00AC2A8D" w14:paraId="73AB8E17" w14:textId="77777777" w:rsidTr="00271EED">
        <w:trPr>
          <w:trHeight w:val="300"/>
        </w:trPr>
        <w:tc>
          <w:tcPr>
            <w:tcW w:w="1556" w:type="dxa"/>
            <w:tcBorders>
              <w:top w:val="single" w:sz="4" w:space="0" w:color="auto"/>
              <w:left w:val="single" w:sz="4" w:space="0" w:color="auto"/>
              <w:bottom w:val="single" w:sz="4" w:space="0" w:color="auto"/>
              <w:right w:val="single" w:sz="4" w:space="0" w:color="auto"/>
            </w:tcBorders>
            <w:noWrap/>
            <w:hideMark/>
          </w:tcPr>
          <w:p w14:paraId="7BDD014D" w14:textId="77777777" w:rsidR="00C4261A" w:rsidRPr="00C4261A" w:rsidRDefault="00C4261A" w:rsidP="00C4261A">
            <w:pPr>
              <w:spacing w:after="0" w:line="240" w:lineRule="auto"/>
              <w:rPr>
                <w:rFonts w:eastAsia="Times New Roman"/>
                <w:b/>
                <w:bCs/>
                <w:color w:val="000000"/>
                <w:lang w:eastAsia="en-GB"/>
              </w:rPr>
            </w:pPr>
          </w:p>
        </w:tc>
        <w:tc>
          <w:tcPr>
            <w:tcW w:w="2142" w:type="dxa"/>
            <w:tcBorders>
              <w:top w:val="single" w:sz="4" w:space="0" w:color="auto"/>
              <w:left w:val="single" w:sz="4" w:space="0" w:color="auto"/>
              <w:bottom w:val="single" w:sz="4" w:space="0" w:color="auto"/>
              <w:right w:val="single" w:sz="4" w:space="0" w:color="auto"/>
            </w:tcBorders>
            <w:noWrap/>
            <w:hideMark/>
          </w:tcPr>
          <w:p w14:paraId="6887EFA4" w14:textId="16F831B9" w:rsidR="00C4261A" w:rsidRPr="00AC2A8D" w:rsidRDefault="00C4261A" w:rsidP="00C4261A">
            <w:pPr>
              <w:spacing w:after="0" w:line="240" w:lineRule="auto"/>
              <w:rPr>
                <w:rFonts w:eastAsia="Times New Roman"/>
                <w:color w:val="000000"/>
                <w:lang w:eastAsia="en-GB"/>
              </w:rPr>
            </w:pPr>
            <w:r w:rsidRPr="00AC2A8D">
              <w:rPr>
                <w:rFonts w:eastAsia="Times New Roman"/>
                <w:color w:val="000000"/>
                <w:lang w:eastAsia="en-GB"/>
              </w:rPr>
              <w:t>Mixed</w:t>
            </w:r>
            <w:r w:rsidR="00271EED">
              <w:rPr>
                <w:rFonts w:eastAsia="Times New Roman"/>
                <w:color w:val="000000"/>
                <w:lang w:eastAsia="en-GB"/>
              </w:rPr>
              <w:t xml:space="preserve"> white/African</w:t>
            </w:r>
          </w:p>
        </w:tc>
        <w:tc>
          <w:tcPr>
            <w:tcW w:w="1200" w:type="dxa"/>
            <w:tcBorders>
              <w:top w:val="single" w:sz="4" w:space="0" w:color="auto"/>
              <w:left w:val="single" w:sz="4" w:space="0" w:color="auto"/>
              <w:bottom w:val="single" w:sz="4" w:space="0" w:color="auto"/>
              <w:right w:val="single" w:sz="4" w:space="0" w:color="auto"/>
            </w:tcBorders>
            <w:noWrap/>
            <w:hideMark/>
          </w:tcPr>
          <w:p w14:paraId="42014C68" w14:textId="77777777" w:rsidR="00C4261A" w:rsidRPr="00AC2A8D" w:rsidRDefault="00C4261A" w:rsidP="00C4261A">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tcBorders>
              <w:top w:val="single" w:sz="4" w:space="0" w:color="auto"/>
              <w:left w:val="single" w:sz="4" w:space="0" w:color="auto"/>
              <w:bottom w:val="single" w:sz="4" w:space="0" w:color="auto"/>
              <w:right w:val="single" w:sz="4" w:space="0" w:color="auto"/>
            </w:tcBorders>
            <w:noWrap/>
            <w:hideMark/>
          </w:tcPr>
          <w:p w14:paraId="46DD05DA" w14:textId="77777777" w:rsidR="00C4261A" w:rsidRPr="00AC2A8D" w:rsidRDefault="00C4261A" w:rsidP="00C4261A">
            <w:pPr>
              <w:spacing w:after="0" w:line="240" w:lineRule="auto"/>
              <w:rPr>
                <w:rFonts w:eastAsia="Times New Roman"/>
                <w:color w:val="000000"/>
                <w:lang w:eastAsia="en-GB"/>
              </w:rPr>
            </w:pPr>
            <w:r w:rsidRPr="00AC2A8D">
              <w:rPr>
                <w:rFonts w:eastAsia="Times New Roman"/>
                <w:color w:val="000000"/>
                <w:lang w:eastAsia="en-GB"/>
              </w:rPr>
              <w:t>1(20)</w:t>
            </w:r>
          </w:p>
        </w:tc>
        <w:tc>
          <w:tcPr>
            <w:tcW w:w="1200" w:type="dxa"/>
            <w:tcBorders>
              <w:top w:val="single" w:sz="4" w:space="0" w:color="auto"/>
              <w:left w:val="single" w:sz="4" w:space="0" w:color="auto"/>
              <w:bottom w:val="single" w:sz="4" w:space="0" w:color="auto"/>
              <w:right w:val="single" w:sz="4" w:space="0" w:color="auto"/>
            </w:tcBorders>
            <w:noWrap/>
            <w:hideMark/>
          </w:tcPr>
          <w:p w14:paraId="28364E65" w14:textId="77777777" w:rsidR="00C4261A" w:rsidRPr="00AC2A8D" w:rsidRDefault="00C4261A" w:rsidP="00C4261A">
            <w:pPr>
              <w:spacing w:after="0" w:line="240" w:lineRule="auto"/>
              <w:rPr>
                <w:rFonts w:eastAsia="Times New Roman"/>
                <w:color w:val="000000"/>
                <w:lang w:eastAsia="en-GB"/>
              </w:rPr>
            </w:pPr>
            <w:r w:rsidRPr="00AC2A8D">
              <w:rPr>
                <w:rFonts w:eastAsia="Times New Roman"/>
                <w:color w:val="000000"/>
                <w:lang w:eastAsia="en-GB"/>
              </w:rPr>
              <w:t>1(50)</w:t>
            </w:r>
          </w:p>
        </w:tc>
        <w:tc>
          <w:tcPr>
            <w:tcW w:w="1200" w:type="dxa"/>
            <w:tcBorders>
              <w:top w:val="single" w:sz="4" w:space="0" w:color="auto"/>
              <w:left w:val="single" w:sz="4" w:space="0" w:color="auto"/>
              <w:bottom w:val="single" w:sz="4" w:space="0" w:color="auto"/>
              <w:right w:val="single" w:sz="4" w:space="0" w:color="auto"/>
            </w:tcBorders>
            <w:noWrap/>
            <w:hideMark/>
          </w:tcPr>
          <w:p w14:paraId="466A3622" w14:textId="77777777" w:rsidR="00C4261A" w:rsidRPr="00AC2A8D" w:rsidRDefault="00C4261A" w:rsidP="00C4261A">
            <w:pPr>
              <w:spacing w:after="0" w:line="240" w:lineRule="auto"/>
              <w:rPr>
                <w:rFonts w:eastAsia="Times New Roman"/>
                <w:color w:val="000000"/>
                <w:lang w:eastAsia="en-GB"/>
              </w:rPr>
            </w:pPr>
            <w:r w:rsidRPr="00AC2A8D">
              <w:rPr>
                <w:rFonts w:eastAsia="Times New Roman"/>
                <w:color w:val="000000"/>
                <w:lang w:eastAsia="en-GB"/>
              </w:rPr>
              <w:t>2(18)</w:t>
            </w:r>
          </w:p>
        </w:tc>
      </w:tr>
      <w:tr w:rsidR="004D42DB" w:rsidRPr="00AC2A8D" w14:paraId="1517BC78" w14:textId="77777777" w:rsidTr="00271EED">
        <w:trPr>
          <w:trHeight w:val="300"/>
        </w:trPr>
        <w:tc>
          <w:tcPr>
            <w:tcW w:w="1556" w:type="dxa"/>
            <w:noWrap/>
            <w:hideMark/>
          </w:tcPr>
          <w:p w14:paraId="1776FD19" w14:textId="77777777" w:rsidR="00023A26" w:rsidRPr="00AC2A8D" w:rsidRDefault="00023A26" w:rsidP="00AC2A8D">
            <w:pPr>
              <w:spacing w:after="0" w:line="240" w:lineRule="auto"/>
              <w:rPr>
                <w:rFonts w:eastAsia="Times New Roman"/>
                <w:b/>
                <w:bCs/>
                <w:color w:val="000000"/>
                <w:lang w:eastAsia="en-GB"/>
              </w:rPr>
            </w:pPr>
            <w:r w:rsidRPr="00AC2A8D">
              <w:rPr>
                <w:rFonts w:eastAsia="Times New Roman"/>
                <w:b/>
                <w:bCs/>
                <w:color w:val="000000"/>
                <w:lang w:eastAsia="en-GB"/>
              </w:rPr>
              <w:t>Comorbidity</w:t>
            </w:r>
          </w:p>
        </w:tc>
        <w:tc>
          <w:tcPr>
            <w:tcW w:w="2142" w:type="dxa"/>
            <w:noWrap/>
            <w:hideMark/>
          </w:tcPr>
          <w:p w14:paraId="4AD85B8F" w14:textId="77777777" w:rsidR="00023A26" w:rsidRPr="00AC2A8D" w:rsidRDefault="00023A26" w:rsidP="00AC2A8D">
            <w:pPr>
              <w:spacing w:after="0" w:line="240" w:lineRule="auto"/>
              <w:rPr>
                <w:rFonts w:eastAsia="Times New Roman"/>
                <w:b/>
                <w:bCs/>
                <w:color w:val="000000"/>
                <w:lang w:eastAsia="en-GB"/>
              </w:rPr>
            </w:pPr>
          </w:p>
        </w:tc>
        <w:tc>
          <w:tcPr>
            <w:tcW w:w="1200" w:type="dxa"/>
            <w:noWrap/>
            <w:hideMark/>
          </w:tcPr>
          <w:p w14:paraId="693D4E9E"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6FFE0326"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7ECBBD64"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692D9771" w14:textId="77777777" w:rsidR="00023A26" w:rsidRPr="00AC2A8D" w:rsidRDefault="00023A26" w:rsidP="00AC2A8D">
            <w:pPr>
              <w:spacing w:after="0" w:line="240" w:lineRule="auto"/>
              <w:rPr>
                <w:rFonts w:ascii="Times New Roman" w:eastAsia="Times New Roman" w:hAnsi="Times New Roman"/>
                <w:sz w:val="20"/>
                <w:szCs w:val="20"/>
                <w:lang w:eastAsia="en-GB"/>
              </w:rPr>
            </w:pPr>
          </w:p>
        </w:tc>
      </w:tr>
      <w:tr w:rsidR="004D42DB" w:rsidRPr="00AC2A8D" w14:paraId="028989E4" w14:textId="77777777" w:rsidTr="00271EED">
        <w:trPr>
          <w:trHeight w:val="300"/>
        </w:trPr>
        <w:tc>
          <w:tcPr>
            <w:tcW w:w="1556" w:type="dxa"/>
            <w:noWrap/>
            <w:hideMark/>
          </w:tcPr>
          <w:p w14:paraId="4AA60915"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2142" w:type="dxa"/>
            <w:noWrap/>
            <w:hideMark/>
          </w:tcPr>
          <w:p w14:paraId="5EB73B07"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Prematurity</w:t>
            </w:r>
          </w:p>
        </w:tc>
        <w:tc>
          <w:tcPr>
            <w:tcW w:w="1200" w:type="dxa"/>
            <w:noWrap/>
            <w:hideMark/>
          </w:tcPr>
          <w:p w14:paraId="36605190"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1(25)</w:t>
            </w:r>
          </w:p>
        </w:tc>
        <w:tc>
          <w:tcPr>
            <w:tcW w:w="1200" w:type="dxa"/>
            <w:noWrap/>
            <w:hideMark/>
          </w:tcPr>
          <w:p w14:paraId="2825C8DF"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2(40)</w:t>
            </w:r>
          </w:p>
        </w:tc>
        <w:tc>
          <w:tcPr>
            <w:tcW w:w="1200" w:type="dxa"/>
            <w:noWrap/>
            <w:hideMark/>
          </w:tcPr>
          <w:p w14:paraId="4C97D865"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78557C2C"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3(27)</w:t>
            </w:r>
          </w:p>
        </w:tc>
      </w:tr>
      <w:tr w:rsidR="004D42DB" w:rsidRPr="00AC2A8D" w14:paraId="5FEA7B22" w14:textId="77777777" w:rsidTr="00271EED">
        <w:trPr>
          <w:trHeight w:val="300"/>
        </w:trPr>
        <w:tc>
          <w:tcPr>
            <w:tcW w:w="1556" w:type="dxa"/>
            <w:noWrap/>
            <w:hideMark/>
          </w:tcPr>
          <w:p w14:paraId="717BA480" w14:textId="77777777" w:rsidR="00023A26" w:rsidRPr="00AC2A8D" w:rsidRDefault="00023A26" w:rsidP="00AC2A8D">
            <w:pPr>
              <w:spacing w:after="0" w:line="240" w:lineRule="auto"/>
              <w:rPr>
                <w:rFonts w:eastAsia="Times New Roman"/>
                <w:color w:val="000000"/>
                <w:lang w:eastAsia="en-GB"/>
              </w:rPr>
            </w:pPr>
          </w:p>
        </w:tc>
        <w:tc>
          <w:tcPr>
            <w:tcW w:w="2142" w:type="dxa"/>
            <w:noWrap/>
            <w:hideMark/>
          </w:tcPr>
          <w:p w14:paraId="2F62B6F1"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Others</w:t>
            </w:r>
          </w:p>
        </w:tc>
        <w:tc>
          <w:tcPr>
            <w:tcW w:w="1200" w:type="dxa"/>
            <w:noWrap/>
            <w:hideMark/>
          </w:tcPr>
          <w:p w14:paraId="79111071"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1EB0B78A"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7C7DDF9A"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03F8192D"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r>
      <w:tr w:rsidR="004D42DB" w:rsidRPr="00AC2A8D" w14:paraId="7D0163BF" w14:textId="77777777" w:rsidTr="00271EED">
        <w:trPr>
          <w:trHeight w:val="300"/>
        </w:trPr>
        <w:tc>
          <w:tcPr>
            <w:tcW w:w="1556" w:type="dxa"/>
            <w:noWrap/>
            <w:hideMark/>
          </w:tcPr>
          <w:p w14:paraId="4182B280" w14:textId="77777777" w:rsidR="00023A26" w:rsidRPr="00AC2A8D" w:rsidRDefault="00023A26" w:rsidP="00AC2A8D">
            <w:pPr>
              <w:spacing w:after="0" w:line="240" w:lineRule="auto"/>
              <w:rPr>
                <w:rFonts w:eastAsia="Times New Roman"/>
                <w:b/>
                <w:bCs/>
                <w:color w:val="000000"/>
                <w:lang w:eastAsia="en-GB"/>
              </w:rPr>
            </w:pPr>
            <w:r w:rsidRPr="00AC2A8D">
              <w:rPr>
                <w:rFonts w:eastAsia="Times New Roman"/>
                <w:b/>
                <w:bCs/>
                <w:color w:val="000000"/>
                <w:lang w:eastAsia="en-GB"/>
              </w:rPr>
              <w:t>Presentations</w:t>
            </w:r>
          </w:p>
        </w:tc>
        <w:tc>
          <w:tcPr>
            <w:tcW w:w="2142" w:type="dxa"/>
            <w:noWrap/>
            <w:hideMark/>
          </w:tcPr>
          <w:p w14:paraId="4E06A899" w14:textId="77777777" w:rsidR="00023A26" w:rsidRPr="00AC2A8D" w:rsidRDefault="00023A26" w:rsidP="00AC2A8D">
            <w:pPr>
              <w:spacing w:after="0" w:line="240" w:lineRule="auto"/>
              <w:rPr>
                <w:rFonts w:eastAsia="Times New Roman"/>
                <w:b/>
                <w:bCs/>
                <w:color w:val="000000"/>
                <w:lang w:eastAsia="en-GB"/>
              </w:rPr>
            </w:pPr>
          </w:p>
        </w:tc>
        <w:tc>
          <w:tcPr>
            <w:tcW w:w="1200" w:type="dxa"/>
            <w:noWrap/>
            <w:hideMark/>
          </w:tcPr>
          <w:p w14:paraId="707ED616"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4CE80865"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7C96F503"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46426AA0" w14:textId="77777777" w:rsidR="00023A26" w:rsidRPr="00AC2A8D" w:rsidRDefault="00023A26" w:rsidP="00AC2A8D">
            <w:pPr>
              <w:spacing w:after="0" w:line="240" w:lineRule="auto"/>
              <w:rPr>
                <w:rFonts w:ascii="Times New Roman" w:eastAsia="Times New Roman" w:hAnsi="Times New Roman"/>
                <w:sz w:val="20"/>
                <w:szCs w:val="20"/>
                <w:lang w:eastAsia="en-GB"/>
              </w:rPr>
            </w:pPr>
          </w:p>
        </w:tc>
      </w:tr>
      <w:tr w:rsidR="004D42DB" w:rsidRPr="00AC2A8D" w14:paraId="13244356" w14:textId="77777777" w:rsidTr="00271EED">
        <w:trPr>
          <w:trHeight w:val="300"/>
        </w:trPr>
        <w:tc>
          <w:tcPr>
            <w:tcW w:w="1556" w:type="dxa"/>
            <w:noWrap/>
            <w:hideMark/>
          </w:tcPr>
          <w:p w14:paraId="395C9E9B"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2142" w:type="dxa"/>
            <w:noWrap/>
            <w:hideMark/>
          </w:tcPr>
          <w:p w14:paraId="313D82D7"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Septicaemia</w:t>
            </w:r>
          </w:p>
        </w:tc>
        <w:tc>
          <w:tcPr>
            <w:tcW w:w="1200" w:type="dxa"/>
            <w:noWrap/>
            <w:hideMark/>
          </w:tcPr>
          <w:p w14:paraId="1FD1467A"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2(50)</w:t>
            </w:r>
          </w:p>
        </w:tc>
        <w:tc>
          <w:tcPr>
            <w:tcW w:w="1200" w:type="dxa"/>
            <w:noWrap/>
            <w:hideMark/>
          </w:tcPr>
          <w:p w14:paraId="3A897E07"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3(60)</w:t>
            </w:r>
          </w:p>
        </w:tc>
        <w:tc>
          <w:tcPr>
            <w:tcW w:w="1200" w:type="dxa"/>
            <w:noWrap/>
            <w:hideMark/>
          </w:tcPr>
          <w:p w14:paraId="47B4A5DD"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2(100)</w:t>
            </w:r>
          </w:p>
        </w:tc>
        <w:tc>
          <w:tcPr>
            <w:tcW w:w="1200" w:type="dxa"/>
            <w:noWrap/>
            <w:hideMark/>
          </w:tcPr>
          <w:p w14:paraId="784BE886"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7(64)</w:t>
            </w:r>
          </w:p>
        </w:tc>
      </w:tr>
      <w:tr w:rsidR="004D42DB" w:rsidRPr="00AC2A8D" w14:paraId="4F1F6237" w14:textId="77777777" w:rsidTr="00271EED">
        <w:trPr>
          <w:trHeight w:val="300"/>
        </w:trPr>
        <w:tc>
          <w:tcPr>
            <w:tcW w:w="1556" w:type="dxa"/>
            <w:noWrap/>
            <w:hideMark/>
          </w:tcPr>
          <w:p w14:paraId="7137E805" w14:textId="77777777" w:rsidR="00023A26" w:rsidRPr="00AC2A8D" w:rsidRDefault="00023A26" w:rsidP="00AC2A8D">
            <w:pPr>
              <w:spacing w:after="0" w:line="240" w:lineRule="auto"/>
              <w:rPr>
                <w:rFonts w:eastAsia="Times New Roman"/>
                <w:color w:val="000000"/>
                <w:lang w:eastAsia="en-GB"/>
              </w:rPr>
            </w:pPr>
          </w:p>
        </w:tc>
        <w:tc>
          <w:tcPr>
            <w:tcW w:w="2142" w:type="dxa"/>
            <w:noWrap/>
            <w:hideMark/>
          </w:tcPr>
          <w:p w14:paraId="08CD0759"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Pneumonia</w:t>
            </w:r>
          </w:p>
        </w:tc>
        <w:tc>
          <w:tcPr>
            <w:tcW w:w="1200" w:type="dxa"/>
            <w:noWrap/>
            <w:hideMark/>
          </w:tcPr>
          <w:p w14:paraId="3C9F9ACD"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2(50)</w:t>
            </w:r>
          </w:p>
        </w:tc>
        <w:tc>
          <w:tcPr>
            <w:tcW w:w="1200" w:type="dxa"/>
            <w:noWrap/>
            <w:hideMark/>
          </w:tcPr>
          <w:p w14:paraId="52029086"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2(40)</w:t>
            </w:r>
          </w:p>
        </w:tc>
        <w:tc>
          <w:tcPr>
            <w:tcW w:w="1200" w:type="dxa"/>
            <w:noWrap/>
            <w:hideMark/>
          </w:tcPr>
          <w:p w14:paraId="476F4DA7"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1402EBDE"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4(36)</w:t>
            </w:r>
          </w:p>
        </w:tc>
      </w:tr>
      <w:tr w:rsidR="004D42DB" w:rsidRPr="00AC2A8D" w14:paraId="1045AA1B" w14:textId="77777777" w:rsidTr="00271EED">
        <w:trPr>
          <w:trHeight w:val="300"/>
        </w:trPr>
        <w:tc>
          <w:tcPr>
            <w:tcW w:w="1556" w:type="dxa"/>
            <w:noWrap/>
            <w:hideMark/>
          </w:tcPr>
          <w:p w14:paraId="0207A529" w14:textId="77777777" w:rsidR="00023A26" w:rsidRPr="00AC2A8D" w:rsidRDefault="00023A26" w:rsidP="00AC2A8D">
            <w:pPr>
              <w:spacing w:after="0" w:line="240" w:lineRule="auto"/>
              <w:rPr>
                <w:rFonts w:eastAsia="Times New Roman"/>
                <w:b/>
                <w:bCs/>
                <w:color w:val="000000"/>
                <w:lang w:eastAsia="en-GB"/>
              </w:rPr>
            </w:pPr>
            <w:r w:rsidRPr="00AC2A8D">
              <w:rPr>
                <w:rFonts w:eastAsia="Times New Roman"/>
                <w:b/>
                <w:bCs/>
                <w:color w:val="000000"/>
                <w:lang w:eastAsia="en-GB"/>
              </w:rPr>
              <w:t>Serotype</w:t>
            </w:r>
            <w:r w:rsidR="00AB08FC">
              <w:rPr>
                <w:rFonts w:eastAsia="Times New Roman"/>
                <w:b/>
                <w:bCs/>
                <w:color w:val="000000"/>
                <w:lang w:eastAsia="en-GB"/>
              </w:rPr>
              <w:t>s</w:t>
            </w:r>
          </w:p>
        </w:tc>
        <w:tc>
          <w:tcPr>
            <w:tcW w:w="2142" w:type="dxa"/>
            <w:noWrap/>
            <w:hideMark/>
          </w:tcPr>
          <w:p w14:paraId="7A57CCD0" w14:textId="77777777" w:rsidR="00023A26" w:rsidRPr="00AC2A8D" w:rsidRDefault="00023A26" w:rsidP="00AC2A8D">
            <w:pPr>
              <w:spacing w:after="0" w:line="240" w:lineRule="auto"/>
              <w:rPr>
                <w:rFonts w:eastAsia="Times New Roman"/>
                <w:b/>
                <w:bCs/>
                <w:color w:val="000000"/>
                <w:lang w:eastAsia="en-GB"/>
              </w:rPr>
            </w:pPr>
          </w:p>
        </w:tc>
        <w:tc>
          <w:tcPr>
            <w:tcW w:w="1200" w:type="dxa"/>
            <w:noWrap/>
            <w:hideMark/>
          </w:tcPr>
          <w:p w14:paraId="15594D3D"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1DF4E984"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57AF23F3" w14:textId="77777777" w:rsidR="00023A26" w:rsidRPr="00AC2A8D" w:rsidRDefault="00023A26" w:rsidP="00AC2A8D">
            <w:pPr>
              <w:spacing w:after="0" w:line="240" w:lineRule="auto"/>
              <w:rPr>
                <w:rFonts w:ascii="Times New Roman" w:eastAsia="Times New Roman" w:hAnsi="Times New Roman"/>
                <w:sz w:val="20"/>
                <w:szCs w:val="20"/>
                <w:lang w:eastAsia="en-GB"/>
              </w:rPr>
            </w:pPr>
          </w:p>
        </w:tc>
        <w:tc>
          <w:tcPr>
            <w:tcW w:w="1200" w:type="dxa"/>
            <w:noWrap/>
            <w:hideMark/>
          </w:tcPr>
          <w:p w14:paraId="7503078D" w14:textId="77777777" w:rsidR="00023A26" w:rsidRPr="00AC2A8D" w:rsidRDefault="00023A26" w:rsidP="00AC2A8D">
            <w:pPr>
              <w:spacing w:after="0" w:line="240" w:lineRule="auto"/>
              <w:rPr>
                <w:rFonts w:ascii="Times New Roman" w:eastAsia="Times New Roman" w:hAnsi="Times New Roman"/>
                <w:sz w:val="20"/>
                <w:szCs w:val="20"/>
                <w:lang w:eastAsia="en-GB"/>
              </w:rPr>
            </w:pPr>
          </w:p>
        </w:tc>
      </w:tr>
      <w:tr w:rsidR="00C4261A" w:rsidRPr="00AC2A8D" w14:paraId="47C354EF" w14:textId="77777777" w:rsidTr="00271EED">
        <w:trPr>
          <w:trHeight w:val="300"/>
        </w:trPr>
        <w:tc>
          <w:tcPr>
            <w:tcW w:w="1556" w:type="dxa"/>
            <w:tcBorders>
              <w:top w:val="single" w:sz="4" w:space="0" w:color="auto"/>
              <w:left w:val="single" w:sz="4" w:space="0" w:color="auto"/>
              <w:bottom w:val="single" w:sz="4" w:space="0" w:color="auto"/>
              <w:right w:val="single" w:sz="4" w:space="0" w:color="auto"/>
            </w:tcBorders>
            <w:noWrap/>
            <w:hideMark/>
          </w:tcPr>
          <w:p w14:paraId="5B9B8747" w14:textId="77777777" w:rsidR="00C4261A" w:rsidRPr="00BD63C3" w:rsidRDefault="00C4261A" w:rsidP="00C4261A">
            <w:pPr>
              <w:spacing w:after="0" w:line="240" w:lineRule="auto"/>
              <w:rPr>
                <w:rFonts w:eastAsia="Times New Roman"/>
                <w:b/>
                <w:bCs/>
                <w:i/>
                <w:color w:val="000000"/>
                <w:lang w:eastAsia="en-GB"/>
              </w:rPr>
            </w:pPr>
            <w:r w:rsidRPr="00BD63C3">
              <w:rPr>
                <w:rFonts w:eastAsia="Times New Roman"/>
                <w:b/>
                <w:bCs/>
                <w:i/>
                <w:color w:val="000000"/>
                <w:lang w:eastAsia="en-GB"/>
              </w:rPr>
              <w:t>PCV13</w:t>
            </w:r>
          </w:p>
        </w:tc>
        <w:tc>
          <w:tcPr>
            <w:tcW w:w="2142" w:type="dxa"/>
            <w:tcBorders>
              <w:top w:val="single" w:sz="4" w:space="0" w:color="auto"/>
              <w:left w:val="single" w:sz="4" w:space="0" w:color="auto"/>
              <w:bottom w:val="single" w:sz="4" w:space="0" w:color="auto"/>
              <w:right w:val="single" w:sz="4" w:space="0" w:color="auto"/>
            </w:tcBorders>
            <w:noWrap/>
            <w:hideMark/>
          </w:tcPr>
          <w:p w14:paraId="78A194D8" w14:textId="77777777" w:rsidR="00C4261A" w:rsidRPr="00BD63C3" w:rsidRDefault="00C4261A" w:rsidP="00C4261A">
            <w:pPr>
              <w:spacing w:after="0" w:line="240" w:lineRule="auto"/>
              <w:rPr>
                <w:rFonts w:eastAsia="Times New Roman"/>
                <w:bCs/>
                <w:color w:val="000000"/>
                <w:lang w:eastAsia="en-GB"/>
              </w:rPr>
            </w:pPr>
            <w:r w:rsidRPr="00BD63C3">
              <w:rPr>
                <w:rFonts w:eastAsia="Times New Roman"/>
                <w:bCs/>
                <w:color w:val="000000"/>
                <w:lang w:eastAsia="en-GB"/>
              </w:rPr>
              <w:t>7F</w:t>
            </w:r>
          </w:p>
        </w:tc>
        <w:tc>
          <w:tcPr>
            <w:tcW w:w="1200" w:type="dxa"/>
            <w:tcBorders>
              <w:top w:val="single" w:sz="4" w:space="0" w:color="auto"/>
              <w:left w:val="single" w:sz="4" w:space="0" w:color="auto"/>
              <w:bottom w:val="single" w:sz="4" w:space="0" w:color="auto"/>
              <w:right w:val="single" w:sz="4" w:space="0" w:color="auto"/>
            </w:tcBorders>
            <w:noWrap/>
            <w:hideMark/>
          </w:tcPr>
          <w:p w14:paraId="69D80B71" w14:textId="77777777" w:rsidR="00C4261A" w:rsidRPr="00C4261A" w:rsidRDefault="00C4261A" w:rsidP="00C4261A">
            <w:pPr>
              <w:spacing w:after="0" w:line="240" w:lineRule="auto"/>
              <w:rPr>
                <w:rFonts w:ascii="Times New Roman" w:eastAsia="Times New Roman" w:hAnsi="Times New Roman"/>
                <w:sz w:val="20"/>
                <w:szCs w:val="20"/>
                <w:lang w:eastAsia="en-GB"/>
              </w:rPr>
            </w:pPr>
            <w:r w:rsidRPr="00C4261A">
              <w:rPr>
                <w:rFonts w:ascii="Times New Roman" w:eastAsia="Times New Roman" w:hAnsi="Times New Roman"/>
                <w:sz w:val="20"/>
                <w:szCs w:val="20"/>
                <w:lang w:eastAsia="en-GB"/>
              </w:rPr>
              <w:t>1(25)</w:t>
            </w:r>
          </w:p>
        </w:tc>
        <w:tc>
          <w:tcPr>
            <w:tcW w:w="1200" w:type="dxa"/>
            <w:tcBorders>
              <w:top w:val="single" w:sz="4" w:space="0" w:color="auto"/>
              <w:left w:val="single" w:sz="4" w:space="0" w:color="auto"/>
              <w:bottom w:val="single" w:sz="4" w:space="0" w:color="auto"/>
              <w:right w:val="single" w:sz="4" w:space="0" w:color="auto"/>
            </w:tcBorders>
            <w:noWrap/>
            <w:hideMark/>
          </w:tcPr>
          <w:p w14:paraId="203BDA53" w14:textId="77777777" w:rsidR="00C4261A" w:rsidRPr="00C4261A" w:rsidRDefault="00C4261A" w:rsidP="00C4261A">
            <w:pPr>
              <w:spacing w:after="0" w:line="240" w:lineRule="auto"/>
              <w:rPr>
                <w:rFonts w:ascii="Times New Roman" w:eastAsia="Times New Roman" w:hAnsi="Times New Roman"/>
                <w:sz w:val="20"/>
                <w:szCs w:val="20"/>
                <w:lang w:eastAsia="en-GB"/>
              </w:rPr>
            </w:pPr>
            <w:r w:rsidRPr="00C4261A">
              <w:rPr>
                <w:rFonts w:ascii="Times New Roman" w:eastAsia="Times New Roman" w:hAnsi="Times New Roman"/>
                <w:sz w:val="20"/>
                <w:szCs w:val="20"/>
                <w:lang w:eastAsia="en-GB"/>
              </w:rPr>
              <w:t>0(0)</w:t>
            </w:r>
          </w:p>
        </w:tc>
        <w:tc>
          <w:tcPr>
            <w:tcW w:w="1200" w:type="dxa"/>
            <w:tcBorders>
              <w:top w:val="single" w:sz="4" w:space="0" w:color="auto"/>
              <w:left w:val="single" w:sz="4" w:space="0" w:color="auto"/>
              <w:bottom w:val="single" w:sz="4" w:space="0" w:color="auto"/>
              <w:right w:val="single" w:sz="4" w:space="0" w:color="auto"/>
            </w:tcBorders>
            <w:noWrap/>
            <w:hideMark/>
          </w:tcPr>
          <w:p w14:paraId="333367B0" w14:textId="77777777" w:rsidR="00C4261A" w:rsidRPr="00C4261A" w:rsidRDefault="00C4261A" w:rsidP="00C4261A">
            <w:pPr>
              <w:spacing w:after="0" w:line="240" w:lineRule="auto"/>
              <w:rPr>
                <w:rFonts w:ascii="Times New Roman" w:eastAsia="Times New Roman" w:hAnsi="Times New Roman"/>
                <w:sz w:val="20"/>
                <w:szCs w:val="20"/>
                <w:lang w:eastAsia="en-GB"/>
              </w:rPr>
            </w:pPr>
            <w:r w:rsidRPr="00C4261A">
              <w:rPr>
                <w:rFonts w:ascii="Times New Roman" w:eastAsia="Times New Roman" w:hAnsi="Times New Roman"/>
                <w:sz w:val="20"/>
                <w:szCs w:val="20"/>
                <w:lang w:eastAsia="en-GB"/>
              </w:rPr>
              <w:t>0(0)</w:t>
            </w:r>
          </w:p>
        </w:tc>
        <w:tc>
          <w:tcPr>
            <w:tcW w:w="1200" w:type="dxa"/>
            <w:tcBorders>
              <w:top w:val="single" w:sz="4" w:space="0" w:color="auto"/>
              <w:left w:val="single" w:sz="4" w:space="0" w:color="auto"/>
              <w:bottom w:val="single" w:sz="4" w:space="0" w:color="auto"/>
              <w:right w:val="single" w:sz="4" w:space="0" w:color="auto"/>
            </w:tcBorders>
            <w:noWrap/>
            <w:hideMark/>
          </w:tcPr>
          <w:p w14:paraId="561D93FE" w14:textId="77777777" w:rsidR="00C4261A" w:rsidRPr="00C4261A" w:rsidRDefault="00C4261A" w:rsidP="00C4261A">
            <w:pPr>
              <w:spacing w:after="0" w:line="240" w:lineRule="auto"/>
              <w:rPr>
                <w:rFonts w:ascii="Times New Roman" w:eastAsia="Times New Roman" w:hAnsi="Times New Roman"/>
                <w:sz w:val="20"/>
                <w:szCs w:val="20"/>
                <w:lang w:eastAsia="en-GB"/>
              </w:rPr>
            </w:pPr>
            <w:r w:rsidRPr="00C4261A">
              <w:rPr>
                <w:rFonts w:ascii="Times New Roman" w:eastAsia="Times New Roman" w:hAnsi="Times New Roman"/>
                <w:sz w:val="20"/>
                <w:szCs w:val="20"/>
                <w:lang w:eastAsia="en-GB"/>
              </w:rPr>
              <w:t>1(9)</w:t>
            </w:r>
          </w:p>
        </w:tc>
      </w:tr>
      <w:tr w:rsidR="00C4261A" w:rsidRPr="00AC2A8D" w14:paraId="2DE98B11" w14:textId="77777777" w:rsidTr="00271EED">
        <w:trPr>
          <w:trHeight w:val="300"/>
        </w:trPr>
        <w:tc>
          <w:tcPr>
            <w:tcW w:w="1556" w:type="dxa"/>
            <w:noWrap/>
          </w:tcPr>
          <w:p w14:paraId="2B9E309D" w14:textId="77777777" w:rsidR="00C4261A" w:rsidRPr="00AC2A8D" w:rsidRDefault="00C4261A" w:rsidP="00AC2A8D">
            <w:pPr>
              <w:spacing w:after="0" w:line="240" w:lineRule="auto"/>
              <w:rPr>
                <w:rFonts w:ascii="Times New Roman" w:eastAsia="Times New Roman" w:hAnsi="Times New Roman"/>
                <w:sz w:val="20"/>
                <w:szCs w:val="20"/>
                <w:lang w:eastAsia="en-GB"/>
              </w:rPr>
            </w:pPr>
          </w:p>
        </w:tc>
        <w:tc>
          <w:tcPr>
            <w:tcW w:w="2142" w:type="dxa"/>
            <w:noWrap/>
          </w:tcPr>
          <w:p w14:paraId="6EBBBE11" w14:textId="77777777" w:rsidR="00C4261A" w:rsidRPr="00AC2A8D" w:rsidRDefault="00C4261A" w:rsidP="00AC2A8D">
            <w:pPr>
              <w:spacing w:after="0" w:line="240" w:lineRule="auto"/>
              <w:rPr>
                <w:rFonts w:eastAsia="Times New Roman"/>
                <w:color w:val="000000"/>
                <w:lang w:eastAsia="en-GB"/>
              </w:rPr>
            </w:pPr>
          </w:p>
        </w:tc>
        <w:tc>
          <w:tcPr>
            <w:tcW w:w="1200" w:type="dxa"/>
            <w:noWrap/>
          </w:tcPr>
          <w:p w14:paraId="33777382" w14:textId="77777777" w:rsidR="00C4261A" w:rsidRPr="00AC2A8D" w:rsidRDefault="00C4261A" w:rsidP="00AC2A8D">
            <w:pPr>
              <w:spacing w:after="0" w:line="240" w:lineRule="auto"/>
              <w:rPr>
                <w:rFonts w:eastAsia="Times New Roman"/>
                <w:color w:val="000000"/>
                <w:lang w:eastAsia="en-GB"/>
              </w:rPr>
            </w:pPr>
          </w:p>
        </w:tc>
        <w:tc>
          <w:tcPr>
            <w:tcW w:w="1200" w:type="dxa"/>
            <w:noWrap/>
          </w:tcPr>
          <w:p w14:paraId="08971A45" w14:textId="77777777" w:rsidR="00C4261A" w:rsidRPr="00AC2A8D" w:rsidRDefault="00C4261A" w:rsidP="00AC2A8D">
            <w:pPr>
              <w:spacing w:after="0" w:line="240" w:lineRule="auto"/>
              <w:rPr>
                <w:rFonts w:eastAsia="Times New Roman"/>
                <w:color w:val="000000"/>
                <w:lang w:eastAsia="en-GB"/>
              </w:rPr>
            </w:pPr>
          </w:p>
        </w:tc>
        <w:tc>
          <w:tcPr>
            <w:tcW w:w="1200" w:type="dxa"/>
            <w:noWrap/>
          </w:tcPr>
          <w:p w14:paraId="27D78CF4" w14:textId="77777777" w:rsidR="00C4261A" w:rsidRPr="00AC2A8D" w:rsidRDefault="00C4261A" w:rsidP="00AC2A8D">
            <w:pPr>
              <w:spacing w:after="0" w:line="240" w:lineRule="auto"/>
              <w:rPr>
                <w:rFonts w:eastAsia="Times New Roman"/>
                <w:color w:val="000000"/>
                <w:lang w:eastAsia="en-GB"/>
              </w:rPr>
            </w:pPr>
          </w:p>
        </w:tc>
        <w:tc>
          <w:tcPr>
            <w:tcW w:w="1200" w:type="dxa"/>
            <w:noWrap/>
          </w:tcPr>
          <w:p w14:paraId="134735D9" w14:textId="77777777" w:rsidR="00C4261A" w:rsidRPr="00AC2A8D" w:rsidRDefault="00C4261A" w:rsidP="00AC2A8D">
            <w:pPr>
              <w:spacing w:after="0" w:line="240" w:lineRule="auto"/>
              <w:rPr>
                <w:rFonts w:eastAsia="Times New Roman"/>
                <w:color w:val="000000"/>
                <w:lang w:eastAsia="en-GB"/>
              </w:rPr>
            </w:pPr>
          </w:p>
        </w:tc>
      </w:tr>
      <w:tr w:rsidR="004D42DB" w:rsidRPr="00AC2A8D" w14:paraId="03CB4767" w14:textId="77777777" w:rsidTr="00271EED">
        <w:trPr>
          <w:trHeight w:val="300"/>
        </w:trPr>
        <w:tc>
          <w:tcPr>
            <w:tcW w:w="1556" w:type="dxa"/>
            <w:noWrap/>
            <w:hideMark/>
          </w:tcPr>
          <w:p w14:paraId="7388DEB8" w14:textId="77777777" w:rsidR="00023A26" w:rsidRPr="00682EE2" w:rsidRDefault="00C4261A" w:rsidP="00AC2A8D">
            <w:pPr>
              <w:spacing w:after="0" w:line="240" w:lineRule="auto"/>
              <w:rPr>
                <w:rFonts w:eastAsia="Times New Roman"/>
                <w:b/>
                <w:i/>
                <w:lang w:eastAsia="en-GB"/>
              </w:rPr>
            </w:pPr>
            <w:r w:rsidRPr="00682EE2">
              <w:rPr>
                <w:rFonts w:eastAsia="Times New Roman"/>
                <w:b/>
                <w:i/>
                <w:lang w:eastAsia="en-GB"/>
              </w:rPr>
              <w:t>Non-PCV13</w:t>
            </w:r>
          </w:p>
        </w:tc>
        <w:tc>
          <w:tcPr>
            <w:tcW w:w="2142" w:type="dxa"/>
            <w:noWrap/>
            <w:hideMark/>
          </w:tcPr>
          <w:p w14:paraId="64D526FD"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15</w:t>
            </w:r>
          </w:p>
        </w:tc>
        <w:tc>
          <w:tcPr>
            <w:tcW w:w="1200" w:type="dxa"/>
            <w:noWrap/>
            <w:hideMark/>
          </w:tcPr>
          <w:p w14:paraId="60459259"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680C4363"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39820BC0"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1(50)</w:t>
            </w:r>
          </w:p>
        </w:tc>
        <w:tc>
          <w:tcPr>
            <w:tcW w:w="1200" w:type="dxa"/>
            <w:noWrap/>
            <w:hideMark/>
          </w:tcPr>
          <w:p w14:paraId="4D0995F9"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1(9)</w:t>
            </w:r>
          </w:p>
        </w:tc>
      </w:tr>
      <w:tr w:rsidR="004D42DB" w:rsidRPr="00AC2A8D" w14:paraId="78AAAEB6" w14:textId="77777777" w:rsidTr="00271EED">
        <w:trPr>
          <w:trHeight w:val="300"/>
        </w:trPr>
        <w:tc>
          <w:tcPr>
            <w:tcW w:w="1556" w:type="dxa"/>
            <w:noWrap/>
            <w:hideMark/>
          </w:tcPr>
          <w:p w14:paraId="287EFB02" w14:textId="77777777" w:rsidR="00023A26" w:rsidRPr="00AC2A8D" w:rsidRDefault="00023A26" w:rsidP="00AC2A8D">
            <w:pPr>
              <w:spacing w:after="0" w:line="240" w:lineRule="auto"/>
              <w:rPr>
                <w:rFonts w:eastAsia="Times New Roman"/>
                <w:color w:val="000000"/>
                <w:lang w:eastAsia="en-GB"/>
              </w:rPr>
            </w:pPr>
          </w:p>
        </w:tc>
        <w:tc>
          <w:tcPr>
            <w:tcW w:w="2142" w:type="dxa"/>
            <w:noWrap/>
            <w:hideMark/>
          </w:tcPr>
          <w:p w14:paraId="2A70453C"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15A</w:t>
            </w:r>
          </w:p>
        </w:tc>
        <w:tc>
          <w:tcPr>
            <w:tcW w:w="1200" w:type="dxa"/>
            <w:noWrap/>
            <w:hideMark/>
          </w:tcPr>
          <w:p w14:paraId="301CC98B"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1(25)</w:t>
            </w:r>
          </w:p>
        </w:tc>
        <w:tc>
          <w:tcPr>
            <w:tcW w:w="1200" w:type="dxa"/>
            <w:noWrap/>
            <w:hideMark/>
          </w:tcPr>
          <w:p w14:paraId="5B6C9C8E"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1(20)</w:t>
            </w:r>
          </w:p>
        </w:tc>
        <w:tc>
          <w:tcPr>
            <w:tcW w:w="1200" w:type="dxa"/>
            <w:noWrap/>
            <w:hideMark/>
          </w:tcPr>
          <w:p w14:paraId="70BEE33A"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66201AA2"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2(18)</w:t>
            </w:r>
          </w:p>
        </w:tc>
      </w:tr>
      <w:tr w:rsidR="004D42DB" w:rsidRPr="00AC2A8D" w14:paraId="2BDFE00F" w14:textId="77777777" w:rsidTr="00271EED">
        <w:trPr>
          <w:trHeight w:val="300"/>
        </w:trPr>
        <w:tc>
          <w:tcPr>
            <w:tcW w:w="1556" w:type="dxa"/>
            <w:noWrap/>
            <w:hideMark/>
          </w:tcPr>
          <w:p w14:paraId="46FD719B" w14:textId="77777777" w:rsidR="00023A26" w:rsidRPr="00AC2A8D" w:rsidRDefault="00023A26" w:rsidP="00AC2A8D">
            <w:pPr>
              <w:spacing w:after="0" w:line="240" w:lineRule="auto"/>
              <w:rPr>
                <w:rFonts w:eastAsia="Times New Roman"/>
                <w:color w:val="000000"/>
                <w:lang w:eastAsia="en-GB"/>
              </w:rPr>
            </w:pPr>
          </w:p>
        </w:tc>
        <w:tc>
          <w:tcPr>
            <w:tcW w:w="2142" w:type="dxa"/>
            <w:noWrap/>
            <w:hideMark/>
          </w:tcPr>
          <w:p w14:paraId="03FC19F5" w14:textId="77777777" w:rsidR="00023A26" w:rsidRPr="00AC2A8D" w:rsidRDefault="00023A26" w:rsidP="00AC2A8D">
            <w:pPr>
              <w:spacing w:after="0" w:line="240" w:lineRule="auto"/>
              <w:rPr>
                <w:rFonts w:eastAsia="Times New Roman"/>
                <w:color w:val="000000"/>
                <w:lang w:eastAsia="en-GB"/>
              </w:rPr>
            </w:pPr>
            <w:r w:rsidRPr="00AC2A8D">
              <w:rPr>
                <w:rFonts w:eastAsia="Times New Roman"/>
                <w:color w:val="000000"/>
                <w:lang w:eastAsia="en-GB"/>
              </w:rPr>
              <w:t>15B</w:t>
            </w:r>
            <w:r w:rsidR="00EA6E35" w:rsidRPr="00AC2A8D">
              <w:rPr>
                <w:rFonts w:eastAsia="Times New Roman"/>
                <w:color w:val="000000"/>
                <w:lang w:eastAsia="en-GB"/>
              </w:rPr>
              <w:t>/C</w:t>
            </w:r>
          </w:p>
        </w:tc>
        <w:tc>
          <w:tcPr>
            <w:tcW w:w="1200" w:type="dxa"/>
            <w:noWrap/>
            <w:hideMark/>
          </w:tcPr>
          <w:p w14:paraId="797C8CE3" w14:textId="77777777" w:rsidR="00023A26"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1</w:t>
            </w:r>
            <w:r w:rsidR="00023A26" w:rsidRPr="00AC2A8D">
              <w:rPr>
                <w:rFonts w:eastAsia="Times New Roman"/>
                <w:color w:val="000000"/>
                <w:lang w:eastAsia="en-GB"/>
              </w:rPr>
              <w:t>(</w:t>
            </w:r>
            <w:r w:rsidRPr="00AC2A8D">
              <w:rPr>
                <w:rFonts w:eastAsia="Times New Roman"/>
                <w:color w:val="000000"/>
                <w:lang w:eastAsia="en-GB"/>
              </w:rPr>
              <w:t>25</w:t>
            </w:r>
            <w:r w:rsidR="00023A26" w:rsidRPr="00AC2A8D">
              <w:rPr>
                <w:rFonts w:eastAsia="Times New Roman"/>
                <w:color w:val="000000"/>
                <w:lang w:eastAsia="en-GB"/>
              </w:rPr>
              <w:t>)</w:t>
            </w:r>
          </w:p>
        </w:tc>
        <w:tc>
          <w:tcPr>
            <w:tcW w:w="1200" w:type="dxa"/>
            <w:noWrap/>
            <w:hideMark/>
          </w:tcPr>
          <w:p w14:paraId="3A35EC35" w14:textId="77777777" w:rsidR="00023A26"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 xml:space="preserve">3 </w:t>
            </w:r>
            <w:r w:rsidR="00023A26" w:rsidRPr="00AC2A8D">
              <w:rPr>
                <w:rFonts w:eastAsia="Times New Roman"/>
                <w:color w:val="000000"/>
                <w:lang w:eastAsia="en-GB"/>
              </w:rPr>
              <w:t>(</w:t>
            </w:r>
            <w:r w:rsidRPr="00AC2A8D">
              <w:rPr>
                <w:rFonts w:eastAsia="Times New Roman"/>
                <w:color w:val="000000"/>
                <w:lang w:eastAsia="en-GB"/>
              </w:rPr>
              <w:t>6</w:t>
            </w:r>
            <w:r w:rsidR="00023A26" w:rsidRPr="00AC2A8D">
              <w:rPr>
                <w:rFonts w:eastAsia="Times New Roman"/>
                <w:color w:val="000000"/>
                <w:lang w:eastAsia="en-GB"/>
              </w:rPr>
              <w:t>0)</w:t>
            </w:r>
          </w:p>
        </w:tc>
        <w:tc>
          <w:tcPr>
            <w:tcW w:w="1200" w:type="dxa"/>
            <w:noWrap/>
            <w:hideMark/>
          </w:tcPr>
          <w:p w14:paraId="41B37DF4" w14:textId="77777777" w:rsidR="00023A26"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1</w:t>
            </w:r>
            <w:r w:rsidR="00023A26" w:rsidRPr="00AC2A8D">
              <w:rPr>
                <w:rFonts w:eastAsia="Times New Roman"/>
                <w:color w:val="000000"/>
                <w:lang w:eastAsia="en-GB"/>
              </w:rPr>
              <w:t>(</w:t>
            </w:r>
            <w:r w:rsidRPr="00AC2A8D">
              <w:rPr>
                <w:rFonts w:eastAsia="Times New Roman"/>
                <w:color w:val="000000"/>
                <w:lang w:eastAsia="en-GB"/>
              </w:rPr>
              <w:t>5</w:t>
            </w:r>
            <w:r w:rsidR="00023A26" w:rsidRPr="00AC2A8D">
              <w:rPr>
                <w:rFonts w:eastAsia="Times New Roman"/>
                <w:color w:val="000000"/>
                <w:lang w:eastAsia="en-GB"/>
              </w:rPr>
              <w:t>0)</w:t>
            </w:r>
          </w:p>
        </w:tc>
        <w:tc>
          <w:tcPr>
            <w:tcW w:w="1200" w:type="dxa"/>
            <w:noWrap/>
            <w:hideMark/>
          </w:tcPr>
          <w:p w14:paraId="1DF3C52C" w14:textId="77777777" w:rsidR="00023A26"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5</w:t>
            </w:r>
            <w:r w:rsidR="00023A26" w:rsidRPr="00AC2A8D">
              <w:rPr>
                <w:rFonts w:eastAsia="Times New Roman"/>
                <w:color w:val="000000"/>
                <w:lang w:eastAsia="en-GB"/>
              </w:rPr>
              <w:t>(</w:t>
            </w:r>
            <w:r w:rsidRPr="00AC2A8D">
              <w:rPr>
                <w:rFonts w:eastAsia="Times New Roman"/>
                <w:color w:val="000000"/>
                <w:lang w:eastAsia="en-GB"/>
              </w:rPr>
              <w:t>45</w:t>
            </w:r>
            <w:r w:rsidR="00023A26" w:rsidRPr="00AC2A8D">
              <w:rPr>
                <w:rFonts w:eastAsia="Times New Roman"/>
                <w:color w:val="000000"/>
                <w:lang w:eastAsia="en-GB"/>
              </w:rPr>
              <w:t>)</w:t>
            </w:r>
          </w:p>
        </w:tc>
      </w:tr>
      <w:tr w:rsidR="004D42DB" w:rsidRPr="00AC2A8D" w14:paraId="2A8C8349" w14:textId="77777777" w:rsidTr="00271EED">
        <w:trPr>
          <w:trHeight w:val="300"/>
        </w:trPr>
        <w:tc>
          <w:tcPr>
            <w:tcW w:w="1556" w:type="dxa"/>
            <w:noWrap/>
            <w:hideMark/>
          </w:tcPr>
          <w:p w14:paraId="46A36655" w14:textId="77777777" w:rsidR="00EA6E35" w:rsidRPr="00AC2A8D" w:rsidRDefault="00EA6E35" w:rsidP="00AC2A8D">
            <w:pPr>
              <w:spacing w:after="0" w:line="240" w:lineRule="auto"/>
              <w:rPr>
                <w:rFonts w:eastAsia="Times New Roman"/>
                <w:color w:val="000000"/>
                <w:lang w:eastAsia="en-GB"/>
              </w:rPr>
            </w:pPr>
          </w:p>
        </w:tc>
        <w:tc>
          <w:tcPr>
            <w:tcW w:w="2142" w:type="dxa"/>
            <w:noWrap/>
            <w:hideMark/>
          </w:tcPr>
          <w:p w14:paraId="05999E47"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35B</w:t>
            </w:r>
          </w:p>
        </w:tc>
        <w:tc>
          <w:tcPr>
            <w:tcW w:w="1200" w:type="dxa"/>
            <w:noWrap/>
            <w:hideMark/>
          </w:tcPr>
          <w:p w14:paraId="7159C3A3"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tcPr>
          <w:p w14:paraId="1BB326C0"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1(20)</w:t>
            </w:r>
          </w:p>
        </w:tc>
        <w:tc>
          <w:tcPr>
            <w:tcW w:w="1200" w:type="dxa"/>
            <w:noWrap/>
          </w:tcPr>
          <w:p w14:paraId="42E241D5"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7D04570D"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1(9)</w:t>
            </w:r>
          </w:p>
        </w:tc>
      </w:tr>
      <w:tr w:rsidR="004D42DB" w:rsidRPr="00AC2A8D" w14:paraId="7B26C9EB" w14:textId="77777777" w:rsidTr="00271EED">
        <w:trPr>
          <w:trHeight w:val="300"/>
        </w:trPr>
        <w:tc>
          <w:tcPr>
            <w:tcW w:w="1556" w:type="dxa"/>
            <w:noWrap/>
            <w:hideMark/>
          </w:tcPr>
          <w:p w14:paraId="6B956135" w14:textId="77777777" w:rsidR="00EA6E35" w:rsidRPr="00AC2A8D" w:rsidRDefault="00EA6E35" w:rsidP="00AC2A8D">
            <w:pPr>
              <w:spacing w:after="0" w:line="240" w:lineRule="auto"/>
              <w:rPr>
                <w:rFonts w:eastAsia="Times New Roman"/>
                <w:color w:val="000000"/>
                <w:lang w:eastAsia="en-GB"/>
              </w:rPr>
            </w:pPr>
          </w:p>
        </w:tc>
        <w:tc>
          <w:tcPr>
            <w:tcW w:w="2142" w:type="dxa"/>
            <w:noWrap/>
            <w:hideMark/>
          </w:tcPr>
          <w:p w14:paraId="5CBF185A"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35F</w:t>
            </w:r>
          </w:p>
        </w:tc>
        <w:tc>
          <w:tcPr>
            <w:tcW w:w="1200" w:type="dxa"/>
            <w:noWrap/>
            <w:hideMark/>
          </w:tcPr>
          <w:p w14:paraId="2A161654"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1(25)</w:t>
            </w:r>
          </w:p>
        </w:tc>
        <w:tc>
          <w:tcPr>
            <w:tcW w:w="1200" w:type="dxa"/>
            <w:noWrap/>
          </w:tcPr>
          <w:p w14:paraId="2C6361FE"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tcPr>
          <w:p w14:paraId="7BB32011"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21E2215E" w14:textId="77777777" w:rsidR="00EA6E35" w:rsidRPr="00AC2A8D" w:rsidRDefault="00EA6E35" w:rsidP="00AC2A8D">
            <w:pPr>
              <w:spacing w:after="0" w:line="240" w:lineRule="auto"/>
              <w:rPr>
                <w:rFonts w:eastAsia="Times New Roman"/>
                <w:color w:val="000000"/>
                <w:lang w:eastAsia="en-GB"/>
              </w:rPr>
            </w:pPr>
            <w:r w:rsidRPr="00AC2A8D">
              <w:rPr>
                <w:rFonts w:eastAsia="Times New Roman"/>
                <w:color w:val="000000"/>
                <w:lang w:eastAsia="en-GB"/>
              </w:rPr>
              <w:t>1(9)</w:t>
            </w:r>
          </w:p>
        </w:tc>
      </w:tr>
      <w:tr w:rsidR="004D42DB" w:rsidRPr="00AC2A8D" w14:paraId="3885D946" w14:textId="77777777" w:rsidTr="00271EED">
        <w:trPr>
          <w:trHeight w:val="300"/>
        </w:trPr>
        <w:tc>
          <w:tcPr>
            <w:tcW w:w="1556" w:type="dxa"/>
            <w:noWrap/>
            <w:hideMark/>
          </w:tcPr>
          <w:p w14:paraId="487EB9EC" w14:textId="39B8FAA8" w:rsidR="00185412" w:rsidRPr="00AC2A8D" w:rsidRDefault="005C7B47" w:rsidP="00AC2A8D">
            <w:pPr>
              <w:spacing w:after="0" w:line="240" w:lineRule="auto"/>
              <w:rPr>
                <w:rFonts w:eastAsia="Times New Roman"/>
                <w:b/>
                <w:bCs/>
                <w:color w:val="000000"/>
                <w:lang w:eastAsia="en-GB"/>
              </w:rPr>
            </w:pPr>
            <w:r>
              <w:rPr>
                <w:rFonts w:eastAsia="Times New Roman"/>
                <w:b/>
                <w:bCs/>
                <w:color w:val="000000"/>
                <w:lang w:eastAsia="en-GB"/>
              </w:rPr>
              <w:t>Case fatality</w:t>
            </w:r>
          </w:p>
        </w:tc>
        <w:tc>
          <w:tcPr>
            <w:tcW w:w="2142" w:type="dxa"/>
            <w:noWrap/>
            <w:hideMark/>
          </w:tcPr>
          <w:p w14:paraId="40AF5D37" w14:textId="77777777" w:rsidR="00185412" w:rsidRPr="00AC2A8D" w:rsidRDefault="00185412" w:rsidP="00AC2A8D">
            <w:pPr>
              <w:spacing w:after="0" w:line="240" w:lineRule="auto"/>
              <w:rPr>
                <w:rFonts w:eastAsia="Times New Roman"/>
                <w:b/>
                <w:bCs/>
                <w:color w:val="000000"/>
                <w:lang w:eastAsia="en-GB"/>
              </w:rPr>
            </w:pPr>
          </w:p>
        </w:tc>
        <w:tc>
          <w:tcPr>
            <w:tcW w:w="1200" w:type="dxa"/>
            <w:noWrap/>
            <w:hideMark/>
          </w:tcPr>
          <w:p w14:paraId="2297CF97" w14:textId="77777777" w:rsidR="00185412" w:rsidRPr="00AC2A8D" w:rsidRDefault="00185412" w:rsidP="00AC2A8D">
            <w:pPr>
              <w:spacing w:after="0" w:line="240" w:lineRule="auto"/>
              <w:rPr>
                <w:rFonts w:ascii="Times New Roman" w:eastAsia="Times New Roman" w:hAnsi="Times New Roman"/>
                <w:sz w:val="20"/>
                <w:szCs w:val="20"/>
                <w:lang w:eastAsia="en-GB"/>
              </w:rPr>
            </w:pPr>
          </w:p>
        </w:tc>
        <w:tc>
          <w:tcPr>
            <w:tcW w:w="1200" w:type="dxa"/>
            <w:noWrap/>
            <w:hideMark/>
          </w:tcPr>
          <w:p w14:paraId="350387B5" w14:textId="77777777" w:rsidR="00185412" w:rsidRPr="00AC2A8D" w:rsidRDefault="00185412" w:rsidP="00AC2A8D">
            <w:pPr>
              <w:spacing w:after="0" w:line="240" w:lineRule="auto"/>
              <w:rPr>
                <w:rFonts w:ascii="Times New Roman" w:eastAsia="Times New Roman" w:hAnsi="Times New Roman"/>
                <w:sz w:val="20"/>
                <w:szCs w:val="20"/>
                <w:lang w:eastAsia="en-GB"/>
              </w:rPr>
            </w:pPr>
          </w:p>
        </w:tc>
        <w:tc>
          <w:tcPr>
            <w:tcW w:w="1200" w:type="dxa"/>
            <w:noWrap/>
            <w:hideMark/>
          </w:tcPr>
          <w:p w14:paraId="6379F8E7" w14:textId="77777777" w:rsidR="00185412" w:rsidRPr="00AC2A8D" w:rsidRDefault="00185412" w:rsidP="00AC2A8D">
            <w:pPr>
              <w:spacing w:after="0" w:line="240" w:lineRule="auto"/>
              <w:rPr>
                <w:rFonts w:ascii="Times New Roman" w:eastAsia="Times New Roman" w:hAnsi="Times New Roman"/>
                <w:sz w:val="20"/>
                <w:szCs w:val="20"/>
                <w:lang w:eastAsia="en-GB"/>
              </w:rPr>
            </w:pPr>
          </w:p>
        </w:tc>
        <w:tc>
          <w:tcPr>
            <w:tcW w:w="1200" w:type="dxa"/>
            <w:noWrap/>
            <w:hideMark/>
          </w:tcPr>
          <w:p w14:paraId="594EA110" w14:textId="77777777" w:rsidR="00185412" w:rsidRPr="00AC2A8D" w:rsidRDefault="00185412" w:rsidP="00AC2A8D">
            <w:pPr>
              <w:spacing w:after="0" w:line="240" w:lineRule="auto"/>
              <w:rPr>
                <w:rFonts w:ascii="Times New Roman" w:eastAsia="Times New Roman" w:hAnsi="Times New Roman"/>
                <w:sz w:val="20"/>
                <w:szCs w:val="20"/>
                <w:lang w:eastAsia="en-GB"/>
              </w:rPr>
            </w:pPr>
          </w:p>
        </w:tc>
      </w:tr>
      <w:tr w:rsidR="004D42DB" w:rsidRPr="00AC2A8D" w14:paraId="07E7AA32" w14:textId="77777777" w:rsidTr="00271EED">
        <w:trPr>
          <w:trHeight w:val="300"/>
        </w:trPr>
        <w:tc>
          <w:tcPr>
            <w:tcW w:w="1556" w:type="dxa"/>
            <w:noWrap/>
            <w:hideMark/>
          </w:tcPr>
          <w:p w14:paraId="01ED32F1" w14:textId="77777777" w:rsidR="00185412" w:rsidRPr="00AC2A8D" w:rsidRDefault="00185412" w:rsidP="00AC2A8D">
            <w:pPr>
              <w:spacing w:after="0" w:line="240" w:lineRule="auto"/>
              <w:rPr>
                <w:rFonts w:ascii="Times New Roman" w:eastAsia="Times New Roman" w:hAnsi="Times New Roman"/>
                <w:sz w:val="20"/>
                <w:szCs w:val="20"/>
                <w:lang w:eastAsia="en-GB"/>
              </w:rPr>
            </w:pPr>
          </w:p>
        </w:tc>
        <w:tc>
          <w:tcPr>
            <w:tcW w:w="2142" w:type="dxa"/>
            <w:noWrap/>
            <w:hideMark/>
          </w:tcPr>
          <w:p w14:paraId="03C7F93B" w14:textId="77777777" w:rsidR="00185412" w:rsidRPr="00AC2A8D" w:rsidRDefault="00185412" w:rsidP="00AC2A8D">
            <w:pPr>
              <w:spacing w:after="0" w:line="240" w:lineRule="auto"/>
              <w:rPr>
                <w:rFonts w:ascii="Times New Roman" w:eastAsia="Times New Roman" w:hAnsi="Times New Roman"/>
                <w:sz w:val="20"/>
                <w:szCs w:val="20"/>
                <w:lang w:eastAsia="en-GB"/>
              </w:rPr>
            </w:pPr>
          </w:p>
        </w:tc>
        <w:tc>
          <w:tcPr>
            <w:tcW w:w="1200" w:type="dxa"/>
            <w:noWrap/>
            <w:hideMark/>
          </w:tcPr>
          <w:p w14:paraId="29B11053"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0(0)</w:t>
            </w:r>
          </w:p>
        </w:tc>
        <w:tc>
          <w:tcPr>
            <w:tcW w:w="1200" w:type="dxa"/>
            <w:noWrap/>
            <w:hideMark/>
          </w:tcPr>
          <w:p w14:paraId="08CBF9FE"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2(67)</w:t>
            </w:r>
          </w:p>
        </w:tc>
        <w:tc>
          <w:tcPr>
            <w:tcW w:w="1200" w:type="dxa"/>
            <w:noWrap/>
            <w:hideMark/>
          </w:tcPr>
          <w:p w14:paraId="14423232"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1(50)</w:t>
            </w:r>
          </w:p>
        </w:tc>
        <w:tc>
          <w:tcPr>
            <w:tcW w:w="1200" w:type="dxa"/>
            <w:noWrap/>
            <w:hideMark/>
          </w:tcPr>
          <w:p w14:paraId="4A8C6ABD" w14:textId="77777777" w:rsidR="00185412" w:rsidRPr="00AC2A8D" w:rsidRDefault="00185412" w:rsidP="00AC2A8D">
            <w:pPr>
              <w:spacing w:after="0" w:line="240" w:lineRule="auto"/>
              <w:rPr>
                <w:rFonts w:eastAsia="Times New Roman"/>
                <w:color w:val="000000"/>
                <w:lang w:eastAsia="en-GB"/>
              </w:rPr>
            </w:pPr>
            <w:r w:rsidRPr="00AC2A8D">
              <w:rPr>
                <w:rFonts w:eastAsia="Times New Roman"/>
                <w:color w:val="000000"/>
                <w:lang w:eastAsia="en-GB"/>
              </w:rPr>
              <w:t>3(27)</w:t>
            </w:r>
          </w:p>
        </w:tc>
      </w:tr>
    </w:tbl>
    <w:p w14:paraId="5D78ED92" w14:textId="77777777" w:rsidR="00023A26" w:rsidRDefault="00023A26" w:rsidP="00023A26">
      <w:pPr>
        <w:rPr>
          <w:rFonts w:ascii="Cambria" w:hAnsi="Cambria"/>
          <w:b/>
          <w:bCs/>
          <w:sz w:val="24"/>
          <w:szCs w:val="24"/>
          <w:lang w:val="en-US"/>
        </w:rPr>
      </w:pPr>
    </w:p>
    <w:p w14:paraId="0FF1266C" w14:textId="77777777" w:rsidR="00D80079" w:rsidRDefault="00D80079" w:rsidP="00023A26">
      <w:pPr>
        <w:rPr>
          <w:rFonts w:ascii="Cambria" w:hAnsi="Cambria"/>
          <w:b/>
          <w:bCs/>
          <w:sz w:val="24"/>
          <w:szCs w:val="24"/>
          <w:lang w:val="en-US"/>
        </w:rPr>
      </w:pPr>
      <w:r>
        <w:rPr>
          <w:rFonts w:ascii="Cambria" w:hAnsi="Cambria"/>
          <w:b/>
          <w:bCs/>
          <w:sz w:val="24"/>
          <w:szCs w:val="24"/>
          <w:lang w:val="en-US"/>
        </w:rPr>
        <w:t>Key</w:t>
      </w:r>
    </w:p>
    <w:p w14:paraId="3A0FCFCE" w14:textId="5C368739" w:rsidR="00C018B0" w:rsidRDefault="00D80079" w:rsidP="00023A26">
      <w:pPr>
        <w:rPr>
          <w:rFonts w:ascii="Cambria" w:hAnsi="Cambria"/>
          <w:b/>
          <w:bCs/>
          <w:sz w:val="24"/>
          <w:szCs w:val="24"/>
          <w:lang w:val="en-US"/>
        </w:rPr>
      </w:pPr>
      <w:r w:rsidRPr="00D80079">
        <w:rPr>
          <w:rFonts w:ascii="Cambria" w:hAnsi="Cambria"/>
          <w:b/>
          <w:bCs/>
          <w:sz w:val="24"/>
          <w:szCs w:val="24"/>
          <w:lang w:val="en-US"/>
        </w:rPr>
        <w:t>PCV13</w:t>
      </w:r>
      <w:r>
        <w:rPr>
          <w:rFonts w:ascii="Cambria" w:hAnsi="Cambria"/>
          <w:b/>
          <w:bCs/>
          <w:sz w:val="24"/>
          <w:szCs w:val="24"/>
          <w:lang w:val="en-US"/>
        </w:rPr>
        <w:t xml:space="preserve"> = Serotypes included in 13 valent Pneumococcal Conjugate Vaccine</w:t>
      </w:r>
    </w:p>
    <w:p w14:paraId="78388F3F" w14:textId="0DCE519E" w:rsidR="00D80079" w:rsidRDefault="00D80079" w:rsidP="00023A26">
      <w:pPr>
        <w:rPr>
          <w:rFonts w:ascii="Cambria" w:hAnsi="Cambria"/>
          <w:b/>
          <w:bCs/>
          <w:sz w:val="24"/>
          <w:szCs w:val="24"/>
          <w:lang w:val="en-US"/>
        </w:rPr>
      </w:pPr>
      <w:r w:rsidRPr="00D80079">
        <w:rPr>
          <w:rFonts w:ascii="Cambria" w:hAnsi="Cambria"/>
          <w:b/>
          <w:bCs/>
          <w:sz w:val="24"/>
          <w:szCs w:val="24"/>
          <w:lang w:val="en-US"/>
        </w:rPr>
        <w:t xml:space="preserve">Non-PCV13= Serotypes </w:t>
      </w:r>
      <w:r>
        <w:rPr>
          <w:rFonts w:ascii="Cambria" w:hAnsi="Cambria"/>
          <w:b/>
          <w:bCs/>
          <w:sz w:val="24"/>
          <w:szCs w:val="24"/>
          <w:lang w:val="en-US"/>
        </w:rPr>
        <w:t xml:space="preserve">NOT </w:t>
      </w:r>
      <w:r w:rsidRPr="00D80079">
        <w:rPr>
          <w:rFonts w:ascii="Cambria" w:hAnsi="Cambria"/>
          <w:b/>
          <w:bCs/>
          <w:sz w:val="24"/>
          <w:szCs w:val="24"/>
          <w:lang w:val="en-US"/>
        </w:rPr>
        <w:t>included in 13 valent Pneumococcal Conjugate Vaccine</w:t>
      </w:r>
    </w:p>
    <w:p w14:paraId="467CC1FA" w14:textId="77777777" w:rsidR="004758F4" w:rsidRDefault="004758F4" w:rsidP="00EA6E35">
      <w:pPr>
        <w:tabs>
          <w:tab w:val="left" w:pos="6096"/>
        </w:tabs>
      </w:pPr>
    </w:p>
    <w:sectPr w:rsidR="004758F4" w:rsidSect="009305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82412" w14:textId="77777777" w:rsidR="00682EE2" w:rsidRDefault="00682EE2" w:rsidP="00FD56A3">
      <w:pPr>
        <w:spacing w:after="0" w:line="240" w:lineRule="auto"/>
      </w:pPr>
      <w:r>
        <w:separator/>
      </w:r>
    </w:p>
  </w:endnote>
  <w:endnote w:type="continuationSeparator" w:id="0">
    <w:p w14:paraId="5F4B04A0" w14:textId="77777777" w:rsidR="00682EE2" w:rsidRDefault="00682EE2" w:rsidP="00FD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356C" w14:textId="77777777" w:rsidR="00682EE2" w:rsidRDefault="00682EE2">
    <w:pPr>
      <w:pStyle w:val="Footer"/>
      <w:jc w:val="right"/>
    </w:pPr>
    <w:r>
      <w:fldChar w:fldCharType="begin"/>
    </w:r>
    <w:r>
      <w:instrText xml:space="preserve"> PAGE   \* MERGEFORMAT </w:instrText>
    </w:r>
    <w:r>
      <w:fldChar w:fldCharType="separate"/>
    </w:r>
    <w:r w:rsidR="00584EE3">
      <w:rPr>
        <w:noProof/>
      </w:rPr>
      <w:t>1</w:t>
    </w:r>
    <w:r>
      <w:rPr>
        <w:noProof/>
      </w:rPr>
      <w:fldChar w:fldCharType="end"/>
    </w:r>
  </w:p>
  <w:p w14:paraId="56263BB0" w14:textId="77777777" w:rsidR="00682EE2" w:rsidRDefault="00682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8E7A1" w14:textId="77777777" w:rsidR="00682EE2" w:rsidRDefault="00682EE2" w:rsidP="00FD56A3">
      <w:pPr>
        <w:spacing w:after="0" w:line="240" w:lineRule="auto"/>
      </w:pPr>
      <w:r>
        <w:separator/>
      </w:r>
    </w:p>
  </w:footnote>
  <w:footnote w:type="continuationSeparator" w:id="0">
    <w:p w14:paraId="0CA63BF7" w14:textId="77777777" w:rsidR="00682EE2" w:rsidRDefault="00682EE2" w:rsidP="00FD5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FF0F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9D1695"/>
    <w:multiLevelType w:val="hybridMultilevel"/>
    <w:tmpl w:val="8B188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37"/>
    <w:rsid w:val="00002E90"/>
    <w:rsid w:val="00005F3A"/>
    <w:rsid w:val="00006E53"/>
    <w:rsid w:val="00007D7F"/>
    <w:rsid w:val="00015A7B"/>
    <w:rsid w:val="000167AC"/>
    <w:rsid w:val="000201D2"/>
    <w:rsid w:val="00023448"/>
    <w:rsid w:val="00023A26"/>
    <w:rsid w:val="00023F93"/>
    <w:rsid w:val="0002512A"/>
    <w:rsid w:val="00025846"/>
    <w:rsid w:val="00026276"/>
    <w:rsid w:val="000326C3"/>
    <w:rsid w:val="000327D2"/>
    <w:rsid w:val="00033C46"/>
    <w:rsid w:val="00034865"/>
    <w:rsid w:val="0004015C"/>
    <w:rsid w:val="0004022D"/>
    <w:rsid w:val="0004112A"/>
    <w:rsid w:val="0005372E"/>
    <w:rsid w:val="0005591F"/>
    <w:rsid w:val="00062FD0"/>
    <w:rsid w:val="000649A5"/>
    <w:rsid w:val="00065DEF"/>
    <w:rsid w:val="00066CB5"/>
    <w:rsid w:val="00071ED5"/>
    <w:rsid w:val="00075824"/>
    <w:rsid w:val="00075F2D"/>
    <w:rsid w:val="00080545"/>
    <w:rsid w:val="00081400"/>
    <w:rsid w:val="000858C4"/>
    <w:rsid w:val="00090310"/>
    <w:rsid w:val="0009104F"/>
    <w:rsid w:val="00091BF8"/>
    <w:rsid w:val="000927F0"/>
    <w:rsid w:val="0009377F"/>
    <w:rsid w:val="0009565F"/>
    <w:rsid w:val="00095885"/>
    <w:rsid w:val="000A0955"/>
    <w:rsid w:val="000A0AD4"/>
    <w:rsid w:val="000A3891"/>
    <w:rsid w:val="000A4334"/>
    <w:rsid w:val="000A51EC"/>
    <w:rsid w:val="000B039C"/>
    <w:rsid w:val="000B4384"/>
    <w:rsid w:val="000B48B6"/>
    <w:rsid w:val="000B7B88"/>
    <w:rsid w:val="000C39FE"/>
    <w:rsid w:val="000C6132"/>
    <w:rsid w:val="000D12C3"/>
    <w:rsid w:val="000D1E22"/>
    <w:rsid w:val="000D227B"/>
    <w:rsid w:val="000D7714"/>
    <w:rsid w:val="000E0D3D"/>
    <w:rsid w:val="000E1375"/>
    <w:rsid w:val="000E5C2A"/>
    <w:rsid w:val="000E6199"/>
    <w:rsid w:val="000E7EB0"/>
    <w:rsid w:val="000F01EC"/>
    <w:rsid w:val="000F0B32"/>
    <w:rsid w:val="000F0CDE"/>
    <w:rsid w:val="000F41DB"/>
    <w:rsid w:val="000F53EE"/>
    <w:rsid w:val="00100080"/>
    <w:rsid w:val="00101D24"/>
    <w:rsid w:val="00102A20"/>
    <w:rsid w:val="00104245"/>
    <w:rsid w:val="00104800"/>
    <w:rsid w:val="00104B6F"/>
    <w:rsid w:val="00111640"/>
    <w:rsid w:val="00113298"/>
    <w:rsid w:val="00114DB8"/>
    <w:rsid w:val="00114FF0"/>
    <w:rsid w:val="00122155"/>
    <w:rsid w:val="0012438E"/>
    <w:rsid w:val="001245A2"/>
    <w:rsid w:val="001300CC"/>
    <w:rsid w:val="00132896"/>
    <w:rsid w:val="0013656B"/>
    <w:rsid w:val="00137567"/>
    <w:rsid w:val="00142B8F"/>
    <w:rsid w:val="001443B8"/>
    <w:rsid w:val="001463A4"/>
    <w:rsid w:val="00150EEF"/>
    <w:rsid w:val="0015114C"/>
    <w:rsid w:val="0015115F"/>
    <w:rsid w:val="0015441A"/>
    <w:rsid w:val="00154873"/>
    <w:rsid w:val="00156E09"/>
    <w:rsid w:val="00161A93"/>
    <w:rsid w:val="0016325D"/>
    <w:rsid w:val="00167A3C"/>
    <w:rsid w:val="0017219D"/>
    <w:rsid w:val="001765CB"/>
    <w:rsid w:val="001800CB"/>
    <w:rsid w:val="00181E69"/>
    <w:rsid w:val="00184A71"/>
    <w:rsid w:val="00185412"/>
    <w:rsid w:val="001A0236"/>
    <w:rsid w:val="001A09AB"/>
    <w:rsid w:val="001A11EB"/>
    <w:rsid w:val="001A3C56"/>
    <w:rsid w:val="001A4E64"/>
    <w:rsid w:val="001A55D1"/>
    <w:rsid w:val="001A5E71"/>
    <w:rsid w:val="001B0E37"/>
    <w:rsid w:val="001B17BC"/>
    <w:rsid w:val="001B2890"/>
    <w:rsid w:val="001B3D6B"/>
    <w:rsid w:val="001B6CBC"/>
    <w:rsid w:val="001B774B"/>
    <w:rsid w:val="001C100E"/>
    <w:rsid w:val="001C409F"/>
    <w:rsid w:val="001D69A1"/>
    <w:rsid w:val="001D6F10"/>
    <w:rsid w:val="001E2178"/>
    <w:rsid w:val="001E2AA5"/>
    <w:rsid w:val="001F4168"/>
    <w:rsid w:val="001F5CF4"/>
    <w:rsid w:val="002006BC"/>
    <w:rsid w:val="002016AB"/>
    <w:rsid w:val="00203550"/>
    <w:rsid w:val="00204000"/>
    <w:rsid w:val="00204930"/>
    <w:rsid w:val="0020565F"/>
    <w:rsid w:val="002067AE"/>
    <w:rsid w:val="00211B10"/>
    <w:rsid w:val="00212F7C"/>
    <w:rsid w:val="00213038"/>
    <w:rsid w:val="00216155"/>
    <w:rsid w:val="00216360"/>
    <w:rsid w:val="00221B07"/>
    <w:rsid w:val="00221BF0"/>
    <w:rsid w:val="0022224B"/>
    <w:rsid w:val="00225037"/>
    <w:rsid w:val="00225D14"/>
    <w:rsid w:val="00227060"/>
    <w:rsid w:val="002307CB"/>
    <w:rsid w:val="00232529"/>
    <w:rsid w:val="00234FAD"/>
    <w:rsid w:val="00237A37"/>
    <w:rsid w:val="00237B6E"/>
    <w:rsid w:val="00242B0A"/>
    <w:rsid w:val="002437FF"/>
    <w:rsid w:val="002448DF"/>
    <w:rsid w:val="0024683F"/>
    <w:rsid w:val="00252FA1"/>
    <w:rsid w:val="002538DE"/>
    <w:rsid w:val="002566F0"/>
    <w:rsid w:val="00262277"/>
    <w:rsid w:val="0026601E"/>
    <w:rsid w:val="00271EED"/>
    <w:rsid w:val="00273A6B"/>
    <w:rsid w:val="00273D79"/>
    <w:rsid w:val="00274831"/>
    <w:rsid w:val="00276615"/>
    <w:rsid w:val="00277006"/>
    <w:rsid w:val="0027742D"/>
    <w:rsid w:val="002814E0"/>
    <w:rsid w:val="00282861"/>
    <w:rsid w:val="00291C94"/>
    <w:rsid w:val="00292ABB"/>
    <w:rsid w:val="002951DD"/>
    <w:rsid w:val="002A1835"/>
    <w:rsid w:val="002A6A0D"/>
    <w:rsid w:val="002B0B7C"/>
    <w:rsid w:val="002B36BD"/>
    <w:rsid w:val="002B5846"/>
    <w:rsid w:val="002B5DEE"/>
    <w:rsid w:val="002B6D8D"/>
    <w:rsid w:val="002C63BF"/>
    <w:rsid w:val="002E0323"/>
    <w:rsid w:val="002E1735"/>
    <w:rsid w:val="002E7203"/>
    <w:rsid w:val="002F0966"/>
    <w:rsid w:val="002F0AC3"/>
    <w:rsid w:val="002F4656"/>
    <w:rsid w:val="00305444"/>
    <w:rsid w:val="0030656E"/>
    <w:rsid w:val="00306CC5"/>
    <w:rsid w:val="003107A7"/>
    <w:rsid w:val="003114DA"/>
    <w:rsid w:val="0031624D"/>
    <w:rsid w:val="003174BB"/>
    <w:rsid w:val="00321405"/>
    <w:rsid w:val="003237D6"/>
    <w:rsid w:val="00325916"/>
    <w:rsid w:val="003265F4"/>
    <w:rsid w:val="00331463"/>
    <w:rsid w:val="003350AC"/>
    <w:rsid w:val="00337AB0"/>
    <w:rsid w:val="0034693B"/>
    <w:rsid w:val="0034734C"/>
    <w:rsid w:val="00350228"/>
    <w:rsid w:val="003519EB"/>
    <w:rsid w:val="00352B05"/>
    <w:rsid w:val="00360105"/>
    <w:rsid w:val="00363711"/>
    <w:rsid w:val="0036401B"/>
    <w:rsid w:val="003663F5"/>
    <w:rsid w:val="0036763A"/>
    <w:rsid w:val="0037210A"/>
    <w:rsid w:val="00376DA1"/>
    <w:rsid w:val="00377154"/>
    <w:rsid w:val="00377983"/>
    <w:rsid w:val="00381263"/>
    <w:rsid w:val="00381B5A"/>
    <w:rsid w:val="00382D94"/>
    <w:rsid w:val="003837C2"/>
    <w:rsid w:val="00384283"/>
    <w:rsid w:val="003935E5"/>
    <w:rsid w:val="00394B9B"/>
    <w:rsid w:val="00397170"/>
    <w:rsid w:val="003A04DA"/>
    <w:rsid w:val="003A28A0"/>
    <w:rsid w:val="003A2A09"/>
    <w:rsid w:val="003A3B9C"/>
    <w:rsid w:val="003B1165"/>
    <w:rsid w:val="003C1D12"/>
    <w:rsid w:val="003C2128"/>
    <w:rsid w:val="003C44DA"/>
    <w:rsid w:val="003C6277"/>
    <w:rsid w:val="003D27B0"/>
    <w:rsid w:val="003D2DD3"/>
    <w:rsid w:val="003D7582"/>
    <w:rsid w:val="003D76AC"/>
    <w:rsid w:val="003E7624"/>
    <w:rsid w:val="003F3843"/>
    <w:rsid w:val="00400272"/>
    <w:rsid w:val="004020BC"/>
    <w:rsid w:val="00410DF5"/>
    <w:rsid w:val="0041203D"/>
    <w:rsid w:val="004124AB"/>
    <w:rsid w:val="0041350B"/>
    <w:rsid w:val="00416476"/>
    <w:rsid w:val="004179F1"/>
    <w:rsid w:val="0042055B"/>
    <w:rsid w:val="004209D0"/>
    <w:rsid w:val="0042100B"/>
    <w:rsid w:val="00423374"/>
    <w:rsid w:val="004243CC"/>
    <w:rsid w:val="00424AE2"/>
    <w:rsid w:val="00425246"/>
    <w:rsid w:val="00431C84"/>
    <w:rsid w:val="0043264E"/>
    <w:rsid w:val="0043303D"/>
    <w:rsid w:val="00436DA4"/>
    <w:rsid w:val="0044549A"/>
    <w:rsid w:val="004468BB"/>
    <w:rsid w:val="00451FB3"/>
    <w:rsid w:val="00456C3A"/>
    <w:rsid w:val="00457C0A"/>
    <w:rsid w:val="004645A8"/>
    <w:rsid w:val="00465065"/>
    <w:rsid w:val="00471469"/>
    <w:rsid w:val="004743C2"/>
    <w:rsid w:val="004758F4"/>
    <w:rsid w:val="00477FCE"/>
    <w:rsid w:val="0048176C"/>
    <w:rsid w:val="004907AE"/>
    <w:rsid w:val="004911D8"/>
    <w:rsid w:val="00491628"/>
    <w:rsid w:val="004A09BE"/>
    <w:rsid w:val="004A2AAD"/>
    <w:rsid w:val="004A320E"/>
    <w:rsid w:val="004A590A"/>
    <w:rsid w:val="004B17DB"/>
    <w:rsid w:val="004B18C8"/>
    <w:rsid w:val="004B36B7"/>
    <w:rsid w:val="004B5184"/>
    <w:rsid w:val="004C3438"/>
    <w:rsid w:val="004C3C52"/>
    <w:rsid w:val="004D42DB"/>
    <w:rsid w:val="004D52D7"/>
    <w:rsid w:val="004E162B"/>
    <w:rsid w:val="004E3743"/>
    <w:rsid w:val="004E43D2"/>
    <w:rsid w:val="004E704B"/>
    <w:rsid w:val="004F0B09"/>
    <w:rsid w:val="004F2156"/>
    <w:rsid w:val="004F4F6C"/>
    <w:rsid w:val="004F6E22"/>
    <w:rsid w:val="005076B9"/>
    <w:rsid w:val="00507A6F"/>
    <w:rsid w:val="00507D7D"/>
    <w:rsid w:val="00511071"/>
    <w:rsid w:val="00514F5E"/>
    <w:rsid w:val="00515DC2"/>
    <w:rsid w:val="00521ABA"/>
    <w:rsid w:val="005234C3"/>
    <w:rsid w:val="005240CD"/>
    <w:rsid w:val="005264E6"/>
    <w:rsid w:val="00536874"/>
    <w:rsid w:val="005379C6"/>
    <w:rsid w:val="005403A7"/>
    <w:rsid w:val="00546D71"/>
    <w:rsid w:val="00550525"/>
    <w:rsid w:val="00552749"/>
    <w:rsid w:val="00554716"/>
    <w:rsid w:val="00567720"/>
    <w:rsid w:val="00570B15"/>
    <w:rsid w:val="00571232"/>
    <w:rsid w:val="0057202A"/>
    <w:rsid w:val="005722B9"/>
    <w:rsid w:val="00575B49"/>
    <w:rsid w:val="00577601"/>
    <w:rsid w:val="005808EF"/>
    <w:rsid w:val="005821D4"/>
    <w:rsid w:val="00582B33"/>
    <w:rsid w:val="00583F2E"/>
    <w:rsid w:val="00584EE3"/>
    <w:rsid w:val="00585DEA"/>
    <w:rsid w:val="00587C41"/>
    <w:rsid w:val="00587E1E"/>
    <w:rsid w:val="00590781"/>
    <w:rsid w:val="00591042"/>
    <w:rsid w:val="005918E4"/>
    <w:rsid w:val="00592670"/>
    <w:rsid w:val="0059373D"/>
    <w:rsid w:val="005A29BF"/>
    <w:rsid w:val="005A3E8B"/>
    <w:rsid w:val="005A6AB2"/>
    <w:rsid w:val="005B0766"/>
    <w:rsid w:val="005B26F3"/>
    <w:rsid w:val="005B2E53"/>
    <w:rsid w:val="005B4909"/>
    <w:rsid w:val="005B4DA7"/>
    <w:rsid w:val="005B5036"/>
    <w:rsid w:val="005B6623"/>
    <w:rsid w:val="005C46FE"/>
    <w:rsid w:val="005C4705"/>
    <w:rsid w:val="005C6906"/>
    <w:rsid w:val="005C7B47"/>
    <w:rsid w:val="005D0EFB"/>
    <w:rsid w:val="005D30D3"/>
    <w:rsid w:val="005D46B8"/>
    <w:rsid w:val="005D706B"/>
    <w:rsid w:val="005E2738"/>
    <w:rsid w:val="005E617F"/>
    <w:rsid w:val="005F080A"/>
    <w:rsid w:val="005F0E89"/>
    <w:rsid w:val="005F1E02"/>
    <w:rsid w:val="005F383E"/>
    <w:rsid w:val="00601533"/>
    <w:rsid w:val="00602DE4"/>
    <w:rsid w:val="0060311B"/>
    <w:rsid w:val="006062FA"/>
    <w:rsid w:val="00606D16"/>
    <w:rsid w:val="00606D6D"/>
    <w:rsid w:val="00607E51"/>
    <w:rsid w:val="006119AA"/>
    <w:rsid w:val="00613054"/>
    <w:rsid w:val="006138B1"/>
    <w:rsid w:val="00613AB2"/>
    <w:rsid w:val="00614547"/>
    <w:rsid w:val="00614B1A"/>
    <w:rsid w:val="00615C35"/>
    <w:rsid w:val="00617538"/>
    <w:rsid w:val="00617AC4"/>
    <w:rsid w:val="0062750B"/>
    <w:rsid w:val="006279EE"/>
    <w:rsid w:val="00627D60"/>
    <w:rsid w:val="00631693"/>
    <w:rsid w:val="006324EB"/>
    <w:rsid w:val="006326C8"/>
    <w:rsid w:val="00637C92"/>
    <w:rsid w:val="00640E48"/>
    <w:rsid w:val="00642FF8"/>
    <w:rsid w:val="006442BB"/>
    <w:rsid w:val="00644542"/>
    <w:rsid w:val="00647EA3"/>
    <w:rsid w:val="00654B66"/>
    <w:rsid w:val="00660939"/>
    <w:rsid w:val="00662953"/>
    <w:rsid w:val="00662FEC"/>
    <w:rsid w:val="00666997"/>
    <w:rsid w:val="00671654"/>
    <w:rsid w:val="00671D48"/>
    <w:rsid w:val="00677C9A"/>
    <w:rsid w:val="00682A74"/>
    <w:rsid w:val="00682EE2"/>
    <w:rsid w:val="0068323D"/>
    <w:rsid w:val="00687782"/>
    <w:rsid w:val="00687D6A"/>
    <w:rsid w:val="00697A41"/>
    <w:rsid w:val="006A0762"/>
    <w:rsid w:val="006A17A2"/>
    <w:rsid w:val="006A5462"/>
    <w:rsid w:val="006B01FE"/>
    <w:rsid w:val="006B0A88"/>
    <w:rsid w:val="006B150A"/>
    <w:rsid w:val="006B24B9"/>
    <w:rsid w:val="006B3326"/>
    <w:rsid w:val="006B57B9"/>
    <w:rsid w:val="006B6015"/>
    <w:rsid w:val="006B62A2"/>
    <w:rsid w:val="006B634A"/>
    <w:rsid w:val="006C232B"/>
    <w:rsid w:val="006C5E93"/>
    <w:rsid w:val="006D05EA"/>
    <w:rsid w:val="006D1BA2"/>
    <w:rsid w:val="006D248D"/>
    <w:rsid w:val="006D3943"/>
    <w:rsid w:val="006D56A8"/>
    <w:rsid w:val="006D685E"/>
    <w:rsid w:val="006D6B19"/>
    <w:rsid w:val="006D793E"/>
    <w:rsid w:val="006E08F2"/>
    <w:rsid w:val="006F1759"/>
    <w:rsid w:val="006F1991"/>
    <w:rsid w:val="006F4D85"/>
    <w:rsid w:val="006F71A5"/>
    <w:rsid w:val="006F7D96"/>
    <w:rsid w:val="00706590"/>
    <w:rsid w:val="0070734B"/>
    <w:rsid w:val="007117AD"/>
    <w:rsid w:val="00712916"/>
    <w:rsid w:val="0071699F"/>
    <w:rsid w:val="00720546"/>
    <w:rsid w:val="0072119F"/>
    <w:rsid w:val="007252D6"/>
    <w:rsid w:val="00725C80"/>
    <w:rsid w:val="0073324B"/>
    <w:rsid w:val="00735872"/>
    <w:rsid w:val="007358CC"/>
    <w:rsid w:val="00742162"/>
    <w:rsid w:val="00742715"/>
    <w:rsid w:val="00742BB3"/>
    <w:rsid w:val="00743446"/>
    <w:rsid w:val="00756B57"/>
    <w:rsid w:val="00763971"/>
    <w:rsid w:val="00770DF5"/>
    <w:rsid w:val="00771395"/>
    <w:rsid w:val="00772E55"/>
    <w:rsid w:val="00780C8F"/>
    <w:rsid w:val="00781494"/>
    <w:rsid w:val="0078588E"/>
    <w:rsid w:val="007865F4"/>
    <w:rsid w:val="007872DC"/>
    <w:rsid w:val="00794750"/>
    <w:rsid w:val="007962E3"/>
    <w:rsid w:val="00796DD5"/>
    <w:rsid w:val="00796E06"/>
    <w:rsid w:val="007A1958"/>
    <w:rsid w:val="007A421A"/>
    <w:rsid w:val="007A578C"/>
    <w:rsid w:val="007A582C"/>
    <w:rsid w:val="007A6D2D"/>
    <w:rsid w:val="007A7468"/>
    <w:rsid w:val="007B24CF"/>
    <w:rsid w:val="007B4E15"/>
    <w:rsid w:val="007B516C"/>
    <w:rsid w:val="007B71E5"/>
    <w:rsid w:val="007C0493"/>
    <w:rsid w:val="007C0534"/>
    <w:rsid w:val="007C1272"/>
    <w:rsid w:val="007C3D9A"/>
    <w:rsid w:val="007C5D8F"/>
    <w:rsid w:val="007D1D51"/>
    <w:rsid w:val="007D38C8"/>
    <w:rsid w:val="007D3E9E"/>
    <w:rsid w:val="007E011C"/>
    <w:rsid w:val="007E01B2"/>
    <w:rsid w:val="007E07E3"/>
    <w:rsid w:val="007E5611"/>
    <w:rsid w:val="007E6AEF"/>
    <w:rsid w:val="007E7FD9"/>
    <w:rsid w:val="007F4D2C"/>
    <w:rsid w:val="007F6795"/>
    <w:rsid w:val="007F71FD"/>
    <w:rsid w:val="00801F17"/>
    <w:rsid w:val="00803C51"/>
    <w:rsid w:val="00806E5B"/>
    <w:rsid w:val="00807954"/>
    <w:rsid w:val="00810614"/>
    <w:rsid w:val="0081084E"/>
    <w:rsid w:val="0081190F"/>
    <w:rsid w:val="0081215D"/>
    <w:rsid w:val="00813F71"/>
    <w:rsid w:val="0081522D"/>
    <w:rsid w:val="00815FF0"/>
    <w:rsid w:val="008172E8"/>
    <w:rsid w:val="00817D77"/>
    <w:rsid w:val="0082003D"/>
    <w:rsid w:val="00821087"/>
    <w:rsid w:val="0082165D"/>
    <w:rsid w:val="00826256"/>
    <w:rsid w:val="0083129B"/>
    <w:rsid w:val="00833CC2"/>
    <w:rsid w:val="00841552"/>
    <w:rsid w:val="008465BD"/>
    <w:rsid w:val="00851673"/>
    <w:rsid w:val="00852E07"/>
    <w:rsid w:val="008616BE"/>
    <w:rsid w:val="00861DEA"/>
    <w:rsid w:val="0086391C"/>
    <w:rsid w:val="00872591"/>
    <w:rsid w:val="00872A44"/>
    <w:rsid w:val="0087327A"/>
    <w:rsid w:val="00882566"/>
    <w:rsid w:val="00884127"/>
    <w:rsid w:val="00885F85"/>
    <w:rsid w:val="00887D5D"/>
    <w:rsid w:val="0089531F"/>
    <w:rsid w:val="00897A1A"/>
    <w:rsid w:val="008A0223"/>
    <w:rsid w:val="008A20AF"/>
    <w:rsid w:val="008A5928"/>
    <w:rsid w:val="008A701C"/>
    <w:rsid w:val="008A7544"/>
    <w:rsid w:val="008B0EC0"/>
    <w:rsid w:val="008B6D88"/>
    <w:rsid w:val="008B75E5"/>
    <w:rsid w:val="008B7A33"/>
    <w:rsid w:val="008C2E9D"/>
    <w:rsid w:val="008C771A"/>
    <w:rsid w:val="008D5316"/>
    <w:rsid w:val="008D7417"/>
    <w:rsid w:val="008E4F94"/>
    <w:rsid w:val="008E617E"/>
    <w:rsid w:val="008F37F6"/>
    <w:rsid w:val="008F3C52"/>
    <w:rsid w:val="009021F2"/>
    <w:rsid w:val="00905337"/>
    <w:rsid w:val="00907B24"/>
    <w:rsid w:val="00907C8D"/>
    <w:rsid w:val="00911F29"/>
    <w:rsid w:val="00912EC5"/>
    <w:rsid w:val="009141BB"/>
    <w:rsid w:val="009156A3"/>
    <w:rsid w:val="009159BE"/>
    <w:rsid w:val="00916D75"/>
    <w:rsid w:val="00917A54"/>
    <w:rsid w:val="00917EB6"/>
    <w:rsid w:val="00921447"/>
    <w:rsid w:val="00924B35"/>
    <w:rsid w:val="0092593A"/>
    <w:rsid w:val="00925A20"/>
    <w:rsid w:val="00930570"/>
    <w:rsid w:val="00931C75"/>
    <w:rsid w:val="00931CF2"/>
    <w:rsid w:val="0093252A"/>
    <w:rsid w:val="0093646F"/>
    <w:rsid w:val="00952FA5"/>
    <w:rsid w:val="00953F82"/>
    <w:rsid w:val="00955EBD"/>
    <w:rsid w:val="009567AF"/>
    <w:rsid w:val="00962C2D"/>
    <w:rsid w:val="00962DF8"/>
    <w:rsid w:val="00966B09"/>
    <w:rsid w:val="00972755"/>
    <w:rsid w:val="00976D83"/>
    <w:rsid w:val="009773B3"/>
    <w:rsid w:val="00977646"/>
    <w:rsid w:val="0099020D"/>
    <w:rsid w:val="00991005"/>
    <w:rsid w:val="00992C36"/>
    <w:rsid w:val="009962FF"/>
    <w:rsid w:val="009A11FD"/>
    <w:rsid w:val="009A1943"/>
    <w:rsid w:val="009A2D72"/>
    <w:rsid w:val="009A3DBC"/>
    <w:rsid w:val="009A3FCA"/>
    <w:rsid w:val="009A709F"/>
    <w:rsid w:val="009B087F"/>
    <w:rsid w:val="009B0DBD"/>
    <w:rsid w:val="009B46B2"/>
    <w:rsid w:val="009B4A16"/>
    <w:rsid w:val="009B4D7D"/>
    <w:rsid w:val="009B776E"/>
    <w:rsid w:val="009C10D9"/>
    <w:rsid w:val="009C3095"/>
    <w:rsid w:val="009C77BE"/>
    <w:rsid w:val="009D1170"/>
    <w:rsid w:val="009D3DFC"/>
    <w:rsid w:val="009E154C"/>
    <w:rsid w:val="009E208F"/>
    <w:rsid w:val="009E23A1"/>
    <w:rsid w:val="009E635F"/>
    <w:rsid w:val="009F45A0"/>
    <w:rsid w:val="00A00017"/>
    <w:rsid w:val="00A07DD6"/>
    <w:rsid w:val="00A10417"/>
    <w:rsid w:val="00A12675"/>
    <w:rsid w:val="00A1352A"/>
    <w:rsid w:val="00A14CB5"/>
    <w:rsid w:val="00A17F1E"/>
    <w:rsid w:val="00A21B51"/>
    <w:rsid w:val="00A22E7F"/>
    <w:rsid w:val="00A31424"/>
    <w:rsid w:val="00A32E55"/>
    <w:rsid w:val="00A331E5"/>
    <w:rsid w:val="00A36E77"/>
    <w:rsid w:val="00A37A08"/>
    <w:rsid w:val="00A4160B"/>
    <w:rsid w:val="00A44DFA"/>
    <w:rsid w:val="00A45CB2"/>
    <w:rsid w:val="00A46655"/>
    <w:rsid w:val="00A47824"/>
    <w:rsid w:val="00A5307F"/>
    <w:rsid w:val="00A53909"/>
    <w:rsid w:val="00A60E34"/>
    <w:rsid w:val="00A62794"/>
    <w:rsid w:val="00A65BF7"/>
    <w:rsid w:val="00A70F38"/>
    <w:rsid w:val="00A73705"/>
    <w:rsid w:val="00A77245"/>
    <w:rsid w:val="00A81313"/>
    <w:rsid w:val="00A821A6"/>
    <w:rsid w:val="00A83948"/>
    <w:rsid w:val="00A845FB"/>
    <w:rsid w:val="00A87441"/>
    <w:rsid w:val="00A90AC0"/>
    <w:rsid w:val="00A91109"/>
    <w:rsid w:val="00A94770"/>
    <w:rsid w:val="00A954F5"/>
    <w:rsid w:val="00AA1094"/>
    <w:rsid w:val="00AA22E3"/>
    <w:rsid w:val="00AA2D26"/>
    <w:rsid w:val="00AB08FC"/>
    <w:rsid w:val="00AB155A"/>
    <w:rsid w:val="00AB1C00"/>
    <w:rsid w:val="00AB475B"/>
    <w:rsid w:val="00AB6578"/>
    <w:rsid w:val="00AC2A8D"/>
    <w:rsid w:val="00AC2BCA"/>
    <w:rsid w:val="00AC2F8D"/>
    <w:rsid w:val="00AC77F3"/>
    <w:rsid w:val="00AD22AA"/>
    <w:rsid w:val="00AD314C"/>
    <w:rsid w:val="00AD5287"/>
    <w:rsid w:val="00AE5703"/>
    <w:rsid w:val="00AF5DF5"/>
    <w:rsid w:val="00B00DF7"/>
    <w:rsid w:val="00B01BC3"/>
    <w:rsid w:val="00B02387"/>
    <w:rsid w:val="00B040FC"/>
    <w:rsid w:val="00B06E63"/>
    <w:rsid w:val="00B11BE9"/>
    <w:rsid w:val="00B21C4A"/>
    <w:rsid w:val="00B22400"/>
    <w:rsid w:val="00B22D60"/>
    <w:rsid w:val="00B24E54"/>
    <w:rsid w:val="00B25232"/>
    <w:rsid w:val="00B26A2A"/>
    <w:rsid w:val="00B309C1"/>
    <w:rsid w:val="00B353D5"/>
    <w:rsid w:val="00B401F0"/>
    <w:rsid w:val="00B40519"/>
    <w:rsid w:val="00B40655"/>
    <w:rsid w:val="00B411A2"/>
    <w:rsid w:val="00B4157D"/>
    <w:rsid w:val="00B4526A"/>
    <w:rsid w:val="00B46B4E"/>
    <w:rsid w:val="00B54240"/>
    <w:rsid w:val="00B6140E"/>
    <w:rsid w:val="00B63B63"/>
    <w:rsid w:val="00B67F41"/>
    <w:rsid w:val="00B7323C"/>
    <w:rsid w:val="00B805ED"/>
    <w:rsid w:val="00B821B5"/>
    <w:rsid w:val="00B84131"/>
    <w:rsid w:val="00B852E7"/>
    <w:rsid w:val="00B85CB1"/>
    <w:rsid w:val="00B87D19"/>
    <w:rsid w:val="00B93D24"/>
    <w:rsid w:val="00B942B3"/>
    <w:rsid w:val="00B9436B"/>
    <w:rsid w:val="00B97899"/>
    <w:rsid w:val="00BA0E84"/>
    <w:rsid w:val="00BA0F0E"/>
    <w:rsid w:val="00BB0373"/>
    <w:rsid w:val="00BB139B"/>
    <w:rsid w:val="00BB20F6"/>
    <w:rsid w:val="00BB3C56"/>
    <w:rsid w:val="00BB48C8"/>
    <w:rsid w:val="00BB5424"/>
    <w:rsid w:val="00BB7EC4"/>
    <w:rsid w:val="00BC15AA"/>
    <w:rsid w:val="00BC2570"/>
    <w:rsid w:val="00BC3319"/>
    <w:rsid w:val="00BC3668"/>
    <w:rsid w:val="00BC4DB7"/>
    <w:rsid w:val="00BC500E"/>
    <w:rsid w:val="00BC7445"/>
    <w:rsid w:val="00BC764F"/>
    <w:rsid w:val="00BD1523"/>
    <w:rsid w:val="00BD63C3"/>
    <w:rsid w:val="00BE3EB8"/>
    <w:rsid w:val="00BE4205"/>
    <w:rsid w:val="00BE5B82"/>
    <w:rsid w:val="00BE679C"/>
    <w:rsid w:val="00BF035F"/>
    <w:rsid w:val="00BF149D"/>
    <w:rsid w:val="00BF6393"/>
    <w:rsid w:val="00BF784F"/>
    <w:rsid w:val="00C018B0"/>
    <w:rsid w:val="00C01CE0"/>
    <w:rsid w:val="00C02FDA"/>
    <w:rsid w:val="00C04A74"/>
    <w:rsid w:val="00C06403"/>
    <w:rsid w:val="00C10D71"/>
    <w:rsid w:val="00C12C76"/>
    <w:rsid w:val="00C13C1D"/>
    <w:rsid w:val="00C15FA7"/>
    <w:rsid w:val="00C16468"/>
    <w:rsid w:val="00C16712"/>
    <w:rsid w:val="00C16C9B"/>
    <w:rsid w:val="00C23A02"/>
    <w:rsid w:val="00C2513F"/>
    <w:rsid w:val="00C26D98"/>
    <w:rsid w:val="00C2751E"/>
    <w:rsid w:val="00C30556"/>
    <w:rsid w:val="00C32290"/>
    <w:rsid w:val="00C3302B"/>
    <w:rsid w:val="00C34E7B"/>
    <w:rsid w:val="00C4261A"/>
    <w:rsid w:val="00C42764"/>
    <w:rsid w:val="00C42C5A"/>
    <w:rsid w:val="00C42F1A"/>
    <w:rsid w:val="00C43652"/>
    <w:rsid w:val="00C441AF"/>
    <w:rsid w:val="00C4424A"/>
    <w:rsid w:val="00C44296"/>
    <w:rsid w:val="00C46493"/>
    <w:rsid w:val="00C50983"/>
    <w:rsid w:val="00C50A1A"/>
    <w:rsid w:val="00C5306E"/>
    <w:rsid w:val="00C5393F"/>
    <w:rsid w:val="00C563AF"/>
    <w:rsid w:val="00C60DCD"/>
    <w:rsid w:val="00C61074"/>
    <w:rsid w:val="00C63C24"/>
    <w:rsid w:val="00C643E6"/>
    <w:rsid w:val="00C6497C"/>
    <w:rsid w:val="00C66F52"/>
    <w:rsid w:val="00C70EAB"/>
    <w:rsid w:val="00C74173"/>
    <w:rsid w:val="00C75119"/>
    <w:rsid w:val="00C76863"/>
    <w:rsid w:val="00C77D57"/>
    <w:rsid w:val="00C81024"/>
    <w:rsid w:val="00C8264E"/>
    <w:rsid w:val="00C836F7"/>
    <w:rsid w:val="00C91BBD"/>
    <w:rsid w:val="00C91E80"/>
    <w:rsid w:val="00CA0CBF"/>
    <w:rsid w:val="00CA108B"/>
    <w:rsid w:val="00CA30DB"/>
    <w:rsid w:val="00CA593C"/>
    <w:rsid w:val="00CA62CE"/>
    <w:rsid w:val="00CB48B5"/>
    <w:rsid w:val="00CB4AC0"/>
    <w:rsid w:val="00CC0095"/>
    <w:rsid w:val="00CC2A4D"/>
    <w:rsid w:val="00CC3956"/>
    <w:rsid w:val="00CC4BAB"/>
    <w:rsid w:val="00CC60EE"/>
    <w:rsid w:val="00CC6AD4"/>
    <w:rsid w:val="00CC6B12"/>
    <w:rsid w:val="00CC725E"/>
    <w:rsid w:val="00CD47C4"/>
    <w:rsid w:val="00CD4E7B"/>
    <w:rsid w:val="00CD550C"/>
    <w:rsid w:val="00CE0106"/>
    <w:rsid w:val="00CE47E3"/>
    <w:rsid w:val="00CE544D"/>
    <w:rsid w:val="00CE5C54"/>
    <w:rsid w:val="00CE7932"/>
    <w:rsid w:val="00CE7E88"/>
    <w:rsid w:val="00CF4A7C"/>
    <w:rsid w:val="00CF5A17"/>
    <w:rsid w:val="00CF769E"/>
    <w:rsid w:val="00CF76CA"/>
    <w:rsid w:val="00D00378"/>
    <w:rsid w:val="00D017E5"/>
    <w:rsid w:val="00D03026"/>
    <w:rsid w:val="00D052D7"/>
    <w:rsid w:val="00D05E68"/>
    <w:rsid w:val="00D14539"/>
    <w:rsid w:val="00D20328"/>
    <w:rsid w:val="00D208E9"/>
    <w:rsid w:val="00D25206"/>
    <w:rsid w:val="00D257E8"/>
    <w:rsid w:val="00D33A5A"/>
    <w:rsid w:val="00D33F01"/>
    <w:rsid w:val="00D341D2"/>
    <w:rsid w:val="00D40A1F"/>
    <w:rsid w:val="00D4276A"/>
    <w:rsid w:val="00D438FB"/>
    <w:rsid w:val="00D50188"/>
    <w:rsid w:val="00D53954"/>
    <w:rsid w:val="00D54E35"/>
    <w:rsid w:val="00D56F41"/>
    <w:rsid w:val="00D56FE7"/>
    <w:rsid w:val="00D609A1"/>
    <w:rsid w:val="00D60B0E"/>
    <w:rsid w:val="00D622D4"/>
    <w:rsid w:val="00D634F7"/>
    <w:rsid w:val="00D6448E"/>
    <w:rsid w:val="00D71916"/>
    <w:rsid w:val="00D7437F"/>
    <w:rsid w:val="00D74851"/>
    <w:rsid w:val="00D758DA"/>
    <w:rsid w:val="00D75CFB"/>
    <w:rsid w:val="00D7707C"/>
    <w:rsid w:val="00D80079"/>
    <w:rsid w:val="00D81827"/>
    <w:rsid w:val="00D81A31"/>
    <w:rsid w:val="00D85C34"/>
    <w:rsid w:val="00D87E57"/>
    <w:rsid w:val="00D90719"/>
    <w:rsid w:val="00D92802"/>
    <w:rsid w:val="00D95D62"/>
    <w:rsid w:val="00D95D86"/>
    <w:rsid w:val="00D977C2"/>
    <w:rsid w:val="00DA3510"/>
    <w:rsid w:val="00DA6CF7"/>
    <w:rsid w:val="00DB35CC"/>
    <w:rsid w:val="00DB6D28"/>
    <w:rsid w:val="00DC3792"/>
    <w:rsid w:val="00DC490F"/>
    <w:rsid w:val="00DC7CF1"/>
    <w:rsid w:val="00DD0A2F"/>
    <w:rsid w:val="00DD0C9E"/>
    <w:rsid w:val="00DD12D1"/>
    <w:rsid w:val="00DD21C0"/>
    <w:rsid w:val="00DD2629"/>
    <w:rsid w:val="00DD4095"/>
    <w:rsid w:val="00DD4815"/>
    <w:rsid w:val="00DD4C75"/>
    <w:rsid w:val="00DD68B6"/>
    <w:rsid w:val="00DD6FF1"/>
    <w:rsid w:val="00DD7055"/>
    <w:rsid w:val="00DE01F6"/>
    <w:rsid w:val="00DE365E"/>
    <w:rsid w:val="00DF037B"/>
    <w:rsid w:val="00DF5A56"/>
    <w:rsid w:val="00DF6E42"/>
    <w:rsid w:val="00E02D0B"/>
    <w:rsid w:val="00E06C93"/>
    <w:rsid w:val="00E07B7B"/>
    <w:rsid w:val="00E11E38"/>
    <w:rsid w:val="00E120A2"/>
    <w:rsid w:val="00E143EB"/>
    <w:rsid w:val="00E16728"/>
    <w:rsid w:val="00E16E75"/>
    <w:rsid w:val="00E23269"/>
    <w:rsid w:val="00E234D7"/>
    <w:rsid w:val="00E23BFD"/>
    <w:rsid w:val="00E30F0C"/>
    <w:rsid w:val="00E3274D"/>
    <w:rsid w:val="00E3647C"/>
    <w:rsid w:val="00E36B03"/>
    <w:rsid w:val="00E41C87"/>
    <w:rsid w:val="00E439B7"/>
    <w:rsid w:val="00E43DEB"/>
    <w:rsid w:val="00E548B4"/>
    <w:rsid w:val="00E55D02"/>
    <w:rsid w:val="00E56FEF"/>
    <w:rsid w:val="00E57034"/>
    <w:rsid w:val="00E61EB5"/>
    <w:rsid w:val="00E62073"/>
    <w:rsid w:val="00E6296F"/>
    <w:rsid w:val="00E63D89"/>
    <w:rsid w:val="00E647CE"/>
    <w:rsid w:val="00E64F0E"/>
    <w:rsid w:val="00E65AA8"/>
    <w:rsid w:val="00E65C1C"/>
    <w:rsid w:val="00E6688F"/>
    <w:rsid w:val="00E804BB"/>
    <w:rsid w:val="00E80B24"/>
    <w:rsid w:val="00E85BC1"/>
    <w:rsid w:val="00E86899"/>
    <w:rsid w:val="00E87176"/>
    <w:rsid w:val="00E90F11"/>
    <w:rsid w:val="00E91BE2"/>
    <w:rsid w:val="00E9359F"/>
    <w:rsid w:val="00E94106"/>
    <w:rsid w:val="00E94540"/>
    <w:rsid w:val="00E9465E"/>
    <w:rsid w:val="00E954F4"/>
    <w:rsid w:val="00E967D8"/>
    <w:rsid w:val="00E96CD1"/>
    <w:rsid w:val="00E97C67"/>
    <w:rsid w:val="00EA2129"/>
    <w:rsid w:val="00EA458B"/>
    <w:rsid w:val="00EA6E35"/>
    <w:rsid w:val="00EA77E1"/>
    <w:rsid w:val="00EB0392"/>
    <w:rsid w:val="00EB2BF6"/>
    <w:rsid w:val="00EB35A4"/>
    <w:rsid w:val="00EB5A54"/>
    <w:rsid w:val="00EB63C5"/>
    <w:rsid w:val="00EB707E"/>
    <w:rsid w:val="00EC3905"/>
    <w:rsid w:val="00EC3FE0"/>
    <w:rsid w:val="00EC5C92"/>
    <w:rsid w:val="00ED7C02"/>
    <w:rsid w:val="00EE2725"/>
    <w:rsid w:val="00EE5FBC"/>
    <w:rsid w:val="00EF13D2"/>
    <w:rsid w:val="00EF3982"/>
    <w:rsid w:val="00EF49D8"/>
    <w:rsid w:val="00EF5277"/>
    <w:rsid w:val="00EF6A93"/>
    <w:rsid w:val="00F01578"/>
    <w:rsid w:val="00F07847"/>
    <w:rsid w:val="00F10CA3"/>
    <w:rsid w:val="00F12C0F"/>
    <w:rsid w:val="00F136DC"/>
    <w:rsid w:val="00F139B1"/>
    <w:rsid w:val="00F22F23"/>
    <w:rsid w:val="00F254D9"/>
    <w:rsid w:val="00F27430"/>
    <w:rsid w:val="00F27F3E"/>
    <w:rsid w:val="00F33A08"/>
    <w:rsid w:val="00F33DFE"/>
    <w:rsid w:val="00F36F93"/>
    <w:rsid w:val="00F40B66"/>
    <w:rsid w:val="00F46133"/>
    <w:rsid w:val="00F509CD"/>
    <w:rsid w:val="00F531BC"/>
    <w:rsid w:val="00F53B31"/>
    <w:rsid w:val="00F5505A"/>
    <w:rsid w:val="00F6511C"/>
    <w:rsid w:val="00F656FD"/>
    <w:rsid w:val="00F660EA"/>
    <w:rsid w:val="00F70C46"/>
    <w:rsid w:val="00F7789C"/>
    <w:rsid w:val="00F8150A"/>
    <w:rsid w:val="00F8355C"/>
    <w:rsid w:val="00F96E07"/>
    <w:rsid w:val="00FA45D2"/>
    <w:rsid w:val="00FB5780"/>
    <w:rsid w:val="00FB588B"/>
    <w:rsid w:val="00FB6176"/>
    <w:rsid w:val="00FB7353"/>
    <w:rsid w:val="00FB7C67"/>
    <w:rsid w:val="00FC251F"/>
    <w:rsid w:val="00FC27F7"/>
    <w:rsid w:val="00FC2DC8"/>
    <w:rsid w:val="00FD0674"/>
    <w:rsid w:val="00FD1E2A"/>
    <w:rsid w:val="00FD31E2"/>
    <w:rsid w:val="00FD3F89"/>
    <w:rsid w:val="00FD56A3"/>
    <w:rsid w:val="00FD7695"/>
    <w:rsid w:val="00FD7E85"/>
    <w:rsid w:val="00FE149A"/>
    <w:rsid w:val="00FE252A"/>
    <w:rsid w:val="00FE2B00"/>
    <w:rsid w:val="00FE2DDB"/>
    <w:rsid w:val="00FE685E"/>
    <w:rsid w:val="00FF0CF1"/>
    <w:rsid w:val="00FF2E1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2E65C"/>
  <w15:docId w15:val="{FDE01C4B-23B5-4BAF-8406-9597559A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570"/>
    <w:pPr>
      <w:spacing w:after="200" w:line="276" w:lineRule="auto"/>
    </w:pPr>
    <w:rPr>
      <w:sz w:val="22"/>
      <w:szCs w:val="22"/>
      <w:lang w:eastAsia="en-US"/>
    </w:rPr>
  </w:style>
  <w:style w:type="paragraph" w:styleId="Heading1">
    <w:name w:val="heading 1"/>
    <w:basedOn w:val="Normal"/>
    <w:link w:val="Heading1Char"/>
    <w:uiPriority w:val="9"/>
    <w:qFormat/>
    <w:rsid w:val="00400272"/>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4">
    <w:name w:val="heading 4"/>
    <w:basedOn w:val="Normal"/>
    <w:next w:val="Normal"/>
    <w:link w:val="Heading4Char"/>
    <w:uiPriority w:val="9"/>
    <w:semiHidden/>
    <w:unhideWhenUsed/>
    <w:qFormat/>
    <w:rsid w:val="001B0E37"/>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359F"/>
    <w:rPr>
      <w:color w:val="0000FF"/>
      <w:u w:val="single"/>
    </w:rPr>
  </w:style>
  <w:style w:type="paragraph" w:customStyle="1" w:styleId="EndNoteBibliography">
    <w:name w:val="EndNote Bibliography"/>
    <w:basedOn w:val="Normal"/>
    <w:link w:val="EndNoteBibliographyChar"/>
    <w:rsid w:val="00E9359F"/>
    <w:pPr>
      <w:spacing w:line="240" w:lineRule="auto"/>
    </w:pPr>
    <w:rPr>
      <w:noProof/>
      <w:lang w:val="en-US"/>
    </w:rPr>
  </w:style>
  <w:style w:type="character" w:customStyle="1" w:styleId="EndNoteBibliographyChar">
    <w:name w:val="EndNote Bibliography Char"/>
    <w:link w:val="EndNoteBibliography"/>
    <w:rsid w:val="00E9359F"/>
    <w:rPr>
      <w:rFonts w:ascii="Calibri" w:hAnsi="Calibri"/>
      <w:noProof/>
      <w:lang w:val="en-US"/>
    </w:rPr>
  </w:style>
  <w:style w:type="paragraph" w:styleId="Header">
    <w:name w:val="header"/>
    <w:basedOn w:val="Normal"/>
    <w:link w:val="HeaderChar"/>
    <w:uiPriority w:val="99"/>
    <w:unhideWhenUsed/>
    <w:rsid w:val="00FD5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6A3"/>
  </w:style>
  <w:style w:type="paragraph" w:styleId="Footer">
    <w:name w:val="footer"/>
    <w:basedOn w:val="Normal"/>
    <w:link w:val="FooterChar"/>
    <w:uiPriority w:val="99"/>
    <w:unhideWhenUsed/>
    <w:rsid w:val="00FD5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6A3"/>
  </w:style>
  <w:style w:type="paragraph" w:styleId="BalloonText">
    <w:name w:val="Balloon Text"/>
    <w:basedOn w:val="Normal"/>
    <w:link w:val="BalloonTextChar"/>
    <w:uiPriority w:val="99"/>
    <w:semiHidden/>
    <w:unhideWhenUsed/>
    <w:rsid w:val="001300C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300CC"/>
    <w:rPr>
      <w:rFonts w:ascii="Lucida Grande" w:hAnsi="Lucida Grande" w:cs="Lucida Grande"/>
      <w:sz w:val="18"/>
      <w:szCs w:val="18"/>
    </w:rPr>
  </w:style>
  <w:style w:type="character" w:styleId="CommentReference">
    <w:name w:val="annotation reference"/>
    <w:uiPriority w:val="99"/>
    <w:semiHidden/>
    <w:unhideWhenUsed/>
    <w:rsid w:val="001300CC"/>
    <w:rPr>
      <w:sz w:val="18"/>
      <w:szCs w:val="18"/>
    </w:rPr>
  </w:style>
  <w:style w:type="paragraph" w:styleId="CommentText">
    <w:name w:val="annotation text"/>
    <w:basedOn w:val="Normal"/>
    <w:link w:val="CommentTextChar"/>
    <w:uiPriority w:val="99"/>
    <w:semiHidden/>
    <w:unhideWhenUsed/>
    <w:rsid w:val="001300CC"/>
    <w:pPr>
      <w:spacing w:line="240" w:lineRule="auto"/>
    </w:pPr>
    <w:rPr>
      <w:sz w:val="24"/>
      <w:szCs w:val="24"/>
    </w:rPr>
  </w:style>
  <w:style w:type="character" w:customStyle="1" w:styleId="CommentTextChar">
    <w:name w:val="Comment Text Char"/>
    <w:link w:val="CommentText"/>
    <w:uiPriority w:val="99"/>
    <w:semiHidden/>
    <w:rsid w:val="001300CC"/>
    <w:rPr>
      <w:sz w:val="24"/>
      <w:szCs w:val="24"/>
    </w:rPr>
  </w:style>
  <w:style w:type="paragraph" w:styleId="CommentSubject">
    <w:name w:val="annotation subject"/>
    <w:basedOn w:val="CommentText"/>
    <w:next w:val="CommentText"/>
    <w:link w:val="CommentSubjectChar"/>
    <w:uiPriority w:val="99"/>
    <w:semiHidden/>
    <w:unhideWhenUsed/>
    <w:rsid w:val="001300CC"/>
    <w:rPr>
      <w:b/>
      <w:bCs/>
      <w:sz w:val="20"/>
      <w:szCs w:val="20"/>
    </w:rPr>
  </w:style>
  <w:style w:type="character" w:customStyle="1" w:styleId="CommentSubjectChar">
    <w:name w:val="Comment Subject Char"/>
    <w:link w:val="CommentSubject"/>
    <w:uiPriority w:val="99"/>
    <w:semiHidden/>
    <w:rsid w:val="001300CC"/>
    <w:rPr>
      <w:b/>
      <w:bCs/>
      <w:sz w:val="20"/>
      <w:szCs w:val="20"/>
    </w:rPr>
  </w:style>
  <w:style w:type="table" w:styleId="TableGrid">
    <w:name w:val="Table Grid"/>
    <w:basedOn w:val="TableNormal"/>
    <w:uiPriority w:val="59"/>
    <w:rsid w:val="0002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3A26"/>
    <w:rPr>
      <w:sz w:val="22"/>
      <w:szCs w:val="22"/>
      <w:lang w:eastAsia="en-US"/>
    </w:rPr>
  </w:style>
  <w:style w:type="paragraph" w:styleId="ListParagraph">
    <w:name w:val="List Paragraph"/>
    <w:basedOn w:val="Normal"/>
    <w:uiPriority w:val="34"/>
    <w:qFormat/>
    <w:rsid w:val="0089531F"/>
    <w:pPr>
      <w:ind w:left="720"/>
      <w:contextualSpacing/>
    </w:pPr>
  </w:style>
  <w:style w:type="character" w:styleId="FollowedHyperlink">
    <w:name w:val="FollowedHyperlink"/>
    <w:uiPriority w:val="99"/>
    <w:semiHidden/>
    <w:unhideWhenUsed/>
    <w:rsid w:val="00E16728"/>
    <w:rPr>
      <w:color w:val="800080"/>
      <w:u w:val="single"/>
    </w:rPr>
  </w:style>
  <w:style w:type="paragraph" w:styleId="NormalWeb">
    <w:name w:val="Normal (Web)"/>
    <w:basedOn w:val="Normal"/>
    <w:uiPriority w:val="99"/>
    <w:semiHidden/>
    <w:unhideWhenUsed/>
    <w:rsid w:val="0030656E"/>
    <w:rPr>
      <w:rFonts w:ascii="Times New Roman" w:hAnsi="Times New Roman"/>
      <w:sz w:val="24"/>
      <w:szCs w:val="24"/>
    </w:rPr>
  </w:style>
  <w:style w:type="character" w:customStyle="1" w:styleId="Heading1Char">
    <w:name w:val="Heading 1 Char"/>
    <w:link w:val="Heading1"/>
    <w:uiPriority w:val="9"/>
    <w:rsid w:val="00400272"/>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400272"/>
  </w:style>
  <w:style w:type="character" w:customStyle="1" w:styleId="highlight">
    <w:name w:val="highlight"/>
    <w:basedOn w:val="DefaultParagraphFont"/>
    <w:rsid w:val="00400272"/>
  </w:style>
  <w:style w:type="paragraph" w:styleId="PlainText">
    <w:name w:val="Plain Text"/>
    <w:basedOn w:val="Normal"/>
    <w:link w:val="PlainTextChar"/>
    <w:uiPriority w:val="99"/>
    <w:semiHidden/>
    <w:unhideWhenUsed/>
    <w:rsid w:val="003A04DA"/>
    <w:pPr>
      <w:spacing w:after="0" w:line="240" w:lineRule="auto"/>
    </w:pPr>
    <w:rPr>
      <w:szCs w:val="21"/>
    </w:rPr>
  </w:style>
  <w:style w:type="character" w:customStyle="1" w:styleId="PlainTextChar">
    <w:name w:val="Plain Text Char"/>
    <w:link w:val="PlainText"/>
    <w:uiPriority w:val="99"/>
    <w:semiHidden/>
    <w:rsid w:val="003A04DA"/>
    <w:rPr>
      <w:rFonts w:ascii="Calibri" w:hAnsi="Calibri"/>
      <w:szCs w:val="21"/>
    </w:rPr>
  </w:style>
  <w:style w:type="character" w:customStyle="1" w:styleId="Heading4Char">
    <w:name w:val="Heading 4 Char"/>
    <w:link w:val="Heading4"/>
    <w:uiPriority w:val="9"/>
    <w:semiHidden/>
    <w:rsid w:val="001B0E37"/>
    <w:rPr>
      <w:rFonts w:ascii="Cambria" w:eastAsia="MS Gothic" w:hAnsi="Cambria" w:cs="Times New Roman"/>
      <w:b/>
      <w:bCs/>
      <w:i/>
      <w:iCs/>
      <w:color w:val="4F81BD"/>
    </w:rPr>
  </w:style>
  <w:style w:type="character" w:styleId="Strong">
    <w:name w:val="Strong"/>
    <w:uiPriority w:val="22"/>
    <w:qFormat/>
    <w:rsid w:val="001B0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71850">
      <w:bodyDiv w:val="1"/>
      <w:marLeft w:val="0"/>
      <w:marRight w:val="0"/>
      <w:marTop w:val="0"/>
      <w:marBottom w:val="0"/>
      <w:divBdr>
        <w:top w:val="none" w:sz="0" w:space="0" w:color="auto"/>
        <w:left w:val="none" w:sz="0" w:space="0" w:color="auto"/>
        <w:bottom w:val="none" w:sz="0" w:space="0" w:color="auto"/>
        <w:right w:val="none" w:sz="0" w:space="0" w:color="auto"/>
      </w:divBdr>
    </w:div>
    <w:div w:id="262422752">
      <w:bodyDiv w:val="1"/>
      <w:marLeft w:val="0"/>
      <w:marRight w:val="0"/>
      <w:marTop w:val="0"/>
      <w:marBottom w:val="0"/>
      <w:divBdr>
        <w:top w:val="none" w:sz="0" w:space="0" w:color="auto"/>
        <w:left w:val="none" w:sz="0" w:space="0" w:color="auto"/>
        <w:bottom w:val="none" w:sz="0" w:space="0" w:color="auto"/>
        <w:right w:val="none" w:sz="0" w:space="0" w:color="auto"/>
      </w:divBdr>
      <w:divsChild>
        <w:div w:id="49548329">
          <w:marLeft w:val="0"/>
          <w:marRight w:val="0"/>
          <w:marTop w:val="0"/>
          <w:marBottom w:val="0"/>
          <w:divBdr>
            <w:top w:val="none" w:sz="0" w:space="0" w:color="auto"/>
            <w:left w:val="none" w:sz="0" w:space="0" w:color="auto"/>
            <w:bottom w:val="none" w:sz="0" w:space="0" w:color="auto"/>
            <w:right w:val="none" w:sz="0" w:space="0" w:color="auto"/>
          </w:divBdr>
          <w:divsChild>
            <w:div w:id="558054204">
              <w:marLeft w:val="0"/>
              <w:marRight w:val="0"/>
              <w:marTop w:val="0"/>
              <w:marBottom w:val="0"/>
              <w:divBdr>
                <w:top w:val="none" w:sz="0" w:space="0" w:color="auto"/>
                <w:left w:val="none" w:sz="0" w:space="0" w:color="auto"/>
                <w:bottom w:val="none" w:sz="0" w:space="0" w:color="auto"/>
                <w:right w:val="none" w:sz="0" w:space="0" w:color="auto"/>
              </w:divBdr>
              <w:divsChild>
                <w:div w:id="653800479">
                  <w:marLeft w:val="0"/>
                  <w:marRight w:val="0"/>
                  <w:marTop w:val="0"/>
                  <w:marBottom w:val="0"/>
                  <w:divBdr>
                    <w:top w:val="none" w:sz="0" w:space="0" w:color="auto"/>
                    <w:left w:val="none" w:sz="0" w:space="0" w:color="auto"/>
                    <w:bottom w:val="none" w:sz="0" w:space="0" w:color="auto"/>
                    <w:right w:val="none" w:sz="0" w:space="0" w:color="auto"/>
                  </w:divBdr>
                  <w:divsChild>
                    <w:div w:id="3726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8128">
      <w:bodyDiv w:val="1"/>
      <w:marLeft w:val="0"/>
      <w:marRight w:val="0"/>
      <w:marTop w:val="0"/>
      <w:marBottom w:val="0"/>
      <w:divBdr>
        <w:top w:val="none" w:sz="0" w:space="0" w:color="auto"/>
        <w:left w:val="none" w:sz="0" w:space="0" w:color="auto"/>
        <w:bottom w:val="none" w:sz="0" w:space="0" w:color="auto"/>
        <w:right w:val="none" w:sz="0" w:space="0" w:color="auto"/>
      </w:divBdr>
    </w:div>
    <w:div w:id="504168577">
      <w:bodyDiv w:val="1"/>
      <w:marLeft w:val="0"/>
      <w:marRight w:val="0"/>
      <w:marTop w:val="0"/>
      <w:marBottom w:val="0"/>
      <w:divBdr>
        <w:top w:val="none" w:sz="0" w:space="0" w:color="auto"/>
        <w:left w:val="none" w:sz="0" w:space="0" w:color="auto"/>
        <w:bottom w:val="none" w:sz="0" w:space="0" w:color="auto"/>
        <w:right w:val="none" w:sz="0" w:space="0" w:color="auto"/>
      </w:divBdr>
    </w:div>
    <w:div w:id="538323274">
      <w:bodyDiv w:val="1"/>
      <w:marLeft w:val="0"/>
      <w:marRight w:val="0"/>
      <w:marTop w:val="0"/>
      <w:marBottom w:val="0"/>
      <w:divBdr>
        <w:top w:val="none" w:sz="0" w:space="0" w:color="auto"/>
        <w:left w:val="none" w:sz="0" w:space="0" w:color="auto"/>
        <w:bottom w:val="none" w:sz="0" w:space="0" w:color="auto"/>
        <w:right w:val="none" w:sz="0" w:space="0" w:color="auto"/>
      </w:divBdr>
      <w:divsChild>
        <w:div w:id="392586047">
          <w:marLeft w:val="0"/>
          <w:marRight w:val="0"/>
          <w:marTop w:val="0"/>
          <w:marBottom w:val="0"/>
          <w:divBdr>
            <w:top w:val="none" w:sz="0" w:space="0" w:color="auto"/>
            <w:left w:val="none" w:sz="0" w:space="0" w:color="auto"/>
            <w:bottom w:val="none" w:sz="0" w:space="0" w:color="auto"/>
            <w:right w:val="none" w:sz="0" w:space="0" w:color="auto"/>
          </w:divBdr>
          <w:divsChild>
            <w:div w:id="1804302001">
              <w:marLeft w:val="0"/>
              <w:marRight w:val="0"/>
              <w:marTop w:val="0"/>
              <w:marBottom w:val="0"/>
              <w:divBdr>
                <w:top w:val="none" w:sz="0" w:space="0" w:color="auto"/>
                <w:left w:val="none" w:sz="0" w:space="0" w:color="auto"/>
                <w:bottom w:val="none" w:sz="0" w:space="0" w:color="auto"/>
                <w:right w:val="none" w:sz="0" w:space="0" w:color="auto"/>
              </w:divBdr>
              <w:divsChild>
                <w:div w:id="426509088">
                  <w:marLeft w:val="0"/>
                  <w:marRight w:val="0"/>
                  <w:marTop w:val="0"/>
                  <w:marBottom w:val="0"/>
                  <w:divBdr>
                    <w:top w:val="none" w:sz="0" w:space="0" w:color="auto"/>
                    <w:left w:val="none" w:sz="0" w:space="0" w:color="auto"/>
                    <w:bottom w:val="none" w:sz="0" w:space="0" w:color="auto"/>
                    <w:right w:val="none" w:sz="0" w:space="0" w:color="auto"/>
                  </w:divBdr>
                  <w:divsChild>
                    <w:div w:id="18892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96256">
      <w:bodyDiv w:val="1"/>
      <w:marLeft w:val="0"/>
      <w:marRight w:val="0"/>
      <w:marTop w:val="0"/>
      <w:marBottom w:val="0"/>
      <w:divBdr>
        <w:top w:val="none" w:sz="0" w:space="0" w:color="auto"/>
        <w:left w:val="none" w:sz="0" w:space="0" w:color="auto"/>
        <w:bottom w:val="none" w:sz="0" w:space="0" w:color="auto"/>
        <w:right w:val="none" w:sz="0" w:space="0" w:color="auto"/>
      </w:divBdr>
      <w:divsChild>
        <w:div w:id="993794524">
          <w:marLeft w:val="0"/>
          <w:marRight w:val="1"/>
          <w:marTop w:val="0"/>
          <w:marBottom w:val="0"/>
          <w:divBdr>
            <w:top w:val="none" w:sz="0" w:space="0" w:color="auto"/>
            <w:left w:val="none" w:sz="0" w:space="0" w:color="auto"/>
            <w:bottom w:val="none" w:sz="0" w:space="0" w:color="auto"/>
            <w:right w:val="none" w:sz="0" w:space="0" w:color="auto"/>
          </w:divBdr>
          <w:divsChild>
            <w:div w:id="1558315550">
              <w:marLeft w:val="0"/>
              <w:marRight w:val="0"/>
              <w:marTop w:val="0"/>
              <w:marBottom w:val="0"/>
              <w:divBdr>
                <w:top w:val="none" w:sz="0" w:space="0" w:color="auto"/>
                <w:left w:val="none" w:sz="0" w:space="0" w:color="auto"/>
                <w:bottom w:val="none" w:sz="0" w:space="0" w:color="auto"/>
                <w:right w:val="none" w:sz="0" w:space="0" w:color="auto"/>
              </w:divBdr>
              <w:divsChild>
                <w:div w:id="1274896863">
                  <w:marLeft w:val="0"/>
                  <w:marRight w:val="1"/>
                  <w:marTop w:val="0"/>
                  <w:marBottom w:val="0"/>
                  <w:divBdr>
                    <w:top w:val="none" w:sz="0" w:space="0" w:color="auto"/>
                    <w:left w:val="none" w:sz="0" w:space="0" w:color="auto"/>
                    <w:bottom w:val="none" w:sz="0" w:space="0" w:color="auto"/>
                    <w:right w:val="none" w:sz="0" w:space="0" w:color="auto"/>
                  </w:divBdr>
                  <w:divsChild>
                    <w:div w:id="342903989">
                      <w:marLeft w:val="0"/>
                      <w:marRight w:val="0"/>
                      <w:marTop w:val="0"/>
                      <w:marBottom w:val="0"/>
                      <w:divBdr>
                        <w:top w:val="none" w:sz="0" w:space="0" w:color="auto"/>
                        <w:left w:val="none" w:sz="0" w:space="0" w:color="auto"/>
                        <w:bottom w:val="none" w:sz="0" w:space="0" w:color="auto"/>
                        <w:right w:val="none" w:sz="0" w:space="0" w:color="auto"/>
                      </w:divBdr>
                      <w:divsChild>
                        <w:div w:id="1129321067">
                          <w:marLeft w:val="0"/>
                          <w:marRight w:val="0"/>
                          <w:marTop w:val="0"/>
                          <w:marBottom w:val="0"/>
                          <w:divBdr>
                            <w:top w:val="none" w:sz="0" w:space="0" w:color="auto"/>
                            <w:left w:val="none" w:sz="0" w:space="0" w:color="auto"/>
                            <w:bottom w:val="none" w:sz="0" w:space="0" w:color="auto"/>
                            <w:right w:val="none" w:sz="0" w:space="0" w:color="auto"/>
                          </w:divBdr>
                          <w:divsChild>
                            <w:div w:id="256910607">
                              <w:marLeft w:val="0"/>
                              <w:marRight w:val="0"/>
                              <w:marTop w:val="120"/>
                              <w:marBottom w:val="360"/>
                              <w:divBdr>
                                <w:top w:val="none" w:sz="0" w:space="0" w:color="auto"/>
                                <w:left w:val="none" w:sz="0" w:space="0" w:color="auto"/>
                                <w:bottom w:val="none" w:sz="0" w:space="0" w:color="auto"/>
                                <w:right w:val="none" w:sz="0" w:space="0" w:color="auto"/>
                              </w:divBdr>
                              <w:divsChild>
                                <w:div w:id="688719145">
                                  <w:marLeft w:val="0"/>
                                  <w:marRight w:val="0"/>
                                  <w:marTop w:val="0"/>
                                  <w:marBottom w:val="0"/>
                                  <w:divBdr>
                                    <w:top w:val="none" w:sz="0" w:space="0" w:color="auto"/>
                                    <w:left w:val="none" w:sz="0" w:space="0" w:color="auto"/>
                                    <w:bottom w:val="none" w:sz="0" w:space="0" w:color="auto"/>
                                    <w:right w:val="none" w:sz="0" w:space="0" w:color="auto"/>
                                  </w:divBdr>
                                </w:div>
                                <w:div w:id="15988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827729">
      <w:bodyDiv w:val="1"/>
      <w:marLeft w:val="0"/>
      <w:marRight w:val="0"/>
      <w:marTop w:val="0"/>
      <w:marBottom w:val="0"/>
      <w:divBdr>
        <w:top w:val="none" w:sz="0" w:space="0" w:color="auto"/>
        <w:left w:val="none" w:sz="0" w:space="0" w:color="auto"/>
        <w:bottom w:val="none" w:sz="0" w:space="0" w:color="auto"/>
        <w:right w:val="none" w:sz="0" w:space="0" w:color="auto"/>
      </w:divBdr>
    </w:div>
    <w:div w:id="668218021">
      <w:bodyDiv w:val="1"/>
      <w:marLeft w:val="0"/>
      <w:marRight w:val="0"/>
      <w:marTop w:val="0"/>
      <w:marBottom w:val="0"/>
      <w:divBdr>
        <w:top w:val="none" w:sz="0" w:space="0" w:color="auto"/>
        <w:left w:val="none" w:sz="0" w:space="0" w:color="auto"/>
        <w:bottom w:val="none" w:sz="0" w:space="0" w:color="auto"/>
        <w:right w:val="none" w:sz="0" w:space="0" w:color="auto"/>
      </w:divBdr>
    </w:div>
    <w:div w:id="707341432">
      <w:bodyDiv w:val="1"/>
      <w:marLeft w:val="0"/>
      <w:marRight w:val="0"/>
      <w:marTop w:val="0"/>
      <w:marBottom w:val="0"/>
      <w:divBdr>
        <w:top w:val="none" w:sz="0" w:space="0" w:color="auto"/>
        <w:left w:val="none" w:sz="0" w:space="0" w:color="auto"/>
        <w:bottom w:val="none" w:sz="0" w:space="0" w:color="auto"/>
        <w:right w:val="none" w:sz="0" w:space="0" w:color="auto"/>
      </w:divBdr>
    </w:div>
    <w:div w:id="959217100">
      <w:bodyDiv w:val="1"/>
      <w:marLeft w:val="0"/>
      <w:marRight w:val="0"/>
      <w:marTop w:val="0"/>
      <w:marBottom w:val="0"/>
      <w:divBdr>
        <w:top w:val="none" w:sz="0" w:space="0" w:color="auto"/>
        <w:left w:val="none" w:sz="0" w:space="0" w:color="auto"/>
        <w:bottom w:val="none" w:sz="0" w:space="0" w:color="auto"/>
        <w:right w:val="none" w:sz="0" w:space="0" w:color="auto"/>
      </w:divBdr>
    </w:div>
    <w:div w:id="1194688103">
      <w:bodyDiv w:val="1"/>
      <w:marLeft w:val="0"/>
      <w:marRight w:val="0"/>
      <w:marTop w:val="0"/>
      <w:marBottom w:val="0"/>
      <w:divBdr>
        <w:top w:val="none" w:sz="0" w:space="0" w:color="auto"/>
        <w:left w:val="none" w:sz="0" w:space="0" w:color="auto"/>
        <w:bottom w:val="none" w:sz="0" w:space="0" w:color="auto"/>
        <w:right w:val="none" w:sz="0" w:space="0" w:color="auto"/>
      </w:divBdr>
      <w:divsChild>
        <w:div w:id="1133720438">
          <w:marLeft w:val="0"/>
          <w:marRight w:val="0"/>
          <w:marTop w:val="0"/>
          <w:marBottom w:val="0"/>
          <w:divBdr>
            <w:top w:val="none" w:sz="0" w:space="0" w:color="auto"/>
            <w:left w:val="none" w:sz="0" w:space="0" w:color="auto"/>
            <w:bottom w:val="none" w:sz="0" w:space="0" w:color="auto"/>
            <w:right w:val="none" w:sz="0" w:space="0" w:color="auto"/>
          </w:divBdr>
          <w:divsChild>
            <w:div w:id="585724521">
              <w:marLeft w:val="0"/>
              <w:marRight w:val="0"/>
              <w:marTop w:val="0"/>
              <w:marBottom w:val="0"/>
              <w:divBdr>
                <w:top w:val="none" w:sz="0" w:space="0" w:color="auto"/>
                <w:left w:val="none" w:sz="0" w:space="0" w:color="auto"/>
                <w:bottom w:val="none" w:sz="0" w:space="0" w:color="auto"/>
                <w:right w:val="none" w:sz="0" w:space="0" w:color="auto"/>
              </w:divBdr>
              <w:divsChild>
                <w:div w:id="2056616549">
                  <w:marLeft w:val="0"/>
                  <w:marRight w:val="0"/>
                  <w:marTop w:val="0"/>
                  <w:marBottom w:val="0"/>
                  <w:divBdr>
                    <w:top w:val="none" w:sz="0" w:space="0" w:color="auto"/>
                    <w:left w:val="none" w:sz="0" w:space="0" w:color="auto"/>
                    <w:bottom w:val="none" w:sz="0" w:space="0" w:color="auto"/>
                    <w:right w:val="none" w:sz="0" w:space="0" w:color="auto"/>
                  </w:divBdr>
                  <w:divsChild>
                    <w:div w:id="342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17001">
      <w:bodyDiv w:val="1"/>
      <w:marLeft w:val="0"/>
      <w:marRight w:val="0"/>
      <w:marTop w:val="0"/>
      <w:marBottom w:val="0"/>
      <w:divBdr>
        <w:top w:val="none" w:sz="0" w:space="0" w:color="auto"/>
        <w:left w:val="none" w:sz="0" w:space="0" w:color="auto"/>
        <w:bottom w:val="none" w:sz="0" w:space="0" w:color="auto"/>
        <w:right w:val="none" w:sz="0" w:space="0" w:color="auto"/>
      </w:divBdr>
    </w:div>
    <w:div w:id="1385909408">
      <w:bodyDiv w:val="1"/>
      <w:marLeft w:val="0"/>
      <w:marRight w:val="0"/>
      <w:marTop w:val="0"/>
      <w:marBottom w:val="0"/>
      <w:divBdr>
        <w:top w:val="none" w:sz="0" w:space="0" w:color="auto"/>
        <w:left w:val="none" w:sz="0" w:space="0" w:color="auto"/>
        <w:bottom w:val="none" w:sz="0" w:space="0" w:color="auto"/>
        <w:right w:val="none" w:sz="0" w:space="0" w:color="auto"/>
      </w:divBdr>
      <w:divsChild>
        <w:div w:id="195196154">
          <w:marLeft w:val="0"/>
          <w:marRight w:val="0"/>
          <w:marTop w:val="0"/>
          <w:marBottom w:val="0"/>
          <w:divBdr>
            <w:top w:val="none" w:sz="0" w:space="0" w:color="auto"/>
            <w:left w:val="none" w:sz="0" w:space="0" w:color="auto"/>
            <w:bottom w:val="none" w:sz="0" w:space="0" w:color="auto"/>
            <w:right w:val="none" w:sz="0" w:space="0" w:color="auto"/>
          </w:divBdr>
          <w:divsChild>
            <w:div w:id="1664895315">
              <w:marLeft w:val="0"/>
              <w:marRight w:val="0"/>
              <w:marTop w:val="0"/>
              <w:marBottom w:val="0"/>
              <w:divBdr>
                <w:top w:val="none" w:sz="0" w:space="0" w:color="auto"/>
                <w:left w:val="none" w:sz="0" w:space="0" w:color="auto"/>
                <w:bottom w:val="none" w:sz="0" w:space="0" w:color="auto"/>
                <w:right w:val="none" w:sz="0" w:space="0" w:color="auto"/>
              </w:divBdr>
              <w:divsChild>
                <w:div w:id="1345090234">
                  <w:marLeft w:val="0"/>
                  <w:marRight w:val="0"/>
                  <w:marTop w:val="0"/>
                  <w:marBottom w:val="0"/>
                  <w:divBdr>
                    <w:top w:val="none" w:sz="0" w:space="0" w:color="auto"/>
                    <w:left w:val="none" w:sz="0" w:space="0" w:color="auto"/>
                    <w:bottom w:val="none" w:sz="0" w:space="0" w:color="auto"/>
                    <w:right w:val="none" w:sz="0" w:space="0" w:color="auto"/>
                  </w:divBdr>
                  <w:divsChild>
                    <w:div w:id="501745196">
                      <w:marLeft w:val="0"/>
                      <w:marRight w:val="0"/>
                      <w:marTop w:val="0"/>
                      <w:marBottom w:val="0"/>
                      <w:divBdr>
                        <w:top w:val="none" w:sz="0" w:space="0" w:color="auto"/>
                        <w:left w:val="none" w:sz="0" w:space="0" w:color="auto"/>
                        <w:bottom w:val="none" w:sz="0" w:space="0" w:color="auto"/>
                        <w:right w:val="none" w:sz="0" w:space="0" w:color="auto"/>
                      </w:divBdr>
                      <w:divsChild>
                        <w:div w:id="1590889303">
                          <w:marLeft w:val="0"/>
                          <w:marRight w:val="0"/>
                          <w:marTop w:val="0"/>
                          <w:marBottom w:val="0"/>
                          <w:divBdr>
                            <w:top w:val="none" w:sz="0" w:space="0" w:color="auto"/>
                            <w:left w:val="none" w:sz="0" w:space="0" w:color="auto"/>
                            <w:bottom w:val="none" w:sz="0" w:space="0" w:color="auto"/>
                            <w:right w:val="none" w:sz="0" w:space="0" w:color="auto"/>
                          </w:divBdr>
                          <w:divsChild>
                            <w:div w:id="1919052563">
                              <w:marLeft w:val="0"/>
                              <w:marRight w:val="0"/>
                              <w:marTop w:val="0"/>
                              <w:marBottom w:val="0"/>
                              <w:divBdr>
                                <w:top w:val="none" w:sz="0" w:space="0" w:color="auto"/>
                                <w:left w:val="single" w:sz="6" w:space="0" w:color="E5E3E3"/>
                                <w:bottom w:val="none" w:sz="0" w:space="0" w:color="auto"/>
                                <w:right w:val="none" w:sz="0" w:space="0" w:color="auto"/>
                              </w:divBdr>
                              <w:divsChild>
                                <w:div w:id="541602415">
                                  <w:marLeft w:val="0"/>
                                  <w:marRight w:val="0"/>
                                  <w:marTop w:val="0"/>
                                  <w:marBottom w:val="0"/>
                                  <w:divBdr>
                                    <w:top w:val="none" w:sz="0" w:space="0" w:color="auto"/>
                                    <w:left w:val="none" w:sz="0" w:space="0" w:color="auto"/>
                                    <w:bottom w:val="none" w:sz="0" w:space="0" w:color="auto"/>
                                    <w:right w:val="none" w:sz="0" w:space="0" w:color="auto"/>
                                  </w:divBdr>
                                  <w:divsChild>
                                    <w:div w:id="1302611513">
                                      <w:marLeft w:val="0"/>
                                      <w:marRight w:val="0"/>
                                      <w:marTop w:val="0"/>
                                      <w:marBottom w:val="0"/>
                                      <w:divBdr>
                                        <w:top w:val="none" w:sz="0" w:space="0" w:color="auto"/>
                                        <w:left w:val="none" w:sz="0" w:space="0" w:color="auto"/>
                                        <w:bottom w:val="none" w:sz="0" w:space="0" w:color="auto"/>
                                        <w:right w:val="none" w:sz="0" w:space="0" w:color="auto"/>
                                      </w:divBdr>
                                      <w:divsChild>
                                        <w:div w:id="1537040866">
                                          <w:marLeft w:val="0"/>
                                          <w:marRight w:val="0"/>
                                          <w:marTop w:val="0"/>
                                          <w:marBottom w:val="0"/>
                                          <w:divBdr>
                                            <w:top w:val="none" w:sz="0" w:space="0" w:color="auto"/>
                                            <w:left w:val="none" w:sz="0" w:space="0" w:color="auto"/>
                                            <w:bottom w:val="none" w:sz="0" w:space="0" w:color="auto"/>
                                            <w:right w:val="none" w:sz="0" w:space="0" w:color="auto"/>
                                          </w:divBdr>
                                          <w:divsChild>
                                            <w:div w:id="744105375">
                                              <w:marLeft w:val="0"/>
                                              <w:marRight w:val="0"/>
                                              <w:marTop w:val="0"/>
                                              <w:marBottom w:val="0"/>
                                              <w:divBdr>
                                                <w:top w:val="none" w:sz="0" w:space="0" w:color="auto"/>
                                                <w:left w:val="none" w:sz="0" w:space="0" w:color="auto"/>
                                                <w:bottom w:val="none" w:sz="0" w:space="0" w:color="auto"/>
                                                <w:right w:val="none" w:sz="0" w:space="0" w:color="auto"/>
                                              </w:divBdr>
                                              <w:divsChild>
                                                <w:div w:id="642269273">
                                                  <w:marLeft w:val="0"/>
                                                  <w:marRight w:val="0"/>
                                                  <w:marTop w:val="0"/>
                                                  <w:marBottom w:val="0"/>
                                                  <w:divBdr>
                                                    <w:top w:val="none" w:sz="0" w:space="0" w:color="auto"/>
                                                    <w:left w:val="none" w:sz="0" w:space="0" w:color="auto"/>
                                                    <w:bottom w:val="none" w:sz="0" w:space="0" w:color="auto"/>
                                                    <w:right w:val="none" w:sz="0" w:space="0" w:color="auto"/>
                                                  </w:divBdr>
                                                  <w:divsChild>
                                                    <w:div w:id="2048410443">
                                                      <w:marLeft w:val="0"/>
                                                      <w:marRight w:val="0"/>
                                                      <w:marTop w:val="0"/>
                                                      <w:marBottom w:val="0"/>
                                                      <w:divBdr>
                                                        <w:top w:val="none" w:sz="0" w:space="0" w:color="auto"/>
                                                        <w:left w:val="none" w:sz="0" w:space="0" w:color="auto"/>
                                                        <w:bottom w:val="none" w:sz="0" w:space="0" w:color="auto"/>
                                                        <w:right w:val="none" w:sz="0" w:space="0" w:color="auto"/>
                                                      </w:divBdr>
                                                      <w:divsChild>
                                                        <w:div w:id="171264071">
                                                          <w:marLeft w:val="480"/>
                                                          <w:marRight w:val="0"/>
                                                          <w:marTop w:val="0"/>
                                                          <w:marBottom w:val="0"/>
                                                          <w:divBdr>
                                                            <w:top w:val="none" w:sz="0" w:space="0" w:color="auto"/>
                                                            <w:left w:val="none" w:sz="0" w:space="0" w:color="auto"/>
                                                            <w:bottom w:val="none" w:sz="0" w:space="0" w:color="auto"/>
                                                            <w:right w:val="none" w:sz="0" w:space="0" w:color="auto"/>
                                                          </w:divBdr>
                                                          <w:divsChild>
                                                            <w:div w:id="639113715">
                                                              <w:marLeft w:val="0"/>
                                                              <w:marRight w:val="0"/>
                                                              <w:marTop w:val="0"/>
                                                              <w:marBottom w:val="0"/>
                                                              <w:divBdr>
                                                                <w:top w:val="none" w:sz="0" w:space="0" w:color="auto"/>
                                                                <w:left w:val="none" w:sz="0" w:space="0" w:color="auto"/>
                                                                <w:bottom w:val="none" w:sz="0" w:space="0" w:color="auto"/>
                                                                <w:right w:val="none" w:sz="0" w:space="0" w:color="auto"/>
                                                              </w:divBdr>
                                                              <w:divsChild>
                                                                <w:div w:id="1004429710">
                                                                  <w:marLeft w:val="0"/>
                                                                  <w:marRight w:val="0"/>
                                                                  <w:marTop w:val="0"/>
                                                                  <w:marBottom w:val="0"/>
                                                                  <w:divBdr>
                                                                    <w:top w:val="none" w:sz="0" w:space="0" w:color="auto"/>
                                                                    <w:left w:val="none" w:sz="0" w:space="0" w:color="auto"/>
                                                                    <w:bottom w:val="none" w:sz="0" w:space="0" w:color="auto"/>
                                                                    <w:right w:val="none" w:sz="0" w:space="0" w:color="auto"/>
                                                                  </w:divBdr>
                                                                  <w:divsChild>
                                                                    <w:div w:id="19402588">
                                                                      <w:marLeft w:val="0"/>
                                                                      <w:marRight w:val="0"/>
                                                                      <w:marTop w:val="0"/>
                                                                      <w:marBottom w:val="0"/>
                                                                      <w:divBdr>
                                                                        <w:top w:val="none" w:sz="0" w:space="0" w:color="auto"/>
                                                                        <w:left w:val="none" w:sz="0" w:space="0" w:color="auto"/>
                                                                        <w:bottom w:val="none" w:sz="0" w:space="0" w:color="auto"/>
                                                                        <w:right w:val="none" w:sz="0" w:space="0" w:color="auto"/>
                                                                      </w:divBdr>
                                                                      <w:divsChild>
                                                                        <w:div w:id="1891383583">
                                                                          <w:marLeft w:val="0"/>
                                                                          <w:marRight w:val="0"/>
                                                                          <w:marTop w:val="0"/>
                                                                          <w:marBottom w:val="0"/>
                                                                          <w:divBdr>
                                                                            <w:top w:val="none" w:sz="0" w:space="0" w:color="auto"/>
                                                                            <w:left w:val="none" w:sz="0" w:space="0" w:color="auto"/>
                                                                            <w:bottom w:val="none" w:sz="0" w:space="0" w:color="auto"/>
                                                                            <w:right w:val="none" w:sz="0" w:space="0" w:color="auto"/>
                                                                          </w:divBdr>
                                                                          <w:divsChild>
                                                                            <w:div w:id="1050760494">
                                                                              <w:marLeft w:val="0"/>
                                                                              <w:marRight w:val="0"/>
                                                                              <w:marTop w:val="0"/>
                                                                              <w:marBottom w:val="0"/>
                                                                              <w:divBdr>
                                                                                <w:top w:val="none" w:sz="0" w:space="0" w:color="auto"/>
                                                                                <w:left w:val="none" w:sz="0" w:space="0" w:color="auto"/>
                                                                                <w:bottom w:val="none" w:sz="0" w:space="0" w:color="auto"/>
                                                                                <w:right w:val="none" w:sz="0" w:space="0" w:color="auto"/>
                                                                              </w:divBdr>
                                                                              <w:divsChild>
                                                                                <w:div w:id="956521186">
                                                                                  <w:marLeft w:val="0"/>
                                                                                  <w:marRight w:val="0"/>
                                                                                  <w:marTop w:val="0"/>
                                                                                  <w:marBottom w:val="0"/>
                                                                                  <w:divBdr>
                                                                                    <w:top w:val="none" w:sz="0" w:space="0" w:color="auto"/>
                                                                                    <w:left w:val="none" w:sz="0" w:space="0" w:color="auto"/>
                                                                                    <w:bottom w:val="single" w:sz="6" w:space="23" w:color="auto"/>
                                                                                    <w:right w:val="none" w:sz="0" w:space="0" w:color="auto"/>
                                                                                  </w:divBdr>
                                                                                  <w:divsChild>
                                                                                    <w:div w:id="817183689">
                                                                                      <w:marLeft w:val="0"/>
                                                                                      <w:marRight w:val="0"/>
                                                                                      <w:marTop w:val="0"/>
                                                                                      <w:marBottom w:val="0"/>
                                                                                      <w:divBdr>
                                                                                        <w:top w:val="none" w:sz="0" w:space="0" w:color="auto"/>
                                                                                        <w:left w:val="none" w:sz="0" w:space="0" w:color="auto"/>
                                                                                        <w:bottom w:val="none" w:sz="0" w:space="0" w:color="auto"/>
                                                                                        <w:right w:val="none" w:sz="0" w:space="0" w:color="auto"/>
                                                                                      </w:divBdr>
                                                                                      <w:divsChild>
                                                                                        <w:div w:id="1897736550">
                                                                                          <w:marLeft w:val="0"/>
                                                                                          <w:marRight w:val="0"/>
                                                                                          <w:marTop w:val="0"/>
                                                                                          <w:marBottom w:val="0"/>
                                                                                          <w:divBdr>
                                                                                            <w:top w:val="none" w:sz="0" w:space="0" w:color="auto"/>
                                                                                            <w:left w:val="none" w:sz="0" w:space="0" w:color="auto"/>
                                                                                            <w:bottom w:val="none" w:sz="0" w:space="0" w:color="auto"/>
                                                                                            <w:right w:val="none" w:sz="0" w:space="0" w:color="auto"/>
                                                                                          </w:divBdr>
                                                                                          <w:divsChild>
                                                                                            <w:div w:id="2139684943">
                                                                                              <w:marLeft w:val="0"/>
                                                                                              <w:marRight w:val="0"/>
                                                                                              <w:marTop w:val="0"/>
                                                                                              <w:marBottom w:val="0"/>
                                                                                              <w:divBdr>
                                                                                                <w:top w:val="none" w:sz="0" w:space="0" w:color="auto"/>
                                                                                                <w:left w:val="none" w:sz="0" w:space="0" w:color="auto"/>
                                                                                                <w:bottom w:val="none" w:sz="0" w:space="0" w:color="auto"/>
                                                                                                <w:right w:val="none" w:sz="0" w:space="0" w:color="auto"/>
                                                                                              </w:divBdr>
                                                                                              <w:divsChild>
                                                                                                <w:div w:id="5060378">
                                                                                                  <w:marLeft w:val="0"/>
                                                                                                  <w:marRight w:val="0"/>
                                                                                                  <w:marTop w:val="0"/>
                                                                                                  <w:marBottom w:val="0"/>
                                                                                                  <w:divBdr>
                                                                                                    <w:top w:val="none" w:sz="0" w:space="0" w:color="auto"/>
                                                                                                    <w:left w:val="none" w:sz="0" w:space="0" w:color="auto"/>
                                                                                                    <w:bottom w:val="none" w:sz="0" w:space="0" w:color="auto"/>
                                                                                                    <w:right w:val="none" w:sz="0" w:space="0" w:color="auto"/>
                                                                                                  </w:divBdr>
                                                                                                  <w:divsChild>
                                                                                                    <w:div w:id="24623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219740">
                                                                                                          <w:marLeft w:val="0"/>
                                                                                                          <w:marRight w:val="0"/>
                                                                                                          <w:marTop w:val="0"/>
                                                                                                          <w:marBottom w:val="0"/>
                                                                                                          <w:divBdr>
                                                                                                            <w:top w:val="none" w:sz="0" w:space="0" w:color="auto"/>
                                                                                                            <w:left w:val="none" w:sz="0" w:space="0" w:color="auto"/>
                                                                                                            <w:bottom w:val="none" w:sz="0" w:space="0" w:color="auto"/>
                                                                                                            <w:right w:val="none" w:sz="0" w:space="0" w:color="auto"/>
                                                                                                          </w:divBdr>
                                                                                                          <w:divsChild>
                                                                                                            <w:div w:id="1118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615545">
      <w:bodyDiv w:val="1"/>
      <w:marLeft w:val="0"/>
      <w:marRight w:val="0"/>
      <w:marTop w:val="0"/>
      <w:marBottom w:val="0"/>
      <w:divBdr>
        <w:top w:val="none" w:sz="0" w:space="0" w:color="auto"/>
        <w:left w:val="none" w:sz="0" w:space="0" w:color="auto"/>
        <w:bottom w:val="none" w:sz="0" w:space="0" w:color="auto"/>
        <w:right w:val="none" w:sz="0" w:space="0" w:color="auto"/>
      </w:divBdr>
    </w:div>
    <w:div w:id="1652711788">
      <w:bodyDiv w:val="1"/>
      <w:marLeft w:val="0"/>
      <w:marRight w:val="0"/>
      <w:marTop w:val="0"/>
      <w:marBottom w:val="0"/>
      <w:divBdr>
        <w:top w:val="none" w:sz="0" w:space="0" w:color="auto"/>
        <w:left w:val="none" w:sz="0" w:space="0" w:color="auto"/>
        <w:bottom w:val="none" w:sz="0" w:space="0" w:color="auto"/>
        <w:right w:val="none" w:sz="0" w:space="0" w:color="auto"/>
      </w:divBdr>
    </w:div>
    <w:div w:id="1657147873">
      <w:bodyDiv w:val="1"/>
      <w:marLeft w:val="0"/>
      <w:marRight w:val="0"/>
      <w:marTop w:val="0"/>
      <w:marBottom w:val="0"/>
      <w:divBdr>
        <w:top w:val="none" w:sz="0" w:space="0" w:color="auto"/>
        <w:left w:val="none" w:sz="0" w:space="0" w:color="auto"/>
        <w:bottom w:val="none" w:sz="0" w:space="0" w:color="auto"/>
        <w:right w:val="none" w:sz="0" w:space="0" w:color="auto"/>
      </w:divBdr>
    </w:div>
    <w:div w:id="1742827353">
      <w:bodyDiv w:val="1"/>
      <w:marLeft w:val="0"/>
      <w:marRight w:val="0"/>
      <w:marTop w:val="0"/>
      <w:marBottom w:val="0"/>
      <w:divBdr>
        <w:top w:val="none" w:sz="0" w:space="0" w:color="auto"/>
        <w:left w:val="none" w:sz="0" w:space="0" w:color="auto"/>
        <w:bottom w:val="none" w:sz="0" w:space="0" w:color="auto"/>
        <w:right w:val="none" w:sz="0" w:space="0" w:color="auto"/>
      </w:divBdr>
    </w:div>
    <w:div w:id="1791783159">
      <w:bodyDiv w:val="1"/>
      <w:marLeft w:val="0"/>
      <w:marRight w:val="0"/>
      <w:marTop w:val="0"/>
      <w:marBottom w:val="0"/>
      <w:divBdr>
        <w:top w:val="none" w:sz="0" w:space="0" w:color="auto"/>
        <w:left w:val="none" w:sz="0" w:space="0" w:color="auto"/>
        <w:bottom w:val="none" w:sz="0" w:space="0" w:color="auto"/>
        <w:right w:val="none" w:sz="0" w:space="0" w:color="auto"/>
      </w:divBdr>
    </w:div>
    <w:div w:id="1795783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dwin.oligbu@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tel07</b:Tag>
    <b:SourceType>JournalArticle</b:SourceType>
    <b:Guid>{1FF11436-9C84-4B3C-910E-D471821780C7}</b:Guid>
    <b:Author>
      <b:Author>
        <b:NameList>
          <b:Person>
            <b:Last>telfer</b:Last>
          </b:Person>
        </b:NameList>
      </b:Author>
    </b:Author>
    <b:Year>2007</b:Year>
    <b:RefOrder>1</b:RefOrder>
  </b:Source>
</b:Sources>
</file>

<file path=customXml/itemProps1.xml><?xml version="1.0" encoding="utf-8"?>
<ds:datastoreItem xmlns:ds="http://schemas.openxmlformats.org/officeDocument/2006/customXml" ds:itemID="{32C6CE01-75C7-4160-A6F7-01E89A39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22197</Words>
  <Characters>126528</Characters>
  <Application>Microsoft Office Word</Application>
  <DocSecurity>4</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148429</CharactersWithSpaces>
  <SharedDoc>false</SharedDoc>
  <HLinks>
    <vt:vector size="6" baseType="variant">
      <vt:variant>
        <vt:i4>6225979</vt:i4>
      </vt:variant>
      <vt:variant>
        <vt:i4>0</vt:i4>
      </vt:variant>
      <vt:variant>
        <vt:i4>0</vt:i4>
      </vt:variant>
      <vt:variant>
        <vt:i4>5</vt:i4>
      </vt:variant>
      <vt:variant>
        <vt:lpwstr>mailto:godwin.oligbu@nhs.net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UNWIN</dc:creator>
  <cp:lastModifiedBy>Isabelle Hubbard</cp:lastModifiedBy>
  <cp:revision>2</cp:revision>
  <dcterms:created xsi:type="dcterms:W3CDTF">2017-12-13T11:22:00Z</dcterms:created>
  <dcterms:modified xsi:type="dcterms:W3CDTF">2017-12-13T11:22:00Z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a1e0f663-5406-3c46-95ee-e0d3dda60818</vt:lpwstr>
  </property>
</Properties>
</file>