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B3" w:rsidRPr="00A841E7" w:rsidRDefault="00F920B3" w:rsidP="00F920B3">
      <w:pPr>
        <w:spacing w:line="480" w:lineRule="auto"/>
        <w:jc w:val="center"/>
        <w:rPr>
          <w:rFonts w:ascii="Times New Roman" w:hAnsi="Times New Roman" w:cs="Times New Roman"/>
          <w:b/>
          <w:sz w:val="20"/>
          <w:szCs w:val="20"/>
          <w:u w:val="single"/>
        </w:rPr>
      </w:pPr>
      <w:bookmarkStart w:id="0" w:name="_GoBack"/>
      <w:bookmarkEnd w:id="0"/>
      <w:r w:rsidRPr="00A841E7">
        <w:rPr>
          <w:rFonts w:ascii="Times New Roman" w:hAnsi="Times New Roman" w:cs="Times New Roman"/>
          <w:b/>
          <w:sz w:val="20"/>
          <w:szCs w:val="20"/>
          <w:u w:val="single"/>
        </w:rPr>
        <w:t>Title Page</w:t>
      </w:r>
    </w:p>
    <w:p w:rsidR="00F920B3" w:rsidRPr="00A841E7" w:rsidRDefault="00F920B3" w:rsidP="00F920B3">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Title: </w:t>
      </w:r>
      <w:r w:rsidR="006D7428" w:rsidRPr="00A841E7">
        <w:rPr>
          <w:rFonts w:ascii="Times New Roman" w:hAnsi="Times New Roman" w:cs="Times New Roman"/>
          <w:sz w:val="20"/>
          <w:szCs w:val="20"/>
        </w:rPr>
        <w:t>Antimicrobial Resistance in UK Neonatal Units: neonIN Infection Surveillance Network</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Cailes, Benjamin (Corresponding Author)</w:t>
      </w:r>
      <w:r w:rsidRPr="00A841E7">
        <w:rPr>
          <w:rFonts w:ascii="Times New Roman" w:hAnsi="Times New Roman" w:cs="Times New Roman"/>
          <w:sz w:val="20"/>
          <w:szCs w:val="20"/>
        </w:rPr>
        <w:br/>
      </w:r>
      <w:r w:rsidR="003C44FB" w:rsidRPr="00A841E7">
        <w:rPr>
          <w:rFonts w:ascii="Times New Roman" w:hAnsi="Times New Roman" w:cs="Times New Roman"/>
          <w:sz w:val="20"/>
          <w:szCs w:val="20"/>
        </w:rPr>
        <w:t>Paediatric Infectious Diseases Research Group, St George’s University of London</w:t>
      </w:r>
      <w:r w:rsidR="003C44FB" w:rsidRPr="00A841E7">
        <w:rPr>
          <w:rFonts w:ascii="Times New Roman" w:hAnsi="Times New Roman" w:cs="Times New Roman"/>
          <w:sz w:val="20"/>
          <w:szCs w:val="20"/>
        </w:rPr>
        <w:br/>
        <w:t>Cranmer Terrace, London, SW11 0RU, UK</w:t>
      </w:r>
      <w:r w:rsidR="003C44FB" w:rsidRPr="00A841E7">
        <w:rPr>
          <w:rFonts w:ascii="Times New Roman" w:hAnsi="Times New Roman" w:cs="Times New Roman"/>
          <w:sz w:val="20"/>
          <w:szCs w:val="20"/>
        </w:rPr>
        <w:br/>
        <w:t xml:space="preserve">Email: </w:t>
      </w:r>
      <w:hyperlink r:id="rId5" w:history="1">
        <w:r w:rsidR="003C44FB" w:rsidRPr="00A841E7">
          <w:rPr>
            <w:rStyle w:val="Hyperlink"/>
            <w:rFonts w:ascii="Times New Roman" w:hAnsi="Times New Roman" w:cs="Times New Roman"/>
            <w:color w:val="auto"/>
            <w:sz w:val="20"/>
            <w:szCs w:val="20"/>
          </w:rPr>
          <w:t>bcailes@sgul.ac.uk</w:t>
        </w:r>
      </w:hyperlink>
      <w:r w:rsidR="003C44FB" w:rsidRPr="00A841E7">
        <w:rPr>
          <w:rFonts w:ascii="Times New Roman" w:hAnsi="Times New Roman" w:cs="Times New Roman"/>
          <w:sz w:val="20"/>
          <w:szCs w:val="20"/>
        </w:rPr>
        <w:br/>
        <w:t>Telephone: +44 20 8672 9944</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Kortsalioudaki, Christina</w:t>
      </w:r>
      <w:r w:rsidRPr="00A841E7">
        <w:rPr>
          <w:rFonts w:ascii="Times New Roman" w:hAnsi="Times New Roman" w:cs="Times New Roman"/>
          <w:sz w:val="20"/>
          <w:szCs w:val="20"/>
        </w:rPr>
        <w:br/>
      </w:r>
      <w:r w:rsidR="003C44FB" w:rsidRPr="00A841E7">
        <w:rPr>
          <w:rFonts w:ascii="Times New Roman" w:hAnsi="Times New Roman" w:cs="Times New Roman"/>
          <w:sz w:val="20"/>
          <w:szCs w:val="20"/>
        </w:rPr>
        <w:t>Paediatric Infectious Diseases Research Group, St George’s University of London</w:t>
      </w:r>
      <w:r w:rsidR="003C44FB" w:rsidRPr="00A841E7">
        <w:rPr>
          <w:rFonts w:ascii="Times New Roman" w:hAnsi="Times New Roman" w:cs="Times New Roman"/>
          <w:sz w:val="20"/>
          <w:szCs w:val="20"/>
        </w:rPr>
        <w:br/>
        <w:t>Cranmer Terrace, London, SW11 0RU, UK</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Buttery, Jim</w:t>
      </w:r>
      <w:r w:rsidRPr="00A841E7">
        <w:rPr>
          <w:rFonts w:ascii="Times New Roman" w:hAnsi="Times New Roman" w:cs="Times New Roman"/>
          <w:sz w:val="20"/>
          <w:szCs w:val="20"/>
        </w:rPr>
        <w:br/>
        <w:t>Monash Children’s, Monash Medical Centre</w:t>
      </w:r>
      <w:r w:rsidRPr="00A841E7">
        <w:rPr>
          <w:rFonts w:ascii="Times New Roman" w:hAnsi="Times New Roman" w:cs="Times New Roman"/>
          <w:sz w:val="20"/>
          <w:szCs w:val="20"/>
        </w:rPr>
        <w:br/>
        <w:t>246 Clayton Rd, Clayton VIC 3168</w:t>
      </w:r>
    </w:p>
    <w:p w:rsidR="00F920B3" w:rsidRPr="00A841E7" w:rsidRDefault="00F920B3" w:rsidP="00F920B3">
      <w:pPr>
        <w:spacing w:line="360" w:lineRule="auto"/>
        <w:rPr>
          <w:rFonts w:ascii="Times New Roman" w:hAnsi="Times New Roman" w:cs="Times New Roman"/>
          <w:sz w:val="20"/>
          <w:szCs w:val="20"/>
        </w:rPr>
      </w:pPr>
      <w:proofErr w:type="spellStart"/>
      <w:r w:rsidRPr="00A841E7">
        <w:rPr>
          <w:rFonts w:ascii="Times New Roman" w:hAnsi="Times New Roman" w:cs="Times New Roman"/>
          <w:sz w:val="20"/>
          <w:szCs w:val="20"/>
        </w:rPr>
        <w:t>Pattnayak</w:t>
      </w:r>
      <w:proofErr w:type="spellEnd"/>
      <w:r w:rsidRPr="00A841E7">
        <w:rPr>
          <w:rFonts w:ascii="Times New Roman" w:hAnsi="Times New Roman" w:cs="Times New Roman"/>
          <w:sz w:val="20"/>
          <w:szCs w:val="20"/>
        </w:rPr>
        <w:t>, Santosh</w:t>
      </w:r>
      <w:r w:rsidRPr="00A841E7">
        <w:rPr>
          <w:rFonts w:ascii="Times New Roman" w:hAnsi="Times New Roman" w:cs="Times New Roman"/>
          <w:sz w:val="20"/>
          <w:szCs w:val="20"/>
        </w:rPr>
        <w:br/>
        <w:t>Medway NHS Foundation Trust</w:t>
      </w:r>
      <w:r w:rsidRPr="00A841E7">
        <w:rPr>
          <w:rFonts w:ascii="Times New Roman" w:hAnsi="Times New Roman" w:cs="Times New Roman"/>
          <w:sz w:val="20"/>
          <w:szCs w:val="20"/>
        </w:rPr>
        <w:br/>
      </w:r>
      <w:r w:rsidRPr="00A841E7">
        <w:rPr>
          <w:rStyle w:val="xbe"/>
          <w:rFonts w:ascii="Times New Roman" w:hAnsi="Times New Roman" w:cs="Times New Roman"/>
          <w:sz w:val="20"/>
          <w:szCs w:val="20"/>
        </w:rPr>
        <w:t xml:space="preserve">Windmill Road, </w:t>
      </w:r>
      <w:proofErr w:type="spellStart"/>
      <w:r w:rsidRPr="00A841E7">
        <w:rPr>
          <w:rStyle w:val="xbe"/>
          <w:rFonts w:ascii="Times New Roman" w:hAnsi="Times New Roman" w:cs="Times New Roman"/>
          <w:sz w:val="20"/>
          <w:szCs w:val="20"/>
        </w:rPr>
        <w:t>Gillingham</w:t>
      </w:r>
      <w:proofErr w:type="spellEnd"/>
      <w:r w:rsidRPr="00A841E7">
        <w:rPr>
          <w:rStyle w:val="xbe"/>
          <w:rFonts w:ascii="Times New Roman" w:hAnsi="Times New Roman" w:cs="Times New Roman"/>
          <w:sz w:val="20"/>
          <w:szCs w:val="20"/>
        </w:rPr>
        <w:t>, Kent ME7 5NY, UK</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Greenough, Anne</w:t>
      </w:r>
      <w:r w:rsidRPr="00A841E7">
        <w:rPr>
          <w:rFonts w:ascii="Times New Roman" w:hAnsi="Times New Roman" w:cs="Times New Roman"/>
          <w:sz w:val="20"/>
          <w:szCs w:val="20"/>
        </w:rPr>
        <w:br/>
        <w:t>Kings College London</w:t>
      </w:r>
      <w:r w:rsidRPr="00A841E7">
        <w:rPr>
          <w:rFonts w:ascii="Times New Roman" w:hAnsi="Times New Roman" w:cs="Times New Roman"/>
          <w:sz w:val="20"/>
          <w:szCs w:val="20"/>
        </w:rPr>
        <w:br/>
        <w:t>Kings College Hospital, 4th Floor, Golden Jubilee Wing, London, UK SE5 9PJ</w:t>
      </w:r>
    </w:p>
    <w:p w:rsidR="00F920B3" w:rsidRPr="00A841E7" w:rsidRDefault="00F920B3" w:rsidP="00F920B3">
      <w:pPr>
        <w:spacing w:line="360" w:lineRule="auto"/>
        <w:rPr>
          <w:rFonts w:ascii="Times New Roman" w:hAnsi="Times New Roman" w:cs="Times New Roman"/>
          <w:sz w:val="20"/>
          <w:szCs w:val="20"/>
        </w:rPr>
      </w:pPr>
      <w:proofErr w:type="spellStart"/>
      <w:r w:rsidRPr="00A841E7">
        <w:rPr>
          <w:rFonts w:ascii="Times New Roman" w:hAnsi="Times New Roman" w:cs="Times New Roman"/>
          <w:sz w:val="20"/>
          <w:szCs w:val="20"/>
        </w:rPr>
        <w:t>Matthes</w:t>
      </w:r>
      <w:proofErr w:type="spellEnd"/>
      <w:r w:rsidRPr="00A841E7">
        <w:rPr>
          <w:rFonts w:ascii="Times New Roman" w:hAnsi="Times New Roman" w:cs="Times New Roman"/>
          <w:sz w:val="20"/>
          <w:szCs w:val="20"/>
        </w:rPr>
        <w:t>, Jean</w:t>
      </w:r>
      <w:r w:rsidRPr="00A841E7">
        <w:rPr>
          <w:rFonts w:ascii="Times New Roman" w:hAnsi="Times New Roman" w:cs="Times New Roman"/>
          <w:sz w:val="20"/>
          <w:szCs w:val="20"/>
        </w:rPr>
        <w:br/>
      </w:r>
      <w:r w:rsidR="003C44FB" w:rsidRPr="00A841E7">
        <w:rPr>
          <w:rFonts w:ascii="Times New Roman" w:hAnsi="Times New Roman" w:cs="Times New Roman"/>
          <w:sz w:val="20"/>
          <w:szCs w:val="20"/>
        </w:rPr>
        <w:t>Singleton Hospital</w:t>
      </w:r>
      <w:r w:rsidR="003C44FB" w:rsidRPr="00A841E7">
        <w:rPr>
          <w:rFonts w:ascii="Times New Roman" w:hAnsi="Times New Roman" w:cs="Times New Roman"/>
          <w:sz w:val="20"/>
          <w:szCs w:val="20"/>
        </w:rPr>
        <w:br/>
      </w:r>
      <w:r w:rsidR="003C44FB" w:rsidRPr="00A841E7">
        <w:rPr>
          <w:rStyle w:val="xbe"/>
          <w:rFonts w:ascii="Times New Roman" w:hAnsi="Times New Roman" w:cs="Times New Roman"/>
          <w:sz w:val="20"/>
          <w:szCs w:val="20"/>
        </w:rPr>
        <w:t>Swansea, SA2 8QA</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Bedford Russell, Alison</w:t>
      </w:r>
      <w:r w:rsidRPr="00A841E7">
        <w:rPr>
          <w:rFonts w:ascii="Times New Roman" w:hAnsi="Times New Roman" w:cs="Times New Roman"/>
          <w:sz w:val="20"/>
          <w:szCs w:val="20"/>
        </w:rPr>
        <w:br/>
        <w:t xml:space="preserve">Birmingham </w:t>
      </w:r>
      <w:proofErr w:type="spellStart"/>
      <w:r w:rsidRPr="00A841E7">
        <w:rPr>
          <w:rFonts w:ascii="Times New Roman" w:hAnsi="Times New Roman" w:cs="Times New Roman"/>
          <w:sz w:val="20"/>
          <w:szCs w:val="20"/>
        </w:rPr>
        <w:t>Womens</w:t>
      </w:r>
      <w:proofErr w:type="spellEnd"/>
      <w:r w:rsidRPr="00A841E7">
        <w:rPr>
          <w:rFonts w:ascii="Times New Roman" w:hAnsi="Times New Roman" w:cs="Times New Roman"/>
          <w:sz w:val="20"/>
          <w:szCs w:val="20"/>
        </w:rPr>
        <w:t xml:space="preserve"> Hospital</w:t>
      </w:r>
      <w:r w:rsidRPr="00A841E7">
        <w:rPr>
          <w:rFonts w:ascii="Times New Roman" w:hAnsi="Times New Roman" w:cs="Times New Roman"/>
          <w:sz w:val="20"/>
          <w:szCs w:val="20"/>
        </w:rPr>
        <w:br/>
      </w:r>
      <w:proofErr w:type="spellStart"/>
      <w:r w:rsidRPr="00A841E7">
        <w:rPr>
          <w:rFonts w:ascii="Times New Roman" w:hAnsi="Times New Roman" w:cs="Times New Roman"/>
          <w:sz w:val="20"/>
          <w:szCs w:val="20"/>
        </w:rPr>
        <w:t>Metchley</w:t>
      </w:r>
      <w:proofErr w:type="spellEnd"/>
      <w:r w:rsidRPr="00A841E7">
        <w:rPr>
          <w:rFonts w:ascii="Times New Roman" w:hAnsi="Times New Roman" w:cs="Times New Roman"/>
          <w:sz w:val="20"/>
          <w:szCs w:val="20"/>
        </w:rPr>
        <w:t xml:space="preserve"> Park Rd, Birmingham, UK B15 2TG</w:t>
      </w:r>
    </w:p>
    <w:p w:rsidR="00F920B3"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Kennea, Nigel</w:t>
      </w:r>
      <w:r w:rsidRPr="00A841E7">
        <w:rPr>
          <w:rFonts w:ascii="Times New Roman" w:hAnsi="Times New Roman" w:cs="Times New Roman"/>
          <w:sz w:val="20"/>
          <w:szCs w:val="20"/>
        </w:rPr>
        <w:br/>
      </w:r>
      <w:r w:rsidR="003C44FB" w:rsidRPr="00A841E7">
        <w:rPr>
          <w:rFonts w:ascii="Times New Roman" w:hAnsi="Times New Roman" w:cs="Times New Roman"/>
          <w:sz w:val="20"/>
          <w:szCs w:val="20"/>
        </w:rPr>
        <w:t>St George’s University NHS Foundation Trust</w:t>
      </w:r>
      <w:r w:rsidRPr="00A841E7">
        <w:rPr>
          <w:rFonts w:ascii="Times New Roman" w:hAnsi="Times New Roman" w:cs="Times New Roman"/>
          <w:sz w:val="20"/>
          <w:szCs w:val="20"/>
        </w:rPr>
        <w:br/>
      </w:r>
      <w:proofErr w:type="spellStart"/>
      <w:r w:rsidRPr="00A841E7">
        <w:rPr>
          <w:rFonts w:ascii="Times New Roman" w:hAnsi="Times New Roman" w:cs="Times New Roman"/>
          <w:sz w:val="20"/>
          <w:szCs w:val="20"/>
        </w:rPr>
        <w:t>Blackshaw</w:t>
      </w:r>
      <w:proofErr w:type="spellEnd"/>
      <w:r w:rsidRPr="00A841E7">
        <w:rPr>
          <w:rFonts w:ascii="Times New Roman" w:hAnsi="Times New Roman" w:cs="Times New Roman"/>
          <w:sz w:val="20"/>
          <w:szCs w:val="20"/>
        </w:rPr>
        <w:t xml:space="preserve"> Rd, London SW17 0QT, UK</w:t>
      </w:r>
    </w:p>
    <w:p w:rsidR="003C44FB" w:rsidRPr="00A841E7" w:rsidRDefault="00F920B3" w:rsidP="003C44FB">
      <w:pPr>
        <w:spacing w:line="360" w:lineRule="auto"/>
        <w:rPr>
          <w:rFonts w:ascii="Times New Roman" w:hAnsi="Times New Roman" w:cs="Times New Roman"/>
          <w:sz w:val="20"/>
          <w:szCs w:val="20"/>
        </w:rPr>
      </w:pPr>
      <w:r w:rsidRPr="00A841E7">
        <w:rPr>
          <w:rFonts w:ascii="Times New Roman" w:hAnsi="Times New Roman" w:cs="Times New Roman"/>
          <w:sz w:val="20"/>
          <w:szCs w:val="20"/>
        </w:rPr>
        <w:t xml:space="preserve">Heath, Paul </w:t>
      </w:r>
      <w:r w:rsidR="003C44FB" w:rsidRPr="00A841E7">
        <w:rPr>
          <w:rFonts w:ascii="Times New Roman" w:hAnsi="Times New Roman" w:cs="Times New Roman"/>
          <w:sz w:val="20"/>
          <w:szCs w:val="20"/>
        </w:rPr>
        <w:t>T</w:t>
      </w:r>
      <w:r w:rsidRPr="00A841E7">
        <w:rPr>
          <w:rFonts w:ascii="Times New Roman" w:hAnsi="Times New Roman" w:cs="Times New Roman"/>
          <w:sz w:val="20"/>
          <w:szCs w:val="20"/>
        </w:rPr>
        <w:br/>
      </w:r>
      <w:r w:rsidR="003C44FB" w:rsidRPr="00A841E7">
        <w:rPr>
          <w:rFonts w:ascii="Times New Roman" w:hAnsi="Times New Roman" w:cs="Times New Roman"/>
          <w:sz w:val="20"/>
          <w:szCs w:val="20"/>
        </w:rPr>
        <w:t>Paediatric Infectious Diseases Research Group, St George’s University of London</w:t>
      </w:r>
      <w:r w:rsidR="003C44FB" w:rsidRPr="00A841E7">
        <w:rPr>
          <w:rFonts w:ascii="Times New Roman" w:hAnsi="Times New Roman" w:cs="Times New Roman"/>
          <w:sz w:val="20"/>
          <w:szCs w:val="20"/>
        </w:rPr>
        <w:br/>
        <w:t>Cranmer Terrace, London, SW11 0RU, UK</w:t>
      </w:r>
    </w:p>
    <w:p w:rsidR="003C44FB" w:rsidRPr="00A841E7" w:rsidRDefault="00F920B3" w:rsidP="00F920B3">
      <w:pPr>
        <w:spacing w:line="360" w:lineRule="auto"/>
        <w:rPr>
          <w:rFonts w:ascii="Times New Roman" w:hAnsi="Times New Roman" w:cs="Times New Roman"/>
          <w:sz w:val="20"/>
          <w:szCs w:val="20"/>
        </w:rPr>
      </w:pPr>
      <w:r w:rsidRPr="00A841E7">
        <w:rPr>
          <w:rFonts w:ascii="Times New Roman" w:hAnsi="Times New Roman" w:cs="Times New Roman"/>
          <w:sz w:val="20"/>
          <w:szCs w:val="20"/>
        </w:rPr>
        <w:t>On behalf of the neonIN network</w:t>
      </w:r>
    </w:p>
    <w:p w:rsidR="003C44FB" w:rsidRPr="00A841E7" w:rsidRDefault="003C44FB">
      <w:pPr>
        <w:rPr>
          <w:rFonts w:ascii="Times New Roman" w:hAnsi="Times New Roman" w:cs="Times New Roman"/>
          <w:sz w:val="20"/>
          <w:szCs w:val="20"/>
        </w:rPr>
      </w:pPr>
      <w:r w:rsidRPr="00A841E7">
        <w:rPr>
          <w:rFonts w:ascii="Times New Roman" w:hAnsi="Times New Roman" w:cs="Times New Roman"/>
          <w:sz w:val="20"/>
          <w:szCs w:val="20"/>
        </w:rPr>
        <w:br w:type="page"/>
      </w:r>
    </w:p>
    <w:p w:rsidR="003C44FB" w:rsidRPr="00A841E7" w:rsidRDefault="003C44FB" w:rsidP="003C44FB">
      <w:pPr>
        <w:rPr>
          <w:rFonts w:ascii="Times New Roman" w:hAnsi="Times New Roman" w:cs="Times New Roman"/>
          <w:b/>
          <w:sz w:val="20"/>
          <w:szCs w:val="20"/>
        </w:rPr>
      </w:pPr>
      <w:r w:rsidRPr="00A841E7">
        <w:rPr>
          <w:rFonts w:ascii="Times New Roman" w:hAnsi="Times New Roman" w:cs="Times New Roman"/>
          <w:b/>
          <w:sz w:val="20"/>
          <w:szCs w:val="20"/>
        </w:rPr>
        <w:lastRenderedPageBreak/>
        <w:t>Funding Statement:</w:t>
      </w:r>
    </w:p>
    <w:p w:rsidR="003C44FB" w:rsidRPr="00A841E7" w:rsidRDefault="003C44FB" w:rsidP="003C44FB">
      <w:pPr>
        <w:spacing w:line="360" w:lineRule="auto"/>
        <w:rPr>
          <w:rFonts w:ascii="Times New Roman" w:hAnsi="Times New Roman" w:cs="Times New Roman"/>
          <w:b/>
          <w:sz w:val="20"/>
          <w:szCs w:val="20"/>
        </w:rPr>
      </w:pPr>
      <w:r w:rsidRPr="00A841E7">
        <w:rPr>
          <w:rFonts w:ascii="Times New Roman" w:hAnsi="Times New Roman" w:cs="Times New Roman"/>
          <w:sz w:val="20"/>
          <w:szCs w:val="20"/>
        </w:rPr>
        <w:t>This research received no specific grant from any funding agency in the public, commercial or not-for-profit sectors</w:t>
      </w:r>
      <w:r w:rsidRPr="00A841E7">
        <w:rPr>
          <w:rFonts w:ascii="Times New Roman" w:hAnsi="Times New Roman" w:cs="Times New Roman"/>
          <w:b/>
          <w:sz w:val="20"/>
          <w:szCs w:val="20"/>
        </w:rPr>
        <w:t>.</w:t>
      </w:r>
    </w:p>
    <w:p w:rsidR="003C44FB" w:rsidRPr="00A841E7" w:rsidRDefault="003C44FB" w:rsidP="003C44FB">
      <w:pPr>
        <w:spacing w:line="360" w:lineRule="auto"/>
        <w:rPr>
          <w:rFonts w:ascii="Times New Roman" w:hAnsi="Times New Roman" w:cs="Times New Roman"/>
          <w:b/>
          <w:sz w:val="20"/>
          <w:szCs w:val="20"/>
        </w:rPr>
      </w:pPr>
      <w:proofErr w:type="spellStart"/>
      <w:r w:rsidRPr="00A841E7">
        <w:rPr>
          <w:rFonts w:ascii="Times New Roman" w:hAnsi="Times New Roman" w:cs="Times New Roman"/>
          <w:b/>
          <w:sz w:val="20"/>
          <w:szCs w:val="20"/>
        </w:rPr>
        <w:t>Contributorship</w:t>
      </w:r>
      <w:proofErr w:type="spellEnd"/>
      <w:r w:rsidRPr="00A841E7">
        <w:rPr>
          <w:rFonts w:ascii="Times New Roman" w:hAnsi="Times New Roman" w:cs="Times New Roman"/>
          <w:b/>
          <w:sz w:val="20"/>
          <w:szCs w:val="20"/>
        </w:rPr>
        <w:t xml:space="preserve"> Statement:</w:t>
      </w:r>
    </w:p>
    <w:p w:rsidR="003C44FB" w:rsidRPr="00A841E7" w:rsidRDefault="003C44FB" w:rsidP="003C44FB">
      <w:pPr>
        <w:spacing w:line="360" w:lineRule="auto"/>
        <w:rPr>
          <w:rFonts w:ascii="Times New Roman" w:hAnsi="Times New Roman" w:cs="Times New Roman"/>
          <w:sz w:val="20"/>
          <w:szCs w:val="20"/>
        </w:rPr>
      </w:pPr>
      <w:r w:rsidRPr="00A841E7">
        <w:rPr>
          <w:rFonts w:ascii="Times New Roman" w:hAnsi="Times New Roman" w:cs="Times New Roman"/>
          <w:sz w:val="20"/>
          <w:szCs w:val="20"/>
        </w:rPr>
        <w:t>BC and CK contributed to the design of the analysis, conducted the analysis of the data, drafted the manuscript and revised it according to feedback from co-authors.</w:t>
      </w:r>
    </w:p>
    <w:p w:rsidR="003C44FB" w:rsidRPr="00A841E7" w:rsidRDefault="003C44FB" w:rsidP="003C44FB">
      <w:pPr>
        <w:spacing w:line="360" w:lineRule="auto"/>
        <w:rPr>
          <w:rFonts w:ascii="Times New Roman" w:hAnsi="Times New Roman" w:cs="Times New Roman"/>
          <w:sz w:val="20"/>
          <w:szCs w:val="20"/>
        </w:rPr>
      </w:pPr>
      <w:r w:rsidRPr="00A841E7">
        <w:rPr>
          <w:rFonts w:ascii="Times New Roman" w:hAnsi="Times New Roman" w:cs="Times New Roman"/>
          <w:sz w:val="20"/>
          <w:szCs w:val="20"/>
        </w:rPr>
        <w:t>PH developed the neonIN network, designed the current analysis and provided critical appraisal as well as final approval of the manuscript.</w:t>
      </w:r>
    </w:p>
    <w:p w:rsidR="003C44FB" w:rsidRPr="00A841E7" w:rsidRDefault="003C44FB" w:rsidP="003C44FB">
      <w:pPr>
        <w:spacing w:line="360" w:lineRule="auto"/>
        <w:rPr>
          <w:rFonts w:ascii="Times New Roman" w:hAnsi="Times New Roman" w:cs="Times New Roman"/>
          <w:sz w:val="20"/>
          <w:szCs w:val="20"/>
        </w:rPr>
      </w:pPr>
      <w:r w:rsidRPr="00A841E7">
        <w:rPr>
          <w:rFonts w:ascii="Times New Roman" w:hAnsi="Times New Roman" w:cs="Times New Roman"/>
          <w:sz w:val="20"/>
          <w:szCs w:val="20"/>
        </w:rPr>
        <w:t>JB, SP, AG, JM, AB and NK made substantial contributions to the acquisition of data for the analysis, critically revised the manuscript and provided final approval for the version to be submitted.</w:t>
      </w:r>
    </w:p>
    <w:p w:rsidR="00F920B3" w:rsidRPr="00A841E7" w:rsidRDefault="003C44FB" w:rsidP="003C44FB">
      <w:pPr>
        <w:spacing w:line="360" w:lineRule="auto"/>
        <w:rPr>
          <w:rFonts w:ascii="Times New Roman" w:hAnsi="Times New Roman" w:cs="Times New Roman"/>
          <w:sz w:val="20"/>
          <w:szCs w:val="20"/>
        </w:rPr>
      </w:pPr>
      <w:r w:rsidRPr="00A841E7">
        <w:rPr>
          <w:rFonts w:ascii="Times New Roman" w:hAnsi="Times New Roman" w:cs="Times New Roman"/>
          <w:sz w:val="20"/>
          <w:szCs w:val="20"/>
        </w:rPr>
        <w:t>All authors agree to be accountable for all aspects of the work in ensuring that questions related to the accuracy or integrity of any part of the work are appropriately investigated and resolved.</w:t>
      </w:r>
    </w:p>
    <w:p w:rsidR="00F920B3" w:rsidRPr="00A841E7" w:rsidRDefault="00F920B3">
      <w:pPr>
        <w:rPr>
          <w:rFonts w:ascii="Times New Roman" w:hAnsi="Times New Roman" w:cs="Times New Roman"/>
          <w:b/>
          <w:sz w:val="20"/>
          <w:szCs w:val="20"/>
        </w:rPr>
      </w:pPr>
      <w:r w:rsidRPr="00A841E7">
        <w:rPr>
          <w:rFonts w:ascii="Times New Roman" w:hAnsi="Times New Roman" w:cs="Times New Roman"/>
          <w:b/>
          <w:sz w:val="20"/>
          <w:szCs w:val="20"/>
        </w:rPr>
        <w:br w:type="page"/>
      </w:r>
    </w:p>
    <w:p w:rsidR="00293EF4" w:rsidRPr="00A841E7" w:rsidRDefault="00293EF4" w:rsidP="00293EF4">
      <w:pPr>
        <w:jc w:val="center"/>
        <w:rPr>
          <w:b/>
          <w:u w:val="single"/>
        </w:rPr>
      </w:pPr>
      <w:r w:rsidRPr="00A841E7">
        <w:rPr>
          <w:b/>
          <w:u w:val="single"/>
        </w:rPr>
        <w:lastRenderedPageBreak/>
        <w:t>Abstract</w:t>
      </w:r>
    </w:p>
    <w:p w:rsidR="00293EF4" w:rsidRPr="00A841E7" w:rsidRDefault="00293EF4" w:rsidP="00293EF4">
      <w:pPr>
        <w:rPr>
          <w:b/>
        </w:rPr>
      </w:pPr>
      <w:r w:rsidRPr="00A841E7">
        <w:rPr>
          <w:b/>
        </w:rPr>
        <w:t>Objective:</w:t>
      </w:r>
    </w:p>
    <w:p w:rsidR="00293EF4" w:rsidRPr="00A841E7" w:rsidRDefault="00293EF4" w:rsidP="00293EF4">
      <w:r w:rsidRPr="00A841E7">
        <w:t>To define the susceptibilities of the common causative pathogens of neonatal sepsis in the UK.</w:t>
      </w:r>
    </w:p>
    <w:p w:rsidR="00293EF4" w:rsidRPr="00A841E7" w:rsidRDefault="00293EF4" w:rsidP="00293EF4">
      <w:pPr>
        <w:rPr>
          <w:b/>
        </w:rPr>
      </w:pPr>
      <w:r w:rsidRPr="00A841E7">
        <w:rPr>
          <w:b/>
        </w:rPr>
        <w:t>Design:</w:t>
      </w:r>
    </w:p>
    <w:p w:rsidR="00293EF4" w:rsidRPr="00A841E7" w:rsidRDefault="00293EF4" w:rsidP="00293EF4">
      <w:r w:rsidRPr="00A841E7">
        <w:t>Retrospective analysis of the prospectively collected neonIN infection surveillance network data between 2005 and 2014.</w:t>
      </w:r>
    </w:p>
    <w:p w:rsidR="00293EF4" w:rsidRPr="00A841E7" w:rsidRDefault="00293EF4" w:rsidP="00293EF4">
      <w:pPr>
        <w:rPr>
          <w:b/>
        </w:rPr>
      </w:pPr>
      <w:r w:rsidRPr="00A841E7">
        <w:rPr>
          <w:b/>
        </w:rPr>
        <w:t>Setting:</w:t>
      </w:r>
    </w:p>
    <w:p w:rsidR="00293EF4" w:rsidRPr="00A841E7" w:rsidRDefault="00293EF4" w:rsidP="00293EF4">
      <w:r w:rsidRPr="00A841E7">
        <w:t>30 neonatal units in the United Kingdom.</w:t>
      </w:r>
    </w:p>
    <w:p w:rsidR="00293EF4" w:rsidRPr="00A841E7" w:rsidRDefault="00293EF4" w:rsidP="00293EF4">
      <w:pPr>
        <w:rPr>
          <w:b/>
        </w:rPr>
      </w:pPr>
      <w:r w:rsidRPr="00A841E7">
        <w:rPr>
          <w:b/>
        </w:rPr>
        <w:t>Patients:</w:t>
      </w:r>
    </w:p>
    <w:p w:rsidR="00293EF4" w:rsidRPr="00A841E7" w:rsidRDefault="00293EF4" w:rsidP="00293EF4">
      <w:r w:rsidRPr="00A841E7">
        <w:t>Newborns admitted to participating neonatal units who return a positive blood, cerebrospinal fluid or urine culture and are treated with at least five days of appropriate antibiotics.</w:t>
      </w:r>
    </w:p>
    <w:p w:rsidR="00293EF4" w:rsidRPr="00A841E7" w:rsidRDefault="00293EF4" w:rsidP="00293EF4">
      <w:pPr>
        <w:rPr>
          <w:b/>
        </w:rPr>
      </w:pPr>
      <w:r w:rsidRPr="00A841E7">
        <w:rPr>
          <w:b/>
        </w:rPr>
        <w:t>Results:</w:t>
      </w:r>
    </w:p>
    <w:p w:rsidR="00293EF4" w:rsidRPr="00A841E7" w:rsidRDefault="00293EF4" w:rsidP="00293EF4">
      <w:r w:rsidRPr="00A841E7">
        <w:t xml:space="preserve">1,568 isolates with recorded antimicrobial data were collected including 328 early onset sepsis (EOS) isolates and 1,240 late onset (LOS) isolates. The majority of EOS pathogens (&gt;92%) were susceptible to </w:t>
      </w:r>
      <w:r w:rsidR="00921986" w:rsidRPr="00A841E7">
        <w:t>the</w:t>
      </w:r>
      <w:r w:rsidRPr="00A841E7">
        <w:t xml:space="preserve"> four empiric </w:t>
      </w:r>
      <w:r w:rsidR="00921986" w:rsidRPr="00A841E7">
        <w:t xml:space="preserve">commonly used </w:t>
      </w:r>
      <w:r w:rsidRPr="00A841E7">
        <w:t xml:space="preserve">antimicrobial combinations </w:t>
      </w:r>
      <w:r w:rsidR="00921986" w:rsidRPr="00A841E7">
        <w:t xml:space="preserve">(e.g. 93% for </w:t>
      </w:r>
      <w:proofErr w:type="spellStart"/>
      <w:r w:rsidR="00921986" w:rsidRPr="00A841E7">
        <w:t>benzylpenicillin</w:t>
      </w:r>
      <w:proofErr w:type="spellEnd"/>
      <w:r w:rsidR="00921986" w:rsidRPr="00A841E7">
        <w:t>/gentamicin),</w:t>
      </w:r>
      <w:r w:rsidRPr="00A841E7">
        <w:t xml:space="preserve"> while LOS pathogens demonstrat</w:t>
      </w:r>
      <w:r w:rsidR="00921986" w:rsidRPr="00A841E7">
        <w:t>ed higher levels of resistance</w:t>
      </w:r>
      <w:r w:rsidRPr="00A841E7">
        <w:t xml:space="preserve"> </w:t>
      </w:r>
      <w:r w:rsidR="00921986" w:rsidRPr="00A841E7">
        <w:t xml:space="preserve">(e.g. 89% for </w:t>
      </w:r>
      <w:proofErr w:type="spellStart"/>
      <w:r w:rsidR="00921986" w:rsidRPr="00A841E7">
        <w:t>flucloxacillin</w:t>
      </w:r>
      <w:proofErr w:type="spellEnd"/>
      <w:r w:rsidR="00921986" w:rsidRPr="00A841E7">
        <w:t>/</w:t>
      </w:r>
      <w:r w:rsidRPr="00A841E7">
        <w:t>gentamicin</w:t>
      </w:r>
      <w:r w:rsidR="00921986" w:rsidRPr="00A841E7">
        <w:t>)</w:t>
      </w:r>
      <w:r w:rsidRPr="00A841E7">
        <w:t xml:space="preserve">.  Among infants &lt;1500g and &lt;32 weeks gestation an amoxicillin/gentamicin combination demonstrated </w:t>
      </w:r>
      <w:r w:rsidR="00921986" w:rsidRPr="00A841E7">
        <w:t>a trend towards improved</w:t>
      </w:r>
      <w:r w:rsidRPr="00A841E7">
        <w:t xml:space="preserve"> coverage of EOS isolates than </w:t>
      </w:r>
      <w:proofErr w:type="spellStart"/>
      <w:r w:rsidR="00921986" w:rsidRPr="00A841E7">
        <w:t>benzyl</w:t>
      </w:r>
      <w:r w:rsidRPr="00A841E7">
        <w:t>p</w:t>
      </w:r>
      <w:r w:rsidR="00921986" w:rsidRPr="00A841E7">
        <w:t>enicillin</w:t>
      </w:r>
      <w:proofErr w:type="spellEnd"/>
      <w:r w:rsidR="00921986" w:rsidRPr="00A841E7">
        <w:t>/gentamicin (93% vs. 86</w:t>
      </w:r>
      <w:r w:rsidRPr="00A841E7">
        <w:t>%</w:t>
      </w:r>
      <w:r w:rsidR="00921986" w:rsidRPr="00A841E7">
        <w:t>, p=0.211</w:t>
      </w:r>
      <w:r w:rsidRPr="00A841E7">
        <w:t xml:space="preserve">). </w:t>
      </w:r>
    </w:p>
    <w:p w:rsidR="00293EF4" w:rsidRPr="00A841E7" w:rsidRDefault="00293EF4" w:rsidP="00293EF4">
      <w:pPr>
        <w:rPr>
          <w:b/>
        </w:rPr>
      </w:pPr>
      <w:r w:rsidRPr="00A841E7">
        <w:rPr>
          <w:b/>
        </w:rPr>
        <w:t>Conclusions:</w:t>
      </w:r>
    </w:p>
    <w:p w:rsidR="00293EF4" w:rsidRPr="00A841E7" w:rsidRDefault="00293EF4" w:rsidP="00293EF4">
      <w:r w:rsidRPr="00A841E7">
        <w:t xml:space="preserve">This analysis provides insights into the patterns of antimicrobial resistance </w:t>
      </w:r>
      <w:r w:rsidR="00921986" w:rsidRPr="00A841E7">
        <w:t>among</w:t>
      </w:r>
      <w:r w:rsidRPr="00A841E7">
        <w:t xml:space="preserve"> UK neonatal pathogens</w:t>
      </w:r>
      <w:r w:rsidR="00921986" w:rsidRPr="00A841E7">
        <w:t>.</w:t>
      </w:r>
      <w:r w:rsidRPr="00A841E7">
        <w:t xml:space="preserve"> </w:t>
      </w:r>
      <w:r w:rsidR="00921986" w:rsidRPr="00A841E7">
        <w:t>These</w:t>
      </w:r>
      <w:r w:rsidRPr="00A841E7">
        <w:t xml:space="preserve"> data will inform areas of future research and </w:t>
      </w:r>
      <w:r w:rsidR="00921986" w:rsidRPr="00A841E7">
        <w:t>can be used to update national evidence-based guidelines on antimicrobial usage</w:t>
      </w:r>
      <w:r w:rsidRPr="00A841E7">
        <w:t>.</w:t>
      </w:r>
    </w:p>
    <w:p w:rsidR="00293EF4" w:rsidRPr="00A841E7" w:rsidRDefault="00293EF4">
      <w:pPr>
        <w:rPr>
          <w:rFonts w:ascii="Times New Roman" w:hAnsi="Times New Roman" w:cs="Times New Roman"/>
          <w:b/>
          <w:sz w:val="20"/>
          <w:szCs w:val="20"/>
        </w:rPr>
      </w:pPr>
      <w:r w:rsidRPr="00A841E7">
        <w:rPr>
          <w:rFonts w:ascii="Times New Roman" w:hAnsi="Times New Roman" w:cs="Times New Roman"/>
          <w:b/>
          <w:sz w:val="20"/>
          <w:szCs w:val="20"/>
        </w:rPr>
        <w:br w:type="page"/>
      </w:r>
    </w:p>
    <w:p w:rsidR="007B010D" w:rsidRPr="00A841E7" w:rsidRDefault="007B010D" w:rsidP="005658EF">
      <w:pPr>
        <w:spacing w:line="480" w:lineRule="auto"/>
        <w:rPr>
          <w:rFonts w:ascii="Times New Roman" w:hAnsi="Times New Roman" w:cs="Times New Roman"/>
          <w:b/>
          <w:sz w:val="20"/>
          <w:szCs w:val="20"/>
        </w:rPr>
      </w:pPr>
      <w:r w:rsidRPr="00A841E7">
        <w:rPr>
          <w:rFonts w:ascii="Times New Roman" w:hAnsi="Times New Roman" w:cs="Times New Roman"/>
          <w:b/>
          <w:sz w:val="20"/>
          <w:szCs w:val="20"/>
        </w:rPr>
        <w:lastRenderedPageBreak/>
        <w:t>Introduction:</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Newborn babies are at a significant risk of infection during the neonatal period, especially those born prematurely or of low birth-weight.</w:t>
      </w:r>
      <w:r w:rsidRPr="00A841E7">
        <w:rPr>
          <w:rFonts w:ascii="Times New Roman" w:hAnsi="Times New Roman" w:cs="Times New Roman"/>
          <w:noProof/>
          <w:sz w:val="20"/>
          <w:szCs w:val="20"/>
        </w:rPr>
        <w:t>(1)</w:t>
      </w:r>
      <w:r w:rsidRPr="00A841E7">
        <w:rPr>
          <w:rFonts w:ascii="Times New Roman" w:hAnsi="Times New Roman" w:cs="Times New Roman"/>
          <w:sz w:val="20"/>
          <w:szCs w:val="20"/>
        </w:rPr>
        <w:t xml:space="preserve"> Neonatal infection is associated with considerable morbidity and mortality, being responsible for more than 250 neonatal deaths each year in the UK alone.</w:t>
      </w:r>
      <w:r w:rsidRPr="00A841E7">
        <w:rPr>
          <w:rFonts w:ascii="Times New Roman" w:hAnsi="Times New Roman" w:cs="Times New Roman"/>
          <w:noProof/>
          <w:sz w:val="20"/>
          <w:szCs w:val="20"/>
        </w:rPr>
        <w:t>(2-4)</w:t>
      </w:r>
      <w:r w:rsidRPr="00A841E7">
        <w:rPr>
          <w:rFonts w:ascii="Times New Roman" w:hAnsi="Times New Roman" w:cs="Times New Roman"/>
          <w:sz w:val="20"/>
          <w:szCs w:val="20"/>
        </w:rPr>
        <w:t xml:space="preserve"> Infection during the neonatal period is classically divided into two distinct clinical syndromes based on the likely causative pathogens: early-onset sepsis (EOS) and late-onset sepsis (LOS).</w:t>
      </w:r>
      <w:r w:rsidR="00596D57" w:rsidRPr="00A841E7">
        <w:rPr>
          <w:rFonts w:ascii="Times New Roman" w:hAnsi="Times New Roman" w:cs="Times New Roman"/>
          <w:noProof/>
          <w:sz w:val="20"/>
          <w:szCs w:val="20"/>
        </w:rPr>
        <w:t>(4,</w:t>
      </w:r>
      <w:r w:rsidRPr="00A841E7">
        <w:rPr>
          <w:rFonts w:ascii="Times New Roman" w:hAnsi="Times New Roman" w:cs="Times New Roman"/>
          <w:noProof/>
          <w:sz w:val="20"/>
          <w:szCs w:val="20"/>
        </w:rPr>
        <w:t>5)</w:t>
      </w:r>
      <w:r w:rsidRPr="00A841E7">
        <w:rPr>
          <w:rFonts w:ascii="Times New Roman" w:hAnsi="Times New Roman" w:cs="Times New Roman"/>
          <w:sz w:val="20"/>
          <w:szCs w:val="20"/>
        </w:rPr>
        <w:t xml:space="preserve"> </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The presentation of neonatal sepsis is typically non-specific and empiric antimicrobial treatment is generally commenced before a causative organism is identified and targeted therapy can be initiated.</w:t>
      </w:r>
      <w:r w:rsidRPr="00A841E7">
        <w:rPr>
          <w:rFonts w:ascii="Times New Roman" w:hAnsi="Times New Roman" w:cs="Times New Roman"/>
          <w:noProof/>
          <w:sz w:val="20"/>
          <w:szCs w:val="20"/>
        </w:rPr>
        <w:t>(6)</w:t>
      </w:r>
      <w:r w:rsidRPr="00A841E7">
        <w:rPr>
          <w:rFonts w:ascii="Times New Roman" w:hAnsi="Times New Roman" w:cs="Times New Roman"/>
          <w:sz w:val="20"/>
          <w:szCs w:val="20"/>
        </w:rPr>
        <w:t xml:space="preserve"> It is therefore crucial to have a thorough understanding of the current epidemiology of neonatal infections in order to select the most effective and appropriate antibiotic combinations for empiric treatment.</w:t>
      </w:r>
      <w:r w:rsidRPr="00A841E7">
        <w:rPr>
          <w:rFonts w:ascii="Times New Roman" w:hAnsi="Times New Roman" w:cs="Times New Roman"/>
          <w:noProof/>
          <w:sz w:val="20"/>
          <w:szCs w:val="20"/>
        </w:rPr>
        <w:t>(5)</w:t>
      </w:r>
      <w:r w:rsidRPr="00A841E7">
        <w:rPr>
          <w:rFonts w:ascii="Times New Roman" w:hAnsi="Times New Roman" w:cs="Times New Roman"/>
          <w:sz w:val="20"/>
          <w:szCs w:val="20"/>
        </w:rPr>
        <w:t xml:space="preserve"> </w:t>
      </w:r>
    </w:p>
    <w:p w:rsidR="00E5365C" w:rsidRPr="00A841E7" w:rsidRDefault="007B010D" w:rsidP="00E5365C">
      <w:pPr>
        <w:spacing w:line="480" w:lineRule="auto"/>
        <w:rPr>
          <w:rFonts w:ascii="Times New Roman" w:hAnsi="Times New Roman" w:cs="Times New Roman"/>
          <w:sz w:val="20"/>
          <w:szCs w:val="20"/>
        </w:rPr>
      </w:pPr>
      <w:r w:rsidRPr="00A841E7">
        <w:rPr>
          <w:rFonts w:ascii="Times New Roman" w:hAnsi="Times New Roman" w:cs="Times New Roman"/>
          <w:sz w:val="20"/>
          <w:szCs w:val="20"/>
        </w:rPr>
        <w:t>The development and spread of antimicrobial resistance is now a major challenge in modern medicine</w:t>
      </w:r>
      <w:r w:rsidR="00DD50B8" w:rsidRPr="00A841E7">
        <w:rPr>
          <w:rFonts w:ascii="Times New Roman" w:hAnsi="Times New Roman" w:cs="Times New Roman"/>
          <w:sz w:val="20"/>
          <w:szCs w:val="20"/>
        </w:rPr>
        <w:t xml:space="preserve">, emphasizing the importance of using antimicrobial agents appropriately and rationally </w:t>
      </w:r>
      <w:r w:rsidRPr="00A841E7">
        <w:rPr>
          <w:rFonts w:ascii="Times New Roman" w:hAnsi="Times New Roman" w:cs="Times New Roman"/>
          <w:sz w:val="20"/>
          <w:szCs w:val="20"/>
        </w:rPr>
        <w:t xml:space="preserve">(7-9) </w:t>
      </w:r>
      <w:proofErr w:type="gramStart"/>
      <w:r w:rsidR="00E5365C" w:rsidRPr="00A841E7">
        <w:rPr>
          <w:rFonts w:ascii="Times New Roman" w:hAnsi="Times New Roman" w:cs="Times New Roman"/>
          <w:sz w:val="20"/>
          <w:szCs w:val="20"/>
        </w:rPr>
        <w:t>There</w:t>
      </w:r>
      <w:proofErr w:type="gramEnd"/>
      <w:r w:rsidR="00E5365C" w:rsidRPr="00A841E7">
        <w:rPr>
          <w:rFonts w:ascii="Times New Roman" w:hAnsi="Times New Roman" w:cs="Times New Roman"/>
          <w:sz w:val="20"/>
          <w:szCs w:val="20"/>
        </w:rPr>
        <w:t xml:space="preserve"> are now growing concerns that empiric treatment is increasingly likely to be inadequate in terms of antibiotic cover, especially in settings where there is a high prevalence of antimicrobial resistance. For example, recent modelling puts neonatal deaths due to resistant organisms in China, India, Pakistan, Nigeria and the Democratic Republic </w:t>
      </w:r>
      <w:r w:rsidR="004644FD" w:rsidRPr="00A841E7">
        <w:rPr>
          <w:rFonts w:ascii="Times New Roman" w:hAnsi="Times New Roman" w:cs="Times New Roman"/>
          <w:sz w:val="20"/>
          <w:szCs w:val="20"/>
        </w:rPr>
        <w:t>of Congo alone at 215,000</w:t>
      </w:r>
      <w:r w:rsidR="009D6DE6" w:rsidRPr="00A841E7">
        <w:rPr>
          <w:rFonts w:ascii="Times New Roman" w:hAnsi="Times New Roman" w:cs="Times New Roman"/>
          <w:sz w:val="20"/>
          <w:szCs w:val="20"/>
        </w:rPr>
        <w:t xml:space="preserve"> per year</w:t>
      </w:r>
      <w:r w:rsidR="004644FD" w:rsidRPr="00A841E7">
        <w:rPr>
          <w:rFonts w:ascii="Times New Roman" w:hAnsi="Times New Roman" w:cs="Times New Roman"/>
          <w:sz w:val="20"/>
          <w:szCs w:val="20"/>
        </w:rPr>
        <w:t>. (10)</w:t>
      </w:r>
    </w:p>
    <w:p w:rsidR="007B010D" w:rsidRPr="00A841E7" w:rsidRDefault="007B010D" w:rsidP="005658EF">
      <w:pPr>
        <w:spacing w:line="480" w:lineRule="auto"/>
        <w:rPr>
          <w:rFonts w:ascii="Times New Roman" w:hAnsi="Times New Roman" w:cs="Times New Roman"/>
          <w:sz w:val="20"/>
          <w:szCs w:val="20"/>
        </w:rPr>
      </w:pPr>
      <w:proofErr w:type="gramStart"/>
      <w:r w:rsidRPr="00A841E7">
        <w:rPr>
          <w:rFonts w:ascii="Times New Roman" w:hAnsi="Times New Roman" w:cs="Times New Roman"/>
          <w:sz w:val="20"/>
          <w:szCs w:val="20"/>
        </w:rPr>
        <w:t>neonIN</w:t>
      </w:r>
      <w:proofErr w:type="gramEnd"/>
      <w:r w:rsidRPr="00A841E7">
        <w:rPr>
          <w:rFonts w:ascii="Times New Roman" w:hAnsi="Times New Roman" w:cs="Times New Roman"/>
          <w:sz w:val="20"/>
          <w:szCs w:val="20"/>
        </w:rPr>
        <w:t xml:space="preserve"> (www.neonin.org.uk) is a neonatal infection surveillance network established in 2004 with the aim of collecting and storing information about the causative pathogens of neonatal infection and their antimicrobial susceptibility patterns. Similar surveillance networks have been successfully implemented in other countries and have provided valuable insights into the longitudinal epidemiology of infections and effectiveness of empiric antibiotic prescribing guidelines</w:t>
      </w:r>
      <w:proofErr w:type="gramStart"/>
      <w:r w:rsidRPr="00A841E7">
        <w:rPr>
          <w:rFonts w:ascii="Times New Roman" w:hAnsi="Times New Roman" w:cs="Times New Roman"/>
          <w:sz w:val="20"/>
          <w:szCs w:val="20"/>
        </w:rPr>
        <w:t>.</w:t>
      </w:r>
      <w:r w:rsidR="00BF7FE2"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11</w:t>
      </w:r>
      <w:r w:rsidR="005E0434" w:rsidRPr="00A841E7">
        <w:rPr>
          <w:rFonts w:ascii="Times New Roman" w:hAnsi="Times New Roman" w:cs="Times New Roman"/>
          <w:noProof/>
          <w:sz w:val="20"/>
          <w:szCs w:val="20"/>
        </w:rPr>
        <w:t>,12</w:t>
      </w:r>
      <w:r w:rsidR="00BF7FE2" w:rsidRPr="00A841E7">
        <w:rPr>
          <w:rFonts w:ascii="Times New Roman" w:hAnsi="Times New Roman" w:cs="Times New Roman"/>
          <w:noProof/>
          <w:sz w:val="20"/>
          <w:szCs w:val="20"/>
        </w:rPr>
        <w:t>,13</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The objective of this analysis was to define the susceptibilities of the common causative pathogens of neonatal sepsis in the UK and to provide guidance on empiric antimicrobial combinations. The epidemiology of infections in the neonIN network has been reported elsewhere.</w:t>
      </w:r>
    </w:p>
    <w:p w:rsidR="007B010D" w:rsidRPr="00A841E7" w:rsidRDefault="007B010D" w:rsidP="005658EF">
      <w:pPr>
        <w:spacing w:line="480" w:lineRule="auto"/>
        <w:rPr>
          <w:rFonts w:ascii="Times New Roman" w:hAnsi="Times New Roman" w:cs="Times New Roman"/>
          <w:b/>
          <w:sz w:val="20"/>
          <w:szCs w:val="20"/>
          <w:lang w:val="en-GB"/>
        </w:rPr>
      </w:pPr>
      <w:r w:rsidRPr="00A841E7">
        <w:rPr>
          <w:rFonts w:ascii="Times New Roman" w:hAnsi="Times New Roman" w:cs="Times New Roman"/>
          <w:b/>
          <w:sz w:val="20"/>
          <w:szCs w:val="20"/>
        </w:rPr>
        <w:t>Methods:</w:t>
      </w:r>
    </w:p>
    <w:p w:rsidR="007B010D" w:rsidRPr="00A841E7" w:rsidRDefault="007B010D" w:rsidP="005658EF">
      <w:pPr>
        <w:spacing w:line="480" w:lineRule="auto"/>
        <w:rPr>
          <w:rFonts w:ascii="Times New Roman" w:hAnsi="Times New Roman" w:cs="Times New Roman"/>
          <w:sz w:val="20"/>
          <w:szCs w:val="20"/>
        </w:rPr>
      </w:pPr>
      <w:proofErr w:type="gramStart"/>
      <w:r w:rsidRPr="00A841E7">
        <w:rPr>
          <w:rFonts w:ascii="Times New Roman" w:hAnsi="Times New Roman" w:cs="Times New Roman"/>
          <w:sz w:val="20"/>
          <w:szCs w:val="20"/>
        </w:rPr>
        <w:t>neonIN</w:t>
      </w:r>
      <w:proofErr w:type="gramEnd"/>
      <w:r w:rsidRPr="00A841E7">
        <w:rPr>
          <w:rFonts w:ascii="Times New Roman" w:hAnsi="Times New Roman" w:cs="Times New Roman"/>
          <w:sz w:val="20"/>
          <w:szCs w:val="20"/>
        </w:rPr>
        <w:t xml:space="preserve"> collects data on all episodes of neonatal infection in participating neonatal units. An episode of neonatal infection is defined as a positive culture collected from the blood, cerebrospinal fluid (CSF) or urine (obtained via sterile technique), for which clinicians prescribed at least five days of appropriate antibiotics. Data are collected using a standardised online questionnaire which is completed by the clinician for each positive culture result.</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Repeatedly positive samples are considered to represent the same episode of infection unless they occurred more than seven days after the last positive culture result.  EOS is defined as infection occurring less than 48 hours after birth while episodes thereafter are classified as LOS.  This age cut-off was chosen as it most likely represents the transition between pathogens which are acquired via vertical and horizontal transmission, however an analysis based on a 72 hours cut-off was also performed. </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Antimicrobial susceptibility data were analysed against a pre-defined list of commonly used empiric antimicrobial combinations including those recommended by the British National Formulary for Children (BNFC), and the National Institute for Health and Care Excellence (NICE) </w:t>
      </w:r>
      <w:r w:rsidR="005311D8" w:rsidRPr="00A841E7">
        <w:rPr>
          <w:rFonts w:ascii="Times New Roman" w:hAnsi="Times New Roman" w:cs="Times New Roman"/>
          <w:sz w:val="20"/>
          <w:szCs w:val="20"/>
        </w:rPr>
        <w:t>EOS antibiotic</w:t>
      </w:r>
      <w:r w:rsidRPr="00A841E7">
        <w:rPr>
          <w:rFonts w:ascii="Times New Roman" w:hAnsi="Times New Roman" w:cs="Times New Roman"/>
          <w:sz w:val="20"/>
          <w:szCs w:val="20"/>
        </w:rPr>
        <w:t xml:space="preserve"> guidelines (Table 1)</w:t>
      </w:r>
      <w:proofErr w:type="gramStart"/>
      <w:r w:rsidR="00596D57" w:rsidRPr="00A841E7">
        <w:rPr>
          <w:rFonts w:ascii="Times New Roman" w:hAnsi="Times New Roman" w:cs="Times New Roman"/>
          <w:sz w:val="20"/>
          <w:szCs w:val="20"/>
        </w:rPr>
        <w:t>.</w:t>
      </w:r>
      <w:r w:rsidR="005E0434" w:rsidRPr="00A841E7">
        <w:rPr>
          <w:rFonts w:ascii="Times New Roman" w:hAnsi="Times New Roman" w:cs="Times New Roman"/>
          <w:noProof/>
          <w:sz w:val="20"/>
          <w:szCs w:val="20"/>
        </w:rPr>
        <w:t>(</w:t>
      </w:r>
      <w:proofErr w:type="gramEnd"/>
      <w:r w:rsidR="00BF7FE2" w:rsidRPr="00A841E7">
        <w:rPr>
          <w:rFonts w:ascii="Times New Roman" w:hAnsi="Times New Roman" w:cs="Times New Roman"/>
          <w:noProof/>
          <w:sz w:val="20"/>
          <w:szCs w:val="20"/>
        </w:rPr>
        <w:t>14</w:t>
      </w:r>
      <w:r w:rsidR="005E0434" w:rsidRPr="00A841E7">
        <w:rPr>
          <w:rFonts w:ascii="Times New Roman" w:hAnsi="Times New Roman" w:cs="Times New Roman"/>
          <w:noProof/>
          <w:sz w:val="20"/>
          <w:szCs w:val="20"/>
        </w:rPr>
        <w:t>,</w:t>
      </w:r>
      <w:r w:rsidR="00BF7FE2" w:rsidRPr="00A841E7">
        <w:rPr>
          <w:rFonts w:ascii="Times New Roman" w:hAnsi="Times New Roman" w:cs="Times New Roman"/>
          <w:noProof/>
          <w:sz w:val="20"/>
          <w:szCs w:val="20"/>
        </w:rPr>
        <w:t>15</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Th</w:t>
      </w:r>
      <w:r w:rsidR="00C93AD8" w:rsidRPr="00A841E7">
        <w:rPr>
          <w:rFonts w:ascii="Times New Roman" w:hAnsi="Times New Roman" w:cs="Times New Roman"/>
          <w:sz w:val="20"/>
          <w:szCs w:val="20"/>
        </w:rPr>
        <w:t>e</w:t>
      </w:r>
      <w:r w:rsidRPr="00A841E7">
        <w:rPr>
          <w:rFonts w:ascii="Times New Roman" w:hAnsi="Times New Roman" w:cs="Times New Roman"/>
          <w:sz w:val="20"/>
          <w:szCs w:val="20"/>
        </w:rPr>
        <w:t>s</w:t>
      </w:r>
      <w:r w:rsidR="00C93AD8" w:rsidRPr="00A841E7">
        <w:rPr>
          <w:rFonts w:ascii="Times New Roman" w:hAnsi="Times New Roman" w:cs="Times New Roman"/>
          <w:sz w:val="20"/>
          <w:szCs w:val="20"/>
        </w:rPr>
        <w:t>e</w:t>
      </w:r>
      <w:r w:rsidRPr="00A841E7">
        <w:rPr>
          <w:rFonts w:ascii="Times New Roman" w:hAnsi="Times New Roman" w:cs="Times New Roman"/>
          <w:sz w:val="20"/>
          <w:szCs w:val="20"/>
        </w:rPr>
        <w:t xml:space="preserve"> choices are also consistent with the findings of a review of antimicrobial policies in use in</w:t>
      </w:r>
      <w:r w:rsidR="00596D57" w:rsidRPr="00A841E7">
        <w:rPr>
          <w:rFonts w:ascii="Times New Roman" w:hAnsi="Times New Roman" w:cs="Times New Roman"/>
          <w:sz w:val="20"/>
          <w:szCs w:val="20"/>
        </w:rPr>
        <w:t xml:space="preserve"> UK neonatal units in 2008.</w:t>
      </w:r>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6</w:t>
      </w:r>
      <w:r w:rsidRPr="00A841E7">
        <w:rPr>
          <w:rFonts w:ascii="Times New Roman" w:hAnsi="Times New Roman" w:cs="Times New Roman"/>
          <w:noProof/>
          <w:sz w:val="20"/>
          <w:szCs w:val="20"/>
        </w:rPr>
        <w:t>)</w:t>
      </w:r>
    </w:p>
    <w:p w:rsidR="007B010D" w:rsidRPr="00A841E7" w:rsidRDefault="00B21853" w:rsidP="005658EF">
      <w:pPr>
        <w:spacing w:line="480" w:lineRule="auto"/>
        <w:jc w:val="center"/>
        <w:rPr>
          <w:rFonts w:ascii="Times New Roman" w:hAnsi="Times New Roman" w:cs="Times New Roman"/>
          <w:b/>
          <w:sz w:val="20"/>
          <w:szCs w:val="20"/>
        </w:rPr>
      </w:pPr>
      <w:r w:rsidRPr="00A841E7">
        <w:rPr>
          <w:rFonts w:ascii="Times New Roman" w:hAnsi="Times New Roman" w:cs="Times New Roman"/>
          <w:i/>
          <w:sz w:val="20"/>
          <w:szCs w:val="20"/>
        </w:rPr>
        <w:t>Insert Table 1 Here</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Organisms were deemed ‘susceptible’ if susceptible to at least one of the antibiotics in the combination and ‘resistant’ if resistant to all the constituent antibiotics individually.  The exception to this occurred in cases where monotherapy was deemed to be inappropriate (e.g. </w:t>
      </w:r>
      <w:r w:rsidR="008623C4" w:rsidRPr="00A841E7">
        <w:rPr>
          <w:rFonts w:ascii="Times New Roman" w:hAnsi="Times New Roman" w:cs="Times New Roman"/>
          <w:sz w:val="20"/>
          <w:szCs w:val="20"/>
        </w:rPr>
        <w:t xml:space="preserve">if an </w:t>
      </w:r>
      <w:r w:rsidR="00BD5024" w:rsidRPr="00A841E7">
        <w:rPr>
          <w:rFonts w:ascii="Times New Roman" w:hAnsi="Times New Roman" w:cs="Times New Roman"/>
          <w:sz w:val="20"/>
          <w:szCs w:val="20"/>
        </w:rPr>
        <w:t xml:space="preserve">enterococcus </w:t>
      </w:r>
      <w:r w:rsidR="008623C4" w:rsidRPr="00A841E7">
        <w:rPr>
          <w:rFonts w:ascii="Times New Roman" w:hAnsi="Times New Roman" w:cs="Times New Roman"/>
          <w:sz w:val="20"/>
          <w:szCs w:val="20"/>
        </w:rPr>
        <w:t>isolate was recorded as ‘</w:t>
      </w:r>
      <w:r w:rsidR="00BD5024" w:rsidRPr="00A841E7">
        <w:rPr>
          <w:rFonts w:ascii="Times New Roman" w:hAnsi="Times New Roman" w:cs="Times New Roman"/>
          <w:sz w:val="20"/>
          <w:szCs w:val="20"/>
        </w:rPr>
        <w:t>susceptible’</w:t>
      </w:r>
      <w:r w:rsidR="008623C4" w:rsidRPr="00A841E7">
        <w:rPr>
          <w:rFonts w:ascii="Times New Roman" w:hAnsi="Times New Roman" w:cs="Times New Roman"/>
          <w:sz w:val="20"/>
          <w:szCs w:val="20"/>
        </w:rPr>
        <w:t xml:space="preserve"> to gentamicin and there was no susceptibility data for </w:t>
      </w:r>
      <w:proofErr w:type="spellStart"/>
      <w:r w:rsidR="008623C4" w:rsidRPr="00A841E7">
        <w:rPr>
          <w:rFonts w:ascii="Times New Roman" w:hAnsi="Times New Roman" w:cs="Times New Roman"/>
          <w:sz w:val="20"/>
          <w:szCs w:val="20"/>
        </w:rPr>
        <w:t>flucloxacillin</w:t>
      </w:r>
      <w:proofErr w:type="spellEnd"/>
      <w:r w:rsidR="008623C4" w:rsidRPr="00A841E7">
        <w:rPr>
          <w:rFonts w:ascii="Times New Roman" w:hAnsi="Times New Roman" w:cs="Times New Roman"/>
          <w:sz w:val="20"/>
          <w:szCs w:val="20"/>
        </w:rPr>
        <w:t>, then the culture was not listed as sensitive to the combination, as enterococci are intrinsically resistant to gentamicin</w:t>
      </w:r>
      <w:r w:rsidRPr="00A841E7">
        <w:rPr>
          <w:rFonts w:ascii="Times New Roman" w:hAnsi="Times New Roman" w:cs="Times New Roman"/>
          <w:sz w:val="20"/>
          <w:szCs w:val="20"/>
        </w:rPr>
        <w:t>).</w:t>
      </w:r>
      <w:r w:rsidR="00BD5024" w:rsidRPr="00A841E7">
        <w:rPr>
          <w:rFonts w:ascii="Times New Roman" w:hAnsi="Times New Roman" w:cs="Times New Roman"/>
          <w:sz w:val="20"/>
          <w:szCs w:val="20"/>
        </w:rPr>
        <w:t xml:space="preserve"> Otherwise, i</w:t>
      </w:r>
      <w:r w:rsidRPr="00A841E7">
        <w:rPr>
          <w:rFonts w:ascii="Times New Roman" w:hAnsi="Times New Roman" w:cs="Times New Roman"/>
          <w:sz w:val="20"/>
          <w:szCs w:val="20"/>
        </w:rPr>
        <w:t xml:space="preserve">f susceptibility data </w:t>
      </w:r>
      <w:r w:rsidR="00BD5024" w:rsidRPr="00A841E7">
        <w:rPr>
          <w:rFonts w:ascii="Times New Roman" w:hAnsi="Times New Roman" w:cs="Times New Roman"/>
          <w:sz w:val="20"/>
          <w:szCs w:val="20"/>
        </w:rPr>
        <w:t>were</w:t>
      </w:r>
      <w:r w:rsidRPr="00A841E7">
        <w:rPr>
          <w:rFonts w:ascii="Times New Roman" w:hAnsi="Times New Roman" w:cs="Times New Roman"/>
          <w:sz w:val="20"/>
          <w:szCs w:val="20"/>
        </w:rPr>
        <w:t xml:space="preserve"> only available for one of the antimicrobial agents in the combination then the pathogen was labelled as per the susceptibility of the antibiotic tested.</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Data were extracted from the online neonIN database and imported into Stata 14 for analysis. Statistical significance was defined as a p-value of &lt;0.05. Two methods were chosen to define the confidence of coverage estimates. Firstly, 95% confidence intervals were calculated for each coverage estimate and secondly, best and worst-case scenarios were calculated by classifying all isolates without complete antimicrobial resistance profiles as either sensitive or resistant respectively.</w:t>
      </w:r>
      <w:r w:rsidR="00BD5024" w:rsidRPr="00A841E7">
        <w:rPr>
          <w:rFonts w:ascii="Times New Roman" w:hAnsi="Times New Roman" w:cs="Times New Roman"/>
          <w:sz w:val="20"/>
          <w:szCs w:val="20"/>
        </w:rPr>
        <w:t xml:space="preserve"> Finally, in recognition of the fact that antimicrobial susceptibilities may change over time, we conducted a further analysis of the data by comparing the two five-year time-periods: 2005-2009 and 2010-2014.</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The neonIN database received ethics approval from the London-Surrey Borders Research Ethics Committee in April 2005 (05/Q0806/34) and again in December 2013 (05/Q0806/34+5).</w:t>
      </w:r>
    </w:p>
    <w:p w:rsidR="007B010D" w:rsidRPr="00A841E7" w:rsidRDefault="007B010D" w:rsidP="005658EF">
      <w:pPr>
        <w:spacing w:line="480" w:lineRule="auto"/>
        <w:rPr>
          <w:rFonts w:ascii="Times New Roman" w:hAnsi="Times New Roman" w:cs="Times New Roman"/>
          <w:b/>
          <w:sz w:val="20"/>
          <w:szCs w:val="20"/>
        </w:rPr>
      </w:pPr>
      <w:r w:rsidRPr="00A841E7">
        <w:rPr>
          <w:rFonts w:ascii="Times New Roman" w:hAnsi="Times New Roman" w:cs="Times New Roman"/>
          <w:b/>
          <w:sz w:val="20"/>
          <w:szCs w:val="20"/>
        </w:rPr>
        <w:t>Results:</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Data were extracted for the 10 years between 1 January 2005 and 31 December 2014. The number of UK units contributing to neonIN increased each year between 2005 and 2014: 5, 8, 9, 12, 14, 16, 20, 24, 29 and 30.  </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For 1,568 of the 2,667 isolates (59%), data were available on antimicrobial susceptibilities.  Of these, 328 isolates </w:t>
      </w:r>
      <w:r w:rsidR="005311D8" w:rsidRPr="00A841E7">
        <w:rPr>
          <w:rFonts w:ascii="Times New Roman" w:hAnsi="Times New Roman" w:cs="Times New Roman"/>
          <w:sz w:val="20"/>
          <w:szCs w:val="20"/>
        </w:rPr>
        <w:t>represented</w:t>
      </w:r>
      <w:r w:rsidRPr="00A841E7">
        <w:rPr>
          <w:rFonts w:ascii="Times New Roman" w:hAnsi="Times New Roman" w:cs="Times New Roman"/>
          <w:sz w:val="20"/>
          <w:szCs w:val="20"/>
        </w:rPr>
        <w:t xml:space="preserve"> EOS (62% of all EOS isolates) and 1,240 LOS (58% of all LOS isolates). </w:t>
      </w:r>
      <w:r w:rsidR="00B25D75" w:rsidRPr="00A841E7">
        <w:rPr>
          <w:rFonts w:ascii="Times New Roman" w:hAnsi="Times New Roman" w:cs="Times New Roman"/>
          <w:sz w:val="20"/>
          <w:szCs w:val="20"/>
        </w:rPr>
        <w:t xml:space="preserve">The vast </w:t>
      </w:r>
      <w:r w:rsidR="00BD5024" w:rsidRPr="00A841E7">
        <w:rPr>
          <w:rFonts w:ascii="Times New Roman" w:hAnsi="Times New Roman" w:cs="Times New Roman"/>
          <w:sz w:val="20"/>
          <w:szCs w:val="20"/>
        </w:rPr>
        <w:t>majority of</w:t>
      </w:r>
      <w:r w:rsidR="00B25D75" w:rsidRPr="00A841E7">
        <w:rPr>
          <w:rFonts w:ascii="Times New Roman" w:hAnsi="Times New Roman" w:cs="Times New Roman"/>
          <w:sz w:val="20"/>
          <w:szCs w:val="20"/>
        </w:rPr>
        <w:t xml:space="preserve"> recorded isolates were blood cultures (91.3%), with urine</w:t>
      </w:r>
      <w:r w:rsidR="00BD5024" w:rsidRPr="00A841E7">
        <w:rPr>
          <w:rFonts w:ascii="Times New Roman" w:hAnsi="Times New Roman" w:cs="Times New Roman"/>
          <w:sz w:val="20"/>
          <w:szCs w:val="20"/>
        </w:rPr>
        <w:t xml:space="preserve"> obtained via sterile technique</w:t>
      </w:r>
      <w:r w:rsidR="00B25D75" w:rsidRPr="00A841E7">
        <w:rPr>
          <w:rFonts w:ascii="Times New Roman" w:hAnsi="Times New Roman" w:cs="Times New Roman"/>
          <w:sz w:val="20"/>
          <w:szCs w:val="20"/>
        </w:rPr>
        <w:t xml:space="preserve"> (4.9%) and CSF (2.2%) the other common sources. </w:t>
      </w:r>
      <w:r w:rsidRPr="00A841E7">
        <w:rPr>
          <w:rFonts w:ascii="Times New Roman" w:hAnsi="Times New Roman" w:cs="Times New Roman"/>
          <w:sz w:val="20"/>
          <w:szCs w:val="20"/>
        </w:rPr>
        <w:t>There were no significant differences between isolates for which susceptibility data were available and those for which they were not with regard to patient demographics (birth-weight, gestational age or post-natal age) (p&gt;0.3 for all). Isolates were statistically significantly more likely to have a complete susceptibility profile if they were from blood cultures (Supplementary Table 1).</w:t>
      </w:r>
    </w:p>
    <w:p w:rsidR="007B010D" w:rsidRPr="00A841E7" w:rsidRDefault="007B010D" w:rsidP="005658EF">
      <w:pPr>
        <w:spacing w:line="480" w:lineRule="auto"/>
        <w:rPr>
          <w:rFonts w:ascii="Times New Roman" w:hAnsi="Times New Roman" w:cs="Times New Roman"/>
          <w:sz w:val="20"/>
          <w:szCs w:val="20"/>
          <w:u w:val="single"/>
        </w:rPr>
      </w:pPr>
      <w:r w:rsidRPr="00A841E7">
        <w:rPr>
          <w:rFonts w:ascii="Times New Roman" w:hAnsi="Times New Roman" w:cs="Times New Roman"/>
          <w:sz w:val="20"/>
          <w:szCs w:val="20"/>
          <w:u w:val="single"/>
        </w:rPr>
        <w:t>Antibiotic susceptibilities to empiric combinations</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The majority of EOS pathogens (&gt;92%) were susceptible to the four empiric antimicrobial combinations tested.  Cefotaxime monotherapy demonstrated </w:t>
      </w:r>
      <w:r w:rsidR="009B2940" w:rsidRPr="00A841E7">
        <w:rPr>
          <w:rFonts w:ascii="Times New Roman" w:hAnsi="Times New Roman" w:cs="Times New Roman"/>
          <w:sz w:val="20"/>
          <w:szCs w:val="20"/>
        </w:rPr>
        <w:t>a</w:t>
      </w:r>
      <w:r w:rsidRPr="00A841E7">
        <w:rPr>
          <w:rFonts w:ascii="Times New Roman" w:hAnsi="Times New Roman" w:cs="Times New Roman"/>
          <w:sz w:val="20"/>
          <w:szCs w:val="20"/>
        </w:rPr>
        <w:t xml:space="preserve"> </w:t>
      </w:r>
      <w:r w:rsidR="009B2940" w:rsidRPr="00A841E7">
        <w:rPr>
          <w:rFonts w:ascii="Times New Roman" w:hAnsi="Times New Roman" w:cs="Times New Roman"/>
          <w:sz w:val="20"/>
          <w:szCs w:val="20"/>
        </w:rPr>
        <w:t>susceptibility rate of 98%</w:t>
      </w:r>
      <w:r w:rsidR="005311D8" w:rsidRPr="00A841E7">
        <w:rPr>
          <w:rFonts w:ascii="Times New Roman" w:hAnsi="Times New Roman" w:cs="Times New Roman"/>
          <w:sz w:val="20"/>
          <w:szCs w:val="20"/>
        </w:rPr>
        <w:t>.</w:t>
      </w:r>
      <w:r w:rsidRPr="00A841E7">
        <w:rPr>
          <w:rFonts w:ascii="Times New Roman" w:hAnsi="Times New Roman" w:cs="Times New Roman"/>
          <w:sz w:val="20"/>
          <w:szCs w:val="20"/>
        </w:rPr>
        <w:t xml:space="preserve"> </w:t>
      </w:r>
      <w:r w:rsidR="005311D8" w:rsidRPr="00A841E7">
        <w:rPr>
          <w:rFonts w:ascii="Times New Roman" w:hAnsi="Times New Roman" w:cs="Times New Roman"/>
          <w:sz w:val="20"/>
          <w:szCs w:val="20"/>
        </w:rPr>
        <w:t>The BNFC combinations of</w:t>
      </w:r>
      <w:r w:rsidRPr="00A841E7">
        <w:rPr>
          <w:rFonts w:ascii="Times New Roman" w:hAnsi="Times New Roman" w:cs="Times New Roman"/>
          <w:sz w:val="20"/>
          <w:szCs w:val="20"/>
        </w:rPr>
        <w:t xml:space="preserve">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w:t>
      </w:r>
      <w:r w:rsidR="00BD5024" w:rsidRPr="00A841E7">
        <w:rPr>
          <w:rFonts w:ascii="Times New Roman" w:hAnsi="Times New Roman" w:cs="Times New Roman"/>
          <w:sz w:val="20"/>
          <w:szCs w:val="20"/>
        </w:rPr>
        <w:t>n or amoxicillin and cefotaxime</w:t>
      </w:r>
      <w:r w:rsidRPr="00A841E7">
        <w:rPr>
          <w:rFonts w:ascii="Times New Roman" w:hAnsi="Times New Roman" w:cs="Times New Roman"/>
          <w:sz w:val="20"/>
          <w:szCs w:val="20"/>
        </w:rPr>
        <w:t xml:space="preserve"> demonstrated rates of 93% and 95% respectively (Table 2</w:t>
      </w:r>
      <w:r w:rsidR="00596D57" w:rsidRPr="00A841E7">
        <w:rPr>
          <w:rFonts w:ascii="Times New Roman" w:hAnsi="Times New Roman" w:cs="Times New Roman"/>
          <w:sz w:val="20"/>
          <w:szCs w:val="20"/>
        </w:rPr>
        <w:t>)</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There was a statistically significant difference in the coverage of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gentamicin in comparison to cefotaxime monotherapy (p=0.037), but not for the other combinations. </w:t>
      </w:r>
    </w:p>
    <w:p w:rsidR="007B010D" w:rsidRPr="00A841E7" w:rsidRDefault="007B010D" w:rsidP="005658EF">
      <w:pPr>
        <w:spacing w:line="480" w:lineRule="auto"/>
        <w:rPr>
          <w:rFonts w:ascii="Times New Roman" w:hAnsi="Times New Roman" w:cs="Times New Roman"/>
          <w:noProof/>
          <w:sz w:val="20"/>
          <w:szCs w:val="20"/>
        </w:rPr>
      </w:pPr>
      <w:r w:rsidRPr="00A841E7">
        <w:rPr>
          <w:rFonts w:ascii="Times New Roman" w:hAnsi="Times New Roman" w:cs="Times New Roman"/>
          <w:sz w:val="20"/>
          <w:szCs w:val="20"/>
        </w:rPr>
        <w:t xml:space="preserve">LOS pathogens demonstrated higher levels of resistance than EOS pathogens.  A combination of vancomycin and cefotaxime </w:t>
      </w:r>
      <w:r w:rsidR="009B2940" w:rsidRPr="00A841E7">
        <w:rPr>
          <w:rFonts w:ascii="Times New Roman" w:hAnsi="Times New Roman" w:cs="Times New Roman"/>
          <w:sz w:val="20"/>
          <w:szCs w:val="20"/>
        </w:rPr>
        <w:t xml:space="preserve">displayed coverage </w:t>
      </w:r>
      <w:r w:rsidR="00BD5024" w:rsidRPr="00A841E7">
        <w:rPr>
          <w:rFonts w:ascii="Times New Roman" w:hAnsi="Times New Roman" w:cs="Times New Roman"/>
          <w:sz w:val="20"/>
          <w:szCs w:val="20"/>
        </w:rPr>
        <w:t>of</w:t>
      </w:r>
      <w:r w:rsidR="009B2940" w:rsidRPr="00A841E7">
        <w:rPr>
          <w:rFonts w:ascii="Times New Roman" w:hAnsi="Times New Roman" w:cs="Times New Roman"/>
          <w:sz w:val="20"/>
          <w:szCs w:val="20"/>
        </w:rPr>
        <w:t xml:space="preserve"> </w:t>
      </w:r>
      <w:r w:rsidRPr="00A841E7">
        <w:rPr>
          <w:rFonts w:ascii="Times New Roman" w:hAnsi="Times New Roman" w:cs="Times New Roman"/>
          <w:sz w:val="20"/>
          <w:szCs w:val="20"/>
        </w:rPr>
        <w:t>92%</w:t>
      </w:r>
      <w:r w:rsidR="009B2940" w:rsidRPr="00A841E7">
        <w:rPr>
          <w:rFonts w:ascii="Times New Roman" w:hAnsi="Times New Roman" w:cs="Times New Roman"/>
          <w:sz w:val="20"/>
          <w:szCs w:val="20"/>
        </w:rPr>
        <w:t xml:space="preserve"> of isolates tested while </w:t>
      </w:r>
      <w:proofErr w:type="spellStart"/>
      <w:r w:rsidR="009B2940" w:rsidRPr="00A841E7">
        <w:rPr>
          <w:rFonts w:ascii="Times New Roman" w:hAnsi="Times New Roman" w:cs="Times New Roman"/>
          <w:sz w:val="20"/>
          <w:szCs w:val="20"/>
        </w:rPr>
        <w:t>flucloxacillin</w:t>
      </w:r>
      <w:proofErr w:type="spellEnd"/>
      <w:r w:rsidR="009B2940" w:rsidRPr="00A841E7">
        <w:rPr>
          <w:rFonts w:ascii="Times New Roman" w:hAnsi="Times New Roman" w:cs="Times New Roman"/>
          <w:sz w:val="20"/>
          <w:szCs w:val="20"/>
        </w:rPr>
        <w:t xml:space="preserve"> and gentamicin covered </w:t>
      </w:r>
      <w:r w:rsidRPr="00A841E7">
        <w:rPr>
          <w:rFonts w:ascii="Times New Roman" w:hAnsi="Times New Roman" w:cs="Times New Roman"/>
          <w:sz w:val="20"/>
          <w:szCs w:val="20"/>
        </w:rPr>
        <w:t>89% (Table 2)</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Amoxicillin and clavulanic acid provided significantly lower coverage than any other tested combination (p&lt;0.02</w:t>
      </w:r>
      <w:r w:rsidR="00BD5024" w:rsidRPr="00A841E7">
        <w:rPr>
          <w:rFonts w:ascii="Times New Roman" w:hAnsi="Times New Roman" w:cs="Times New Roman"/>
          <w:sz w:val="20"/>
          <w:szCs w:val="20"/>
        </w:rPr>
        <w:t xml:space="preserve">), while </w:t>
      </w:r>
      <w:proofErr w:type="spellStart"/>
      <w:r w:rsidR="00BD5024" w:rsidRPr="00A841E7">
        <w:rPr>
          <w:rFonts w:ascii="Times New Roman" w:hAnsi="Times New Roman" w:cs="Times New Roman"/>
          <w:sz w:val="20"/>
          <w:szCs w:val="20"/>
        </w:rPr>
        <w:t>f</w:t>
      </w:r>
      <w:r w:rsidRPr="00A841E7">
        <w:rPr>
          <w:rFonts w:ascii="Times New Roman" w:hAnsi="Times New Roman" w:cs="Times New Roman"/>
          <w:sz w:val="20"/>
          <w:szCs w:val="20"/>
        </w:rPr>
        <w:t>lucloxacillin</w:t>
      </w:r>
      <w:proofErr w:type="spellEnd"/>
      <w:r w:rsidRPr="00A841E7">
        <w:rPr>
          <w:rFonts w:ascii="Times New Roman" w:hAnsi="Times New Roman" w:cs="Times New Roman"/>
          <w:sz w:val="20"/>
          <w:szCs w:val="20"/>
        </w:rPr>
        <w:t xml:space="preserve"> and gentamicin was notably more effective as a combination for LOS than amoxicillin and cefotaxime </w:t>
      </w:r>
      <w:r w:rsidR="00596D57" w:rsidRPr="00A841E7">
        <w:rPr>
          <w:rFonts w:ascii="Times New Roman" w:hAnsi="Times New Roman" w:cs="Times New Roman"/>
          <w:sz w:val="20"/>
          <w:szCs w:val="20"/>
        </w:rPr>
        <w:t>(p=0.014).</w:t>
      </w:r>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p>
    <w:p w:rsidR="009B2940" w:rsidRPr="00A841E7" w:rsidRDefault="009B2940" w:rsidP="009B2940">
      <w:pPr>
        <w:spacing w:line="480" w:lineRule="auto"/>
        <w:jc w:val="center"/>
        <w:rPr>
          <w:rFonts w:ascii="Times New Roman" w:hAnsi="Times New Roman" w:cs="Times New Roman"/>
          <w:i/>
          <w:sz w:val="20"/>
          <w:szCs w:val="20"/>
        </w:rPr>
      </w:pPr>
      <w:r w:rsidRPr="00A841E7">
        <w:rPr>
          <w:rFonts w:ascii="Times New Roman" w:hAnsi="Times New Roman" w:cs="Times New Roman"/>
          <w:i/>
          <w:sz w:val="20"/>
          <w:szCs w:val="20"/>
        </w:rPr>
        <w:t>Insert Table 2 Here</w:t>
      </w:r>
    </w:p>
    <w:p w:rsidR="00BD5024" w:rsidRPr="00A841E7" w:rsidRDefault="00BD5024" w:rsidP="005E7D52">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A comparison of the susceptibilities for isolates from the time-periods 2005-2010 and 2011-2014 is shown in Supplementary Table </w:t>
      </w:r>
      <w:r w:rsidR="00234C41" w:rsidRPr="00A841E7">
        <w:rPr>
          <w:rFonts w:ascii="Times New Roman" w:hAnsi="Times New Roman" w:cs="Times New Roman"/>
          <w:sz w:val="20"/>
          <w:szCs w:val="20"/>
        </w:rPr>
        <w:t>2</w:t>
      </w:r>
      <w:r w:rsidRPr="00A841E7">
        <w:rPr>
          <w:rFonts w:ascii="Times New Roman" w:hAnsi="Times New Roman" w:cs="Times New Roman"/>
          <w:sz w:val="20"/>
          <w:szCs w:val="20"/>
        </w:rPr>
        <w:t>. This demonstrated statistically significant differences for several combinations, mostly reflecting an increase in susceptibility over time.</w:t>
      </w:r>
    </w:p>
    <w:p w:rsidR="005E7D52" w:rsidRPr="00A841E7" w:rsidRDefault="007B010D" w:rsidP="005E7D52">
      <w:pPr>
        <w:spacing w:line="480" w:lineRule="auto"/>
        <w:rPr>
          <w:rFonts w:ascii="Times New Roman" w:hAnsi="Times New Roman" w:cs="Times New Roman"/>
          <w:sz w:val="20"/>
          <w:szCs w:val="20"/>
        </w:rPr>
      </w:pPr>
      <w:proofErr w:type="spellStart"/>
      <w:r w:rsidRPr="00A841E7">
        <w:rPr>
          <w:rFonts w:ascii="Times New Roman" w:hAnsi="Times New Roman" w:cs="Times New Roman"/>
          <w:sz w:val="20"/>
          <w:szCs w:val="20"/>
        </w:rPr>
        <w:t>Carbapenem</w:t>
      </w:r>
      <w:proofErr w:type="spellEnd"/>
      <w:r w:rsidRPr="00A841E7">
        <w:rPr>
          <w:rFonts w:ascii="Times New Roman" w:hAnsi="Times New Roman" w:cs="Times New Roman"/>
          <w:sz w:val="20"/>
          <w:szCs w:val="20"/>
        </w:rPr>
        <w:t xml:space="preserve"> resistance was rare amongst the tested isolates with 97% demonstrating susceptibility. </w:t>
      </w:r>
      <w:r w:rsidRPr="00A841E7">
        <w:rPr>
          <w:rFonts w:ascii="Times New Roman" w:hAnsi="Times New Roman" w:cs="Times New Roman"/>
          <w:i/>
          <w:sz w:val="20"/>
          <w:szCs w:val="20"/>
        </w:rPr>
        <w:t>Acinetobacter</w:t>
      </w:r>
      <w:r w:rsidRPr="00A841E7">
        <w:rPr>
          <w:rFonts w:ascii="Times New Roman" w:hAnsi="Times New Roman" w:cs="Times New Roman"/>
          <w:sz w:val="20"/>
          <w:szCs w:val="20"/>
        </w:rPr>
        <w:t xml:space="preserve"> sp.</w:t>
      </w:r>
      <w:r w:rsidRPr="00A841E7">
        <w:rPr>
          <w:rFonts w:ascii="Times New Roman" w:hAnsi="Times New Roman" w:cs="Times New Roman"/>
          <w:i/>
          <w:sz w:val="20"/>
          <w:szCs w:val="20"/>
        </w:rPr>
        <w:t>, Pseudomonas</w:t>
      </w:r>
      <w:r w:rsidRPr="00A841E7">
        <w:rPr>
          <w:rFonts w:ascii="Times New Roman" w:hAnsi="Times New Roman" w:cs="Times New Roman"/>
          <w:sz w:val="20"/>
          <w:szCs w:val="20"/>
        </w:rPr>
        <w:t xml:space="preserve"> sp. and </w:t>
      </w:r>
      <w:proofErr w:type="spellStart"/>
      <w:r w:rsidRPr="00A841E7">
        <w:rPr>
          <w:rFonts w:ascii="Times New Roman" w:hAnsi="Times New Roman" w:cs="Times New Roman"/>
          <w:i/>
          <w:sz w:val="20"/>
          <w:szCs w:val="20"/>
        </w:rPr>
        <w:t>Serratia</w:t>
      </w:r>
      <w:proofErr w:type="spellEnd"/>
      <w:r w:rsidRPr="00A841E7">
        <w:rPr>
          <w:rFonts w:ascii="Times New Roman" w:hAnsi="Times New Roman" w:cs="Times New Roman"/>
          <w:sz w:val="20"/>
          <w:szCs w:val="20"/>
        </w:rPr>
        <w:t xml:space="preserve"> sp. exhibited the highest levels of resistance (40%, 5% and 3% respectively</w:t>
      </w:r>
      <w:r w:rsidR="005311D8" w:rsidRPr="00A841E7">
        <w:rPr>
          <w:rFonts w:ascii="Times New Roman" w:hAnsi="Times New Roman" w:cs="Times New Roman"/>
          <w:sz w:val="20"/>
          <w:szCs w:val="20"/>
        </w:rPr>
        <w:t>)</w:t>
      </w:r>
      <w:r w:rsidRPr="00A841E7">
        <w:rPr>
          <w:rFonts w:ascii="Times New Roman" w:hAnsi="Times New Roman" w:cs="Times New Roman"/>
          <w:sz w:val="20"/>
          <w:szCs w:val="20"/>
        </w:rPr>
        <w:t>.</w:t>
      </w:r>
      <w:r w:rsidR="005E7D52" w:rsidRPr="00A841E7">
        <w:rPr>
          <w:rFonts w:ascii="Times New Roman" w:hAnsi="Times New Roman" w:cs="Times New Roman"/>
          <w:sz w:val="20"/>
          <w:szCs w:val="20"/>
        </w:rPr>
        <w:t xml:space="preserve"> </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Extending the definition of EOS from 48h to 72h made no difference to the estimates of coverage for </w:t>
      </w:r>
      <w:r w:rsidR="005311D8" w:rsidRPr="00A841E7">
        <w:rPr>
          <w:rFonts w:ascii="Times New Roman" w:hAnsi="Times New Roman" w:cs="Times New Roman"/>
          <w:sz w:val="20"/>
          <w:szCs w:val="20"/>
        </w:rPr>
        <w:t>any</w:t>
      </w:r>
      <w:r w:rsidRPr="00A841E7">
        <w:rPr>
          <w:rFonts w:ascii="Times New Roman" w:hAnsi="Times New Roman" w:cs="Times New Roman"/>
          <w:sz w:val="20"/>
          <w:szCs w:val="20"/>
        </w:rPr>
        <w:t xml:space="preserve"> </w:t>
      </w:r>
      <w:r w:rsidR="005311D8" w:rsidRPr="00A841E7">
        <w:rPr>
          <w:rFonts w:ascii="Times New Roman" w:hAnsi="Times New Roman" w:cs="Times New Roman"/>
          <w:sz w:val="20"/>
          <w:szCs w:val="20"/>
        </w:rPr>
        <w:t>combination</w:t>
      </w:r>
      <w:r w:rsidRPr="00A841E7">
        <w:rPr>
          <w:rFonts w:ascii="Times New Roman" w:hAnsi="Times New Roman" w:cs="Times New Roman"/>
          <w:sz w:val="20"/>
          <w:szCs w:val="20"/>
        </w:rPr>
        <w:t xml:space="preserve"> tested, largely because so few isolates were obtained</w:t>
      </w:r>
      <w:r w:rsidR="000B56F2" w:rsidRPr="00A841E7">
        <w:rPr>
          <w:rFonts w:ascii="Times New Roman" w:hAnsi="Times New Roman" w:cs="Times New Roman"/>
          <w:sz w:val="20"/>
          <w:szCs w:val="20"/>
        </w:rPr>
        <w:t xml:space="preserve"> on day </w:t>
      </w:r>
      <w:r w:rsidR="00BF7FE2" w:rsidRPr="00A841E7">
        <w:rPr>
          <w:rFonts w:ascii="Times New Roman" w:hAnsi="Times New Roman" w:cs="Times New Roman"/>
          <w:sz w:val="20"/>
          <w:szCs w:val="20"/>
        </w:rPr>
        <w:t>three</w:t>
      </w:r>
      <w:r w:rsidR="000B56F2" w:rsidRPr="00A841E7">
        <w:rPr>
          <w:rFonts w:ascii="Times New Roman" w:hAnsi="Times New Roman" w:cs="Times New Roman"/>
          <w:sz w:val="20"/>
          <w:szCs w:val="20"/>
        </w:rPr>
        <w:t xml:space="preserve"> (Supplementary Table 3</w:t>
      </w:r>
      <w:r w:rsidRPr="00A841E7">
        <w:rPr>
          <w:rFonts w:ascii="Times New Roman" w:hAnsi="Times New Roman" w:cs="Times New Roman"/>
          <w:sz w:val="20"/>
          <w:szCs w:val="20"/>
        </w:rPr>
        <w:t>).</w:t>
      </w:r>
    </w:p>
    <w:p w:rsidR="007B010D" w:rsidRPr="00A841E7" w:rsidRDefault="007B010D" w:rsidP="005658EF">
      <w:pPr>
        <w:spacing w:line="480" w:lineRule="auto"/>
        <w:rPr>
          <w:rFonts w:ascii="Times New Roman" w:hAnsi="Times New Roman" w:cs="Times New Roman"/>
          <w:sz w:val="20"/>
          <w:szCs w:val="20"/>
          <w:u w:val="single"/>
        </w:rPr>
      </w:pPr>
      <w:r w:rsidRPr="00A841E7">
        <w:rPr>
          <w:rFonts w:ascii="Times New Roman" w:hAnsi="Times New Roman" w:cs="Times New Roman"/>
          <w:sz w:val="20"/>
          <w:szCs w:val="20"/>
          <w:u w:val="single"/>
        </w:rPr>
        <w:t>Antimicrobial susceptibilities of specific pathogens</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Both BNFC-recommended EOS combinations had complete coverage of the most commonly isolated pathogen Group B Streptococcus (GBS)</w:t>
      </w:r>
      <w:r w:rsidR="009B2940" w:rsidRPr="00A841E7">
        <w:rPr>
          <w:rFonts w:ascii="Times New Roman" w:hAnsi="Times New Roman" w:cs="Times New Roman"/>
          <w:sz w:val="20"/>
          <w:szCs w:val="20"/>
        </w:rPr>
        <w:t>. T</w:t>
      </w:r>
      <w:r w:rsidRPr="00A841E7">
        <w:rPr>
          <w:rFonts w:ascii="Times New Roman" w:hAnsi="Times New Roman" w:cs="Times New Roman"/>
          <w:sz w:val="20"/>
          <w:szCs w:val="20"/>
        </w:rPr>
        <w:t>he</w:t>
      </w:r>
      <w:r w:rsidR="009B2940" w:rsidRPr="00A841E7">
        <w:rPr>
          <w:rFonts w:ascii="Times New Roman" w:hAnsi="Times New Roman" w:cs="Times New Roman"/>
          <w:sz w:val="20"/>
          <w:szCs w:val="20"/>
        </w:rPr>
        <w:t>re was no significant difference in the coverage of the</w:t>
      </w:r>
      <w:r w:rsidRPr="00A841E7">
        <w:rPr>
          <w:rFonts w:ascii="Times New Roman" w:hAnsi="Times New Roman" w:cs="Times New Roman"/>
          <w:sz w:val="20"/>
          <w:szCs w:val="20"/>
        </w:rPr>
        <w:t xml:space="preserve"> 2</w:t>
      </w:r>
      <w:r w:rsidRPr="00A841E7">
        <w:rPr>
          <w:rFonts w:ascii="Times New Roman" w:hAnsi="Times New Roman" w:cs="Times New Roman"/>
          <w:sz w:val="20"/>
          <w:szCs w:val="20"/>
          <w:vertAlign w:val="superscript"/>
        </w:rPr>
        <w:t>nd</w:t>
      </w:r>
      <w:r w:rsidRPr="00A841E7">
        <w:rPr>
          <w:rFonts w:ascii="Times New Roman" w:hAnsi="Times New Roman" w:cs="Times New Roman"/>
          <w:sz w:val="20"/>
          <w:szCs w:val="20"/>
        </w:rPr>
        <w:t xml:space="preserve"> most prevalent EOS pathogen, </w:t>
      </w:r>
      <w:r w:rsidRPr="00A841E7">
        <w:rPr>
          <w:rFonts w:ascii="Times New Roman" w:hAnsi="Times New Roman" w:cs="Times New Roman"/>
          <w:i/>
          <w:sz w:val="20"/>
          <w:szCs w:val="20"/>
        </w:rPr>
        <w:t xml:space="preserve">E.coli, </w:t>
      </w:r>
      <w:r w:rsidR="009B2940" w:rsidRPr="00A841E7">
        <w:rPr>
          <w:rFonts w:ascii="Times New Roman" w:hAnsi="Times New Roman" w:cs="Times New Roman"/>
          <w:sz w:val="20"/>
          <w:szCs w:val="20"/>
        </w:rPr>
        <w:t xml:space="preserve">between </w:t>
      </w:r>
      <w:r w:rsidRPr="00A841E7">
        <w:rPr>
          <w:rFonts w:ascii="Times New Roman" w:hAnsi="Times New Roman" w:cs="Times New Roman"/>
          <w:sz w:val="20"/>
          <w:szCs w:val="20"/>
        </w:rPr>
        <w:t xml:space="preserve">penicillin and gentamicin (94%) </w:t>
      </w:r>
      <w:r w:rsidR="009B2940" w:rsidRPr="00A841E7">
        <w:rPr>
          <w:rFonts w:ascii="Times New Roman" w:hAnsi="Times New Roman" w:cs="Times New Roman"/>
          <w:sz w:val="20"/>
          <w:szCs w:val="20"/>
        </w:rPr>
        <w:t>and</w:t>
      </w:r>
      <w:r w:rsidRPr="00A841E7">
        <w:rPr>
          <w:rFonts w:ascii="Times New Roman" w:hAnsi="Times New Roman" w:cs="Times New Roman"/>
          <w:sz w:val="20"/>
          <w:szCs w:val="20"/>
        </w:rPr>
        <w:t xml:space="preserve"> am</w:t>
      </w:r>
      <w:r w:rsidR="009B2940" w:rsidRPr="00A841E7">
        <w:rPr>
          <w:rFonts w:ascii="Times New Roman" w:hAnsi="Times New Roman" w:cs="Times New Roman"/>
          <w:sz w:val="20"/>
          <w:szCs w:val="20"/>
        </w:rPr>
        <w:t xml:space="preserve">oxicillin and cefotaxime (90%) </w:t>
      </w:r>
      <w:r w:rsidRPr="00A841E7">
        <w:rPr>
          <w:rFonts w:ascii="Times New Roman" w:hAnsi="Times New Roman" w:cs="Times New Roman"/>
          <w:sz w:val="20"/>
          <w:szCs w:val="20"/>
        </w:rPr>
        <w:t xml:space="preserve">(p=0.53). </w:t>
      </w:r>
      <w:proofErr w:type="spellStart"/>
      <w:r w:rsidRPr="00A841E7">
        <w:rPr>
          <w:rFonts w:ascii="Times New Roman" w:hAnsi="Times New Roman" w:cs="Times New Roman"/>
          <w:sz w:val="20"/>
          <w:szCs w:val="20"/>
        </w:rPr>
        <w:t>Enterococcal</w:t>
      </w:r>
      <w:proofErr w:type="spellEnd"/>
      <w:r w:rsidRPr="00A841E7">
        <w:rPr>
          <w:rFonts w:ascii="Times New Roman" w:hAnsi="Times New Roman" w:cs="Times New Roman"/>
          <w:sz w:val="20"/>
          <w:szCs w:val="20"/>
        </w:rPr>
        <w:t xml:space="preserve"> species had high susceptibility to an amoxicillin and cefotaxime combination (93%)</w:t>
      </w:r>
      <w:r w:rsidR="009B2940" w:rsidRPr="00A841E7">
        <w:rPr>
          <w:rFonts w:ascii="Times New Roman" w:hAnsi="Times New Roman" w:cs="Times New Roman"/>
          <w:sz w:val="20"/>
          <w:szCs w:val="20"/>
        </w:rPr>
        <w:t>.</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Amongst common LOS pathogens,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exhibited susceptibility in approximately 85% of cases to both BNFC-recommended combinations</w:t>
      </w:r>
      <w:r w:rsidR="009B2940" w:rsidRPr="00A841E7">
        <w:rPr>
          <w:rFonts w:ascii="Times New Roman" w:hAnsi="Times New Roman" w:cs="Times New Roman"/>
          <w:sz w:val="20"/>
          <w:szCs w:val="20"/>
        </w:rPr>
        <w:t xml:space="preserve">. </w:t>
      </w:r>
      <w:r w:rsidRPr="00A841E7">
        <w:rPr>
          <w:rFonts w:ascii="Times New Roman" w:hAnsi="Times New Roman" w:cs="Times New Roman"/>
          <w:i/>
          <w:sz w:val="20"/>
          <w:szCs w:val="20"/>
        </w:rPr>
        <w:t xml:space="preserve">Enterococcus </w:t>
      </w:r>
      <w:r w:rsidRPr="00A841E7">
        <w:rPr>
          <w:rFonts w:ascii="Times New Roman" w:hAnsi="Times New Roman" w:cs="Times New Roman"/>
          <w:sz w:val="20"/>
          <w:szCs w:val="20"/>
        </w:rPr>
        <w:t xml:space="preserve">sp. demonstrated high susceptibility rates to amoxicillin and cefotaxime (95%) </w:t>
      </w:r>
      <w:r w:rsidR="00DC147C" w:rsidRPr="00A841E7">
        <w:rPr>
          <w:rFonts w:ascii="Times New Roman" w:hAnsi="Times New Roman" w:cs="Times New Roman"/>
          <w:sz w:val="20"/>
          <w:szCs w:val="20"/>
        </w:rPr>
        <w:t>while t</w:t>
      </w:r>
      <w:r w:rsidRPr="00A841E7">
        <w:rPr>
          <w:rFonts w:ascii="Times New Roman" w:hAnsi="Times New Roman" w:cs="Times New Roman"/>
          <w:sz w:val="20"/>
          <w:szCs w:val="20"/>
        </w:rPr>
        <w:t xml:space="preserve">he contrary was true of </w:t>
      </w:r>
      <w:r w:rsidRPr="00A841E7">
        <w:rPr>
          <w:rFonts w:ascii="Times New Roman" w:hAnsi="Times New Roman" w:cs="Times New Roman"/>
          <w:i/>
          <w:sz w:val="20"/>
          <w:szCs w:val="20"/>
        </w:rPr>
        <w:t>Enterobacter</w:t>
      </w:r>
      <w:r w:rsidRPr="00A841E7">
        <w:rPr>
          <w:rFonts w:ascii="Times New Roman" w:hAnsi="Times New Roman" w:cs="Times New Roman"/>
          <w:sz w:val="20"/>
          <w:szCs w:val="20"/>
        </w:rPr>
        <w:t xml:space="preserve"> </w:t>
      </w:r>
      <w:r w:rsidR="00BD5024" w:rsidRPr="00A841E7">
        <w:rPr>
          <w:rFonts w:ascii="Times New Roman" w:hAnsi="Times New Roman" w:cs="Times New Roman"/>
          <w:sz w:val="20"/>
          <w:szCs w:val="20"/>
        </w:rPr>
        <w:t xml:space="preserve">sp. </w:t>
      </w:r>
      <w:r w:rsidR="007C49B0" w:rsidRPr="00A841E7">
        <w:rPr>
          <w:rFonts w:ascii="Times New Roman" w:hAnsi="Times New Roman" w:cs="Times New Roman"/>
          <w:sz w:val="20"/>
          <w:szCs w:val="20"/>
        </w:rPr>
        <w:t xml:space="preserve">which were significantly more likely to be susceptible to </w:t>
      </w:r>
      <w:proofErr w:type="spellStart"/>
      <w:r w:rsidR="007C49B0" w:rsidRPr="00A841E7">
        <w:rPr>
          <w:rFonts w:ascii="Times New Roman" w:hAnsi="Times New Roman" w:cs="Times New Roman"/>
          <w:sz w:val="20"/>
          <w:szCs w:val="20"/>
        </w:rPr>
        <w:t>flucloxacillin</w:t>
      </w:r>
      <w:proofErr w:type="spellEnd"/>
      <w:r w:rsidR="007C49B0" w:rsidRPr="00A841E7">
        <w:rPr>
          <w:rFonts w:ascii="Times New Roman" w:hAnsi="Times New Roman" w:cs="Times New Roman"/>
          <w:sz w:val="20"/>
          <w:szCs w:val="20"/>
        </w:rPr>
        <w:t xml:space="preserve"> and gentamicin (59% vs. 82%, p&lt;0.001). A</w:t>
      </w:r>
      <w:r w:rsidRPr="00A841E7">
        <w:rPr>
          <w:rFonts w:ascii="Times New Roman" w:hAnsi="Times New Roman" w:cs="Times New Roman"/>
          <w:sz w:val="20"/>
          <w:szCs w:val="20"/>
        </w:rPr>
        <w:t xml:space="preserve">t least 88% </w:t>
      </w:r>
      <w:r w:rsidR="007C49B0" w:rsidRPr="00A841E7">
        <w:rPr>
          <w:rFonts w:ascii="Times New Roman" w:hAnsi="Times New Roman" w:cs="Times New Roman"/>
          <w:sz w:val="20"/>
          <w:szCs w:val="20"/>
        </w:rPr>
        <w:t>o</w:t>
      </w:r>
      <w:r w:rsidRPr="00A841E7">
        <w:rPr>
          <w:rFonts w:ascii="Times New Roman" w:hAnsi="Times New Roman" w:cs="Times New Roman"/>
          <w:sz w:val="20"/>
          <w:szCs w:val="20"/>
        </w:rPr>
        <w:t xml:space="preserve">f </w:t>
      </w:r>
      <w:proofErr w:type="spellStart"/>
      <w:r w:rsidRPr="00A841E7">
        <w:rPr>
          <w:rFonts w:ascii="Times New Roman" w:hAnsi="Times New Roman" w:cs="Times New Roman"/>
          <w:i/>
          <w:sz w:val="20"/>
          <w:szCs w:val="20"/>
        </w:rPr>
        <w:t>Klebsiella</w:t>
      </w:r>
      <w:proofErr w:type="spellEnd"/>
      <w:r w:rsidRPr="00A841E7">
        <w:rPr>
          <w:rFonts w:ascii="Times New Roman" w:hAnsi="Times New Roman" w:cs="Times New Roman"/>
          <w:sz w:val="20"/>
          <w:szCs w:val="20"/>
        </w:rPr>
        <w:t xml:space="preserve"> species were susceptible to </w:t>
      </w:r>
      <w:r w:rsidR="005311D8" w:rsidRPr="00A841E7">
        <w:rPr>
          <w:rFonts w:ascii="Times New Roman" w:hAnsi="Times New Roman" w:cs="Times New Roman"/>
          <w:sz w:val="20"/>
          <w:szCs w:val="20"/>
        </w:rPr>
        <w:t>each of</w:t>
      </w:r>
      <w:r w:rsidR="007C49B0" w:rsidRPr="00A841E7">
        <w:rPr>
          <w:rFonts w:ascii="Times New Roman" w:hAnsi="Times New Roman" w:cs="Times New Roman"/>
          <w:sz w:val="20"/>
          <w:szCs w:val="20"/>
        </w:rPr>
        <w:t xml:space="preserve"> </w:t>
      </w:r>
      <w:r w:rsidRPr="00A841E7">
        <w:rPr>
          <w:rFonts w:ascii="Times New Roman" w:hAnsi="Times New Roman" w:cs="Times New Roman"/>
          <w:sz w:val="20"/>
          <w:szCs w:val="20"/>
        </w:rPr>
        <w:t>these combinations</w:t>
      </w:r>
      <w:r w:rsidR="005311D8" w:rsidRPr="00A841E7">
        <w:rPr>
          <w:rFonts w:ascii="Times New Roman" w:hAnsi="Times New Roman" w:cs="Times New Roman"/>
          <w:sz w:val="20"/>
          <w:szCs w:val="20"/>
        </w:rPr>
        <w:t xml:space="preserve"> (</w:t>
      </w:r>
      <w:r w:rsidRPr="00A841E7">
        <w:rPr>
          <w:rFonts w:ascii="Times New Roman" w:hAnsi="Times New Roman" w:cs="Times New Roman"/>
          <w:sz w:val="20"/>
          <w:szCs w:val="20"/>
        </w:rPr>
        <w:t>Table 3</w:t>
      </w:r>
      <w:r w:rsidR="005311D8" w:rsidRPr="00A841E7">
        <w:rPr>
          <w:rFonts w:ascii="Times New Roman" w:hAnsi="Times New Roman" w:cs="Times New Roman"/>
          <w:sz w:val="20"/>
          <w:szCs w:val="20"/>
        </w:rPr>
        <w:t>)</w:t>
      </w:r>
      <w:r w:rsidRPr="00A841E7">
        <w:rPr>
          <w:rFonts w:ascii="Times New Roman" w:hAnsi="Times New Roman" w:cs="Times New Roman"/>
          <w:sz w:val="20"/>
          <w:szCs w:val="20"/>
        </w:rPr>
        <w:t>.</w:t>
      </w:r>
      <w:r w:rsidR="00600B44" w:rsidRPr="00A841E7">
        <w:rPr>
          <w:rFonts w:ascii="Times New Roman" w:hAnsi="Times New Roman" w:cs="Times New Roman"/>
          <w:sz w:val="20"/>
          <w:szCs w:val="20"/>
        </w:rPr>
        <w:t xml:space="preserve"> The most prevalent individual organisms displaying resistance to common antimicrobial combinations are demonstrated in Supplementary Table </w:t>
      </w:r>
      <w:r w:rsidR="00234C41" w:rsidRPr="00A841E7">
        <w:rPr>
          <w:rFonts w:ascii="Times New Roman" w:hAnsi="Times New Roman" w:cs="Times New Roman"/>
          <w:sz w:val="20"/>
          <w:szCs w:val="20"/>
        </w:rPr>
        <w:t>4</w:t>
      </w:r>
      <w:r w:rsidR="00600B44" w:rsidRPr="00A841E7">
        <w:rPr>
          <w:rFonts w:ascii="Times New Roman" w:hAnsi="Times New Roman" w:cs="Times New Roman"/>
          <w:sz w:val="20"/>
          <w:szCs w:val="20"/>
        </w:rPr>
        <w:t>.</w:t>
      </w:r>
    </w:p>
    <w:p w:rsidR="007B010D"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Insert Table 3 Here</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The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associated with EOS were different to those associated with LOS. Of a total of 393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isolates reported, 258 (66%) had a complete antimicrobial susceptibility profile.  Isolates causing LOS had </w:t>
      </w:r>
      <w:r w:rsidR="005311D8" w:rsidRPr="00A841E7">
        <w:rPr>
          <w:rFonts w:ascii="Times New Roman" w:hAnsi="Times New Roman" w:cs="Times New Roman"/>
          <w:sz w:val="20"/>
          <w:szCs w:val="20"/>
        </w:rPr>
        <w:t xml:space="preserve">significantly </w:t>
      </w:r>
      <w:r w:rsidRPr="00A841E7">
        <w:rPr>
          <w:rFonts w:ascii="Times New Roman" w:hAnsi="Times New Roman" w:cs="Times New Roman"/>
          <w:sz w:val="20"/>
          <w:szCs w:val="20"/>
        </w:rPr>
        <w:t>higher rates of antimicrobial resistance to a number of agents including amoxicillin and clavulanic acid (29% vs. 16% for EOS), cefotaxime (16% vs. 6%), ciprofloxacin (22% vs. 3%) and gentamicin (15% vs. 5%).  High levels of resistance to amoxicillin/ampicillin (58-63%) were observed for both EOS and LOS</w:t>
      </w:r>
      <w:r w:rsidR="003A678F" w:rsidRPr="00A841E7">
        <w:rPr>
          <w:rFonts w:ascii="Times New Roman" w:hAnsi="Times New Roman" w:cs="Times New Roman"/>
          <w:sz w:val="20"/>
          <w:szCs w:val="20"/>
        </w:rPr>
        <w:t xml:space="preserve"> isolates</w:t>
      </w:r>
      <w:r w:rsidRPr="00A841E7">
        <w:rPr>
          <w:rFonts w:ascii="Times New Roman" w:hAnsi="Times New Roman" w:cs="Times New Roman"/>
          <w:sz w:val="20"/>
          <w:szCs w:val="20"/>
        </w:rPr>
        <w:t xml:space="preserve">. LOS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isolates were also 2.5 times more likely to demonstrate multi-drug resistance (i.e. to at least three tested classes of antimicrobial agents), than those causing EOS (p=0.039).</w:t>
      </w:r>
    </w:p>
    <w:p w:rsidR="007B010D" w:rsidRPr="00A841E7" w:rsidRDefault="007B010D" w:rsidP="005658EF">
      <w:pPr>
        <w:spacing w:line="480" w:lineRule="auto"/>
        <w:rPr>
          <w:rFonts w:ascii="Times New Roman" w:hAnsi="Times New Roman" w:cs="Times New Roman"/>
          <w:sz w:val="20"/>
          <w:szCs w:val="20"/>
          <w:u w:val="single"/>
        </w:rPr>
      </w:pPr>
      <w:r w:rsidRPr="00A841E7">
        <w:rPr>
          <w:rFonts w:ascii="Times New Roman" w:hAnsi="Times New Roman" w:cs="Times New Roman"/>
          <w:sz w:val="20"/>
          <w:szCs w:val="20"/>
          <w:u w:val="single"/>
        </w:rPr>
        <w:t>Antimicrobial susceptibilities by birthweight and gestation at birth</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The two BNFC-recommended EOS combinations demonstrated high rates of coverage of EOS pathogens for infants &gt;1500 grams and &gt;32 weeks gestation (93-99%)</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12)</w:t>
      </w:r>
      <w:r w:rsidRPr="00A841E7">
        <w:rPr>
          <w:rFonts w:ascii="Times New Roman" w:hAnsi="Times New Roman" w:cs="Times New Roman"/>
          <w:sz w:val="20"/>
          <w:szCs w:val="20"/>
        </w:rPr>
        <w:t xml:space="preserve"> However, these combinations demonstrated</w:t>
      </w:r>
      <w:r w:rsidR="005311D8" w:rsidRPr="00A841E7">
        <w:rPr>
          <w:rFonts w:ascii="Times New Roman" w:hAnsi="Times New Roman" w:cs="Times New Roman"/>
          <w:sz w:val="20"/>
          <w:szCs w:val="20"/>
        </w:rPr>
        <w:t xml:space="preserve"> significantly</w:t>
      </w:r>
      <w:r w:rsidRPr="00A841E7">
        <w:rPr>
          <w:rFonts w:ascii="Times New Roman" w:hAnsi="Times New Roman" w:cs="Times New Roman"/>
          <w:sz w:val="20"/>
          <w:szCs w:val="20"/>
        </w:rPr>
        <w:t xml:space="preserve"> lower coverage rates in VLBW infants (&lt;1500g) and the extremely preterm (&lt;32 weeks) (79-92%, p=0.013 and 0.003 respectively).  An amoxicillin and gentamicin combination demonstrated </w:t>
      </w:r>
      <w:r w:rsidR="003A678F" w:rsidRPr="00A841E7">
        <w:rPr>
          <w:rFonts w:ascii="Times New Roman" w:hAnsi="Times New Roman" w:cs="Times New Roman"/>
          <w:sz w:val="20"/>
          <w:szCs w:val="20"/>
        </w:rPr>
        <w:t>comparable</w:t>
      </w:r>
      <w:r w:rsidRPr="00A841E7">
        <w:rPr>
          <w:rFonts w:ascii="Times New Roman" w:hAnsi="Times New Roman" w:cs="Times New Roman"/>
          <w:sz w:val="20"/>
          <w:szCs w:val="20"/>
        </w:rPr>
        <w:t xml:space="preserve"> levels of coverage </w:t>
      </w:r>
      <w:r w:rsidR="003A678F" w:rsidRPr="00A841E7">
        <w:rPr>
          <w:rFonts w:ascii="Times New Roman" w:hAnsi="Times New Roman" w:cs="Times New Roman"/>
          <w:sz w:val="20"/>
          <w:szCs w:val="20"/>
        </w:rPr>
        <w:t>to</w:t>
      </w:r>
      <w:r w:rsidRPr="00A841E7">
        <w:rPr>
          <w:rFonts w:ascii="Times New Roman" w:hAnsi="Times New Roman" w:cs="Times New Roman"/>
          <w:sz w:val="20"/>
          <w:szCs w:val="20"/>
        </w:rPr>
        <w:t xml:space="preserve"> the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gentamicin combination for all birthweight and gestational age categories</w:t>
      </w:r>
      <w:r w:rsidR="00234C41" w:rsidRPr="00A841E7">
        <w:rPr>
          <w:rFonts w:ascii="Times New Roman" w:hAnsi="Times New Roman" w:cs="Times New Roman"/>
          <w:sz w:val="20"/>
          <w:szCs w:val="20"/>
        </w:rPr>
        <w:t xml:space="preserve">, with </w:t>
      </w:r>
      <w:r w:rsidR="003A678F" w:rsidRPr="00A841E7">
        <w:rPr>
          <w:rFonts w:ascii="Times New Roman" w:hAnsi="Times New Roman" w:cs="Times New Roman"/>
          <w:sz w:val="20"/>
          <w:szCs w:val="20"/>
        </w:rPr>
        <w:t xml:space="preserve">a non-significant trend towards </w:t>
      </w:r>
      <w:r w:rsidR="00C26FD4" w:rsidRPr="00A841E7">
        <w:rPr>
          <w:rFonts w:ascii="Times New Roman" w:hAnsi="Times New Roman" w:cs="Times New Roman"/>
          <w:sz w:val="20"/>
          <w:szCs w:val="20"/>
        </w:rPr>
        <w:t>improved</w:t>
      </w:r>
      <w:r w:rsidR="003A678F" w:rsidRPr="00A841E7">
        <w:rPr>
          <w:rFonts w:ascii="Times New Roman" w:hAnsi="Times New Roman" w:cs="Times New Roman"/>
          <w:sz w:val="20"/>
          <w:szCs w:val="20"/>
        </w:rPr>
        <w:t xml:space="preserve"> coverage i</w:t>
      </w:r>
      <w:r w:rsidRPr="00A841E7">
        <w:rPr>
          <w:rFonts w:ascii="Times New Roman" w:hAnsi="Times New Roman" w:cs="Times New Roman"/>
          <w:sz w:val="20"/>
          <w:szCs w:val="20"/>
        </w:rPr>
        <w:t xml:space="preserve">n infants &lt;1500g and &lt;32 weeks </w:t>
      </w:r>
      <w:r w:rsidR="00C26FD4" w:rsidRPr="00A841E7">
        <w:rPr>
          <w:rFonts w:ascii="Times New Roman" w:hAnsi="Times New Roman" w:cs="Times New Roman"/>
          <w:sz w:val="20"/>
          <w:szCs w:val="20"/>
        </w:rPr>
        <w:t xml:space="preserve">(93% vs. 86%) </w:t>
      </w:r>
      <w:r w:rsidR="003A678F" w:rsidRPr="00A841E7">
        <w:rPr>
          <w:rFonts w:ascii="Times New Roman" w:hAnsi="Times New Roman" w:cs="Times New Roman"/>
          <w:sz w:val="20"/>
          <w:szCs w:val="20"/>
        </w:rPr>
        <w:t>(p=0.211</w:t>
      </w:r>
      <w:r w:rsidRPr="00A841E7">
        <w:rPr>
          <w:rFonts w:ascii="Times New Roman" w:hAnsi="Times New Roman" w:cs="Times New Roman"/>
          <w:sz w:val="20"/>
          <w:szCs w:val="20"/>
        </w:rPr>
        <w:t>)</w:t>
      </w:r>
      <w:r w:rsidR="003A678F" w:rsidRPr="00A841E7">
        <w:rPr>
          <w:rFonts w:ascii="Times New Roman" w:hAnsi="Times New Roman" w:cs="Times New Roman"/>
          <w:sz w:val="20"/>
          <w:szCs w:val="20"/>
        </w:rPr>
        <w:t xml:space="preserve"> (Supplementary Table 5)</w:t>
      </w:r>
      <w:r w:rsidRPr="00A841E7">
        <w:rPr>
          <w:rFonts w:ascii="Times New Roman" w:hAnsi="Times New Roman" w:cs="Times New Roman"/>
          <w:sz w:val="20"/>
          <w:szCs w:val="20"/>
        </w:rPr>
        <w:t xml:space="preserve">. </w:t>
      </w:r>
    </w:p>
    <w:p w:rsidR="007B010D" w:rsidRPr="00A841E7" w:rsidRDefault="007B010D" w:rsidP="005658EF">
      <w:pPr>
        <w:spacing w:line="480" w:lineRule="auto"/>
        <w:rPr>
          <w:rFonts w:ascii="Times New Roman" w:hAnsi="Times New Roman" w:cs="Times New Roman"/>
          <w:noProof/>
          <w:sz w:val="20"/>
          <w:szCs w:val="20"/>
        </w:rPr>
      </w:pPr>
      <w:r w:rsidRPr="00A841E7">
        <w:rPr>
          <w:rFonts w:ascii="Times New Roman" w:hAnsi="Times New Roman" w:cs="Times New Roman"/>
          <w:sz w:val="20"/>
          <w:szCs w:val="20"/>
        </w:rPr>
        <w:t>For LOS, similar rates of coverage were seen across all birthweight and gestational age categories for each combination. For flucloxacillin and gentamicin, for example, the rates of coverage varied only from 86-92% (</w:t>
      </w:r>
      <w:r w:rsidR="00F04862" w:rsidRPr="00A841E7">
        <w:rPr>
          <w:rFonts w:ascii="Times New Roman" w:hAnsi="Times New Roman" w:cs="Times New Roman"/>
          <w:sz w:val="20"/>
          <w:szCs w:val="20"/>
        </w:rPr>
        <w:t xml:space="preserve">Supplementary </w:t>
      </w:r>
      <w:r w:rsidR="000B56F2" w:rsidRPr="00A841E7">
        <w:rPr>
          <w:rFonts w:ascii="Times New Roman" w:hAnsi="Times New Roman" w:cs="Times New Roman"/>
          <w:sz w:val="20"/>
          <w:szCs w:val="20"/>
        </w:rPr>
        <w:t>Table 5</w:t>
      </w:r>
      <w:r w:rsidRPr="00A841E7">
        <w:rPr>
          <w:rFonts w:ascii="Times New Roman" w:hAnsi="Times New Roman" w:cs="Times New Roman"/>
          <w:sz w:val="20"/>
          <w:szCs w:val="20"/>
        </w:rPr>
        <w:t>)</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p>
    <w:p w:rsidR="007B010D" w:rsidRPr="00A841E7" w:rsidRDefault="007B010D" w:rsidP="005658EF">
      <w:pPr>
        <w:spacing w:line="480" w:lineRule="auto"/>
        <w:rPr>
          <w:rFonts w:ascii="Times New Roman" w:hAnsi="Times New Roman" w:cs="Times New Roman"/>
          <w:b/>
          <w:sz w:val="20"/>
          <w:szCs w:val="20"/>
          <w:u w:val="single"/>
        </w:rPr>
      </w:pPr>
      <w:r w:rsidRPr="00A841E7">
        <w:rPr>
          <w:rFonts w:ascii="Times New Roman" w:hAnsi="Times New Roman" w:cs="Times New Roman"/>
          <w:b/>
          <w:sz w:val="20"/>
          <w:szCs w:val="20"/>
          <w:u w:val="single"/>
        </w:rPr>
        <w:t>Discussion</w:t>
      </w:r>
    </w:p>
    <w:p w:rsidR="007B010D" w:rsidRPr="00A841E7" w:rsidRDefault="007B010D" w:rsidP="005658EF">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EOS pathogens showed high rates of susceptibility to all four of the tested empiric antimicrobial combinations.  The levels of susceptibility to the two BNFC </w:t>
      </w:r>
      <w:r w:rsidR="005E0434"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recommended combinations were approximately 95%; similar to those r</w:t>
      </w:r>
      <w:r w:rsidR="00596D57" w:rsidRPr="00A841E7">
        <w:rPr>
          <w:rFonts w:ascii="Times New Roman" w:hAnsi="Times New Roman" w:cs="Times New Roman"/>
          <w:sz w:val="20"/>
          <w:szCs w:val="20"/>
        </w:rPr>
        <w:t>eported in previous UK studies.</w:t>
      </w:r>
      <w:r w:rsidR="005E0434"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7</w:t>
      </w:r>
      <w:r w:rsidR="00596D57" w:rsidRPr="00A841E7">
        <w:rPr>
          <w:rFonts w:ascii="Times New Roman" w:hAnsi="Times New Roman" w:cs="Times New Roman"/>
          <w:noProof/>
          <w:sz w:val="20"/>
          <w:szCs w:val="20"/>
        </w:rPr>
        <w:t>,</w:t>
      </w:r>
      <w:r w:rsidR="005E0434"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8</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Although </w:t>
      </w:r>
      <w:r w:rsidR="00F16F78" w:rsidRPr="00A841E7">
        <w:rPr>
          <w:rFonts w:ascii="Times New Roman" w:hAnsi="Times New Roman" w:cs="Times New Roman"/>
          <w:sz w:val="20"/>
          <w:szCs w:val="20"/>
        </w:rPr>
        <w:t>high</w:t>
      </w:r>
      <w:r w:rsidRPr="00A841E7">
        <w:rPr>
          <w:rFonts w:ascii="Times New Roman" w:hAnsi="Times New Roman" w:cs="Times New Roman"/>
          <w:sz w:val="20"/>
          <w:szCs w:val="20"/>
        </w:rPr>
        <w:t xml:space="preserve"> rates of susceptibility (95-98%) were reported for the cefotaxime-based regimens, due to the broadness of their spectrum of coverage and propensity to induce resistance there should be considerable reluctance to consider these as first-line empiric therapies</w:t>
      </w:r>
      <w:r w:rsidR="00596D57" w:rsidRPr="00A841E7">
        <w:rPr>
          <w:rFonts w:ascii="Times New Roman" w:hAnsi="Times New Roman" w:cs="Times New Roman"/>
          <w:sz w:val="20"/>
          <w:szCs w:val="20"/>
        </w:rPr>
        <w:t xml:space="preserve"> for EOS.</w:t>
      </w:r>
      <w:r w:rsidR="00596D57"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6</w:t>
      </w:r>
      <w:r w:rsidR="00596D57" w:rsidRPr="00A841E7">
        <w:rPr>
          <w:rFonts w:ascii="Times New Roman" w:hAnsi="Times New Roman" w:cs="Times New Roman"/>
          <w:noProof/>
          <w:sz w:val="20"/>
          <w:szCs w:val="20"/>
        </w:rPr>
        <w:t>,</w:t>
      </w:r>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9</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The only exception to this would be the use of cefotaxime and amoxicillin in the setting of possible bacterial meningitis, due to the better CSF penetration associated with t</w:t>
      </w:r>
      <w:r w:rsidR="00596D57" w:rsidRPr="00A841E7">
        <w:rPr>
          <w:rFonts w:ascii="Times New Roman" w:hAnsi="Times New Roman" w:cs="Times New Roman"/>
          <w:sz w:val="20"/>
          <w:szCs w:val="20"/>
        </w:rPr>
        <w:t xml:space="preserve">hird generation </w:t>
      </w:r>
      <w:proofErr w:type="spellStart"/>
      <w:r w:rsidR="00596D57" w:rsidRPr="00A841E7">
        <w:rPr>
          <w:rFonts w:ascii="Times New Roman" w:hAnsi="Times New Roman" w:cs="Times New Roman"/>
          <w:sz w:val="20"/>
          <w:szCs w:val="20"/>
        </w:rPr>
        <w:t>cephalosporins</w:t>
      </w:r>
      <w:proofErr w:type="spellEnd"/>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r w:rsidR="00BF7FE2" w:rsidRPr="00A841E7">
        <w:rPr>
          <w:rFonts w:ascii="Times New Roman" w:hAnsi="Times New Roman" w:cs="Times New Roman"/>
          <w:noProof/>
          <w:sz w:val="20"/>
          <w:szCs w:val="20"/>
        </w:rPr>
        <w:t>20</w:t>
      </w:r>
      <w:r w:rsidRPr="00A841E7">
        <w:rPr>
          <w:rFonts w:ascii="Times New Roman" w:hAnsi="Times New Roman" w:cs="Times New Roman"/>
          <w:noProof/>
          <w:sz w:val="20"/>
          <w:szCs w:val="20"/>
        </w:rPr>
        <w:t>)</w:t>
      </w:r>
      <w:r w:rsidR="00F16F78" w:rsidRPr="00A841E7">
        <w:rPr>
          <w:rFonts w:ascii="Times New Roman" w:hAnsi="Times New Roman" w:cs="Times New Roman"/>
          <w:noProof/>
          <w:sz w:val="20"/>
          <w:szCs w:val="20"/>
        </w:rPr>
        <w:t xml:space="preserve"> It is also important to note that the absence of coverage of </w:t>
      </w:r>
      <w:r w:rsidR="00F16F78" w:rsidRPr="00A841E7">
        <w:rPr>
          <w:rFonts w:ascii="Times New Roman" w:hAnsi="Times New Roman" w:cs="Times New Roman"/>
          <w:i/>
          <w:noProof/>
          <w:sz w:val="20"/>
          <w:szCs w:val="20"/>
        </w:rPr>
        <w:t>Listeria</w:t>
      </w:r>
      <w:r w:rsidR="00F16F78" w:rsidRPr="00A841E7">
        <w:rPr>
          <w:rFonts w:ascii="Times New Roman" w:hAnsi="Times New Roman" w:cs="Times New Roman"/>
          <w:noProof/>
          <w:sz w:val="20"/>
          <w:szCs w:val="20"/>
        </w:rPr>
        <w:t xml:space="preserve"> and enterococcal infection</w:t>
      </w:r>
      <w:r w:rsidR="00C26FD4" w:rsidRPr="00A841E7">
        <w:rPr>
          <w:rFonts w:ascii="Times New Roman" w:hAnsi="Times New Roman" w:cs="Times New Roman"/>
          <w:noProof/>
          <w:sz w:val="20"/>
          <w:szCs w:val="20"/>
        </w:rPr>
        <w:t>s</w:t>
      </w:r>
      <w:r w:rsidR="00F16F78" w:rsidRPr="00A841E7">
        <w:rPr>
          <w:rFonts w:ascii="Times New Roman" w:hAnsi="Times New Roman" w:cs="Times New Roman"/>
          <w:noProof/>
          <w:sz w:val="20"/>
          <w:szCs w:val="20"/>
        </w:rPr>
        <w:t xml:space="preserve"> further reduces the </w:t>
      </w:r>
      <w:r w:rsidR="00C26FD4" w:rsidRPr="00A841E7">
        <w:rPr>
          <w:rFonts w:ascii="Times New Roman" w:hAnsi="Times New Roman" w:cs="Times New Roman"/>
          <w:noProof/>
          <w:sz w:val="20"/>
          <w:szCs w:val="20"/>
        </w:rPr>
        <w:t>effectiveness</w:t>
      </w:r>
      <w:r w:rsidR="00F16F78" w:rsidRPr="00A841E7">
        <w:rPr>
          <w:rFonts w:ascii="Times New Roman" w:hAnsi="Times New Roman" w:cs="Times New Roman"/>
          <w:noProof/>
          <w:sz w:val="20"/>
          <w:szCs w:val="20"/>
        </w:rPr>
        <w:t xml:space="preserve"> of cefotaxime monotherapy as a first-line choice for EOS.</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Whilst a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gentamicin combination had satisfactory coverage of EOS pathogens in infants &gt;32 weeks or &gt;1500g, our results suggest that for infants of lower gestation and birthweight, the slightly broader spectrum combination of amoxicillin and gentamicin </w:t>
      </w:r>
      <w:r w:rsidR="00F16F78" w:rsidRPr="00A841E7">
        <w:rPr>
          <w:rFonts w:ascii="Times New Roman" w:hAnsi="Times New Roman" w:cs="Times New Roman"/>
          <w:sz w:val="20"/>
          <w:szCs w:val="20"/>
        </w:rPr>
        <w:t>provide</w:t>
      </w:r>
      <w:r w:rsidR="00234C41" w:rsidRPr="00A841E7">
        <w:rPr>
          <w:rFonts w:ascii="Times New Roman" w:hAnsi="Times New Roman" w:cs="Times New Roman"/>
          <w:sz w:val="20"/>
          <w:szCs w:val="20"/>
        </w:rPr>
        <w:t>s</w:t>
      </w:r>
      <w:r w:rsidRPr="00A841E7">
        <w:rPr>
          <w:rFonts w:ascii="Times New Roman" w:hAnsi="Times New Roman" w:cs="Times New Roman"/>
          <w:sz w:val="20"/>
          <w:szCs w:val="20"/>
        </w:rPr>
        <w:t xml:space="preserve"> </w:t>
      </w:r>
      <w:r w:rsidR="00C26FD4" w:rsidRPr="00A841E7">
        <w:rPr>
          <w:rFonts w:ascii="Times New Roman" w:hAnsi="Times New Roman" w:cs="Times New Roman"/>
          <w:sz w:val="20"/>
          <w:szCs w:val="20"/>
        </w:rPr>
        <w:t>at least equivalent</w:t>
      </w:r>
      <w:r w:rsidRPr="00A841E7">
        <w:rPr>
          <w:rFonts w:ascii="Times New Roman" w:hAnsi="Times New Roman" w:cs="Times New Roman"/>
          <w:sz w:val="20"/>
          <w:szCs w:val="20"/>
        </w:rPr>
        <w:t xml:space="preserve"> coverage</w:t>
      </w:r>
      <w:r w:rsidR="00234C41" w:rsidRPr="00A841E7">
        <w:rPr>
          <w:rFonts w:ascii="Times New Roman" w:hAnsi="Times New Roman" w:cs="Times New Roman"/>
          <w:sz w:val="20"/>
          <w:szCs w:val="20"/>
        </w:rPr>
        <w:t>,</w:t>
      </w:r>
      <w:r w:rsidR="00C26FD4" w:rsidRPr="00A841E7">
        <w:rPr>
          <w:rFonts w:ascii="Times New Roman" w:hAnsi="Times New Roman" w:cs="Times New Roman"/>
          <w:sz w:val="20"/>
          <w:szCs w:val="20"/>
        </w:rPr>
        <w:t xml:space="preserve"> with a trend towards increase</w:t>
      </w:r>
      <w:r w:rsidR="00234C41" w:rsidRPr="00A841E7">
        <w:rPr>
          <w:rFonts w:ascii="Times New Roman" w:hAnsi="Times New Roman" w:cs="Times New Roman"/>
          <w:sz w:val="20"/>
          <w:szCs w:val="20"/>
        </w:rPr>
        <w:t>d</w:t>
      </w:r>
      <w:r w:rsidR="00C26FD4" w:rsidRPr="00A841E7">
        <w:rPr>
          <w:rFonts w:ascii="Times New Roman" w:hAnsi="Times New Roman" w:cs="Times New Roman"/>
          <w:sz w:val="20"/>
          <w:szCs w:val="20"/>
        </w:rPr>
        <w:t xml:space="preserve"> efficacy</w:t>
      </w:r>
      <w:r w:rsidR="00234C41" w:rsidRPr="00A841E7">
        <w:rPr>
          <w:rFonts w:ascii="Times New Roman" w:hAnsi="Times New Roman" w:cs="Times New Roman"/>
          <w:sz w:val="20"/>
          <w:szCs w:val="20"/>
        </w:rPr>
        <w:t>,</w:t>
      </w:r>
      <w:r w:rsidR="00C26FD4" w:rsidRPr="00A841E7">
        <w:rPr>
          <w:rFonts w:ascii="Times New Roman" w:hAnsi="Times New Roman" w:cs="Times New Roman"/>
          <w:sz w:val="20"/>
          <w:szCs w:val="20"/>
        </w:rPr>
        <w:t xml:space="preserve"> in this population of neonates</w:t>
      </w:r>
      <w:r w:rsidRPr="00A841E7">
        <w:rPr>
          <w:rFonts w:ascii="Times New Roman" w:hAnsi="Times New Roman" w:cs="Times New Roman"/>
          <w:sz w:val="20"/>
          <w:szCs w:val="20"/>
        </w:rPr>
        <w:t xml:space="preserve"> (93% vs. 86%</w:t>
      </w:r>
      <w:r w:rsidR="00C26FD4" w:rsidRPr="00A841E7">
        <w:rPr>
          <w:rFonts w:ascii="Times New Roman" w:hAnsi="Times New Roman" w:cs="Times New Roman"/>
          <w:sz w:val="20"/>
          <w:szCs w:val="20"/>
        </w:rPr>
        <w:t xml:space="preserve">, p=0.211). </w:t>
      </w:r>
      <w:r w:rsidRPr="00A841E7">
        <w:rPr>
          <w:rFonts w:ascii="Times New Roman" w:hAnsi="Times New Roman" w:cs="Times New Roman"/>
          <w:sz w:val="20"/>
          <w:szCs w:val="20"/>
        </w:rPr>
        <w:t>This</w:t>
      </w:r>
      <w:r w:rsidR="00C26FD4" w:rsidRPr="00A841E7">
        <w:rPr>
          <w:rFonts w:ascii="Times New Roman" w:hAnsi="Times New Roman" w:cs="Times New Roman"/>
          <w:sz w:val="20"/>
          <w:szCs w:val="20"/>
        </w:rPr>
        <w:t xml:space="preserve"> raises the possibility that </w:t>
      </w:r>
      <w:r w:rsidR="00B03874" w:rsidRPr="00A841E7">
        <w:rPr>
          <w:rFonts w:ascii="Times New Roman" w:hAnsi="Times New Roman" w:cs="Times New Roman"/>
          <w:sz w:val="20"/>
          <w:szCs w:val="20"/>
        </w:rPr>
        <w:t>the above</w:t>
      </w:r>
      <w:r w:rsidR="00C26FD4" w:rsidRPr="00A841E7">
        <w:rPr>
          <w:rFonts w:ascii="Times New Roman" w:hAnsi="Times New Roman" w:cs="Times New Roman"/>
          <w:sz w:val="20"/>
          <w:szCs w:val="20"/>
        </w:rPr>
        <w:t xml:space="preserve"> combination</w:t>
      </w:r>
      <w:r w:rsidRPr="00A841E7">
        <w:rPr>
          <w:rFonts w:ascii="Times New Roman" w:hAnsi="Times New Roman" w:cs="Times New Roman"/>
          <w:sz w:val="20"/>
          <w:szCs w:val="20"/>
        </w:rPr>
        <w:t xml:space="preserve"> </w:t>
      </w:r>
      <w:r w:rsidR="00234C41" w:rsidRPr="00A841E7">
        <w:rPr>
          <w:rFonts w:ascii="Times New Roman" w:hAnsi="Times New Roman" w:cs="Times New Roman"/>
          <w:sz w:val="20"/>
          <w:szCs w:val="20"/>
        </w:rPr>
        <w:t>should</w:t>
      </w:r>
      <w:r w:rsidR="00C26FD4" w:rsidRPr="00A841E7">
        <w:rPr>
          <w:rFonts w:ascii="Times New Roman" w:hAnsi="Times New Roman" w:cs="Times New Roman"/>
          <w:sz w:val="20"/>
          <w:szCs w:val="20"/>
        </w:rPr>
        <w:t xml:space="preserve"> be the preferred option for</w:t>
      </w:r>
      <w:r w:rsidRPr="00A841E7">
        <w:rPr>
          <w:rFonts w:ascii="Times New Roman" w:hAnsi="Times New Roman" w:cs="Times New Roman"/>
          <w:sz w:val="20"/>
          <w:szCs w:val="20"/>
        </w:rPr>
        <w:t xml:space="preserve"> first-line therapy in these more premature infants. </w:t>
      </w:r>
      <w:r w:rsidR="00B03874" w:rsidRPr="00A841E7">
        <w:rPr>
          <w:rFonts w:ascii="Times New Roman" w:hAnsi="Times New Roman" w:cs="Times New Roman"/>
          <w:sz w:val="20"/>
          <w:szCs w:val="20"/>
        </w:rPr>
        <w:t>A</w:t>
      </w:r>
      <w:r w:rsidRPr="00A841E7">
        <w:rPr>
          <w:rFonts w:ascii="Times New Roman" w:hAnsi="Times New Roman" w:cs="Times New Roman"/>
          <w:sz w:val="20"/>
          <w:szCs w:val="20"/>
        </w:rPr>
        <w:t>s the majority of babies receiving empiric antibiotics for EOS are born at term</w:t>
      </w:r>
      <w:r w:rsidR="00B03874" w:rsidRPr="00A841E7">
        <w:rPr>
          <w:rFonts w:ascii="Times New Roman" w:hAnsi="Times New Roman" w:cs="Times New Roman"/>
          <w:sz w:val="20"/>
          <w:szCs w:val="20"/>
        </w:rPr>
        <w:t>,</w:t>
      </w:r>
      <w:r w:rsidRPr="00A841E7">
        <w:rPr>
          <w:rFonts w:ascii="Times New Roman" w:hAnsi="Times New Roman" w:cs="Times New Roman"/>
          <w:sz w:val="20"/>
          <w:szCs w:val="20"/>
        </w:rPr>
        <w:t xml:space="preserve"> it is </w:t>
      </w:r>
      <w:r w:rsidR="00B03874" w:rsidRPr="00A841E7">
        <w:rPr>
          <w:rFonts w:ascii="Times New Roman" w:hAnsi="Times New Roman" w:cs="Times New Roman"/>
          <w:sz w:val="20"/>
          <w:szCs w:val="20"/>
        </w:rPr>
        <w:t xml:space="preserve">however </w:t>
      </w:r>
      <w:r w:rsidRPr="00A841E7">
        <w:rPr>
          <w:rFonts w:ascii="Times New Roman" w:hAnsi="Times New Roman" w:cs="Times New Roman"/>
          <w:sz w:val="20"/>
          <w:szCs w:val="20"/>
        </w:rPr>
        <w:t>important to continue to use the more narrow spectrum combination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gentamicin), in this group, especially given the coverage </w:t>
      </w:r>
      <w:r w:rsidR="00AC4221" w:rsidRPr="00A841E7">
        <w:rPr>
          <w:rFonts w:ascii="Times New Roman" w:hAnsi="Times New Roman" w:cs="Times New Roman"/>
          <w:sz w:val="20"/>
          <w:szCs w:val="20"/>
        </w:rPr>
        <w:t xml:space="preserve">or pathogens </w:t>
      </w:r>
      <w:r w:rsidRPr="00A841E7">
        <w:rPr>
          <w:rFonts w:ascii="Times New Roman" w:hAnsi="Times New Roman" w:cs="Times New Roman"/>
          <w:sz w:val="20"/>
          <w:szCs w:val="20"/>
        </w:rPr>
        <w:t>is</w:t>
      </w:r>
      <w:r w:rsidR="00AC4221" w:rsidRPr="00A841E7">
        <w:rPr>
          <w:rFonts w:ascii="Times New Roman" w:hAnsi="Times New Roman" w:cs="Times New Roman"/>
          <w:sz w:val="20"/>
          <w:szCs w:val="20"/>
        </w:rPr>
        <w:t xml:space="preserve"> very</w:t>
      </w:r>
      <w:r w:rsidRPr="00A841E7">
        <w:rPr>
          <w:rFonts w:ascii="Times New Roman" w:hAnsi="Times New Roman" w:cs="Times New Roman"/>
          <w:sz w:val="20"/>
          <w:szCs w:val="20"/>
        </w:rPr>
        <w:t xml:space="preserve"> high.</w:t>
      </w:r>
    </w:p>
    <w:p w:rsidR="00D316A1"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As would be expected, because LOS pathogens are generally </w:t>
      </w:r>
      <w:proofErr w:type="spellStart"/>
      <w:r w:rsidRPr="00A841E7">
        <w:rPr>
          <w:rFonts w:ascii="Times New Roman" w:hAnsi="Times New Roman" w:cs="Times New Roman"/>
          <w:sz w:val="20"/>
          <w:szCs w:val="20"/>
        </w:rPr>
        <w:t>nosocomially</w:t>
      </w:r>
      <w:proofErr w:type="spellEnd"/>
      <w:r w:rsidRPr="00A841E7">
        <w:rPr>
          <w:rFonts w:ascii="Times New Roman" w:hAnsi="Times New Roman" w:cs="Times New Roman"/>
          <w:sz w:val="20"/>
          <w:szCs w:val="20"/>
        </w:rPr>
        <w:t xml:space="preserve"> acquired, the LOS pathogens demonstrated higher levels of resistance than EOS pathogens.  The very broad-spectrum combination of vancomycin and cefotaxime displayed coverage </w:t>
      </w:r>
      <w:r w:rsidR="0091001F" w:rsidRPr="00A841E7">
        <w:rPr>
          <w:rFonts w:ascii="Times New Roman" w:hAnsi="Times New Roman" w:cs="Times New Roman"/>
          <w:sz w:val="20"/>
          <w:szCs w:val="20"/>
        </w:rPr>
        <w:t xml:space="preserve">of </w:t>
      </w:r>
      <w:r w:rsidR="00753806" w:rsidRPr="00A841E7">
        <w:rPr>
          <w:rFonts w:ascii="Times New Roman" w:hAnsi="Times New Roman" w:cs="Times New Roman"/>
          <w:sz w:val="20"/>
          <w:szCs w:val="20"/>
        </w:rPr>
        <w:t xml:space="preserve">over </w:t>
      </w:r>
      <w:r w:rsidRPr="00A841E7">
        <w:rPr>
          <w:rFonts w:ascii="Times New Roman" w:hAnsi="Times New Roman" w:cs="Times New Roman"/>
          <w:sz w:val="20"/>
          <w:szCs w:val="20"/>
        </w:rPr>
        <w:t>91%</w:t>
      </w:r>
      <w:r w:rsidR="005311D8" w:rsidRPr="00A841E7">
        <w:rPr>
          <w:rFonts w:ascii="Times New Roman" w:hAnsi="Times New Roman" w:cs="Times New Roman"/>
          <w:sz w:val="20"/>
          <w:szCs w:val="20"/>
        </w:rPr>
        <w:t xml:space="preserve"> of</w:t>
      </w:r>
      <w:r w:rsidR="00753806" w:rsidRPr="00A841E7">
        <w:rPr>
          <w:rFonts w:ascii="Times New Roman" w:hAnsi="Times New Roman" w:cs="Times New Roman"/>
          <w:sz w:val="20"/>
          <w:szCs w:val="20"/>
        </w:rPr>
        <w:t xml:space="preserve"> organisms tested. </w:t>
      </w:r>
      <w:r w:rsidR="0091001F" w:rsidRPr="00A841E7">
        <w:rPr>
          <w:rFonts w:ascii="Times New Roman" w:hAnsi="Times New Roman" w:cs="Times New Roman"/>
          <w:sz w:val="20"/>
          <w:szCs w:val="20"/>
        </w:rPr>
        <w:t>T</w:t>
      </w:r>
      <w:r w:rsidRPr="00A841E7">
        <w:rPr>
          <w:rFonts w:ascii="Times New Roman" w:hAnsi="Times New Roman" w:cs="Times New Roman"/>
          <w:sz w:val="20"/>
          <w:szCs w:val="20"/>
        </w:rPr>
        <w:t xml:space="preserve">here should </w:t>
      </w:r>
      <w:r w:rsidR="0091001F" w:rsidRPr="00A841E7">
        <w:rPr>
          <w:rFonts w:ascii="Times New Roman" w:hAnsi="Times New Roman" w:cs="Times New Roman"/>
          <w:sz w:val="20"/>
          <w:szCs w:val="20"/>
        </w:rPr>
        <w:t xml:space="preserve">however </w:t>
      </w:r>
      <w:r w:rsidRPr="00A841E7">
        <w:rPr>
          <w:rFonts w:ascii="Times New Roman" w:hAnsi="Times New Roman" w:cs="Times New Roman"/>
          <w:sz w:val="20"/>
          <w:szCs w:val="20"/>
        </w:rPr>
        <w:t xml:space="preserve">be considerable reluctance </w:t>
      </w:r>
      <w:r w:rsidR="0091001F" w:rsidRPr="00A841E7">
        <w:rPr>
          <w:rFonts w:ascii="Times New Roman" w:hAnsi="Times New Roman" w:cs="Times New Roman"/>
          <w:sz w:val="20"/>
          <w:szCs w:val="20"/>
        </w:rPr>
        <w:t>in using this combination</w:t>
      </w:r>
      <w:r w:rsidRPr="00A841E7">
        <w:rPr>
          <w:rFonts w:ascii="Times New Roman" w:hAnsi="Times New Roman" w:cs="Times New Roman"/>
          <w:sz w:val="20"/>
          <w:szCs w:val="20"/>
        </w:rPr>
        <w:t xml:space="preserve"> routinely given </w:t>
      </w:r>
      <w:r w:rsidR="0091001F" w:rsidRPr="00A841E7">
        <w:rPr>
          <w:rFonts w:ascii="Times New Roman" w:hAnsi="Times New Roman" w:cs="Times New Roman"/>
          <w:sz w:val="20"/>
          <w:szCs w:val="20"/>
        </w:rPr>
        <w:t>its</w:t>
      </w:r>
      <w:r w:rsidRPr="00A841E7">
        <w:rPr>
          <w:rFonts w:ascii="Times New Roman" w:hAnsi="Times New Roman" w:cs="Times New Roman"/>
          <w:sz w:val="20"/>
          <w:szCs w:val="20"/>
        </w:rPr>
        <w:t xml:space="preserve"> high potential to develop</w:t>
      </w:r>
      <w:r w:rsidR="00596D57" w:rsidRPr="00A841E7">
        <w:rPr>
          <w:rFonts w:ascii="Times New Roman" w:hAnsi="Times New Roman" w:cs="Times New Roman"/>
          <w:sz w:val="20"/>
          <w:szCs w:val="20"/>
        </w:rPr>
        <w:t xml:space="preserve"> antimicrobial resistance</w:t>
      </w:r>
      <w:r w:rsidR="0091001F" w:rsidRPr="00A841E7">
        <w:rPr>
          <w:rFonts w:ascii="Times New Roman" w:hAnsi="Times New Roman" w:cs="Times New Roman"/>
          <w:sz w:val="20"/>
          <w:szCs w:val="20"/>
        </w:rPr>
        <w:t>.</w:t>
      </w:r>
      <w:r w:rsidRPr="00A841E7">
        <w:rPr>
          <w:rFonts w:ascii="Times New Roman" w:hAnsi="Times New Roman" w:cs="Times New Roman"/>
          <w:noProof/>
          <w:sz w:val="20"/>
          <w:szCs w:val="20"/>
        </w:rPr>
        <w:t>(</w:t>
      </w:r>
      <w:r w:rsidR="00BF7FE2" w:rsidRPr="00A841E7">
        <w:rPr>
          <w:rFonts w:ascii="Times New Roman" w:hAnsi="Times New Roman" w:cs="Times New Roman"/>
          <w:noProof/>
          <w:sz w:val="20"/>
          <w:szCs w:val="20"/>
        </w:rPr>
        <w:t>22</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w:t>
      </w:r>
      <w:r w:rsidR="0091001F" w:rsidRPr="00A841E7">
        <w:rPr>
          <w:rFonts w:ascii="Times New Roman" w:hAnsi="Times New Roman" w:cs="Times New Roman"/>
          <w:sz w:val="20"/>
          <w:szCs w:val="20"/>
        </w:rPr>
        <w:t>This policy is supported by the</w:t>
      </w:r>
      <w:r w:rsidR="00BE605F" w:rsidRPr="00A841E7">
        <w:rPr>
          <w:rFonts w:ascii="Times New Roman" w:hAnsi="Times New Roman" w:cs="Times New Roman"/>
          <w:sz w:val="20"/>
          <w:szCs w:val="20"/>
        </w:rPr>
        <w:t xml:space="preserve"> low mortality rate of</w:t>
      </w:r>
      <w:r w:rsidR="0091001F" w:rsidRPr="00A841E7">
        <w:rPr>
          <w:rFonts w:ascii="Times New Roman" w:hAnsi="Times New Roman" w:cs="Times New Roman"/>
          <w:sz w:val="20"/>
          <w:szCs w:val="20"/>
        </w:rPr>
        <w:t xml:space="preserve"> coagulase negative staphylococcal</w:t>
      </w:r>
      <w:r w:rsidR="00BE605F" w:rsidRPr="00A841E7">
        <w:rPr>
          <w:rFonts w:ascii="Times New Roman" w:hAnsi="Times New Roman" w:cs="Times New Roman"/>
          <w:sz w:val="20"/>
          <w:szCs w:val="20"/>
        </w:rPr>
        <w:t xml:space="preserve"> </w:t>
      </w:r>
      <w:r w:rsidR="002A0305" w:rsidRPr="00A841E7">
        <w:rPr>
          <w:rFonts w:ascii="Times New Roman" w:hAnsi="Times New Roman" w:cs="Times New Roman"/>
          <w:sz w:val="20"/>
          <w:szCs w:val="20"/>
        </w:rPr>
        <w:t>(</w:t>
      </w:r>
      <w:proofErr w:type="spellStart"/>
      <w:r w:rsidR="002A0305" w:rsidRPr="00A841E7">
        <w:rPr>
          <w:rFonts w:ascii="Times New Roman" w:hAnsi="Times New Roman" w:cs="Times New Roman"/>
          <w:sz w:val="20"/>
          <w:szCs w:val="20"/>
        </w:rPr>
        <w:t>CoNS</w:t>
      </w:r>
      <w:proofErr w:type="spellEnd"/>
      <w:r w:rsidR="002A0305" w:rsidRPr="00A841E7">
        <w:rPr>
          <w:rFonts w:ascii="Times New Roman" w:hAnsi="Times New Roman" w:cs="Times New Roman"/>
          <w:sz w:val="20"/>
          <w:szCs w:val="20"/>
        </w:rPr>
        <w:t xml:space="preserve">) </w:t>
      </w:r>
      <w:r w:rsidR="00BE605F" w:rsidRPr="00A841E7">
        <w:rPr>
          <w:rFonts w:ascii="Times New Roman" w:hAnsi="Times New Roman" w:cs="Times New Roman"/>
          <w:sz w:val="20"/>
          <w:szCs w:val="20"/>
        </w:rPr>
        <w:t>i</w:t>
      </w:r>
      <w:r w:rsidR="005311D8" w:rsidRPr="00A841E7">
        <w:rPr>
          <w:rFonts w:ascii="Times New Roman" w:hAnsi="Times New Roman" w:cs="Times New Roman"/>
          <w:sz w:val="20"/>
          <w:szCs w:val="20"/>
        </w:rPr>
        <w:t>nfections (2</w:t>
      </w:r>
      <w:r w:rsidR="00BF7FE2" w:rsidRPr="00A841E7">
        <w:rPr>
          <w:rFonts w:ascii="Times New Roman" w:hAnsi="Times New Roman" w:cs="Times New Roman"/>
          <w:sz w:val="20"/>
          <w:szCs w:val="20"/>
        </w:rPr>
        <w:t>3</w:t>
      </w:r>
      <w:r w:rsidR="005311D8" w:rsidRPr="00A841E7">
        <w:rPr>
          <w:rFonts w:ascii="Times New Roman" w:hAnsi="Times New Roman" w:cs="Times New Roman"/>
          <w:sz w:val="20"/>
          <w:szCs w:val="20"/>
        </w:rPr>
        <w:t>) and the rarity of</w:t>
      </w:r>
      <w:r w:rsidR="00BE605F" w:rsidRPr="00A841E7">
        <w:rPr>
          <w:rFonts w:ascii="Times New Roman" w:hAnsi="Times New Roman" w:cs="Times New Roman"/>
          <w:sz w:val="20"/>
          <w:szCs w:val="20"/>
        </w:rPr>
        <w:t xml:space="preserve"> </w:t>
      </w:r>
      <w:r w:rsidR="0091001F" w:rsidRPr="00A841E7">
        <w:rPr>
          <w:rFonts w:ascii="Times New Roman" w:hAnsi="Times New Roman" w:cs="Times New Roman"/>
          <w:sz w:val="20"/>
          <w:szCs w:val="20"/>
        </w:rPr>
        <w:t xml:space="preserve">methicillin-resistant </w:t>
      </w:r>
      <w:r w:rsidR="0091001F" w:rsidRPr="00A841E7">
        <w:rPr>
          <w:rFonts w:ascii="Times New Roman" w:hAnsi="Times New Roman" w:cs="Times New Roman"/>
          <w:i/>
          <w:sz w:val="20"/>
          <w:szCs w:val="20"/>
        </w:rPr>
        <w:t>Staphylococcus aureus</w:t>
      </w:r>
      <w:r w:rsidR="0091001F" w:rsidRPr="00A841E7">
        <w:rPr>
          <w:rFonts w:ascii="Times New Roman" w:hAnsi="Times New Roman" w:cs="Times New Roman"/>
          <w:sz w:val="20"/>
          <w:szCs w:val="20"/>
        </w:rPr>
        <w:t xml:space="preserve"> (MRSA)</w:t>
      </w:r>
      <w:r w:rsidR="00BE605F" w:rsidRPr="00A841E7">
        <w:rPr>
          <w:rFonts w:ascii="Times New Roman" w:hAnsi="Times New Roman" w:cs="Times New Roman"/>
          <w:sz w:val="20"/>
          <w:szCs w:val="20"/>
        </w:rPr>
        <w:t xml:space="preserve"> </w:t>
      </w:r>
      <w:r w:rsidR="002A0305" w:rsidRPr="00A841E7">
        <w:rPr>
          <w:rFonts w:ascii="Times New Roman" w:hAnsi="Times New Roman" w:cs="Times New Roman"/>
          <w:sz w:val="20"/>
          <w:szCs w:val="20"/>
        </w:rPr>
        <w:t>in our network</w:t>
      </w:r>
      <w:r w:rsidR="00BE605F" w:rsidRPr="00A841E7">
        <w:rPr>
          <w:rFonts w:ascii="Times New Roman" w:hAnsi="Times New Roman" w:cs="Times New Roman"/>
          <w:sz w:val="20"/>
          <w:szCs w:val="20"/>
        </w:rPr>
        <w:t>.(2</w:t>
      </w:r>
      <w:r w:rsidR="00BF7FE2" w:rsidRPr="00A841E7">
        <w:rPr>
          <w:rFonts w:ascii="Times New Roman" w:hAnsi="Times New Roman" w:cs="Times New Roman"/>
          <w:sz w:val="20"/>
          <w:szCs w:val="20"/>
        </w:rPr>
        <w:t>2</w:t>
      </w:r>
      <w:r w:rsidR="00BE605F" w:rsidRPr="00A841E7">
        <w:rPr>
          <w:rFonts w:ascii="Times New Roman" w:hAnsi="Times New Roman" w:cs="Times New Roman"/>
          <w:sz w:val="20"/>
          <w:szCs w:val="20"/>
        </w:rPr>
        <w:t>)</w:t>
      </w:r>
    </w:p>
    <w:p w:rsidR="007B010D" w:rsidRPr="00A841E7" w:rsidRDefault="007B010D"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In total 89% of isolates were susceptible to flucloxacillin and gentamicin whilst 85% were susceptible to amoxicillin and cefotaxime</w:t>
      </w:r>
      <w:proofErr w:type="gramStart"/>
      <w:r w:rsidRPr="00A841E7">
        <w:rPr>
          <w:rFonts w:ascii="Times New Roman" w:hAnsi="Times New Roman" w:cs="Times New Roman"/>
          <w:sz w:val="20"/>
          <w:szCs w:val="20"/>
        </w:rPr>
        <w:t>.</w:t>
      </w:r>
      <w:r w:rsidR="00596D57" w:rsidRPr="00A841E7">
        <w:rPr>
          <w:rFonts w:ascii="Times New Roman" w:hAnsi="Times New Roman" w:cs="Times New Roman"/>
          <w:noProof/>
          <w:sz w:val="20"/>
          <w:szCs w:val="20"/>
        </w:rPr>
        <w:t>(</w:t>
      </w:r>
      <w:proofErr w:type="gramEnd"/>
      <w:r w:rsidR="00596D57"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7</w:t>
      </w:r>
      <w:r w:rsidR="00596D57" w:rsidRPr="00A841E7">
        <w:rPr>
          <w:rFonts w:ascii="Times New Roman" w:hAnsi="Times New Roman" w:cs="Times New Roman"/>
          <w:noProof/>
          <w:sz w:val="20"/>
          <w:szCs w:val="20"/>
        </w:rPr>
        <w:t>,</w:t>
      </w:r>
      <w:r w:rsidR="005E0434"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8</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w:t>
      </w:r>
      <w:r w:rsidR="00343843" w:rsidRPr="00A841E7">
        <w:rPr>
          <w:rFonts w:ascii="Times New Roman" w:hAnsi="Times New Roman" w:cs="Times New Roman"/>
          <w:sz w:val="20"/>
          <w:szCs w:val="20"/>
        </w:rPr>
        <w:t>In fact, t</w:t>
      </w:r>
      <w:r w:rsidRPr="00A841E7">
        <w:rPr>
          <w:rFonts w:ascii="Times New Roman" w:hAnsi="Times New Roman" w:cs="Times New Roman"/>
          <w:sz w:val="20"/>
          <w:szCs w:val="20"/>
        </w:rPr>
        <w:t xml:space="preserve">hese values are not statistically significantly lower than for vancomycin and cefotaxime. LOS pathogens were similarly susceptible to </w:t>
      </w:r>
      <w:proofErr w:type="spellStart"/>
      <w:r w:rsidRPr="00A841E7">
        <w:rPr>
          <w:rFonts w:ascii="Times New Roman" w:hAnsi="Times New Roman" w:cs="Times New Roman"/>
          <w:sz w:val="20"/>
          <w:szCs w:val="20"/>
        </w:rPr>
        <w:t>flucloxacillin</w:t>
      </w:r>
      <w:proofErr w:type="spellEnd"/>
      <w:r w:rsidRPr="00A841E7">
        <w:rPr>
          <w:rFonts w:ascii="Times New Roman" w:hAnsi="Times New Roman" w:cs="Times New Roman"/>
          <w:sz w:val="20"/>
          <w:szCs w:val="20"/>
        </w:rPr>
        <w:t xml:space="preserve"> and gentamicin across all birthweight and gestational age categories, supporting the continued routine use of this narrow-spectrum combination as a first line empiric therapy</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4</w:t>
      </w:r>
      <w:r w:rsidRPr="00A841E7">
        <w:rPr>
          <w:rFonts w:ascii="Times New Roman" w:hAnsi="Times New Roman" w:cs="Times New Roman"/>
          <w:noProof/>
          <w:sz w:val="20"/>
          <w:szCs w:val="20"/>
        </w:rPr>
        <w:t>)</w:t>
      </w:r>
      <w:r w:rsidR="00A85D7C" w:rsidRPr="00A841E7">
        <w:rPr>
          <w:rFonts w:ascii="Times New Roman" w:hAnsi="Times New Roman" w:cs="Times New Roman"/>
          <w:noProof/>
          <w:sz w:val="20"/>
          <w:szCs w:val="20"/>
        </w:rPr>
        <w:t xml:space="preserve"> </w:t>
      </w:r>
    </w:p>
    <w:p w:rsidR="007B010D" w:rsidRPr="00A841E7" w:rsidRDefault="007B010D" w:rsidP="005658EF">
      <w:pPr>
        <w:tabs>
          <w:tab w:val="num" w:pos="1440"/>
        </w:tabs>
        <w:spacing w:line="480" w:lineRule="auto"/>
        <w:rPr>
          <w:rFonts w:ascii="Times New Roman" w:hAnsi="Times New Roman" w:cs="Times New Roman"/>
          <w:sz w:val="20"/>
          <w:szCs w:val="20"/>
        </w:rPr>
      </w:pP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isolates associated with EOS had different antimicrobial resistance patterns to those causing LOS.  LOS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were more frequently associated with higher levels of antimicrobial resistance to a variety of common antibiotics including amoxicillin and clavulanic acid, cefotaxime and gentamicin. This suggests that the </w:t>
      </w:r>
      <w:r w:rsidRPr="00A841E7">
        <w:rPr>
          <w:rFonts w:ascii="Times New Roman" w:hAnsi="Times New Roman" w:cs="Times New Roman"/>
          <w:i/>
          <w:sz w:val="20"/>
          <w:szCs w:val="20"/>
        </w:rPr>
        <w:t>E.coli</w:t>
      </w:r>
      <w:r w:rsidRPr="00A841E7">
        <w:rPr>
          <w:rFonts w:ascii="Times New Roman" w:hAnsi="Times New Roman" w:cs="Times New Roman"/>
          <w:sz w:val="20"/>
          <w:szCs w:val="20"/>
        </w:rPr>
        <w:t xml:space="preserve"> isolates associated with vertical transmission are different to those which are associated with horizontal transmitted and supports the notion that they require treatment with di</w:t>
      </w:r>
      <w:r w:rsidR="00596D57" w:rsidRPr="00A841E7">
        <w:rPr>
          <w:rFonts w:ascii="Times New Roman" w:hAnsi="Times New Roman" w:cs="Times New Roman"/>
          <w:sz w:val="20"/>
          <w:szCs w:val="20"/>
        </w:rPr>
        <w:t>fferent antimicrobial regimens</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8</w:t>
      </w:r>
      <w:r w:rsidRPr="00A841E7">
        <w:rPr>
          <w:rFonts w:ascii="Times New Roman" w:hAnsi="Times New Roman" w:cs="Times New Roman"/>
          <w:noProof/>
          <w:sz w:val="20"/>
          <w:szCs w:val="20"/>
        </w:rPr>
        <w:t>)</w:t>
      </w:r>
      <w:r w:rsidRPr="00A841E7">
        <w:rPr>
          <w:rFonts w:ascii="Times New Roman" w:hAnsi="Times New Roman" w:cs="Times New Roman"/>
          <w:sz w:val="20"/>
          <w:szCs w:val="20"/>
        </w:rPr>
        <w:t xml:space="preserve"> </w:t>
      </w:r>
    </w:p>
    <w:p w:rsidR="007B010D" w:rsidRPr="00A841E7" w:rsidRDefault="007B010D" w:rsidP="005658EF">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For all infants, regardless of age at onset or gestation at birth, none of the antibiotic combinations tested provide complete coverage against all pathogens. This raises the question of what comparative levels of coverage are acceptable, an issue which should also take into account the individual pathogens that are missed and their intrinsic virulence. It also means that clinicians should be vigilant in their regular assessment of the clinical effectiveness of the antimicrobial combination chosen in an individual neonate. Infants that are deteriorating despite ‘appropriate’ empiric therapy should be reviewed and antibiotics changed rather than waiting for blood culture results. This concept is includ</w:t>
      </w:r>
      <w:r w:rsidR="00596D57" w:rsidRPr="00A841E7">
        <w:rPr>
          <w:rFonts w:ascii="Times New Roman" w:hAnsi="Times New Roman" w:cs="Times New Roman"/>
          <w:sz w:val="20"/>
          <w:szCs w:val="20"/>
        </w:rPr>
        <w:t>ed in the NICE guidelines</w:t>
      </w:r>
      <w:proofErr w:type="gramStart"/>
      <w:r w:rsidR="00596D57" w:rsidRPr="00A841E7">
        <w:rPr>
          <w:rFonts w:ascii="Times New Roman" w:hAnsi="Times New Roman" w:cs="Times New Roman"/>
          <w:sz w:val="20"/>
          <w:szCs w:val="20"/>
        </w:rPr>
        <w:t>.</w:t>
      </w:r>
      <w:r w:rsidRPr="00A841E7">
        <w:rPr>
          <w:rFonts w:ascii="Times New Roman" w:hAnsi="Times New Roman" w:cs="Times New Roman"/>
          <w:noProof/>
          <w:sz w:val="20"/>
          <w:szCs w:val="20"/>
        </w:rPr>
        <w:t>(</w:t>
      </w:r>
      <w:proofErr w:type="gramEnd"/>
      <w:r w:rsidRPr="00A841E7">
        <w:rPr>
          <w:rFonts w:ascii="Times New Roman" w:hAnsi="Times New Roman" w:cs="Times New Roman"/>
          <w:noProof/>
          <w:sz w:val="20"/>
          <w:szCs w:val="20"/>
        </w:rPr>
        <w:t>1</w:t>
      </w:r>
      <w:r w:rsidR="00BF7FE2" w:rsidRPr="00A841E7">
        <w:rPr>
          <w:rFonts w:ascii="Times New Roman" w:hAnsi="Times New Roman" w:cs="Times New Roman"/>
          <w:noProof/>
          <w:sz w:val="20"/>
          <w:szCs w:val="20"/>
        </w:rPr>
        <w:t>5</w:t>
      </w:r>
      <w:r w:rsidRPr="00A841E7">
        <w:rPr>
          <w:rFonts w:ascii="Times New Roman" w:hAnsi="Times New Roman" w:cs="Times New Roman"/>
          <w:noProof/>
          <w:sz w:val="20"/>
          <w:szCs w:val="20"/>
        </w:rPr>
        <w:t>)</w:t>
      </w:r>
    </w:p>
    <w:p w:rsidR="00897B17" w:rsidRPr="00A841E7" w:rsidRDefault="007B010D" w:rsidP="005658EF">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The primary strength of the neonIN database is its size and longitudinal design, incorporating 3</w:t>
      </w:r>
      <w:r w:rsidR="00343843" w:rsidRPr="00A841E7">
        <w:rPr>
          <w:rFonts w:ascii="Times New Roman" w:hAnsi="Times New Roman" w:cs="Times New Roman"/>
          <w:sz w:val="20"/>
          <w:szCs w:val="20"/>
        </w:rPr>
        <w:t>0 neonatal units over 10 years, however a</w:t>
      </w:r>
      <w:r w:rsidR="00E5365C" w:rsidRPr="00A841E7">
        <w:rPr>
          <w:rFonts w:ascii="Times New Roman" w:hAnsi="Times New Roman" w:cs="Times New Roman"/>
          <w:sz w:val="20"/>
          <w:szCs w:val="20"/>
        </w:rPr>
        <w:t xml:space="preserve"> number of </w:t>
      </w:r>
      <w:r w:rsidR="00343843" w:rsidRPr="00A841E7">
        <w:rPr>
          <w:rFonts w:ascii="Times New Roman" w:hAnsi="Times New Roman" w:cs="Times New Roman"/>
          <w:sz w:val="20"/>
          <w:szCs w:val="20"/>
        </w:rPr>
        <w:t xml:space="preserve">potential </w:t>
      </w:r>
      <w:r w:rsidR="00E5365C" w:rsidRPr="00A841E7">
        <w:rPr>
          <w:rFonts w:ascii="Times New Roman" w:hAnsi="Times New Roman" w:cs="Times New Roman"/>
          <w:sz w:val="20"/>
          <w:szCs w:val="20"/>
        </w:rPr>
        <w:t xml:space="preserve">limitations must </w:t>
      </w:r>
      <w:r w:rsidR="00343843" w:rsidRPr="00A841E7">
        <w:rPr>
          <w:rFonts w:ascii="Times New Roman" w:hAnsi="Times New Roman" w:cs="Times New Roman"/>
          <w:sz w:val="20"/>
          <w:szCs w:val="20"/>
        </w:rPr>
        <w:t xml:space="preserve">also </w:t>
      </w:r>
      <w:r w:rsidR="00E5365C" w:rsidRPr="00A841E7">
        <w:rPr>
          <w:rFonts w:ascii="Times New Roman" w:hAnsi="Times New Roman" w:cs="Times New Roman"/>
          <w:sz w:val="20"/>
          <w:szCs w:val="20"/>
        </w:rPr>
        <w:t xml:space="preserve">be acknowledged. Firstly, the infection definition may be considered too simplistic or subjective given its reliance on the clinician’s judgement. This subjectivity may lead to over-reporting of cases, particularly of common skin contaminants. An alternative would be to incorporate more clinical and laboratory markers into the study definition, but </w:t>
      </w:r>
      <w:r w:rsidR="006E39EB" w:rsidRPr="00A841E7">
        <w:rPr>
          <w:rFonts w:ascii="Times New Roman" w:hAnsi="Times New Roman" w:cs="Times New Roman"/>
          <w:sz w:val="20"/>
          <w:szCs w:val="20"/>
        </w:rPr>
        <w:t>this may then in turn</w:t>
      </w:r>
      <w:r w:rsidR="00E5365C" w:rsidRPr="00A841E7">
        <w:rPr>
          <w:rFonts w:ascii="Times New Roman" w:hAnsi="Times New Roman" w:cs="Times New Roman"/>
          <w:sz w:val="20"/>
          <w:szCs w:val="20"/>
        </w:rPr>
        <w:t xml:space="preserve"> affect the completeness and quality of data entered. </w:t>
      </w:r>
    </w:p>
    <w:p w:rsidR="008623C4" w:rsidRPr="00A841E7" w:rsidRDefault="008623C4" w:rsidP="00683FED">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It is also important to acknowledge the fact that some antimicrobial combinations act synergistically (e.g. </w:t>
      </w: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and gentamicin), and that resistance </w:t>
      </w:r>
      <w:r w:rsidR="006E39EB" w:rsidRPr="00A841E7">
        <w:rPr>
          <w:rFonts w:ascii="Times New Roman" w:hAnsi="Times New Roman" w:cs="Times New Roman"/>
          <w:sz w:val="20"/>
          <w:szCs w:val="20"/>
        </w:rPr>
        <w:t>to the constituent</w:t>
      </w:r>
      <w:r w:rsidRPr="00A841E7">
        <w:rPr>
          <w:rFonts w:ascii="Times New Roman" w:hAnsi="Times New Roman" w:cs="Times New Roman"/>
          <w:sz w:val="20"/>
          <w:szCs w:val="20"/>
        </w:rPr>
        <w:t xml:space="preserve"> antimicrobial agents in a combination </w:t>
      </w:r>
      <w:r w:rsidR="006E39EB" w:rsidRPr="00A841E7">
        <w:rPr>
          <w:rFonts w:ascii="Times New Roman" w:hAnsi="Times New Roman" w:cs="Times New Roman"/>
          <w:sz w:val="20"/>
          <w:szCs w:val="20"/>
        </w:rPr>
        <w:t>may not equate to resistance</w:t>
      </w:r>
      <w:r w:rsidRPr="00A841E7">
        <w:rPr>
          <w:rFonts w:ascii="Times New Roman" w:hAnsi="Times New Roman" w:cs="Times New Roman"/>
          <w:sz w:val="20"/>
          <w:szCs w:val="20"/>
        </w:rPr>
        <w:t xml:space="preserve"> to the combination itself.(2</w:t>
      </w:r>
      <w:r w:rsidR="00BF7FE2" w:rsidRPr="00A841E7">
        <w:rPr>
          <w:rFonts w:ascii="Times New Roman" w:hAnsi="Times New Roman" w:cs="Times New Roman"/>
          <w:sz w:val="20"/>
          <w:szCs w:val="20"/>
        </w:rPr>
        <w:t>4</w:t>
      </w:r>
      <w:r w:rsidRPr="00A841E7">
        <w:rPr>
          <w:rFonts w:ascii="Times New Roman" w:hAnsi="Times New Roman" w:cs="Times New Roman"/>
          <w:sz w:val="20"/>
          <w:szCs w:val="20"/>
        </w:rPr>
        <w:t xml:space="preserve">) </w:t>
      </w:r>
      <w:r w:rsidR="00343843" w:rsidRPr="00A841E7">
        <w:rPr>
          <w:rFonts w:ascii="Times New Roman" w:hAnsi="Times New Roman" w:cs="Times New Roman"/>
          <w:sz w:val="20"/>
          <w:szCs w:val="20"/>
        </w:rPr>
        <w:t>Conversely</w:t>
      </w:r>
      <w:r w:rsidR="00897B17" w:rsidRPr="00A841E7">
        <w:rPr>
          <w:rFonts w:ascii="Times New Roman" w:hAnsi="Times New Roman" w:cs="Times New Roman"/>
          <w:sz w:val="20"/>
          <w:szCs w:val="20"/>
        </w:rPr>
        <w:t>, it must be ack</w:t>
      </w:r>
      <w:r w:rsidR="006E39EB" w:rsidRPr="00A841E7">
        <w:rPr>
          <w:rFonts w:ascii="Times New Roman" w:hAnsi="Times New Roman" w:cs="Times New Roman"/>
          <w:sz w:val="20"/>
          <w:szCs w:val="20"/>
        </w:rPr>
        <w:t xml:space="preserve">nowledged that in some cases </w:t>
      </w:r>
      <w:r w:rsidR="00343843" w:rsidRPr="00A841E7">
        <w:rPr>
          <w:rFonts w:ascii="Times New Roman" w:hAnsi="Times New Roman" w:cs="Times New Roman"/>
          <w:sz w:val="20"/>
          <w:szCs w:val="20"/>
        </w:rPr>
        <w:t xml:space="preserve">the reported </w:t>
      </w:r>
      <w:r w:rsidR="006E39EB" w:rsidRPr="00A841E7">
        <w:rPr>
          <w:rFonts w:ascii="Times New Roman" w:hAnsi="Times New Roman" w:cs="Times New Roman"/>
          <w:sz w:val="20"/>
          <w:szCs w:val="20"/>
        </w:rPr>
        <w:t>in-</w:t>
      </w:r>
      <w:r w:rsidR="00897B17" w:rsidRPr="00A841E7">
        <w:rPr>
          <w:rFonts w:ascii="Times New Roman" w:hAnsi="Times New Roman" w:cs="Times New Roman"/>
          <w:sz w:val="20"/>
          <w:szCs w:val="20"/>
        </w:rPr>
        <w:t xml:space="preserve">vitro susceptibility to an antimicrobial agent does not mean that it is recommended for the treatment of that organism (e.g. </w:t>
      </w:r>
      <w:proofErr w:type="spellStart"/>
      <w:r w:rsidR="00897B17" w:rsidRPr="00A841E7">
        <w:rPr>
          <w:rFonts w:ascii="Times New Roman" w:hAnsi="Times New Roman" w:cs="Times New Roman"/>
          <w:sz w:val="20"/>
          <w:szCs w:val="20"/>
        </w:rPr>
        <w:t>cephalosporins</w:t>
      </w:r>
      <w:proofErr w:type="spellEnd"/>
      <w:r w:rsidR="00897B17" w:rsidRPr="00A841E7">
        <w:rPr>
          <w:rFonts w:ascii="Times New Roman" w:hAnsi="Times New Roman" w:cs="Times New Roman"/>
          <w:sz w:val="20"/>
          <w:szCs w:val="20"/>
        </w:rPr>
        <w:t xml:space="preserve"> for </w:t>
      </w:r>
      <w:proofErr w:type="spellStart"/>
      <w:r w:rsidR="00897B17" w:rsidRPr="00A841E7">
        <w:rPr>
          <w:rFonts w:ascii="Times New Roman" w:hAnsi="Times New Roman" w:cs="Times New Roman"/>
          <w:sz w:val="20"/>
          <w:szCs w:val="20"/>
        </w:rPr>
        <w:t>enterobacter</w:t>
      </w:r>
      <w:proofErr w:type="spellEnd"/>
      <w:r w:rsidR="00897B17" w:rsidRPr="00A841E7">
        <w:rPr>
          <w:rFonts w:ascii="Times New Roman" w:hAnsi="Times New Roman" w:cs="Times New Roman"/>
          <w:sz w:val="20"/>
          <w:szCs w:val="20"/>
        </w:rPr>
        <w:t xml:space="preserve">). Both these factors are difficult to account for and may affect the </w:t>
      </w:r>
      <w:proofErr w:type="spellStart"/>
      <w:r w:rsidR="00897B17" w:rsidRPr="00A841E7">
        <w:rPr>
          <w:rFonts w:ascii="Times New Roman" w:hAnsi="Times New Roman" w:cs="Times New Roman"/>
          <w:sz w:val="20"/>
          <w:szCs w:val="20"/>
        </w:rPr>
        <w:t>generalisability</w:t>
      </w:r>
      <w:proofErr w:type="spellEnd"/>
      <w:r w:rsidR="00897B17" w:rsidRPr="00A841E7">
        <w:rPr>
          <w:rFonts w:ascii="Times New Roman" w:hAnsi="Times New Roman" w:cs="Times New Roman"/>
          <w:sz w:val="20"/>
          <w:szCs w:val="20"/>
        </w:rPr>
        <w:t xml:space="preserve"> of the stated results.</w:t>
      </w:r>
    </w:p>
    <w:p w:rsidR="00683FED" w:rsidRPr="00A841E7" w:rsidRDefault="00683FED" w:rsidP="00683FED">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The statistical analyses used </w:t>
      </w:r>
      <w:r w:rsidR="00343843" w:rsidRPr="00A841E7">
        <w:rPr>
          <w:rFonts w:ascii="Times New Roman" w:hAnsi="Times New Roman" w:cs="Times New Roman"/>
          <w:sz w:val="20"/>
          <w:szCs w:val="20"/>
        </w:rPr>
        <w:t xml:space="preserve">may </w:t>
      </w:r>
      <w:r w:rsidRPr="00A841E7">
        <w:rPr>
          <w:rFonts w:ascii="Times New Roman" w:hAnsi="Times New Roman" w:cs="Times New Roman"/>
          <w:sz w:val="20"/>
          <w:szCs w:val="20"/>
        </w:rPr>
        <w:t xml:space="preserve">also provide a potential source of bias as we have </w:t>
      </w:r>
      <w:r w:rsidR="006E39EB" w:rsidRPr="00A841E7">
        <w:rPr>
          <w:rFonts w:ascii="Times New Roman" w:hAnsi="Times New Roman" w:cs="Times New Roman"/>
          <w:sz w:val="20"/>
          <w:szCs w:val="20"/>
        </w:rPr>
        <w:t>converted</w:t>
      </w:r>
      <w:r w:rsidRPr="00A841E7">
        <w:rPr>
          <w:rFonts w:ascii="Times New Roman" w:hAnsi="Times New Roman" w:cs="Times New Roman"/>
          <w:sz w:val="20"/>
          <w:szCs w:val="20"/>
        </w:rPr>
        <w:t xml:space="preserve"> raw susceptibility data into a more </w:t>
      </w:r>
      <w:r w:rsidR="006E39EB" w:rsidRPr="00A841E7">
        <w:rPr>
          <w:rFonts w:ascii="Times New Roman" w:hAnsi="Times New Roman" w:cs="Times New Roman"/>
          <w:sz w:val="20"/>
          <w:szCs w:val="20"/>
        </w:rPr>
        <w:t>clinically relevant</w:t>
      </w:r>
      <w:r w:rsidRPr="00A841E7">
        <w:rPr>
          <w:rFonts w:ascii="Times New Roman" w:hAnsi="Times New Roman" w:cs="Times New Roman"/>
          <w:sz w:val="20"/>
          <w:szCs w:val="20"/>
        </w:rPr>
        <w:t xml:space="preserve"> format which is combination based. This may create issues in cases where testing is done for </w:t>
      </w:r>
      <w:r w:rsidR="006E39EB" w:rsidRPr="00A841E7">
        <w:rPr>
          <w:rFonts w:ascii="Times New Roman" w:hAnsi="Times New Roman" w:cs="Times New Roman"/>
          <w:sz w:val="20"/>
          <w:szCs w:val="20"/>
        </w:rPr>
        <w:t xml:space="preserve">only </w:t>
      </w:r>
      <w:r w:rsidRPr="00A841E7">
        <w:rPr>
          <w:rFonts w:ascii="Times New Roman" w:hAnsi="Times New Roman" w:cs="Times New Roman"/>
          <w:sz w:val="20"/>
          <w:szCs w:val="20"/>
        </w:rPr>
        <w:t>one antibiotic</w:t>
      </w:r>
      <w:r w:rsidR="006E39EB" w:rsidRPr="00A841E7">
        <w:rPr>
          <w:rFonts w:ascii="Times New Roman" w:hAnsi="Times New Roman" w:cs="Times New Roman"/>
          <w:sz w:val="20"/>
          <w:szCs w:val="20"/>
        </w:rPr>
        <w:t>,</w:t>
      </w:r>
      <w:r w:rsidRPr="00A841E7">
        <w:rPr>
          <w:rFonts w:ascii="Times New Roman" w:hAnsi="Times New Roman" w:cs="Times New Roman"/>
          <w:sz w:val="20"/>
          <w:szCs w:val="20"/>
        </w:rPr>
        <w:t xml:space="preserve"> as the combination is </w:t>
      </w:r>
      <w:r w:rsidR="006E39EB" w:rsidRPr="00A841E7">
        <w:rPr>
          <w:rFonts w:ascii="Times New Roman" w:hAnsi="Times New Roman" w:cs="Times New Roman"/>
          <w:sz w:val="20"/>
          <w:szCs w:val="20"/>
        </w:rPr>
        <w:t>therefore labeled</w:t>
      </w:r>
      <w:r w:rsidRPr="00A841E7">
        <w:rPr>
          <w:rFonts w:ascii="Times New Roman" w:hAnsi="Times New Roman" w:cs="Times New Roman"/>
          <w:sz w:val="20"/>
          <w:szCs w:val="20"/>
        </w:rPr>
        <w:t xml:space="preserve"> as susceptible or resistant</w:t>
      </w:r>
      <w:r w:rsidR="006E39EB" w:rsidRPr="00A841E7">
        <w:rPr>
          <w:rFonts w:ascii="Times New Roman" w:hAnsi="Times New Roman" w:cs="Times New Roman"/>
          <w:sz w:val="20"/>
          <w:szCs w:val="20"/>
        </w:rPr>
        <w:t xml:space="preserve"> accordingly. For example, t</w:t>
      </w:r>
      <w:r w:rsidRPr="00A841E7">
        <w:rPr>
          <w:rFonts w:ascii="Times New Roman" w:hAnsi="Times New Roman" w:cs="Times New Roman"/>
          <w:sz w:val="20"/>
          <w:szCs w:val="20"/>
        </w:rPr>
        <w:t xml:space="preserve">he difference between cefotaxime monotherapy and an amoxicillin and cefotaxime combination </w:t>
      </w:r>
      <w:r w:rsidR="006E39EB" w:rsidRPr="00A841E7">
        <w:rPr>
          <w:rFonts w:ascii="Times New Roman" w:hAnsi="Times New Roman" w:cs="Times New Roman"/>
          <w:sz w:val="20"/>
          <w:szCs w:val="20"/>
        </w:rPr>
        <w:t>may be explained by</w:t>
      </w:r>
      <w:r w:rsidRPr="00A841E7">
        <w:rPr>
          <w:rFonts w:ascii="Times New Roman" w:hAnsi="Times New Roman" w:cs="Times New Roman"/>
          <w:sz w:val="20"/>
          <w:szCs w:val="20"/>
        </w:rPr>
        <w:t xml:space="preserve"> isolates with a recorded susceptibility profile to amoxicillin</w:t>
      </w:r>
      <w:r w:rsidR="006E39EB" w:rsidRPr="00A841E7">
        <w:rPr>
          <w:rFonts w:ascii="Times New Roman" w:hAnsi="Times New Roman" w:cs="Times New Roman"/>
          <w:sz w:val="20"/>
          <w:szCs w:val="20"/>
        </w:rPr>
        <w:t xml:space="preserve"> alone</w:t>
      </w:r>
      <w:r w:rsidRPr="00A841E7">
        <w:rPr>
          <w:rFonts w:ascii="Times New Roman" w:hAnsi="Times New Roman" w:cs="Times New Roman"/>
          <w:sz w:val="20"/>
          <w:szCs w:val="20"/>
        </w:rPr>
        <w:t xml:space="preserve"> (e.g. resistant). As such the isolate </w:t>
      </w:r>
      <w:r w:rsidR="006E39EB" w:rsidRPr="00A841E7">
        <w:rPr>
          <w:rFonts w:ascii="Times New Roman" w:hAnsi="Times New Roman" w:cs="Times New Roman"/>
          <w:sz w:val="20"/>
          <w:szCs w:val="20"/>
        </w:rPr>
        <w:t>would be</w:t>
      </w:r>
      <w:r w:rsidRPr="00A841E7">
        <w:rPr>
          <w:rFonts w:ascii="Times New Roman" w:hAnsi="Times New Roman" w:cs="Times New Roman"/>
          <w:sz w:val="20"/>
          <w:szCs w:val="20"/>
        </w:rPr>
        <w:t xml:space="preserve"> labeled as resistant to the combination but ‘not tested’ for cefotaxime monotherapy.</w:t>
      </w:r>
    </w:p>
    <w:p w:rsidR="007B010D" w:rsidRPr="00A841E7" w:rsidRDefault="007B010D" w:rsidP="00683FED">
      <w:pPr>
        <w:tabs>
          <w:tab w:val="num" w:pos="1440"/>
        </w:tabs>
        <w:spacing w:line="480" w:lineRule="auto"/>
        <w:rPr>
          <w:rFonts w:ascii="Times New Roman" w:hAnsi="Times New Roman" w:cs="Times New Roman"/>
          <w:sz w:val="20"/>
          <w:szCs w:val="20"/>
          <w:lang w:val="en-GB"/>
        </w:rPr>
      </w:pPr>
      <w:r w:rsidRPr="00A841E7">
        <w:rPr>
          <w:rFonts w:ascii="Times New Roman" w:hAnsi="Times New Roman" w:cs="Times New Roman"/>
          <w:sz w:val="20"/>
          <w:szCs w:val="20"/>
        </w:rPr>
        <w:t xml:space="preserve">Data completeness is </w:t>
      </w:r>
      <w:r w:rsidR="00343843" w:rsidRPr="00A841E7">
        <w:rPr>
          <w:rFonts w:ascii="Times New Roman" w:hAnsi="Times New Roman" w:cs="Times New Roman"/>
          <w:sz w:val="20"/>
          <w:szCs w:val="20"/>
        </w:rPr>
        <w:t>always a</w:t>
      </w:r>
      <w:r w:rsidR="00F4167B" w:rsidRPr="00A841E7">
        <w:rPr>
          <w:rFonts w:ascii="Times New Roman" w:hAnsi="Times New Roman" w:cs="Times New Roman"/>
          <w:sz w:val="20"/>
          <w:szCs w:val="20"/>
        </w:rPr>
        <w:t xml:space="preserve"> potential weakness. However, a</w:t>
      </w:r>
      <w:r w:rsidRPr="00A841E7">
        <w:rPr>
          <w:rFonts w:ascii="Times New Roman" w:hAnsi="Times New Roman" w:cs="Times New Roman"/>
          <w:sz w:val="20"/>
          <w:szCs w:val="20"/>
        </w:rPr>
        <w:t>lthough only half of the pathogens h</w:t>
      </w:r>
      <w:r w:rsidR="00F4167B" w:rsidRPr="00A841E7">
        <w:rPr>
          <w:rFonts w:ascii="Times New Roman" w:hAnsi="Times New Roman" w:cs="Times New Roman"/>
          <w:sz w:val="20"/>
          <w:szCs w:val="20"/>
        </w:rPr>
        <w:t>ad susceptibility data recorded</w:t>
      </w:r>
      <w:r w:rsidRPr="00A841E7">
        <w:rPr>
          <w:rFonts w:ascii="Times New Roman" w:hAnsi="Times New Roman" w:cs="Times New Roman"/>
          <w:sz w:val="20"/>
          <w:szCs w:val="20"/>
        </w:rPr>
        <w:t xml:space="preserve"> we have no evidence to suggest that these isolates were not representative. We also believe that the conclusions are relevant for all UK tertiary neonatal units as this reflects the case-mix found in the </w:t>
      </w:r>
      <w:proofErr w:type="spellStart"/>
      <w:r w:rsidRPr="00A841E7">
        <w:rPr>
          <w:rFonts w:ascii="Times New Roman" w:hAnsi="Times New Roman" w:cs="Times New Roman"/>
          <w:sz w:val="20"/>
          <w:szCs w:val="20"/>
        </w:rPr>
        <w:t>neonIN</w:t>
      </w:r>
      <w:proofErr w:type="spellEnd"/>
      <w:r w:rsidRPr="00A841E7">
        <w:rPr>
          <w:rFonts w:ascii="Times New Roman" w:hAnsi="Times New Roman" w:cs="Times New Roman"/>
          <w:sz w:val="20"/>
          <w:szCs w:val="20"/>
        </w:rPr>
        <w:t xml:space="preserve"> network</w:t>
      </w:r>
      <w:r w:rsidR="00F4167B" w:rsidRPr="00A841E7">
        <w:rPr>
          <w:rFonts w:ascii="Times New Roman" w:hAnsi="Times New Roman" w:cs="Times New Roman"/>
          <w:sz w:val="20"/>
          <w:szCs w:val="20"/>
        </w:rPr>
        <w:t>,</w:t>
      </w:r>
      <w:r w:rsidR="00BE7EDD" w:rsidRPr="00A841E7">
        <w:rPr>
          <w:rFonts w:ascii="Times New Roman" w:hAnsi="Times New Roman" w:cs="Times New Roman"/>
          <w:sz w:val="20"/>
          <w:szCs w:val="20"/>
        </w:rPr>
        <w:t xml:space="preserve"> </w:t>
      </w:r>
      <w:r w:rsidR="00F4167B" w:rsidRPr="00A841E7">
        <w:rPr>
          <w:rFonts w:ascii="Times New Roman" w:hAnsi="Times New Roman" w:cs="Times New Roman"/>
          <w:sz w:val="20"/>
          <w:szCs w:val="20"/>
        </w:rPr>
        <w:t>with units spread widely</w:t>
      </w:r>
      <w:r w:rsidR="00BE7EDD" w:rsidRPr="00A841E7">
        <w:rPr>
          <w:rFonts w:ascii="Times New Roman" w:hAnsi="Times New Roman" w:cs="Times New Roman"/>
          <w:sz w:val="20"/>
          <w:szCs w:val="20"/>
        </w:rPr>
        <w:t xml:space="preserve"> throughout </w:t>
      </w:r>
      <w:r w:rsidR="00343843" w:rsidRPr="00A841E7">
        <w:rPr>
          <w:rFonts w:ascii="Times New Roman" w:hAnsi="Times New Roman" w:cs="Times New Roman"/>
          <w:sz w:val="20"/>
          <w:szCs w:val="20"/>
        </w:rPr>
        <w:t>England</w:t>
      </w:r>
      <w:r w:rsidR="00F4167B" w:rsidRPr="00A841E7">
        <w:rPr>
          <w:rFonts w:ascii="Times New Roman" w:hAnsi="Times New Roman" w:cs="Times New Roman"/>
          <w:sz w:val="20"/>
          <w:szCs w:val="20"/>
        </w:rPr>
        <w:t>.</w:t>
      </w:r>
      <w:r w:rsidR="00BE7EDD" w:rsidRPr="00A841E7">
        <w:rPr>
          <w:rFonts w:ascii="Times New Roman" w:hAnsi="Times New Roman" w:cs="Times New Roman"/>
          <w:sz w:val="20"/>
          <w:szCs w:val="20"/>
        </w:rPr>
        <w:t xml:space="preserve"> </w:t>
      </w:r>
      <w:r w:rsidR="00F4167B" w:rsidRPr="00A841E7">
        <w:rPr>
          <w:rFonts w:ascii="Times New Roman" w:hAnsi="Times New Roman" w:cs="Times New Roman"/>
          <w:sz w:val="20"/>
          <w:szCs w:val="20"/>
        </w:rPr>
        <w:t>We do however note</w:t>
      </w:r>
      <w:r w:rsidR="00BE7EDD" w:rsidRPr="00A841E7">
        <w:rPr>
          <w:rFonts w:ascii="Times New Roman" w:hAnsi="Times New Roman" w:cs="Times New Roman"/>
          <w:sz w:val="20"/>
          <w:szCs w:val="20"/>
        </w:rPr>
        <w:t xml:space="preserve"> the presence of dominant reporting </w:t>
      </w:r>
      <w:proofErr w:type="spellStart"/>
      <w:r w:rsidR="00BE7EDD" w:rsidRPr="00A841E7">
        <w:rPr>
          <w:rFonts w:ascii="Times New Roman" w:hAnsi="Times New Roman" w:cs="Times New Roman"/>
          <w:sz w:val="20"/>
          <w:szCs w:val="20"/>
        </w:rPr>
        <w:t>centres</w:t>
      </w:r>
      <w:proofErr w:type="spellEnd"/>
      <w:r w:rsidR="00F4167B" w:rsidRPr="00A841E7">
        <w:rPr>
          <w:rFonts w:ascii="Times New Roman" w:hAnsi="Times New Roman" w:cs="Times New Roman"/>
          <w:sz w:val="20"/>
          <w:szCs w:val="20"/>
        </w:rPr>
        <w:t>,</w:t>
      </w:r>
      <w:r w:rsidR="00BE7EDD" w:rsidRPr="00A841E7">
        <w:rPr>
          <w:rFonts w:ascii="Times New Roman" w:hAnsi="Times New Roman" w:cs="Times New Roman"/>
          <w:sz w:val="20"/>
          <w:szCs w:val="20"/>
        </w:rPr>
        <w:t xml:space="preserve"> with 10 units providing data on &gt;50 isolates</w:t>
      </w:r>
      <w:r w:rsidR="00F4167B" w:rsidRPr="00A841E7">
        <w:rPr>
          <w:rFonts w:ascii="Times New Roman" w:hAnsi="Times New Roman" w:cs="Times New Roman"/>
          <w:sz w:val="20"/>
          <w:szCs w:val="20"/>
        </w:rPr>
        <w:t>.</w:t>
      </w:r>
      <w:r w:rsidR="00A54A3B" w:rsidRPr="00A841E7">
        <w:rPr>
          <w:rFonts w:ascii="Times New Roman" w:hAnsi="Times New Roman" w:cs="Times New Roman"/>
          <w:sz w:val="20"/>
          <w:szCs w:val="20"/>
        </w:rPr>
        <w:t xml:space="preserve"> </w:t>
      </w:r>
      <w:r w:rsidR="00F4167B" w:rsidRPr="00A841E7">
        <w:rPr>
          <w:rFonts w:ascii="Times New Roman" w:hAnsi="Times New Roman" w:cs="Times New Roman"/>
          <w:sz w:val="20"/>
          <w:szCs w:val="20"/>
        </w:rPr>
        <w:t>This</w:t>
      </w:r>
      <w:r w:rsidR="00A54A3B" w:rsidRPr="00A841E7">
        <w:rPr>
          <w:rFonts w:ascii="Times New Roman" w:hAnsi="Times New Roman" w:cs="Times New Roman"/>
          <w:sz w:val="20"/>
          <w:szCs w:val="20"/>
        </w:rPr>
        <w:t xml:space="preserve"> may impact the </w:t>
      </w:r>
      <w:proofErr w:type="spellStart"/>
      <w:r w:rsidR="00A54A3B" w:rsidRPr="00A841E7">
        <w:rPr>
          <w:rFonts w:ascii="Times New Roman" w:hAnsi="Times New Roman" w:cs="Times New Roman"/>
          <w:sz w:val="20"/>
          <w:szCs w:val="20"/>
        </w:rPr>
        <w:t>generalisability</w:t>
      </w:r>
      <w:proofErr w:type="spellEnd"/>
      <w:r w:rsidR="00A54A3B" w:rsidRPr="00A841E7">
        <w:rPr>
          <w:rFonts w:ascii="Times New Roman" w:hAnsi="Times New Roman" w:cs="Times New Roman"/>
          <w:sz w:val="20"/>
          <w:szCs w:val="20"/>
        </w:rPr>
        <w:t xml:space="preserve"> of the data.</w:t>
      </w:r>
      <w:r w:rsidR="00BE7EDD" w:rsidRPr="00A841E7">
        <w:rPr>
          <w:rFonts w:ascii="Times New Roman" w:hAnsi="Times New Roman" w:cs="Times New Roman"/>
          <w:sz w:val="20"/>
          <w:szCs w:val="20"/>
        </w:rPr>
        <w:t xml:space="preserve">  </w:t>
      </w:r>
    </w:p>
    <w:p w:rsidR="005912CB" w:rsidRPr="00A841E7" w:rsidRDefault="00F4167B" w:rsidP="005912CB">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These results </w:t>
      </w:r>
      <w:r w:rsidR="007B010D" w:rsidRPr="00A841E7">
        <w:rPr>
          <w:rFonts w:ascii="Times New Roman" w:hAnsi="Times New Roman" w:cs="Times New Roman"/>
          <w:sz w:val="20"/>
          <w:szCs w:val="20"/>
        </w:rPr>
        <w:t xml:space="preserve">highlight a number of important areas for future research, particularly with respect to the use of </w:t>
      </w:r>
      <w:r w:rsidRPr="00A841E7">
        <w:rPr>
          <w:rFonts w:ascii="Times New Roman" w:hAnsi="Times New Roman" w:cs="Times New Roman"/>
          <w:sz w:val="20"/>
          <w:szCs w:val="20"/>
        </w:rPr>
        <w:t>risk-factor based guidelines</w:t>
      </w:r>
      <w:r w:rsidR="007B010D" w:rsidRPr="00A841E7">
        <w:rPr>
          <w:rFonts w:ascii="Times New Roman" w:hAnsi="Times New Roman" w:cs="Times New Roman"/>
          <w:sz w:val="20"/>
          <w:szCs w:val="20"/>
        </w:rPr>
        <w:t xml:space="preserve"> for empiric antimicrobial policies.  The introduction of </w:t>
      </w:r>
      <w:r w:rsidRPr="00A841E7">
        <w:rPr>
          <w:rFonts w:ascii="Times New Roman" w:hAnsi="Times New Roman" w:cs="Times New Roman"/>
          <w:sz w:val="20"/>
          <w:szCs w:val="20"/>
        </w:rPr>
        <w:t>such</w:t>
      </w:r>
      <w:r w:rsidR="007B010D" w:rsidRPr="00A841E7">
        <w:rPr>
          <w:rFonts w:ascii="Times New Roman" w:hAnsi="Times New Roman" w:cs="Times New Roman"/>
          <w:sz w:val="20"/>
          <w:szCs w:val="20"/>
        </w:rPr>
        <w:t xml:space="preserve"> guidelines, </w:t>
      </w:r>
      <w:r w:rsidRPr="00A841E7">
        <w:rPr>
          <w:rFonts w:ascii="Times New Roman" w:hAnsi="Times New Roman" w:cs="Times New Roman"/>
          <w:sz w:val="20"/>
          <w:szCs w:val="20"/>
        </w:rPr>
        <w:t>for example</w:t>
      </w:r>
      <w:r w:rsidR="007B010D" w:rsidRPr="00A841E7">
        <w:rPr>
          <w:rFonts w:ascii="Times New Roman" w:hAnsi="Times New Roman" w:cs="Times New Roman"/>
          <w:sz w:val="20"/>
          <w:szCs w:val="20"/>
        </w:rPr>
        <w:t xml:space="preserve"> those proposed for infants &lt;1500g or &lt;32 weeks gestation, would be of significant clinical value if further validated.  Future research in this area would inform the development of a simple and clinically relevant guideline which could easily be implemented in neonatal units.</w:t>
      </w:r>
    </w:p>
    <w:p w:rsidR="007B010D" w:rsidRPr="00A841E7" w:rsidRDefault="007B010D" w:rsidP="005912CB">
      <w:pPr>
        <w:tabs>
          <w:tab w:val="num" w:pos="1440"/>
        </w:tabs>
        <w:spacing w:line="480" w:lineRule="auto"/>
        <w:rPr>
          <w:rFonts w:ascii="Times New Roman" w:hAnsi="Times New Roman" w:cs="Times New Roman"/>
          <w:sz w:val="20"/>
          <w:szCs w:val="20"/>
        </w:rPr>
      </w:pPr>
      <w:r w:rsidRPr="00A841E7">
        <w:rPr>
          <w:rFonts w:ascii="Times New Roman" w:hAnsi="Times New Roman" w:cs="Times New Roman"/>
          <w:sz w:val="20"/>
          <w:szCs w:val="20"/>
        </w:rPr>
        <w:t>This study provides unique insights into the antimicrobial resistance patterns exhibited by the pathogens which commonly cause neonatal infections in tertiary UK neonatal units. It presents new data of clinical value which could provide direction for the development of novel risk-factor based guidelines for empiric antimicrobial treatment which may in turn lead to better health outcomes for our neonatal popul</w:t>
      </w:r>
      <w:r w:rsidR="00B77B98" w:rsidRPr="00A841E7">
        <w:rPr>
          <w:rFonts w:ascii="Times New Roman" w:hAnsi="Times New Roman" w:cs="Times New Roman"/>
          <w:sz w:val="20"/>
          <w:szCs w:val="20"/>
        </w:rPr>
        <w:t>ation</w:t>
      </w:r>
      <w:r w:rsidRPr="00A841E7">
        <w:rPr>
          <w:rFonts w:ascii="Times New Roman" w:hAnsi="Times New Roman" w:cs="Times New Roman"/>
          <w:sz w:val="20"/>
          <w:szCs w:val="20"/>
        </w:rPr>
        <w:t>.</w:t>
      </w:r>
    </w:p>
    <w:p w:rsidR="007B010D" w:rsidRPr="00A841E7" w:rsidRDefault="00095F98" w:rsidP="005658EF">
      <w:pPr>
        <w:spacing w:line="480" w:lineRule="auto"/>
        <w:rPr>
          <w:rFonts w:ascii="Times New Roman" w:hAnsi="Times New Roman" w:cs="Times New Roman"/>
          <w:b/>
          <w:sz w:val="20"/>
          <w:szCs w:val="20"/>
          <w:u w:val="single"/>
        </w:rPr>
      </w:pPr>
      <w:r w:rsidRPr="00A841E7">
        <w:rPr>
          <w:rFonts w:ascii="Times New Roman" w:hAnsi="Times New Roman" w:cs="Times New Roman"/>
          <w:b/>
          <w:sz w:val="20"/>
          <w:szCs w:val="20"/>
          <w:u w:val="single"/>
        </w:rPr>
        <w:br w:type="page"/>
      </w:r>
      <w:r w:rsidR="007B010D" w:rsidRPr="00A841E7">
        <w:rPr>
          <w:rFonts w:ascii="Times New Roman" w:hAnsi="Times New Roman" w:cs="Times New Roman"/>
          <w:b/>
          <w:sz w:val="20"/>
          <w:szCs w:val="20"/>
          <w:u w:val="single"/>
        </w:rPr>
        <w:t>References:</w:t>
      </w:r>
    </w:p>
    <w:p w:rsidR="007B010D" w:rsidRPr="00A841E7" w:rsidRDefault="00596D57" w:rsidP="005658EF">
      <w:pPr>
        <w:pStyle w:val="EndNoteBibliography"/>
        <w:spacing w:after="0" w:line="480" w:lineRule="auto"/>
      </w:pPr>
      <w:r w:rsidRPr="00A841E7">
        <w:t xml:space="preserve">1. </w:t>
      </w:r>
      <w:r w:rsidR="007B010D" w:rsidRPr="00A841E7">
        <w:t xml:space="preserve">Zea-Vera A, Ochoa TJ. Challenges in the diagnosis and management of neonatal sepsis. </w:t>
      </w:r>
      <w:r w:rsidRPr="00A841E7">
        <w:rPr>
          <w:i/>
        </w:rPr>
        <w:t>J Trop Pediatr</w:t>
      </w:r>
      <w:r w:rsidR="007B010D" w:rsidRPr="00A841E7">
        <w:t>. 2015;</w:t>
      </w:r>
      <w:r w:rsidR="007B010D" w:rsidRPr="00A841E7">
        <w:rPr>
          <w:b/>
        </w:rPr>
        <w:t>61</w:t>
      </w:r>
      <w:r w:rsidR="007B010D" w:rsidRPr="00A841E7">
        <w:t>:1-13.</w:t>
      </w:r>
    </w:p>
    <w:p w:rsidR="007B010D" w:rsidRPr="00A841E7" w:rsidRDefault="00596D57" w:rsidP="005658EF">
      <w:pPr>
        <w:pStyle w:val="EndNoteBibliography"/>
        <w:spacing w:after="0" w:line="480" w:lineRule="auto"/>
      </w:pPr>
      <w:r w:rsidRPr="00A841E7">
        <w:t xml:space="preserve">2. </w:t>
      </w:r>
      <w:r w:rsidR="007B010D" w:rsidRPr="00A841E7">
        <w:t xml:space="preserve">Tzialla C, Borghesi A, Pozzi M, Stronati M. Neonatal infections due to multi-resistant strains: epidemiology, current treatment, emerging therapeutic approaches and prevention. </w:t>
      </w:r>
      <w:r w:rsidR="007B010D" w:rsidRPr="00A841E7">
        <w:rPr>
          <w:i/>
        </w:rPr>
        <w:t>Clin Chim Acta</w:t>
      </w:r>
      <w:r w:rsidR="007B010D" w:rsidRPr="00A841E7">
        <w:t>. 2015;</w:t>
      </w:r>
      <w:r w:rsidR="007B010D" w:rsidRPr="00A841E7">
        <w:rPr>
          <w:b/>
        </w:rPr>
        <w:t>S0009-8981</w:t>
      </w:r>
      <w:r w:rsidR="007B010D" w:rsidRPr="00A841E7">
        <w:t>:00122-9.</w:t>
      </w:r>
    </w:p>
    <w:p w:rsidR="007B010D" w:rsidRPr="00A841E7" w:rsidRDefault="00596D57" w:rsidP="005658EF">
      <w:pPr>
        <w:pStyle w:val="EndNoteBibliography"/>
        <w:spacing w:after="0" w:line="480" w:lineRule="auto"/>
      </w:pPr>
      <w:r w:rsidRPr="00A841E7">
        <w:t xml:space="preserve">3. </w:t>
      </w:r>
      <w:r w:rsidR="007B010D" w:rsidRPr="00A841E7">
        <w:t>Depani SJ, Ladhani S, Heath PT</w:t>
      </w:r>
      <w:r w:rsidR="007B010D" w:rsidRPr="00A841E7">
        <w:rPr>
          <w:i/>
        </w:rPr>
        <w:t>, et al.</w:t>
      </w:r>
      <w:r w:rsidR="007B010D" w:rsidRPr="00A841E7">
        <w:t xml:space="preserve"> The contribution of infections to neonatal deaths in England and Wales. </w:t>
      </w:r>
      <w:r w:rsidRPr="00A841E7">
        <w:rPr>
          <w:i/>
        </w:rPr>
        <w:t>Pediatr Infect Dis J</w:t>
      </w:r>
      <w:r w:rsidR="007B010D" w:rsidRPr="00A841E7">
        <w:t>. 2011;</w:t>
      </w:r>
      <w:r w:rsidR="007B010D" w:rsidRPr="00A841E7">
        <w:rPr>
          <w:b/>
        </w:rPr>
        <w:t>30</w:t>
      </w:r>
      <w:r w:rsidR="007B010D" w:rsidRPr="00A841E7">
        <w:t>:345-7.</w:t>
      </w:r>
    </w:p>
    <w:p w:rsidR="007B010D" w:rsidRPr="00A841E7" w:rsidRDefault="00596D57" w:rsidP="005658EF">
      <w:pPr>
        <w:pStyle w:val="EndNoteBibliography"/>
        <w:spacing w:after="0" w:line="480" w:lineRule="auto"/>
      </w:pPr>
      <w:r w:rsidRPr="00A841E7">
        <w:t xml:space="preserve">4. </w:t>
      </w:r>
      <w:r w:rsidR="007B010D" w:rsidRPr="00A841E7">
        <w:t xml:space="preserve">Camacho-Gonzalez A, Spearman PW, Stoll BJ. Neonatal infectious diseases: evaluation of neonatal sepsis. </w:t>
      </w:r>
      <w:r w:rsidR="007B010D" w:rsidRPr="00A841E7">
        <w:rPr>
          <w:i/>
        </w:rPr>
        <w:t>Pediatr Clin North Am</w:t>
      </w:r>
      <w:r w:rsidR="007B010D" w:rsidRPr="00A841E7">
        <w:t>. 2013;</w:t>
      </w:r>
      <w:r w:rsidR="007B010D" w:rsidRPr="00A841E7">
        <w:rPr>
          <w:b/>
        </w:rPr>
        <w:t>60</w:t>
      </w:r>
      <w:r w:rsidR="007B010D" w:rsidRPr="00A841E7">
        <w:t>:367-89.</w:t>
      </w:r>
    </w:p>
    <w:p w:rsidR="007B010D" w:rsidRPr="00A841E7" w:rsidRDefault="00596D57" w:rsidP="005658EF">
      <w:pPr>
        <w:pStyle w:val="EndNoteBibliography"/>
        <w:spacing w:after="0" w:line="480" w:lineRule="auto"/>
      </w:pPr>
      <w:r w:rsidRPr="00A841E7">
        <w:t xml:space="preserve">5. </w:t>
      </w:r>
      <w:r w:rsidR="007B010D" w:rsidRPr="00A841E7">
        <w:t xml:space="preserve">Adams-Chapman I, Stoll BJ. Neonatal infection and long-term neurodevelopmental outcome in the preterm infant. </w:t>
      </w:r>
      <w:r w:rsidRPr="00A841E7">
        <w:rPr>
          <w:i/>
        </w:rPr>
        <w:t>Curr Opin Infect Dis</w:t>
      </w:r>
      <w:r w:rsidR="007B010D" w:rsidRPr="00A841E7">
        <w:t>. 2006;</w:t>
      </w:r>
      <w:r w:rsidR="007B010D" w:rsidRPr="00A841E7">
        <w:rPr>
          <w:b/>
        </w:rPr>
        <w:t>19</w:t>
      </w:r>
      <w:r w:rsidR="007B010D" w:rsidRPr="00A841E7">
        <w:t>:290-7.</w:t>
      </w:r>
    </w:p>
    <w:p w:rsidR="007B010D" w:rsidRPr="00A841E7" w:rsidRDefault="00596D57" w:rsidP="005658EF">
      <w:pPr>
        <w:pStyle w:val="EndNoteBibliography"/>
        <w:spacing w:after="0" w:line="480" w:lineRule="auto"/>
      </w:pPr>
      <w:r w:rsidRPr="00A841E7">
        <w:t xml:space="preserve">6. </w:t>
      </w:r>
      <w:r w:rsidR="007B010D" w:rsidRPr="00A841E7">
        <w:t xml:space="preserve">Shah BA, Padbury JF. Neonatal sepsis: an old problem with new insights. </w:t>
      </w:r>
      <w:r w:rsidR="007B010D" w:rsidRPr="00A841E7">
        <w:rPr>
          <w:i/>
        </w:rPr>
        <w:t>Virulence</w:t>
      </w:r>
      <w:r w:rsidR="007B010D" w:rsidRPr="00A841E7">
        <w:t>. 2014;</w:t>
      </w:r>
      <w:r w:rsidR="007B010D" w:rsidRPr="00A841E7">
        <w:rPr>
          <w:b/>
        </w:rPr>
        <w:t>5</w:t>
      </w:r>
      <w:r w:rsidR="007B010D" w:rsidRPr="00A841E7">
        <w:t>:170-8.</w:t>
      </w:r>
    </w:p>
    <w:p w:rsidR="007B010D" w:rsidRPr="00A841E7" w:rsidRDefault="00596D57" w:rsidP="005658EF">
      <w:pPr>
        <w:pStyle w:val="EndNoteBibliography"/>
        <w:spacing w:after="0" w:line="480" w:lineRule="auto"/>
      </w:pPr>
      <w:r w:rsidRPr="00A841E7">
        <w:t xml:space="preserve">7. </w:t>
      </w:r>
      <w:r w:rsidR="007B010D" w:rsidRPr="00A841E7">
        <w:t xml:space="preserve">Bell BG, Schellevis F, Stobberingh E, Goossens H, Pringle M. A systematic review and meta-analysis of the effects of antibiotic consumption on antibiotic resistance. </w:t>
      </w:r>
      <w:r w:rsidR="007B010D" w:rsidRPr="00A841E7">
        <w:rPr>
          <w:i/>
        </w:rPr>
        <w:t xml:space="preserve">BMC </w:t>
      </w:r>
      <w:r w:rsidRPr="00A841E7">
        <w:rPr>
          <w:i/>
        </w:rPr>
        <w:t>Infect Dis</w:t>
      </w:r>
      <w:r w:rsidR="007B010D" w:rsidRPr="00A841E7">
        <w:t>. 2014;</w:t>
      </w:r>
      <w:r w:rsidR="007B010D" w:rsidRPr="00A841E7">
        <w:rPr>
          <w:b/>
        </w:rPr>
        <w:t>14</w:t>
      </w:r>
      <w:r w:rsidR="007B010D" w:rsidRPr="00A841E7">
        <w:t>:13.</w:t>
      </w:r>
    </w:p>
    <w:p w:rsidR="007B010D" w:rsidRPr="00A841E7" w:rsidRDefault="00596D57" w:rsidP="005658EF">
      <w:pPr>
        <w:pStyle w:val="EndNoteBibliography"/>
        <w:spacing w:after="0" w:line="480" w:lineRule="auto"/>
      </w:pPr>
      <w:r w:rsidRPr="00A841E7">
        <w:t xml:space="preserve">8. </w:t>
      </w:r>
      <w:r w:rsidR="007B010D" w:rsidRPr="00A841E7">
        <w:t xml:space="preserve">Russell AB, Sharland M, Heath PT. Improving antibiotic prescribing in neonatal units: time to act. </w:t>
      </w:r>
      <w:r w:rsidRPr="00A841E7">
        <w:rPr>
          <w:i/>
        </w:rPr>
        <w:t>Arch Dis Child Fetal Neonatal Ed</w:t>
      </w:r>
      <w:r w:rsidR="007B010D" w:rsidRPr="00A841E7">
        <w:t>. 2012;</w:t>
      </w:r>
      <w:r w:rsidR="007B010D" w:rsidRPr="00A841E7">
        <w:rPr>
          <w:b/>
        </w:rPr>
        <w:t>97</w:t>
      </w:r>
      <w:r w:rsidR="007B010D" w:rsidRPr="00A841E7">
        <w:t>:F141-F6.</w:t>
      </w:r>
    </w:p>
    <w:p w:rsidR="007B010D" w:rsidRPr="00A841E7" w:rsidRDefault="00596D57" w:rsidP="005658EF">
      <w:pPr>
        <w:pStyle w:val="EndNoteBibliography"/>
        <w:spacing w:after="0" w:line="480" w:lineRule="auto"/>
      </w:pPr>
      <w:r w:rsidRPr="00A841E7">
        <w:t xml:space="preserve">9. </w:t>
      </w:r>
      <w:r w:rsidR="007B010D" w:rsidRPr="00A841E7">
        <w:t xml:space="preserve">Cailes B, Vergnano S, Kortsalioudaki C, Heath P, Sharland M. The current and future roles of neonatal infection surveillance programmes in combating antimicrobial resistance. </w:t>
      </w:r>
      <w:r w:rsidR="007B010D" w:rsidRPr="00A841E7">
        <w:rPr>
          <w:i/>
        </w:rPr>
        <w:t>Early Hum Dev</w:t>
      </w:r>
      <w:r w:rsidR="007B010D" w:rsidRPr="00A841E7">
        <w:t>. 2015;</w:t>
      </w:r>
      <w:r w:rsidR="007B010D" w:rsidRPr="00A841E7">
        <w:rPr>
          <w:b/>
        </w:rPr>
        <w:t>91</w:t>
      </w:r>
      <w:r w:rsidR="007B010D" w:rsidRPr="00A841E7">
        <w:t>:613-8.</w:t>
      </w:r>
    </w:p>
    <w:p w:rsidR="004644FD" w:rsidRPr="00A841E7" w:rsidRDefault="00596D57" w:rsidP="005658EF">
      <w:pPr>
        <w:pStyle w:val="EndNoteBibliography"/>
        <w:spacing w:after="0" w:line="480" w:lineRule="auto"/>
      </w:pPr>
      <w:r w:rsidRPr="00A841E7">
        <w:t xml:space="preserve">10. </w:t>
      </w:r>
      <w:r w:rsidR="004644FD" w:rsidRPr="00A841E7">
        <w:t xml:space="preserve">Laxminarayan R, Matsos P, Pant S, et al. Access to effective antimicrobials: a worldwide challenge. </w:t>
      </w:r>
      <w:r w:rsidR="004644FD" w:rsidRPr="00A841E7">
        <w:rPr>
          <w:i/>
        </w:rPr>
        <w:t>Lancet</w:t>
      </w:r>
      <w:r w:rsidR="004644FD" w:rsidRPr="00A841E7">
        <w:t>. 2016 Jan 9;387(10014):168-75.</w:t>
      </w:r>
    </w:p>
    <w:p w:rsidR="00BF7FE2" w:rsidRPr="00A841E7" w:rsidRDefault="00BF7FE2" w:rsidP="00BF7FE2">
      <w:pPr>
        <w:pStyle w:val="EndNoteBibliography"/>
        <w:spacing w:after="0" w:line="480" w:lineRule="auto"/>
      </w:pPr>
      <w:r w:rsidRPr="00A841E7">
        <w:t>11. Gastmeier P, Sohr D, Schwab F</w:t>
      </w:r>
      <w:r w:rsidRPr="00A841E7">
        <w:rPr>
          <w:i/>
        </w:rPr>
        <w:t>, et al.</w:t>
      </w:r>
      <w:r w:rsidRPr="00A841E7">
        <w:t xml:space="preserve"> Ten years of KISS: the most important requirements for success. </w:t>
      </w:r>
      <w:r w:rsidRPr="00A841E7">
        <w:rPr>
          <w:i/>
        </w:rPr>
        <w:t>J Hosp Infect</w:t>
      </w:r>
      <w:r w:rsidRPr="00A841E7">
        <w:t>. 2008 Oct;</w:t>
      </w:r>
      <w:r w:rsidRPr="00A841E7">
        <w:rPr>
          <w:b/>
        </w:rPr>
        <w:t>70 Suppl 1</w:t>
      </w:r>
      <w:r w:rsidRPr="00A841E7">
        <w:t>:11-6.</w:t>
      </w:r>
    </w:p>
    <w:p w:rsidR="00BF7FE2" w:rsidRPr="00A841E7" w:rsidRDefault="00BF7FE2" w:rsidP="00BF7FE2">
      <w:pPr>
        <w:pStyle w:val="EndNoteBibliography"/>
        <w:spacing w:after="0" w:line="480" w:lineRule="auto"/>
      </w:pPr>
      <w:r w:rsidRPr="00A841E7">
        <w:t xml:space="preserve">12. Isaacs D, Royle JA. Intrapartum antibiotics and early onset neonatal sepsis caused by group B Streptococcus and by other organisms in Australia. Australasian Study Group for Neonatal Infections. </w:t>
      </w:r>
      <w:r w:rsidRPr="00A841E7">
        <w:rPr>
          <w:i/>
        </w:rPr>
        <w:t>Pediatr Infect Dis J</w:t>
      </w:r>
      <w:r w:rsidRPr="00A841E7">
        <w:t>. 1999 Jun;</w:t>
      </w:r>
      <w:r w:rsidRPr="00A841E7">
        <w:rPr>
          <w:b/>
        </w:rPr>
        <w:t>18(6)</w:t>
      </w:r>
      <w:r w:rsidRPr="00A841E7">
        <w:t>:524-8.</w:t>
      </w:r>
    </w:p>
    <w:p w:rsidR="00BF7FE2" w:rsidRPr="00A841E7" w:rsidRDefault="00BF7FE2" w:rsidP="005658EF">
      <w:pPr>
        <w:pStyle w:val="EndNoteBibliography"/>
        <w:spacing w:after="0" w:line="480" w:lineRule="auto"/>
      </w:pPr>
      <w:r w:rsidRPr="00A841E7">
        <w:t xml:space="preserve">13. Stoll BJ, Hansen N. Infections in VLBW infants: studies from the NICHD Neonatal Research Network. </w:t>
      </w:r>
      <w:r w:rsidRPr="00A841E7">
        <w:rPr>
          <w:i/>
        </w:rPr>
        <w:t>Semin Perinatol</w:t>
      </w:r>
      <w:r w:rsidRPr="00A841E7">
        <w:t>. 2003 Aug;</w:t>
      </w:r>
      <w:r w:rsidRPr="00A841E7">
        <w:rPr>
          <w:b/>
        </w:rPr>
        <w:t>27(4)</w:t>
      </w:r>
      <w:r w:rsidRPr="00A841E7">
        <w:t>:293-301.</w:t>
      </w:r>
    </w:p>
    <w:p w:rsidR="007B010D" w:rsidRPr="00A841E7" w:rsidRDefault="004644FD" w:rsidP="005658EF">
      <w:pPr>
        <w:pStyle w:val="EndNoteBibliography"/>
        <w:spacing w:after="0" w:line="480" w:lineRule="auto"/>
      </w:pPr>
      <w:r w:rsidRPr="00A841E7">
        <w:t>1</w:t>
      </w:r>
      <w:r w:rsidR="00BF7FE2" w:rsidRPr="00A841E7">
        <w:t>4</w:t>
      </w:r>
      <w:r w:rsidR="00596D57" w:rsidRPr="00A841E7">
        <w:t xml:space="preserve">. </w:t>
      </w:r>
      <w:r w:rsidR="007B010D" w:rsidRPr="00A841E7">
        <w:t>BMJ Group. BNF for children. London: BMJ Group; 2012.</w:t>
      </w:r>
    </w:p>
    <w:p w:rsidR="007B010D" w:rsidRPr="00A841E7" w:rsidRDefault="004644FD" w:rsidP="005658EF">
      <w:pPr>
        <w:pStyle w:val="EndNoteBibliography"/>
        <w:spacing w:after="0" w:line="480" w:lineRule="auto"/>
      </w:pPr>
      <w:r w:rsidRPr="00A841E7">
        <w:t>1</w:t>
      </w:r>
      <w:r w:rsidR="00BF7FE2" w:rsidRPr="00A841E7">
        <w:t>5</w:t>
      </w:r>
      <w:r w:rsidR="00596D57" w:rsidRPr="00A841E7">
        <w:t xml:space="preserve">. </w:t>
      </w:r>
      <w:r w:rsidR="007B010D" w:rsidRPr="00A841E7">
        <w:t xml:space="preserve">National Institute for Health and Care Excellence. Antibiotics for early-onset neonatal infection: antibiotics for the prevention and treatment of early-onset neonatal infection.  </w:t>
      </w:r>
      <w:r w:rsidR="007B010D" w:rsidRPr="00A841E7">
        <w:rPr>
          <w:i/>
        </w:rPr>
        <w:t>NICE guidelines</w:t>
      </w:r>
      <w:r w:rsidR="00596D57" w:rsidRPr="00A841E7">
        <w:rPr>
          <w:i/>
        </w:rPr>
        <w:t xml:space="preserve"> </w:t>
      </w:r>
      <w:r w:rsidR="007B010D" w:rsidRPr="00A841E7">
        <w:t>2012.</w:t>
      </w:r>
    </w:p>
    <w:p w:rsidR="007B010D" w:rsidRPr="00A841E7" w:rsidRDefault="004644FD" w:rsidP="005658EF">
      <w:pPr>
        <w:pStyle w:val="EndNoteBibliography"/>
        <w:spacing w:after="0" w:line="480" w:lineRule="auto"/>
      </w:pPr>
      <w:r w:rsidRPr="00A841E7">
        <w:t>1</w:t>
      </w:r>
      <w:r w:rsidR="00BF7FE2" w:rsidRPr="00A841E7">
        <w:t>6</w:t>
      </w:r>
      <w:r w:rsidR="00596D57" w:rsidRPr="00A841E7">
        <w:t xml:space="preserve">. </w:t>
      </w:r>
      <w:r w:rsidR="007B010D" w:rsidRPr="00A841E7">
        <w:t xml:space="preserve">Fernando AM, Heath PT, Menson EN. Antimicrobial policies in the neonatal units of the United Kingdom and Republic of Ireland. </w:t>
      </w:r>
      <w:r w:rsidR="00596D57" w:rsidRPr="00A841E7">
        <w:rPr>
          <w:i/>
        </w:rPr>
        <w:t>J Antimicrob Chemother</w:t>
      </w:r>
      <w:r w:rsidR="007B010D" w:rsidRPr="00A841E7">
        <w:t>. 2008;</w:t>
      </w:r>
      <w:r w:rsidR="007B010D" w:rsidRPr="00A841E7">
        <w:rPr>
          <w:b/>
        </w:rPr>
        <w:t>61</w:t>
      </w:r>
      <w:r w:rsidR="007B010D" w:rsidRPr="00A841E7">
        <w:t>:743-5.</w:t>
      </w:r>
    </w:p>
    <w:p w:rsidR="007B010D" w:rsidRPr="00A841E7" w:rsidRDefault="004644FD" w:rsidP="005658EF">
      <w:pPr>
        <w:pStyle w:val="EndNoteBibliography"/>
        <w:spacing w:after="0" w:line="480" w:lineRule="auto"/>
      </w:pPr>
      <w:r w:rsidRPr="00A841E7">
        <w:t>1</w:t>
      </w:r>
      <w:r w:rsidR="00BF7FE2" w:rsidRPr="00A841E7">
        <w:t>7</w:t>
      </w:r>
      <w:r w:rsidR="00596D57" w:rsidRPr="00A841E7">
        <w:t xml:space="preserve">. </w:t>
      </w:r>
      <w:r w:rsidR="007B010D" w:rsidRPr="00A841E7">
        <w:t>Muller-Pebody B, Johnson AP, Heath PT</w:t>
      </w:r>
      <w:r w:rsidR="007B010D" w:rsidRPr="00A841E7">
        <w:rPr>
          <w:i/>
        </w:rPr>
        <w:t>, et al.</w:t>
      </w:r>
      <w:r w:rsidR="007B010D" w:rsidRPr="00A841E7">
        <w:t xml:space="preserve"> Empirical treatment of neonatal sepsis: are the current guidelines adequate? </w:t>
      </w:r>
      <w:r w:rsidR="00596D57" w:rsidRPr="00A841E7">
        <w:rPr>
          <w:i/>
        </w:rPr>
        <w:t>Arch Dis Child Fetal Neonatal Ed</w:t>
      </w:r>
      <w:r w:rsidR="007B010D" w:rsidRPr="00A841E7">
        <w:t>. 2011;</w:t>
      </w:r>
      <w:r w:rsidR="007B010D" w:rsidRPr="00A841E7">
        <w:rPr>
          <w:b/>
        </w:rPr>
        <w:t>96</w:t>
      </w:r>
      <w:r w:rsidR="007B010D" w:rsidRPr="00A841E7">
        <w:t>:F4-8.</w:t>
      </w:r>
    </w:p>
    <w:p w:rsidR="00BF7FE2" w:rsidRPr="00A841E7" w:rsidRDefault="00BF7FE2" w:rsidP="005658EF">
      <w:pPr>
        <w:pStyle w:val="EndNoteBibliography"/>
        <w:spacing w:after="0" w:line="480" w:lineRule="auto"/>
      </w:pPr>
      <w:r w:rsidRPr="00A841E7">
        <w:t>18. Vergnano S, Menson E, Kennea N</w:t>
      </w:r>
      <w:r w:rsidRPr="00A841E7">
        <w:rPr>
          <w:i/>
        </w:rPr>
        <w:t>, et al.</w:t>
      </w:r>
      <w:r w:rsidRPr="00A841E7">
        <w:t xml:space="preserve"> Neonatal infections in England: the NeonIN surveillance network. </w:t>
      </w:r>
      <w:r w:rsidRPr="00A841E7">
        <w:rPr>
          <w:i/>
        </w:rPr>
        <w:t>Arch Dis Child Fetal Neonatal Ed</w:t>
      </w:r>
      <w:r w:rsidRPr="00A841E7">
        <w:t>. 2011;</w:t>
      </w:r>
      <w:r w:rsidRPr="00A841E7">
        <w:rPr>
          <w:b/>
        </w:rPr>
        <w:t>96</w:t>
      </w:r>
      <w:r w:rsidRPr="00A841E7">
        <w:t>:F9-F14.</w:t>
      </w:r>
    </w:p>
    <w:p w:rsidR="007B010D" w:rsidRPr="00A841E7" w:rsidRDefault="004644FD" w:rsidP="005658EF">
      <w:pPr>
        <w:pStyle w:val="EndNoteBibliography"/>
        <w:spacing w:after="0" w:line="480" w:lineRule="auto"/>
      </w:pPr>
      <w:r w:rsidRPr="00A841E7">
        <w:t>1</w:t>
      </w:r>
      <w:r w:rsidR="00BF7FE2" w:rsidRPr="00A841E7">
        <w:t>9</w:t>
      </w:r>
      <w:r w:rsidR="00596D57" w:rsidRPr="00A841E7">
        <w:t xml:space="preserve">. </w:t>
      </w:r>
      <w:r w:rsidR="007B010D" w:rsidRPr="00A841E7">
        <w:t xml:space="preserve">de Man P, Verhoeven BA, Verbrugh HA, Vos MC, van den Anker JN. An antibiotic policy to prevent emergence of resistant bacilli. </w:t>
      </w:r>
      <w:r w:rsidR="007B010D" w:rsidRPr="00A841E7">
        <w:rPr>
          <w:i/>
        </w:rPr>
        <w:t>Lancet</w:t>
      </w:r>
      <w:r w:rsidR="007B010D" w:rsidRPr="00A841E7">
        <w:t>. 2000;</w:t>
      </w:r>
      <w:r w:rsidR="007B010D" w:rsidRPr="00A841E7">
        <w:rPr>
          <w:b/>
        </w:rPr>
        <w:t>355</w:t>
      </w:r>
      <w:r w:rsidR="007B010D" w:rsidRPr="00A841E7">
        <w:t>:973-8.</w:t>
      </w:r>
    </w:p>
    <w:p w:rsidR="007B010D" w:rsidRPr="00A841E7" w:rsidRDefault="00BF7FE2" w:rsidP="005658EF">
      <w:pPr>
        <w:pStyle w:val="EndNoteBibliography"/>
        <w:spacing w:after="0" w:line="480" w:lineRule="auto"/>
      </w:pPr>
      <w:r w:rsidRPr="00A841E7">
        <w:t>20</w:t>
      </w:r>
      <w:r w:rsidR="00596D57" w:rsidRPr="00A841E7">
        <w:t xml:space="preserve">. </w:t>
      </w:r>
      <w:r w:rsidR="007B010D" w:rsidRPr="00A841E7">
        <w:t>National Institute for Health and Care Excellence. Meningitis (bacterial) and meningococcal septicaemia in under 16s: recognition, diagnosis and management. 2010.</w:t>
      </w:r>
    </w:p>
    <w:p w:rsidR="007B010D" w:rsidRPr="00A841E7" w:rsidRDefault="00BF7FE2" w:rsidP="005658EF">
      <w:pPr>
        <w:pStyle w:val="EndNoteBibliography"/>
        <w:spacing w:after="0" w:line="480" w:lineRule="auto"/>
      </w:pPr>
      <w:r w:rsidRPr="00A841E7">
        <w:t>21</w:t>
      </w:r>
      <w:r w:rsidR="00596D57" w:rsidRPr="00A841E7">
        <w:t xml:space="preserve">. </w:t>
      </w:r>
      <w:r w:rsidR="007B010D" w:rsidRPr="00A841E7">
        <w:t xml:space="preserve">Ho J, Tambyah PA, Paterson DL. Multiresistant Gram-negative infections: a global perspective. </w:t>
      </w:r>
      <w:r w:rsidR="00596D57" w:rsidRPr="00A841E7">
        <w:rPr>
          <w:i/>
        </w:rPr>
        <w:t>Curr Opin Infect Dis</w:t>
      </w:r>
      <w:r w:rsidR="007B010D" w:rsidRPr="00A841E7">
        <w:t>. 2010;</w:t>
      </w:r>
      <w:r w:rsidR="007B010D" w:rsidRPr="00A841E7">
        <w:rPr>
          <w:b/>
        </w:rPr>
        <w:t>23</w:t>
      </w:r>
      <w:r w:rsidR="007B010D" w:rsidRPr="00A841E7">
        <w:t>:546-53.</w:t>
      </w:r>
    </w:p>
    <w:p w:rsidR="00BE605F" w:rsidRPr="00A841E7" w:rsidRDefault="004644FD" w:rsidP="00BE605F">
      <w:pPr>
        <w:pStyle w:val="EndNoteBibliography"/>
        <w:spacing w:after="0" w:line="480" w:lineRule="auto"/>
      </w:pPr>
      <w:r w:rsidRPr="00A841E7">
        <w:t>2</w:t>
      </w:r>
      <w:r w:rsidR="00BF7FE2" w:rsidRPr="00A841E7">
        <w:t>2</w:t>
      </w:r>
      <w:r w:rsidR="00596D57" w:rsidRPr="00A841E7">
        <w:t xml:space="preserve">. </w:t>
      </w:r>
      <w:r w:rsidR="007B010D" w:rsidRPr="00A841E7">
        <w:t xml:space="preserve">Avent ML, Vaska VL, Rogers BA, et al. Vancomycin therapeutics and monitoring: a contemporary approach. </w:t>
      </w:r>
      <w:r w:rsidR="00596D57" w:rsidRPr="00A841E7">
        <w:rPr>
          <w:i/>
        </w:rPr>
        <w:t>Intern Med</w:t>
      </w:r>
      <w:r w:rsidR="007B010D" w:rsidRPr="00A841E7">
        <w:t>. 2013;43:110-9.</w:t>
      </w:r>
      <w:r w:rsidR="008623C4" w:rsidRPr="00A841E7">
        <w:br/>
        <w:t>2</w:t>
      </w:r>
      <w:r w:rsidR="00BF7FE2" w:rsidRPr="00A841E7">
        <w:t>3</w:t>
      </w:r>
      <w:r w:rsidR="008623C4" w:rsidRPr="00A841E7">
        <w:t xml:space="preserve">. </w:t>
      </w:r>
      <w:r w:rsidR="00BE605F" w:rsidRPr="00A841E7">
        <w:t>Jean-Baptiste N, Benjamin DK Jr., Cohen-Wolkowiez M, et al. Coagulase-negative staphylococcal infections in the neonatal intensive care unit. Infect Control Hosp Epidemiol. 2011;32:679-86.</w:t>
      </w:r>
    </w:p>
    <w:p w:rsidR="008623C4" w:rsidRPr="00A841E7" w:rsidRDefault="00BE605F" w:rsidP="008623C4">
      <w:pPr>
        <w:pStyle w:val="EndNoteBibliography"/>
        <w:spacing w:after="0" w:line="480" w:lineRule="auto"/>
      </w:pPr>
      <w:r w:rsidRPr="00A841E7">
        <w:t>2</w:t>
      </w:r>
      <w:r w:rsidR="00BF7FE2" w:rsidRPr="00A841E7">
        <w:t>4</w:t>
      </w:r>
      <w:r w:rsidRPr="00A841E7">
        <w:t xml:space="preserve">. </w:t>
      </w:r>
      <w:r w:rsidR="008623C4" w:rsidRPr="00A841E7">
        <w:t xml:space="preserve">Torres C, Tenorio C, Lantero M, Gastanares MJ, Baguero F. High-level penicillin resistance and penicillin-gentamicin synergy in Enterococcus faecium. </w:t>
      </w:r>
      <w:r w:rsidR="008623C4" w:rsidRPr="00A841E7">
        <w:rPr>
          <w:i/>
        </w:rPr>
        <w:t>Antimicrob Agents Chemother</w:t>
      </w:r>
      <w:r w:rsidR="008623C4" w:rsidRPr="00A841E7">
        <w:t>. 1993 Nov;37(11):2427-31.</w:t>
      </w:r>
    </w:p>
    <w:p w:rsidR="008623C4" w:rsidRPr="00A841E7" w:rsidRDefault="008623C4" w:rsidP="005658EF">
      <w:pPr>
        <w:pStyle w:val="EndNoteBibliography"/>
        <w:spacing w:line="480" w:lineRule="auto"/>
      </w:pPr>
    </w:p>
    <w:p w:rsidR="00B21853" w:rsidRPr="00A841E7" w:rsidRDefault="00B21853" w:rsidP="005658EF">
      <w:pPr>
        <w:spacing w:line="480" w:lineRule="auto"/>
        <w:rPr>
          <w:rFonts w:ascii="Calibri" w:hAnsi="Calibri"/>
          <w:noProof/>
        </w:rPr>
      </w:pPr>
      <w:r w:rsidRPr="00A841E7">
        <w:br w:type="page"/>
      </w:r>
    </w:p>
    <w:tbl>
      <w:tblPr>
        <w:tblStyle w:val="TableGrid"/>
        <w:tblW w:w="0" w:type="auto"/>
        <w:jc w:val="center"/>
        <w:tblLook w:val="04A0" w:firstRow="1" w:lastRow="0" w:firstColumn="1" w:lastColumn="0" w:noHBand="0" w:noVBand="1"/>
      </w:tblPr>
      <w:tblGrid>
        <w:gridCol w:w="1331"/>
        <w:gridCol w:w="2584"/>
        <w:gridCol w:w="1508"/>
      </w:tblGrid>
      <w:tr w:rsidR="00A841E7" w:rsidRPr="00A841E7" w:rsidTr="00F172CF">
        <w:trPr>
          <w:trHeight w:val="111"/>
          <w:jc w:val="center"/>
        </w:trPr>
        <w:tc>
          <w:tcPr>
            <w:tcW w:w="1331"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lang w:val="en-GB"/>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b/>
                <w:bCs/>
                <w:sz w:val="20"/>
                <w:szCs w:val="20"/>
              </w:rPr>
              <w:t>Antibiotic 1</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b/>
                <w:bCs/>
                <w:sz w:val="20"/>
                <w:szCs w:val="20"/>
              </w:rPr>
              <w:t>Antibiotic 2</w:t>
            </w:r>
          </w:p>
        </w:tc>
      </w:tr>
      <w:tr w:rsidR="00A841E7" w:rsidRPr="00A841E7" w:rsidTr="00F172CF">
        <w:trPr>
          <w:trHeight w:val="233"/>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b/>
                <w:bCs/>
                <w:sz w:val="20"/>
                <w:szCs w:val="20"/>
              </w:rPr>
              <w:t xml:space="preserve">Early Onset </w:t>
            </w:r>
            <w:r w:rsidRPr="00A841E7">
              <w:rPr>
                <w:rFonts w:ascii="Times New Roman" w:hAnsi="Times New Roman" w:cs="Times New Roman"/>
                <w:b/>
                <w:bCs/>
                <w:sz w:val="20"/>
                <w:szCs w:val="20"/>
              </w:rPr>
              <w:br/>
              <w:t>Sepsis</w:t>
            </w: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roofErr w:type="spellStart"/>
            <w:r w:rsidRPr="00A841E7">
              <w:rPr>
                <w:rFonts w:ascii="Times New Roman" w:hAnsi="Times New Roman" w:cs="Times New Roman"/>
                <w:sz w:val="20"/>
                <w:szCs w:val="20"/>
              </w:rPr>
              <w:t>Benzylpenicillin</w:t>
            </w:r>
            <w:proofErr w:type="spellEnd"/>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Gentamicin</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Cefotaxime</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Gentamicin</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4092"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Cefotaxime</w:t>
            </w:r>
          </w:p>
        </w:tc>
      </w:tr>
      <w:tr w:rsidR="00A841E7" w:rsidRPr="00A841E7" w:rsidTr="00F172CF">
        <w:trPr>
          <w:trHeight w:val="582"/>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b/>
                <w:bCs/>
                <w:sz w:val="20"/>
                <w:szCs w:val="20"/>
              </w:rPr>
              <w:t xml:space="preserve">Late Onset </w:t>
            </w:r>
            <w:r w:rsidRPr="00A841E7">
              <w:rPr>
                <w:rFonts w:ascii="Times New Roman" w:hAnsi="Times New Roman" w:cs="Times New Roman"/>
                <w:b/>
                <w:bCs/>
                <w:sz w:val="20"/>
                <w:szCs w:val="20"/>
              </w:rPr>
              <w:br/>
              <w:t>Sepsis</w:t>
            </w: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Flucloxacillin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Gentamicin</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Cefotaxime</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Gentamicin</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Piperacillin/</w:t>
            </w:r>
            <w:proofErr w:type="spellStart"/>
            <w:r w:rsidRPr="00A841E7">
              <w:rPr>
                <w:rFonts w:ascii="Times New Roman" w:hAnsi="Times New Roman" w:cs="Times New Roman"/>
                <w:sz w:val="20"/>
                <w:szCs w:val="20"/>
              </w:rPr>
              <w:t>Tazobactam</w:t>
            </w:r>
            <w:proofErr w:type="spellEnd"/>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Gentamicin</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Vancomycin</w:t>
            </w:r>
          </w:p>
        </w:tc>
        <w:tc>
          <w:tcPr>
            <w:tcW w:w="150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Cefotaxime</w:t>
            </w:r>
          </w:p>
        </w:tc>
      </w:tr>
      <w:tr w:rsidR="00A841E7"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4092"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Cefotaxime</w:t>
            </w:r>
          </w:p>
        </w:tc>
      </w:tr>
      <w:tr w:rsidR="00B21853" w:rsidRPr="00A841E7" w:rsidTr="00F172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
        </w:tc>
        <w:tc>
          <w:tcPr>
            <w:tcW w:w="4092"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 &amp; Clavulanic acid</w:t>
            </w:r>
          </w:p>
        </w:tc>
      </w:tr>
    </w:tbl>
    <w:p w:rsidR="007B010D" w:rsidRPr="00A841E7" w:rsidRDefault="007B010D" w:rsidP="005658EF">
      <w:pPr>
        <w:spacing w:after="160" w:line="480" w:lineRule="auto"/>
        <w:rPr>
          <w:rFonts w:ascii="Calibri" w:hAnsi="Calibri"/>
          <w:noProof/>
        </w:rPr>
      </w:pPr>
    </w:p>
    <w:p w:rsidR="00B21853" w:rsidRPr="00A841E7" w:rsidRDefault="00B21853" w:rsidP="005658EF">
      <w:pPr>
        <w:spacing w:after="160" w:line="480" w:lineRule="auto"/>
        <w:rPr>
          <w:rFonts w:ascii="Times New Roman" w:hAnsi="Times New Roman" w:cs="Times New Roman"/>
          <w:b/>
          <w:sz w:val="20"/>
          <w:szCs w:val="20"/>
        </w:rPr>
      </w:pPr>
      <w:r w:rsidRPr="00A841E7">
        <w:rPr>
          <w:rFonts w:ascii="Times New Roman" w:hAnsi="Times New Roman" w:cs="Times New Roman"/>
          <w:b/>
          <w:sz w:val="20"/>
          <w:szCs w:val="20"/>
        </w:rPr>
        <w:t>Table 1: Commonly used empiric antibiotic combinations in the treatment of neonatal sepsis.</w:t>
      </w:r>
      <w:r w:rsidR="00777D6B" w:rsidRPr="00A841E7">
        <w:rPr>
          <w:rFonts w:ascii="Times New Roman" w:hAnsi="Times New Roman" w:cs="Times New Roman"/>
          <w:b/>
          <w:sz w:val="20"/>
          <w:szCs w:val="20"/>
        </w:rPr>
        <w:t xml:space="preserve"> </w:t>
      </w:r>
      <w:r w:rsidR="00777D6B" w:rsidRPr="00A841E7">
        <w:rPr>
          <w:rFonts w:ascii="Times New Roman" w:hAnsi="Times New Roman" w:cs="Times New Roman"/>
          <w:sz w:val="20"/>
          <w:szCs w:val="20"/>
        </w:rPr>
        <w:t>Adapted from the British National Formulary for Children recommendations, Muller-</w:t>
      </w:r>
      <w:proofErr w:type="spellStart"/>
      <w:r w:rsidR="00777D6B" w:rsidRPr="00A841E7">
        <w:rPr>
          <w:rFonts w:ascii="Times New Roman" w:hAnsi="Times New Roman" w:cs="Times New Roman"/>
          <w:sz w:val="20"/>
          <w:szCs w:val="20"/>
        </w:rPr>
        <w:t>Pebody</w:t>
      </w:r>
      <w:proofErr w:type="spellEnd"/>
      <w:r w:rsidR="00777D6B" w:rsidRPr="00A841E7">
        <w:rPr>
          <w:rFonts w:ascii="Times New Roman" w:hAnsi="Times New Roman" w:cs="Times New Roman"/>
          <w:sz w:val="20"/>
          <w:szCs w:val="20"/>
        </w:rPr>
        <w:t xml:space="preserve"> et al. and Vergnano et al</w:t>
      </w:r>
      <w:proofErr w:type="gramStart"/>
      <w:r w:rsidR="00777D6B" w:rsidRPr="00A841E7">
        <w:rPr>
          <w:rFonts w:ascii="Times New Roman" w:hAnsi="Times New Roman" w:cs="Times New Roman"/>
          <w:sz w:val="20"/>
          <w:szCs w:val="20"/>
        </w:rPr>
        <w:t>.(</w:t>
      </w:r>
      <w:proofErr w:type="gramEnd"/>
      <w:r w:rsidR="00777D6B" w:rsidRPr="00A841E7">
        <w:rPr>
          <w:rFonts w:ascii="Times New Roman" w:hAnsi="Times New Roman" w:cs="Times New Roman"/>
          <w:sz w:val="20"/>
          <w:szCs w:val="20"/>
        </w:rPr>
        <w:t>10,12,15)</w:t>
      </w:r>
      <w:r w:rsidR="00777D6B" w:rsidRPr="00A841E7">
        <w:rPr>
          <w:rFonts w:ascii="Arial" w:hAnsi="Arial" w:cs="Arial"/>
        </w:rPr>
        <w:t xml:space="preserve"> </w:t>
      </w:r>
    </w:p>
    <w:p w:rsidR="00B21853" w:rsidRPr="00A841E7" w:rsidRDefault="00B21853" w:rsidP="005658EF">
      <w:pPr>
        <w:spacing w:line="480" w:lineRule="auto"/>
        <w:rPr>
          <w:rFonts w:ascii="Times New Roman" w:hAnsi="Times New Roman" w:cs="Times New Roman"/>
          <w:b/>
          <w:sz w:val="20"/>
          <w:szCs w:val="20"/>
        </w:rPr>
      </w:pPr>
      <w:r w:rsidRPr="00A841E7">
        <w:rPr>
          <w:rFonts w:ascii="Times New Roman" w:hAnsi="Times New Roman" w:cs="Times New Roman"/>
          <w:b/>
          <w:sz w:val="20"/>
          <w:szCs w:val="20"/>
        </w:rPr>
        <w:br w:type="page"/>
      </w:r>
    </w:p>
    <w:tbl>
      <w:tblPr>
        <w:tblpPr w:leftFromText="180" w:rightFromText="180" w:vertAnchor="text" w:horzAnchor="margin" w:tblpY="31"/>
        <w:tblW w:w="9080" w:type="dxa"/>
        <w:tblLook w:val="04A0" w:firstRow="1" w:lastRow="0" w:firstColumn="1" w:lastColumn="0" w:noHBand="0" w:noVBand="1"/>
      </w:tblPr>
      <w:tblGrid>
        <w:gridCol w:w="765"/>
        <w:gridCol w:w="2586"/>
        <w:gridCol w:w="1329"/>
        <w:gridCol w:w="1079"/>
        <w:gridCol w:w="1620"/>
        <w:gridCol w:w="1701"/>
      </w:tblGrid>
      <w:tr w:rsidR="00A841E7" w:rsidRPr="00A841E7" w:rsidTr="00F172CF">
        <w:trPr>
          <w:trHeight w:val="300"/>
        </w:trPr>
        <w:tc>
          <w:tcPr>
            <w:tcW w:w="7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p>
        </w:tc>
        <w:tc>
          <w:tcPr>
            <w:tcW w:w="3915" w:type="dxa"/>
            <w:gridSpan w:val="2"/>
            <w:tcBorders>
              <w:top w:val="single" w:sz="8" w:space="0" w:color="auto"/>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Combination</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 Tested</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 Susceptible</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 Susceptible (95% CI)</w:t>
            </w:r>
          </w:p>
        </w:tc>
      </w:tr>
      <w:tr w:rsidR="00A841E7" w:rsidRPr="00A841E7" w:rsidTr="00F172CF">
        <w:trPr>
          <w:trHeight w:val="300"/>
        </w:trPr>
        <w:tc>
          <w:tcPr>
            <w:tcW w:w="76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EOS</w:t>
            </w: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proofErr w:type="spellStart"/>
            <w:r w:rsidRPr="00A841E7">
              <w:rPr>
                <w:rFonts w:ascii="Times New Roman" w:eastAsia="Times New Roman" w:hAnsi="Times New Roman" w:cs="Times New Roman"/>
                <w:sz w:val="20"/>
                <w:szCs w:val="20"/>
                <w:lang w:eastAsia="en-GB"/>
              </w:rPr>
              <w:t>Benzylpenicillin</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Gentamicin</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238</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222</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93 (89-96)</w:t>
            </w:r>
          </w:p>
        </w:tc>
      </w:tr>
      <w:tr w:rsidR="00A841E7" w:rsidRPr="00A841E7" w:rsidTr="00F172CF">
        <w:trPr>
          <w:trHeight w:val="300"/>
        </w:trPr>
        <w:tc>
          <w:tcPr>
            <w:tcW w:w="765" w:type="dxa"/>
            <w:vMerge/>
            <w:tcBorders>
              <w:top w:val="nil"/>
              <w:left w:val="single" w:sz="8" w:space="0" w:color="auto"/>
              <w:bottom w:val="single" w:sz="4" w:space="0" w:color="auto"/>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Amoxicillin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Cefotaxime*</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228</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216</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95 (91-97)</w:t>
            </w:r>
          </w:p>
        </w:tc>
      </w:tr>
      <w:tr w:rsidR="00A841E7" w:rsidRPr="00A841E7" w:rsidTr="00F172CF">
        <w:trPr>
          <w:trHeight w:val="300"/>
        </w:trPr>
        <w:tc>
          <w:tcPr>
            <w:tcW w:w="765" w:type="dxa"/>
            <w:vMerge/>
            <w:tcBorders>
              <w:top w:val="nil"/>
              <w:left w:val="single" w:sz="8" w:space="0" w:color="auto"/>
              <w:bottom w:val="single" w:sz="4" w:space="0" w:color="auto"/>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Amoxicillin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Gentamicin</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238</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229</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96 (93-98)</w:t>
            </w:r>
          </w:p>
        </w:tc>
      </w:tr>
      <w:tr w:rsidR="00A841E7" w:rsidRPr="00A841E7" w:rsidTr="00F172CF">
        <w:trPr>
          <w:trHeight w:val="315"/>
        </w:trPr>
        <w:tc>
          <w:tcPr>
            <w:tcW w:w="765" w:type="dxa"/>
            <w:vMerge/>
            <w:tcBorders>
              <w:top w:val="nil"/>
              <w:left w:val="single" w:sz="8" w:space="0" w:color="auto"/>
              <w:bottom w:val="single" w:sz="4" w:space="0" w:color="auto"/>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3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Cefotaxime*</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193</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189</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98 (95-99)</w:t>
            </w:r>
          </w:p>
        </w:tc>
      </w:tr>
      <w:tr w:rsidR="00A841E7" w:rsidRPr="00A841E7" w:rsidTr="00F172CF">
        <w:trPr>
          <w:trHeight w:val="300"/>
        </w:trPr>
        <w:tc>
          <w:tcPr>
            <w:tcW w:w="76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LOS</w:t>
            </w: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Flucloxacillin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Gentamicin</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833</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742</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89 (87-91)</w:t>
            </w:r>
          </w:p>
        </w:tc>
      </w:tr>
      <w:tr w:rsidR="00A841E7" w:rsidRPr="00A841E7" w:rsidTr="00F172CF">
        <w:trPr>
          <w:trHeight w:val="300"/>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Amoxicillin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Cefotaxime</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783</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665</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85 (82-87)</w:t>
            </w:r>
          </w:p>
        </w:tc>
      </w:tr>
      <w:tr w:rsidR="00A841E7" w:rsidRPr="00A841E7" w:rsidTr="00F172CF">
        <w:trPr>
          <w:trHeight w:val="300"/>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Amoxicillin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Gentamicin</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876</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770</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88 (86-90)</w:t>
            </w:r>
          </w:p>
        </w:tc>
      </w:tr>
      <w:tr w:rsidR="00A841E7" w:rsidRPr="00A841E7" w:rsidTr="00F172CF">
        <w:trPr>
          <w:trHeight w:val="315"/>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Piperacillin/</w:t>
            </w:r>
            <w:proofErr w:type="spellStart"/>
            <w:r w:rsidRPr="00A841E7">
              <w:rPr>
                <w:rFonts w:ascii="Times New Roman" w:eastAsia="Times New Roman" w:hAnsi="Times New Roman" w:cs="Times New Roman"/>
                <w:sz w:val="20"/>
                <w:szCs w:val="20"/>
                <w:lang w:eastAsia="en-GB"/>
              </w:rPr>
              <w:t>Tazobactam</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Gentamicin</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317</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279</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88 (84-91)</w:t>
            </w:r>
          </w:p>
        </w:tc>
      </w:tr>
      <w:tr w:rsidR="00A841E7" w:rsidRPr="00A841E7" w:rsidTr="00F172CF">
        <w:trPr>
          <w:trHeight w:val="300"/>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2586"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Vancomycin</w:t>
            </w:r>
          </w:p>
        </w:tc>
        <w:tc>
          <w:tcPr>
            <w:tcW w:w="132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Cefotaxime</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763</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700</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92 (90-94)</w:t>
            </w:r>
          </w:p>
        </w:tc>
      </w:tr>
      <w:tr w:rsidR="00A841E7" w:rsidRPr="00A841E7" w:rsidTr="00F172CF">
        <w:trPr>
          <w:trHeight w:val="315"/>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3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Cefotaxime</w:t>
            </w:r>
          </w:p>
        </w:tc>
        <w:tc>
          <w:tcPr>
            <w:tcW w:w="1079"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538</w:t>
            </w:r>
          </w:p>
        </w:tc>
        <w:tc>
          <w:tcPr>
            <w:tcW w:w="1620" w:type="dxa"/>
            <w:tcBorders>
              <w:top w:val="nil"/>
              <w:left w:val="nil"/>
              <w:bottom w:val="single" w:sz="4"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475</w:t>
            </w:r>
          </w:p>
        </w:tc>
        <w:tc>
          <w:tcPr>
            <w:tcW w:w="1701" w:type="dxa"/>
            <w:tcBorders>
              <w:top w:val="nil"/>
              <w:left w:val="nil"/>
              <w:bottom w:val="single" w:sz="4"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88 (85-91)</w:t>
            </w:r>
          </w:p>
        </w:tc>
      </w:tr>
      <w:tr w:rsidR="00A841E7" w:rsidRPr="00A841E7" w:rsidTr="00F172CF">
        <w:trPr>
          <w:trHeight w:val="315"/>
        </w:trPr>
        <w:tc>
          <w:tcPr>
            <w:tcW w:w="765" w:type="dxa"/>
            <w:vMerge/>
            <w:tcBorders>
              <w:top w:val="nil"/>
              <w:left w:val="single" w:sz="8" w:space="0" w:color="auto"/>
              <w:bottom w:val="single" w:sz="8" w:space="0" w:color="000000"/>
              <w:right w:val="single" w:sz="4" w:space="0" w:color="auto"/>
            </w:tcBorders>
            <w:vAlign w:val="center"/>
            <w:hideMark/>
          </w:tcPr>
          <w:p w:rsidR="00B21853" w:rsidRPr="00A841E7" w:rsidRDefault="00B21853" w:rsidP="005658EF">
            <w:pPr>
              <w:spacing w:after="0" w:line="480" w:lineRule="auto"/>
              <w:rPr>
                <w:rFonts w:ascii="Times New Roman" w:eastAsia="Times New Roman" w:hAnsi="Times New Roman" w:cs="Times New Roman"/>
                <w:sz w:val="20"/>
                <w:szCs w:val="20"/>
                <w:lang w:eastAsia="en-GB"/>
              </w:rPr>
            </w:pPr>
          </w:p>
        </w:tc>
        <w:tc>
          <w:tcPr>
            <w:tcW w:w="3915" w:type="dxa"/>
            <w:gridSpan w:val="2"/>
            <w:tcBorders>
              <w:top w:val="single" w:sz="4" w:space="0" w:color="auto"/>
              <w:left w:val="nil"/>
              <w:bottom w:val="single" w:sz="8"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Amoxicillin &amp; Clavulanic acid</w:t>
            </w:r>
          </w:p>
        </w:tc>
        <w:tc>
          <w:tcPr>
            <w:tcW w:w="1079" w:type="dxa"/>
            <w:tcBorders>
              <w:top w:val="nil"/>
              <w:left w:val="nil"/>
              <w:bottom w:val="single" w:sz="8"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657</w:t>
            </w:r>
          </w:p>
        </w:tc>
        <w:tc>
          <w:tcPr>
            <w:tcW w:w="1620" w:type="dxa"/>
            <w:tcBorders>
              <w:top w:val="nil"/>
              <w:left w:val="nil"/>
              <w:bottom w:val="single" w:sz="8" w:space="0" w:color="auto"/>
              <w:right w:val="single" w:sz="4"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526</w:t>
            </w:r>
          </w:p>
        </w:tc>
        <w:tc>
          <w:tcPr>
            <w:tcW w:w="1701" w:type="dxa"/>
            <w:tcBorders>
              <w:top w:val="nil"/>
              <w:left w:val="nil"/>
              <w:bottom w:val="single" w:sz="8" w:space="0" w:color="auto"/>
              <w:right w:val="single" w:sz="8" w:space="0" w:color="auto"/>
            </w:tcBorders>
            <w:shd w:val="clear" w:color="auto" w:fill="auto"/>
            <w:noWrap/>
            <w:vAlign w:val="center"/>
            <w:hideMark/>
          </w:tcPr>
          <w:p w:rsidR="00B21853" w:rsidRPr="00A841E7" w:rsidRDefault="00B21853" w:rsidP="005658EF">
            <w:pPr>
              <w:spacing w:after="0" w:line="480" w:lineRule="auto"/>
              <w:jc w:val="center"/>
              <w:rPr>
                <w:rFonts w:ascii="Times New Roman" w:eastAsia="Times New Roman" w:hAnsi="Times New Roman" w:cs="Times New Roman"/>
                <w:sz w:val="20"/>
                <w:szCs w:val="20"/>
                <w:lang w:eastAsia="en-GB"/>
              </w:rPr>
            </w:pPr>
            <w:r w:rsidRPr="00A841E7">
              <w:rPr>
                <w:rFonts w:ascii="Times New Roman" w:eastAsia="Times New Roman" w:hAnsi="Times New Roman" w:cs="Times New Roman"/>
                <w:sz w:val="20"/>
                <w:szCs w:val="20"/>
                <w:lang w:eastAsia="en-GB"/>
              </w:rPr>
              <w:t>80 (77-83)</w:t>
            </w:r>
          </w:p>
        </w:tc>
      </w:tr>
    </w:tbl>
    <w:p w:rsidR="00B21853" w:rsidRPr="00A841E7" w:rsidRDefault="00B21853" w:rsidP="005658EF">
      <w:pPr>
        <w:spacing w:after="160" w:line="480" w:lineRule="auto"/>
        <w:rPr>
          <w:rFonts w:ascii="Times New Roman" w:hAnsi="Times New Roman" w:cs="Times New Roman"/>
          <w:b/>
          <w:sz w:val="20"/>
          <w:szCs w:val="20"/>
        </w:rPr>
      </w:pPr>
    </w:p>
    <w:p w:rsidR="00B21853" w:rsidRPr="00A841E7" w:rsidRDefault="00B21853" w:rsidP="00777D6B">
      <w:pPr>
        <w:pStyle w:val="CommentText"/>
        <w:spacing w:line="480" w:lineRule="auto"/>
        <w:rPr>
          <w:rFonts w:ascii="Times New Roman" w:hAnsi="Times New Roman" w:cs="Times New Roman"/>
          <w:sz w:val="20"/>
          <w:szCs w:val="20"/>
        </w:rPr>
      </w:pPr>
      <w:r w:rsidRPr="00A841E7">
        <w:rPr>
          <w:rFonts w:ascii="Times New Roman" w:hAnsi="Times New Roman" w:cs="Times New Roman"/>
          <w:b/>
          <w:sz w:val="20"/>
          <w:szCs w:val="20"/>
        </w:rPr>
        <w:t xml:space="preserve">Table 2: Susceptibility of pathogens to commonly used antimicrobial combinations. </w:t>
      </w:r>
      <w:r w:rsidR="00777D6B" w:rsidRPr="00A841E7">
        <w:rPr>
          <w:rFonts w:ascii="Times New Roman" w:hAnsi="Times New Roman" w:cs="Times New Roman"/>
          <w:sz w:val="20"/>
          <w:szCs w:val="20"/>
        </w:rPr>
        <w:t xml:space="preserve">Susceptibility levels (%) of early onset and late onset pathogens in the neonIN cohort to commonly used antibiotic combinations for the treatment of neonatal sepsis. Cefotaxime monotherapy demonstrated the highest rate of susceptibility for early onset pathogens (98%), whilst the two most commonly used empiric combinations, </w:t>
      </w:r>
      <w:proofErr w:type="spellStart"/>
      <w:r w:rsidR="00777D6B" w:rsidRPr="00A841E7">
        <w:rPr>
          <w:rFonts w:ascii="Times New Roman" w:hAnsi="Times New Roman" w:cs="Times New Roman"/>
          <w:sz w:val="20"/>
          <w:szCs w:val="20"/>
        </w:rPr>
        <w:t>benzylpenicillin</w:t>
      </w:r>
      <w:proofErr w:type="spellEnd"/>
      <w:r w:rsidR="00777D6B" w:rsidRPr="00A841E7">
        <w:rPr>
          <w:rFonts w:ascii="Times New Roman" w:hAnsi="Times New Roman" w:cs="Times New Roman"/>
          <w:sz w:val="20"/>
          <w:szCs w:val="20"/>
        </w:rPr>
        <w:t xml:space="preserve"> and gentamicin or amoxicillin and cefotaxime, demonstrated rates of 93% and 95% respectively.  A combination of vancomycin and cefotaxime displayed the highest rates of microbial susceptibility among late onset pathogens (91%) with the commonly prescribed combination of flucloxacillin and gentamicin demonstrating the second highest rate of coverage (89%). # = Number of isolates, % = Percentage of isolates, EOS = Early onset sepsis, LOS = Late onset sepsis. 95% CI = 95% confidence interval.</w:t>
      </w:r>
      <w:r w:rsidRPr="00A841E7">
        <w:rPr>
          <w:rFonts w:ascii="Times New Roman" w:hAnsi="Times New Roman" w:cs="Times New Roman"/>
          <w:sz w:val="20"/>
          <w:szCs w:val="20"/>
        </w:rPr>
        <w:br/>
        <w:t>*Please note that while it may seem counter-intuitive that these figures should differ, this is due to the fact that isolates where testing is done for one antibiotic in a combination but not the other are marked as susceptible or resistant according to that agent. Therefore the difference between cefotaxime monotherapy and an amoxicillin and cefotaxime combination is due to isolates labelled as resistant to amoxicillin and for which cefotaxime is untested. As such the isolate is labeled as resistant to the amoxicillin and cefotaxime combination but ‘not tested’ for cefotaxime monotherapy.</w:t>
      </w:r>
      <w:r w:rsidR="00B967EE" w:rsidRPr="00A841E7">
        <w:rPr>
          <w:rFonts w:ascii="Times New Roman" w:hAnsi="Times New Roman" w:cs="Times New Roman"/>
          <w:sz w:val="20"/>
          <w:szCs w:val="20"/>
        </w:rPr>
        <w:t xml:space="preserve"> </w:t>
      </w:r>
      <w:r w:rsidRPr="00A841E7">
        <w:rPr>
          <w:rFonts w:ascii="Times New Roman" w:hAnsi="Times New Roman" w:cs="Times New Roman"/>
          <w:b/>
          <w:sz w:val="20"/>
          <w:szCs w:val="20"/>
        </w:rPr>
        <w:br w:type="page"/>
      </w:r>
    </w:p>
    <w:p w:rsidR="00B21853" w:rsidRPr="00A841E7" w:rsidRDefault="00B21853" w:rsidP="005658EF">
      <w:pPr>
        <w:spacing w:line="480" w:lineRule="auto"/>
        <w:rPr>
          <w:rFonts w:ascii="Times New Roman" w:hAnsi="Times New Roman" w:cs="Times New Roman"/>
          <w:sz w:val="20"/>
          <w:szCs w:val="20"/>
          <w:lang w:val="en-GB"/>
        </w:rPr>
      </w:pPr>
      <w:r w:rsidRPr="00A841E7">
        <w:rPr>
          <w:rFonts w:ascii="Times New Roman" w:hAnsi="Times New Roman" w:cs="Times New Roman"/>
          <w:sz w:val="20"/>
          <w:szCs w:val="20"/>
        </w:rPr>
        <w:t>(a)</w:t>
      </w:r>
    </w:p>
    <w:tbl>
      <w:tblPr>
        <w:tblStyle w:val="TableGrid"/>
        <w:tblW w:w="9042" w:type="dxa"/>
        <w:jc w:val="center"/>
        <w:tblLayout w:type="fixed"/>
        <w:tblLook w:val="04A0" w:firstRow="1" w:lastRow="0" w:firstColumn="1" w:lastColumn="0" w:noHBand="0" w:noVBand="1"/>
      </w:tblPr>
      <w:tblGrid>
        <w:gridCol w:w="2238"/>
        <w:gridCol w:w="1301"/>
        <w:gridCol w:w="1134"/>
        <w:gridCol w:w="1701"/>
        <w:gridCol w:w="967"/>
        <w:gridCol w:w="1701"/>
      </w:tblGrid>
      <w:tr w:rsidR="00A841E7" w:rsidRPr="00A841E7" w:rsidTr="00F172CF">
        <w:trPr>
          <w:trHeight w:val="380"/>
          <w:jc w:val="center"/>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Pathogen</w:t>
            </w:r>
          </w:p>
        </w:tc>
        <w:tc>
          <w:tcPr>
            <w:tcW w:w="1301" w:type="dxa"/>
            <w:vMerge w:val="restart"/>
            <w:tcBorders>
              <w:top w:val="single" w:sz="4" w:space="0" w:color="auto"/>
              <w:left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of all EOS isolates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roofErr w:type="spellStart"/>
            <w:r w:rsidRPr="00A841E7">
              <w:rPr>
                <w:rFonts w:ascii="Times New Roman" w:hAnsi="Times New Roman" w:cs="Times New Roman"/>
                <w:sz w:val="20"/>
                <w:szCs w:val="20"/>
              </w:rPr>
              <w:t>Benzylpenicillin</w:t>
            </w:r>
            <w:proofErr w:type="spellEnd"/>
            <w:r w:rsidRPr="00A841E7">
              <w:rPr>
                <w:rFonts w:ascii="Times New Roman" w:hAnsi="Times New Roman" w:cs="Times New Roman"/>
                <w:sz w:val="20"/>
                <w:szCs w:val="20"/>
              </w:rPr>
              <w:t xml:space="preserve"> &amp; Gentamicin</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 &amp; Cefotaxime</w:t>
            </w:r>
          </w:p>
        </w:tc>
      </w:tr>
      <w:tr w:rsidR="00A841E7" w:rsidRPr="00A841E7" w:rsidTr="00F172CF">
        <w:trPr>
          <w:trHeight w:val="380"/>
          <w:jc w:val="center"/>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rPr>
                <w:rFonts w:ascii="Times New Roman" w:hAnsi="Times New Roman" w:cs="Times New Roman"/>
                <w:sz w:val="20"/>
                <w:szCs w:val="20"/>
              </w:rPr>
            </w:pPr>
          </w:p>
        </w:tc>
        <w:tc>
          <w:tcPr>
            <w:tcW w:w="1301" w:type="dxa"/>
            <w:vMerge/>
            <w:tcBorders>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Tested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Susceptible</w:t>
            </w:r>
          </w:p>
        </w:tc>
        <w:tc>
          <w:tcPr>
            <w:tcW w:w="96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Tested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Susceptible</w:t>
            </w:r>
          </w:p>
        </w:tc>
      </w:tr>
      <w:tr w:rsidR="00A841E7" w:rsidRPr="00A841E7" w:rsidTr="00F172CF">
        <w:trPr>
          <w:trHeight w:val="380"/>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Group B Streptococcus</w:t>
            </w:r>
          </w:p>
        </w:tc>
        <w:tc>
          <w:tcPr>
            <w:tcW w:w="1301" w:type="dxa"/>
            <w:tcBorders>
              <w:top w:val="single" w:sz="4" w:space="0" w:color="auto"/>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99</w:t>
            </w:r>
          </w:p>
        </w:tc>
        <w:tc>
          <w:tcPr>
            <w:tcW w:w="96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99</w:t>
            </w:r>
          </w:p>
        </w:tc>
      </w:tr>
      <w:tr w:rsidR="00A841E7" w:rsidRPr="00A841E7" w:rsidTr="00F172CF">
        <w:trPr>
          <w:trHeight w:val="380"/>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i/>
                <w:sz w:val="20"/>
                <w:szCs w:val="20"/>
              </w:rPr>
            </w:pPr>
            <w:r w:rsidRPr="00A841E7">
              <w:rPr>
                <w:rFonts w:ascii="Times New Roman" w:hAnsi="Times New Roman" w:cs="Times New Roman"/>
                <w:i/>
                <w:sz w:val="20"/>
                <w:szCs w:val="20"/>
              </w:rPr>
              <w:t>E.coli</w:t>
            </w:r>
          </w:p>
        </w:tc>
        <w:tc>
          <w:tcPr>
            <w:tcW w:w="1301" w:type="dxa"/>
            <w:tcBorders>
              <w:top w:val="single" w:sz="4" w:space="0" w:color="auto"/>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94</w:t>
            </w:r>
          </w:p>
        </w:tc>
        <w:tc>
          <w:tcPr>
            <w:tcW w:w="96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90</w:t>
            </w:r>
          </w:p>
        </w:tc>
      </w:tr>
      <w:tr w:rsidR="00A841E7" w:rsidRPr="00A841E7" w:rsidTr="00F172CF">
        <w:trPr>
          <w:trHeight w:val="363"/>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Streptococcus</w:t>
            </w:r>
            <w:r w:rsidRPr="00A841E7">
              <w:rPr>
                <w:rFonts w:ascii="Times New Roman" w:hAnsi="Times New Roman" w:cs="Times New Roman"/>
                <w:sz w:val="20"/>
                <w:szCs w:val="20"/>
              </w:rPr>
              <w:t xml:space="preserve"> sp.</w:t>
            </w:r>
          </w:p>
        </w:tc>
        <w:tc>
          <w:tcPr>
            <w:tcW w:w="1301" w:type="dxa"/>
            <w:tcBorders>
              <w:top w:val="single" w:sz="4" w:space="0" w:color="auto"/>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95</w:t>
            </w:r>
          </w:p>
        </w:tc>
      </w:tr>
      <w:tr w:rsidR="00A841E7" w:rsidRPr="00A841E7" w:rsidTr="00F172CF">
        <w:trPr>
          <w:trHeight w:val="380"/>
          <w:jc w:val="center"/>
        </w:trPr>
        <w:tc>
          <w:tcPr>
            <w:tcW w:w="2238"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Micrococcus</w:t>
            </w:r>
            <w:r w:rsidRPr="00A841E7">
              <w:rPr>
                <w:rFonts w:ascii="Times New Roman" w:hAnsi="Times New Roman" w:cs="Times New Roman"/>
                <w:sz w:val="20"/>
                <w:szCs w:val="20"/>
              </w:rPr>
              <w:t xml:space="preserve"> sp.</w:t>
            </w:r>
          </w:p>
        </w:tc>
        <w:tc>
          <w:tcPr>
            <w:tcW w:w="1301" w:type="dxa"/>
            <w:tcBorders>
              <w:top w:val="single" w:sz="4" w:space="0" w:color="auto"/>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N/A</w:t>
            </w:r>
          </w:p>
        </w:tc>
      </w:tr>
      <w:tr w:rsidR="00B21853" w:rsidRPr="00A841E7" w:rsidTr="00F172CF">
        <w:trPr>
          <w:trHeight w:val="363"/>
          <w:jc w:val="center"/>
        </w:trPr>
        <w:tc>
          <w:tcPr>
            <w:tcW w:w="2238"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Enterococcus</w:t>
            </w:r>
            <w:r w:rsidRPr="00A841E7">
              <w:rPr>
                <w:rFonts w:ascii="Times New Roman" w:hAnsi="Times New Roman" w:cs="Times New Roman"/>
                <w:sz w:val="20"/>
                <w:szCs w:val="20"/>
              </w:rPr>
              <w:t xml:space="preserve"> sp.</w:t>
            </w:r>
          </w:p>
        </w:tc>
        <w:tc>
          <w:tcPr>
            <w:tcW w:w="1301" w:type="dxa"/>
            <w:tcBorders>
              <w:top w:val="single" w:sz="4" w:space="0" w:color="auto"/>
              <w:left w:val="single" w:sz="4" w:space="0" w:color="auto"/>
              <w:bottom w:val="single" w:sz="4" w:space="0" w:color="auto"/>
              <w:right w:val="single" w:sz="4" w:space="0" w:color="auto"/>
            </w:tcBorders>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33</w:t>
            </w:r>
          </w:p>
        </w:tc>
        <w:tc>
          <w:tcPr>
            <w:tcW w:w="96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93</w:t>
            </w:r>
          </w:p>
        </w:tc>
      </w:tr>
    </w:tbl>
    <w:p w:rsidR="00B21853" w:rsidRPr="00A841E7" w:rsidRDefault="00B21853" w:rsidP="005658EF">
      <w:pPr>
        <w:spacing w:line="480" w:lineRule="auto"/>
        <w:rPr>
          <w:rFonts w:ascii="Times New Roman" w:hAnsi="Times New Roman" w:cs="Times New Roman"/>
          <w:b/>
          <w:sz w:val="20"/>
          <w:szCs w:val="20"/>
          <w:u w:val="single"/>
        </w:rPr>
      </w:pPr>
    </w:p>
    <w:p w:rsidR="00B21853" w:rsidRPr="00A841E7" w:rsidRDefault="00B21853" w:rsidP="005658EF">
      <w:pPr>
        <w:spacing w:line="480" w:lineRule="auto"/>
        <w:rPr>
          <w:rFonts w:ascii="Times New Roman" w:hAnsi="Times New Roman" w:cs="Times New Roman"/>
          <w:sz w:val="20"/>
          <w:szCs w:val="20"/>
        </w:rPr>
      </w:pPr>
      <w:r w:rsidRPr="00A841E7">
        <w:rPr>
          <w:rFonts w:ascii="Times New Roman" w:hAnsi="Times New Roman" w:cs="Times New Roman"/>
          <w:sz w:val="20"/>
          <w:szCs w:val="20"/>
        </w:rPr>
        <w:t xml:space="preserve">(b) </w:t>
      </w:r>
    </w:p>
    <w:tbl>
      <w:tblPr>
        <w:tblStyle w:val="TableGrid"/>
        <w:tblW w:w="0" w:type="auto"/>
        <w:tblLook w:val="04A0" w:firstRow="1" w:lastRow="0" w:firstColumn="1" w:lastColumn="0" w:noHBand="0" w:noVBand="1"/>
      </w:tblPr>
      <w:tblGrid>
        <w:gridCol w:w="1690"/>
        <w:gridCol w:w="1896"/>
        <w:gridCol w:w="1216"/>
        <w:gridCol w:w="1484"/>
        <w:gridCol w:w="1243"/>
        <w:gridCol w:w="1487"/>
      </w:tblGrid>
      <w:tr w:rsidR="00A841E7" w:rsidRPr="00A841E7" w:rsidTr="00F172CF">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Pathogen</w:t>
            </w:r>
          </w:p>
        </w:tc>
        <w:tc>
          <w:tcPr>
            <w:tcW w:w="1896" w:type="dxa"/>
            <w:vMerge w:val="restart"/>
            <w:tcBorders>
              <w:top w:val="single" w:sz="4" w:space="0" w:color="auto"/>
              <w:left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of all LOS isolates</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Flucloxacillin &amp; Gentamicin</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Amoxicillin &amp; Cefotaxime</w:t>
            </w:r>
          </w:p>
        </w:tc>
      </w:tr>
      <w:tr w:rsidR="00A841E7" w:rsidRPr="00A841E7" w:rsidTr="00F172CF">
        <w:tc>
          <w:tcPr>
            <w:tcW w:w="1690" w:type="dxa"/>
            <w:vMerge/>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rPr>
                <w:rFonts w:ascii="Times New Roman" w:hAnsi="Times New Roman" w:cs="Times New Roman"/>
                <w:sz w:val="20"/>
                <w:szCs w:val="20"/>
              </w:rPr>
            </w:pPr>
          </w:p>
        </w:tc>
        <w:tc>
          <w:tcPr>
            <w:tcW w:w="1896" w:type="dxa"/>
            <w:vMerge/>
            <w:tcBorders>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Tested</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Susceptible</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Tested</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 Susceptible</w:t>
            </w:r>
          </w:p>
        </w:tc>
      </w:tr>
      <w:tr w:rsidR="00A841E7" w:rsidRPr="00A841E7" w:rsidTr="00F172CF">
        <w:tc>
          <w:tcPr>
            <w:tcW w:w="1690"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Enterococcus</w:t>
            </w:r>
            <w:r w:rsidRPr="00A841E7">
              <w:rPr>
                <w:rFonts w:ascii="Times New Roman" w:hAnsi="Times New Roman" w:cs="Times New Roman"/>
                <w:sz w:val="20"/>
                <w:szCs w:val="20"/>
              </w:rPr>
              <w:t xml:space="preserve"> sp.</w:t>
            </w:r>
          </w:p>
        </w:tc>
        <w:tc>
          <w:tcPr>
            <w:tcW w:w="1896"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17%</w:t>
            </w: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22</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7C49B0"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0</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177</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95</w:t>
            </w:r>
          </w:p>
        </w:tc>
      </w:tr>
      <w:tr w:rsidR="00A841E7" w:rsidRPr="00A841E7" w:rsidTr="00F172CF">
        <w:tc>
          <w:tcPr>
            <w:tcW w:w="1690"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i/>
                <w:sz w:val="20"/>
                <w:szCs w:val="20"/>
              </w:rPr>
            </w:pPr>
            <w:r w:rsidRPr="00A841E7">
              <w:rPr>
                <w:rFonts w:ascii="Times New Roman" w:hAnsi="Times New Roman" w:cs="Times New Roman"/>
                <w:i/>
                <w:sz w:val="20"/>
                <w:szCs w:val="20"/>
              </w:rPr>
              <w:t>E.coli</w:t>
            </w:r>
          </w:p>
        </w:tc>
        <w:tc>
          <w:tcPr>
            <w:tcW w:w="1896"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16%</w:t>
            </w: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186</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84</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180</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86</w:t>
            </w:r>
          </w:p>
        </w:tc>
      </w:tr>
      <w:tr w:rsidR="00A841E7" w:rsidRPr="00A841E7" w:rsidTr="00F172CF">
        <w:tc>
          <w:tcPr>
            <w:tcW w:w="1690"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i/>
                <w:sz w:val="20"/>
                <w:szCs w:val="20"/>
              </w:rPr>
            </w:pPr>
            <w:proofErr w:type="spellStart"/>
            <w:r w:rsidRPr="00A841E7">
              <w:rPr>
                <w:rFonts w:ascii="Times New Roman" w:hAnsi="Times New Roman" w:cs="Times New Roman"/>
                <w:i/>
                <w:sz w:val="20"/>
                <w:szCs w:val="20"/>
              </w:rPr>
              <w:t>S.aureus</w:t>
            </w:r>
            <w:proofErr w:type="spellEnd"/>
          </w:p>
        </w:tc>
        <w:tc>
          <w:tcPr>
            <w:tcW w:w="1896"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16%</w:t>
            </w: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160</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98</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2</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50</w:t>
            </w:r>
          </w:p>
        </w:tc>
      </w:tr>
      <w:tr w:rsidR="00A841E7" w:rsidRPr="00A841E7" w:rsidTr="00F172CF">
        <w:tc>
          <w:tcPr>
            <w:tcW w:w="1690"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proofErr w:type="spellStart"/>
            <w:r w:rsidRPr="00A841E7">
              <w:rPr>
                <w:rFonts w:ascii="Times New Roman" w:hAnsi="Times New Roman" w:cs="Times New Roman"/>
                <w:i/>
                <w:sz w:val="20"/>
                <w:szCs w:val="20"/>
              </w:rPr>
              <w:t>Klebsiella</w:t>
            </w:r>
            <w:proofErr w:type="spellEnd"/>
            <w:r w:rsidRPr="00A841E7">
              <w:rPr>
                <w:rFonts w:ascii="Times New Roman" w:hAnsi="Times New Roman" w:cs="Times New Roman"/>
                <w:sz w:val="20"/>
                <w:szCs w:val="20"/>
              </w:rPr>
              <w:t xml:space="preserve"> sp.</w:t>
            </w:r>
          </w:p>
        </w:tc>
        <w:tc>
          <w:tcPr>
            <w:tcW w:w="1896"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11%</w:t>
            </w: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134</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92</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137</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88</w:t>
            </w:r>
          </w:p>
        </w:tc>
      </w:tr>
      <w:tr w:rsidR="00A841E7" w:rsidRPr="00A841E7" w:rsidTr="00F172CF">
        <w:tc>
          <w:tcPr>
            <w:tcW w:w="1690"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i/>
                <w:sz w:val="20"/>
                <w:szCs w:val="20"/>
              </w:rPr>
              <w:t>Enterobacter</w:t>
            </w:r>
            <w:r w:rsidRPr="00A841E7">
              <w:rPr>
                <w:rFonts w:ascii="Times New Roman" w:hAnsi="Times New Roman" w:cs="Times New Roman"/>
                <w:sz w:val="20"/>
                <w:szCs w:val="20"/>
              </w:rPr>
              <w:t xml:space="preserve"> sp.</w:t>
            </w:r>
          </w:p>
        </w:tc>
        <w:tc>
          <w:tcPr>
            <w:tcW w:w="1896" w:type="dxa"/>
            <w:tcBorders>
              <w:top w:val="single" w:sz="4" w:space="0" w:color="auto"/>
              <w:left w:val="single" w:sz="4" w:space="0" w:color="auto"/>
              <w:bottom w:val="single" w:sz="4" w:space="0" w:color="auto"/>
              <w:right w:val="single" w:sz="4" w:space="0" w:color="auto"/>
            </w:tcBorders>
            <w:vAlign w:val="center"/>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w:t>
            </w:r>
          </w:p>
        </w:tc>
        <w:tc>
          <w:tcPr>
            <w:tcW w:w="1216"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106</w:t>
            </w:r>
          </w:p>
        </w:tc>
        <w:tc>
          <w:tcPr>
            <w:tcW w:w="1484"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82</w:t>
            </w:r>
          </w:p>
        </w:tc>
        <w:tc>
          <w:tcPr>
            <w:tcW w:w="1243"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99</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1853" w:rsidRPr="00A841E7" w:rsidRDefault="00B21853" w:rsidP="005658EF">
            <w:pPr>
              <w:spacing w:line="480" w:lineRule="auto"/>
              <w:jc w:val="center"/>
              <w:rPr>
                <w:rFonts w:ascii="Times New Roman" w:hAnsi="Times New Roman" w:cs="Times New Roman"/>
                <w:sz w:val="20"/>
                <w:szCs w:val="20"/>
              </w:rPr>
            </w:pPr>
            <w:r w:rsidRPr="00A841E7">
              <w:rPr>
                <w:rFonts w:ascii="Times New Roman" w:hAnsi="Times New Roman" w:cs="Times New Roman"/>
                <w:sz w:val="20"/>
                <w:szCs w:val="20"/>
              </w:rPr>
              <w:t>59</w:t>
            </w:r>
          </w:p>
        </w:tc>
      </w:tr>
    </w:tbl>
    <w:p w:rsidR="00B21853" w:rsidRPr="00A841E7" w:rsidRDefault="00B21853" w:rsidP="005658EF">
      <w:pPr>
        <w:spacing w:after="160" w:line="480" w:lineRule="auto"/>
        <w:rPr>
          <w:rFonts w:ascii="Times New Roman" w:hAnsi="Times New Roman" w:cs="Times New Roman"/>
          <w:b/>
          <w:sz w:val="20"/>
          <w:szCs w:val="20"/>
        </w:rPr>
      </w:pPr>
    </w:p>
    <w:p w:rsidR="00D960BD" w:rsidRPr="00A841E7" w:rsidRDefault="00B21853" w:rsidP="00F04862">
      <w:pPr>
        <w:spacing w:after="160" w:line="480" w:lineRule="auto"/>
        <w:rPr>
          <w:rFonts w:ascii="Times New Roman" w:hAnsi="Times New Roman" w:cs="Times New Roman"/>
          <w:sz w:val="20"/>
          <w:szCs w:val="20"/>
        </w:rPr>
      </w:pPr>
      <w:r w:rsidRPr="00A841E7">
        <w:rPr>
          <w:rFonts w:ascii="Times New Roman" w:hAnsi="Times New Roman" w:cs="Times New Roman"/>
          <w:b/>
          <w:sz w:val="20"/>
          <w:szCs w:val="20"/>
        </w:rPr>
        <w:t>Table 3: Susceptibility of the 5 most common pathogens causing neonatal sepsis to BNFC-recommended antimicrobial combinations for a) early-onset sepsis and b) late-onset sepsis.</w:t>
      </w:r>
      <w:r w:rsidR="00777D6B" w:rsidRPr="00A841E7">
        <w:rPr>
          <w:rFonts w:ascii="Times New Roman" w:hAnsi="Times New Roman" w:cs="Times New Roman"/>
          <w:b/>
          <w:sz w:val="20"/>
          <w:szCs w:val="20"/>
        </w:rPr>
        <w:t xml:space="preserve"> </w:t>
      </w:r>
      <w:r w:rsidR="00777D6B" w:rsidRPr="00A841E7">
        <w:rPr>
          <w:rFonts w:ascii="Times New Roman" w:hAnsi="Times New Roman" w:cs="Times New Roman"/>
          <w:sz w:val="20"/>
          <w:szCs w:val="20"/>
        </w:rPr>
        <w:t xml:space="preserve">Number of isolates tested and susceptibility rate for the most prevalent pathogens of both (a) early-onset and (b) late-onset sepsis. Almost all the most common pathogens of early onset sepsis demonstrated high levels (&gt;=90%) of susceptibility to both first-line antimicrobial combinations.  </w:t>
      </w:r>
      <w:r w:rsidR="007C49B0" w:rsidRPr="00A841E7">
        <w:rPr>
          <w:rFonts w:ascii="Times New Roman" w:hAnsi="Times New Roman" w:cs="Times New Roman"/>
          <w:sz w:val="20"/>
          <w:szCs w:val="20"/>
        </w:rPr>
        <w:t>A</w:t>
      </w:r>
      <w:r w:rsidR="00777D6B" w:rsidRPr="00A841E7">
        <w:rPr>
          <w:rFonts w:ascii="Times New Roman" w:hAnsi="Times New Roman" w:cs="Times New Roman"/>
          <w:sz w:val="20"/>
          <w:szCs w:val="20"/>
        </w:rPr>
        <w:t>pproximately 15% of E.coli isolates displayed resistance to both late-onset sepsis combinations.  # = Number of isolates, % = Percentage of isolates.</w:t>
      </w:r>
    </w:p>
    <w:p w:rsidR="00D960BD" w:rsidRPr="00A841E7" w:rsidRDefault="00D960BD" w:rsidP="005658EF">
      <w:pPr>
        <w:spacing w:line="480" w:lineRule="auto"/>
        <w:rPr>
          <w:rFonts w:ascii="Times New Roman" w:hAnsi="Times New Roman" w:cs="Times New Roman"/>
          <w:b/>
          <w:sz w:val="20"/>
          <w:szCs w:val="20"/>
        </w:rPr>
      </w:pPr>
    </w:p>
    <w:p w:rsidR="00B21853" w:rsidRPr="00A841E7" w:rsidRDefault="00B21853" w:rsidP="005658EF">
      <w:pPr>
        <w:spacing w:after="160" w:line="480" w:lineRule="auto"/>
        <w:rPr>
          <w:rFonts w:ascii="Times New Roman" w:hAnsi="Times New Roman" w:cs="Times New Roman"/>
          <w:b/>
          <w:sz w:val="20"/>
          <w:szCs w:val="20"/>
        </w:rPr>
      </w:pPr>
    </w:p>
    <w:p w:rsidR="007B010D" w:rsidRPr="00A841E7" w:rsidRDefault="00B21853" w:rsidP="00F04862">
      <w:pPr>
        <w:spacing w:line="480" w:lineRule="auto"/>
        <w:rPr>
          <w:b/>
          <w:u w:val="single"/>
        </w:rPr>
      </w:pPr>
      <w:r w:rsidRPr="00A841E7">
        <w:rPr>
          <w:rFonts w:ascii="Times New Roman" w:hAnsi="Times New Roman" w:cs="Times New Roman"/>
          <w:b/>
          <w:sz w:val="20"/>
          <w:szCs w:val="20"/>
        </w:rPr>
        <w:br w:type="page"/>
      </w:r>
      <w:r w:rsidR="007B010D" w:rsidRPr="00A841E7">
        <w:rPr>
          <w:b/>
          <w:u w:val="single"/>
        </w:rPr>
        <w:t>Associated ‘Boxes’ of Background Information</w:t>
      </w:r>
    </w:p>
    <w:p w:rsidR="007B010D" w:rsidRPr="00A841E7" w:rsidRDefault="007B010D" w:rsidP="005658EF">
      <w:pPr>
        <w:spacing w:line="480" w:lineRule="auto"/>
        <w:rPr>
          <w:b/>
        </w:rPr>
      </w:pPr>
      <w:r w:rsidRPr="00A841E7">
        <w:rPr>
          <w:b/>
        </w:rPr>
        <w:t xml:space="preserve">What is already known on this </w:t>
      </w:r>
      <w:proofErr w:type="gramStart"/>
      <w:r w:rsidRPr="00A841E7">
        <w:rPr>
          <w:b/>
        </w:rPr>
        <w:t>topic:</w:t>
      </w:r>
      <w:proofErr w:type="gramEnd"/>
    </w:p>
    <w:p w:rsidR="00277BF4" w:rsidRPr="00A841E7" w:rsidRDefault="00277BF4" w:rsidP="00277BF4">
      <w:pPr>
        <w:pStyle w:val="ListParagraph"/>
        <w:numPr>
          <w:ilvl w:val="0"/>
          <w:numId w:val="1"/>
        </w:numPr>
        <w:spacing w:line="480" w:lineRule="auto"/>
      </w:pPr>
      <w:r w:rsidRPr="00A841E7">
        <w:t>Neonates with presumed sepsis require empiric</w:t>
      </w:r>
      <w:r w:rsidR="00D96F80" w:rsidRPr="00A841E7">
        <w:t xml:space="preserve"> antibiotic</w:t>
      </w:r>
      <w:r w:rsidRPr="00A841E7">
        <w:t xml:space="preserve"> treatment </w:t>
      </w:r>
      <w:r w:rsidR="00D96F80" w:rsidRPr="00A841E7">
        <w:t>before</w:t>
      </w:r>
      <w:r w:rsidRPr="00A841E7">
        <w:t xml:space="preserve"> definitive culture results </w:t>
      </w:r>
      <w:r w:rsidR="00D96F80" w:rsidRPr="00A841E7">
        <w:t>are available. A</w:t>
      </w:r>
      <w:r w:rsidRPr="00A841E7">
        <w:t xml:space="preserve"> thorough understanding of epidemiology and resistance patterns is</w:t>
      </w:r>
      <w:r w:rsidR="00D96F80" w:rsidRPr="00A841E7">
        <w:t xml:space="preserve"> therefore</w:t>
      </w:r>
      <w:r w:rsidRPr="00A841E7">
        <w:t xml:space="preserve"> imperative.</w:t>
      </w:r>
    </w:p>
    <w:p w:rsidR="007B010D" w:rsidRPr="00A841E7" w:rsidRDefault="007B010D" w:rsidP="005658EF">
      <w:pPr>
        <w:pStyle w:val="ListParagraph"/>
        <w:numPr>
          <w:ilvl w:val="0"/>
          <w:numId w:val="1"/>
        </w:numPr>
        <w:spacing w:line="480" w:lineRule="auto"/>
      </w:pPr>
      <w:r w:rsidRPr="00A841E7">
        <w:t xml:space="preserve">The development and spread of antimicrobial resistance is an important issue in modern medicine. </w:t>
      </w:r>
    </w:p>
    <w:p w:rsidR="007B010D" w:rsidRPr="00A841E7" w:rsidRDefault="007B010D" w:rsidP="005658EF">
      <w:pPr>
        <w:pStyle w:val="ListParagraph"/>
        <w:numPr>
          <w:ilvl w:val="0"/>
          <w:numId w:val="1"/>
        </w:numPr>
        <w:spacing w:line="480" w:lineRule="auto"/>
      </w:pPr>
      <w:r w:rsidRPr="00A841E7">
        <w:t>There is a paucity of new antibiotics to replace the current agents should they be rendered obsolete reinforcing the importance of choosing empiric combinations wisely.</w:t>
      </w:r>
    </w:p>
    <w:p w:rsidR="007B010D" w:rsidRPr="00A841E7" w:rsidRDefault="007B010D" w:rsidP="005658EF">
      <w:pPr>
        <w:spacing w:line="480" w:lineRule="auto"/>
      </w:pPr>
      <w:r w:rsidRPr="00A841E7">
        <w:rPr>
          <w:b/>
        </w:rPr>
        <w:t>What this study adds:</w:t>
      </w:r>
    </w:p>
    <w:p w:rsidR="0032007C" w:rsidRDefault="00D96F80" w:rsidP="005658EF">
      <w:pPr>
        <w:pStyle w:val="ListParagraph"/>
        <w:numPr>
          <w:ilvl w:val="0"/>
          <w:numId w:val="1"/>
        </w:numPr>
        <w:spacing w:line="480" w:lineRule="auto"/>
      </w:pPr>
      <w:r w:rsidRPr="00A841E7">
        <w:t xml:space="preserve">A </w:t>
      </w:r>
      <w:proofErr w:type="spellStart"/>
      <w:r w:rsidRPr="00A841E7">
        <w:t>benzylpenicillin</w:t>
      </w:r>
      <w:proofErr w:type="spellEnd"/>
      <w:r w:rsidRPr="00A841E7">
        <w:t xml:space="preserve"> and gentamicin combination has very high coverage of EOS pathogens in infants &gt;</w:t>
      </w:r>
      <w:r w:rsidR="0032007C">
        <w:t>32 weeks or &gt;1500g.</w:t>
      </w:r>
    </w:p>
    <w:p w:rsidR="00D96F80" w:rsidRPr="00A841E7" w:rsidRDefault="0032007C" w:rsidP="005658EF">
      <w:pPr>
        <w:pStyle w:val="ListParagraph"/>
        <w:numPr>
          <w:ilvl w:val="0"/>
          <w:numId w:val="1"/>
        </w:numPr>
        <w:spacing w:line="480" w:lineRule="auto"/>
      </w:pPr>
      <w:r>
        <w:t>F</w:t>
      </w:r>
      <w:r w:rsidR="00D96F80" w:rsidRPr="00A841E7">
        <w:t>or infants of lower gestation and birthweight, the combination of amoxicillin and gentamicin may provide better coverage.</w:t>
      </w:r>
    </w:p>
    <w:p w:rsidR="00D96F80" w:rsidRPr="00A841E7" w:rsidRDefault="00D96F80" w:rsidP="00D96F80">
      <w:pPr>
        <w:pStyle w:val="ListParagraph"/>
        <w:numPr>
          <w:ilvl w:val="0"/>
          <w:numId w:val="1"/>
        </w:numPr>
        <w:spacing w:line="480" w:lineRule="auto"/>
      </w:pPr>
      <w:r w:rsidRPr="00A841E7">
        <w:t xml:space="preserve">Clinicians should be vigilant in their assessment of the clinical effectiveness of the antimicrobial combination chosen in an individual neonate. </w:t>
      </w:r>
    </w:p>
    <w:sectPr w:rsidR="00D96F80" w:rsidRPr="00A841E7" w:rsidSect="001D2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E2F"/>
    <w:multiLevelType w:val="hybridMultilevel"/>
    <w:tmpl w:val="59989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F007C8"/>
    <w:multiLevelType w:val="hybridMultilevel"/>
    <w:tmpl w:val="CA6ABC3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010D"/>
    <w:rsid w:val="00046A4C"/>
    <w:rsid w:val="0007178E"/>
    <w:rsid w:val="00095F98"/>
    <w:rsid w:val="000B56F2"/>
    <w:rsid w:val="000E3507"/>
    <w:rsid w:val="001D20F5"/>
    <w:rsid w:val="001F49F6"/>
    <w:rsid w:val="00221142"/>
    <w:rsid w:val="00234C41"/>
    <w:rsid w:val="00277BF4"/>
    <w:rsid w:val="00293EF4"/>
    <w:rsid w:val="002A0305"/>
    <w:rsid w:val="0030699D"/>
    <w:rsid w:val="0032007C"/>
    <w:rsid w:val="00343843"/>
    <w:rsid w:val="00381EE3"/>
    <w:rsid w:val="00395B61"/>
    <w:rsid w:val="003A678F"/>
    <w:rsid w:val="003C44FB"/>
    <w:rsid w:val="003F3A66"/>
    <w:rsid w:val="004141F1"/>
    <w:rsid w:val="004644FD"/>
    <w:rsid w:val="00497870"/>
    <w:rsid w:val="004C5BE9"/>
    <w:rsid w:val="005311D8"/>
    <w:rsid w:val="005312C2"/>
    <w:rsid w:val="005658EF"/>
    <w:rsid w:val="005912CB"/>
    <w:rsid w:val="00596D57"/>
    <w:rsid w:val="005B422E"/>
    <w:rsid w:val="005E0434"/>
    <w:rsid w:val="005E7D52"/>
    <w:rsid w:val="00600B44"/>
    <w:rsid w:val="0060396B"/>
    <w:rsid w:val="00645F67"/>
    <w:rsid w:val="006622C9"/>
    <w:rsid w:val="00683FED"/>
    <w:rsid w:val="006D7428"/>
    <w:rsid w:val="006E39EB"/>
    <w:rsid w:val="00753806"/>
    <w:rsid w:val="00777D6B"/>
    <w:rsid w:val="00790062"/>
    <w:rsid w:val="007B010D"/>
    <w:rsid w:val="007C49B0"/>
    <w:rsid w:val="008623C4"/>
    <w:rsid w:val="00897B17"/>
    <w:rsid w:val="0091001F"/>
    <w:rsid w:val="00920B19"/>
    <w:rsid w:val="00921986"/>
    <w:rsid w:val="00953323"/>
    <w:rsid w:val="009B2940"/>
    <w:rsid w:val="009C7A2C"/>
    <w:rsid w:val="009D6DE6"/>
    <w:rsid w:val="00A233D3"/>
    <w:rsid w:val="00A54A3B"/>
    <w:rsid w:val="00A841E7"/>
    <w:rsid w:val="00A85D7C"/>
    <w:rsid w:val="00AC4221"/>
    <w:rsid w:val="00B03874"/>
    <w:rsid w:val="00B21853"/>
    <w:rsid w:val="00B25D75"/>
    <w:rsid w:val="00B4515C"/>
    <w:rsid w:val="00B657CD"/>
    <w:rsid w:val="00B77B98"/>
    <w:rsid w:val="00B967EE"/>
    <w:rsid w:val="00BD5024"/>
    <w:rsid w:val="00BE605F"/>
    <w:rsid w:val="00BE7EDD"/>
    <w:rsid w:val="00BF7FE2"/>
    <w:rsid w:val="00C25421"/>
    <w:rsid w:val="00C26FD4"/>
    <w:rsid w:val="00C93AD8"/>
    <w:rsid w:val="00CF3268"/>
    <w:rsid w:val="00D316A1"/>
    <w:rsid w:val="00D37CF2"/>
    <w:rsid w:val="00D960BD"/>
    <w:rsid w:val="00D96F80"/>
    <w:rsid w:val="00DC147C"/>
    <w:rsid w:val="00DC593A"/>
    <w:rsid w:val="00DD50B8"/>
    <w:rsid w:val="00E12549"/>
    <w:rsid w:val="00E42C9A"/>
    <w:rsid w:val="00E5365C"/>
    <w:rsid w:val="00EB15F4"/>
    <w:rsid w:val="00F04862"/>
    <w:rsid w:val="00F16F78"/>
    <w:rsid w:val="00F4167B"/>
    <w:rsid w:val="00F51292"/>
    <w:rsid w:val="00F920B3"/>
    <w:rsid w:val="00FB7360"/>
    <w:rsid w:val="00FD4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99E25-CD91-4486-9F3E-DD19EA22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B010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B010D"/>
    <w:rPr>
      <w:rFonts w:ascii="Calibri" w:hAnsi="Calibri"/>
      <w:noProof/>
      <w:lang w:val="en-US"/>
    </w:rPr>
  </w:style>
  <w:style w:type="paragraph" w:customStyle="1" w:styleId="EndNoteBibliographyTitle">
    <w:name w:val="EndNote Bibliography Title"/>
    <w:basedOn w:val="Normal"/>
    <w:link w:val="EndNoteBibliographyTitleChar"/>
    <w:rsid w:val="007B010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B010D"/>
    <w:rPr>
      <w:rFonts w:ascii="Calibri" w:hAnsi="Calibri"/>
      <w:noProof/>
      <w:lang w:val="en-US"/>
    </w:rPr>
  </w:style>
  <w:style w:type="paragraph" w:styleId="BalloonText">
    <w:name w:val="Balloon Text"/>
    <w:basedOn w:val="Normal"/>
    <w:link w:val="BalloonTextChar"/>
    <w:uiPriority w:val="99"/>
    <w:semiHidden/>
    <w:unhideWhenUsed/>
    <w:rsid w:val="007B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10D"/>
    <w:rPr>
      <w:rFonts w:ascii="Segoe UI" w:hAnsi="Segoe UI" w:cs="Segoe UI"/>
      <w:sz w:val="18"/>
      <w:szCs w:val="18"/>
      <w:lang w:val="en-US"/>
    </w:rPr>
  </w:style>
  <w:style w:type="table" w:styleId="TableGrid">
    <w:name w:val="Table Grid"/>
    <w:basedOn w:val="TableNormal"/>
    <w:uiPriority w:val="59"/>
    <w:rsid w:val="007B01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10D"/>
    <w:rPr>
      <w:color w:val="0000FF" w:themeColor="hyperlink"/>
      <w:u w:val="single"/>
    </w:rPr>
  </w:style>
  <w:style w:type="paragraph" w:styleId="Header">
    <w:name w:val="header"/>
    <w:basedOn w:val="Normal"/>
    <w:link w:val="HeaderChar"/>
    <w:uiPriority w:val="99"/>
    <w:unhideWhenUsed/>
    <w:rsid w:val="007B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10D"/>
    <w:rPr>
      <w:lang w:val="en-US"/>
    </w:rPr>
  </w:style>
  <w:style w:type="paragraph" w:styleId="Footer">
    <w:name w:val="footer"/>
    <w:basedOn w:val="Normal"/>
    <w:link w:val="FooterChar"/>
    <w:uiPriority w:val="99"/>
    <w:unhideWhenUsed/>
    <w:rsid w:val="007B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10D"/>
    <w:rPr>
      <w:lang w:val="en-US"/>
    </w:rPr>
  </w:style>
  <w:style w:type="paragraph" w:styleId="CommentText">
    <w:name w:val="annotation text"/>
    <w:basedOn w:val="Normal"/>
    <w:link w:val="CommentTextChar"/>
    <w:uiPriority w:val="99"/>
    <w:unhideWhenUsed/>
    <w:rsid w:val="007B010D"/>
    <w:pPr>
      <w:spacing w:line="240" w:lineRule="auto"/>
    </w:pPr>
    <w:rPr>
      <w:sz w:val="24"/>
      <w:szCs w:val="24"/>
    </w:rPr>
  </w:style>
  <w:style w:type="character" w:customStyle="1" w:styleId="CommentTextChar">
    <w:name w:val="Comment Text Char"/>
    <w:basedOn w:val="DefaultParagraphFont"/>
    <w:link w:val="CommentText"/>
    <w:uiPriority w:val="99"/>
    <w:rsid w:val="007B010D"/>
    <w:rPr>
      <w:sz w:val="24"/>
      <w:szCs w:val="24"/>
      <w:lang w:val="en-US"/>
    </w:rPr>
  </w:style>
  <w:style w:type="paragraph" w:styleId="ListParagraph">
    <w:name w:val="List Paragraph"/>
    <w:basedOn w:val="Normal"/>
    <w:uiPriority w:val="34"/>
    <w:qFormat/>
    <w:rsid w:val="007B010D"/>
    <w:pPr>
      <w:ind w:left="720"/>
      <w:contextualSpacing/>
    </w:pPr>
    <w:rPr>
      <w:lang w:val="en-AU"/>
    </w:rPr>
  </w:style>
  <w:style w:type="character" w:customStyle="1" w:styleId="xbe">
    <w:name w:val="_xbe"/>
    <w:basedOn w:val="DefaultParagraphFont"/>
    <w:rsid w:val="00F9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3059">
      <w:bodyDiv w:val="1"/>
      <w:marLeft w:val="0"/>
      <w:marRight w:val="0"/>
      <w:marTop w:val="0"/>
      <w:marBottom w:val="0"/>
      <w:divBdr>
        <w:top w:val="none" w:sz="0" w:space="0" w:color="auto"/>
        <w:left w:val="none" w:sz="0" w:space="0" w:color="auto"/>
        <w:bottom w:val="none" w:sz="0" w:space="0" w:color="auto"/>
        <w:right w:val="none" w:sz="0" w:space="0" w:color="auto"/>
      </w:divBdr>
    </w:div>
    <w:div w:id="1047025541">
      <w:bodyDiv w:val="1"/>
      <w:marLeft w:val="0"/>
      <w:marRight w:val="0"/>
      <w:marTop w:val="0"/>
      <w:marBottom w:val="0"/>
      <w:divBdr>
        <w:top w:val="none" w:sz="0" w:space="0" w:color="auto"/>
        <w:left w:val="none" w:sz="0" w:space="0" w:color="auto"/>
        <w:bottom w:val="none" w:sz="0" w:space="0" w:color="auto"/>
        <w:right w:val="none" w:sz="0" w:space="0" w:color="auto"/>
      </w:divBdr>
    </w:div>
    <w:div w:id="11995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ailes@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4562</Words>
  <Characters>26007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Jeremy13</dc:creator>
  <cp:lastModifiedBy>Isabelle Hubbard</cp:lastModifiedBy>
  <cp:revision>2</cp:revision>
  <cp:lastPrinted>2017-08-31T10:25:00Z</cp:lastPrinted>
  <dcterms:created xsi:type="dcterms:W3CDTF">2017-11-08T10:03:00Z</dcterms:created>
  <dcterms:modified xsi:type="dcterms:W3CDTF">2017-11-08T10:03:00Z</dcterms:modified>
</cp:coreProperties>
</file>