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0B3" w:rsidRPr="00A841E7" w:rsidRDefault="00F920B3" w:rsidP="00F920B3">
      <w:pPr>
        <w:spacing w:line="480" w:lineRule="auto"/>
        <w:jc w:val="center"/>
        <w:rPr>
          <w:rFonts w:ascii="Times New Roman" w:hAnsi="Times New Roman" w:cs="Times New Roman"/>
          <w:b/>
          <w:sz w:val="20"/>
          <w:szCs w:val="20"/>
          <w:u w:val="single"/>
        </w:rPr>
      </w:pPr>
      <w:bookmarkStart w:id="0" w:name="_GoBack"/>
      <w:bookmarkEnd w:id="0"/>
      <w:r w:rsidRPr="00A841E7">
        <w:rPr>
          <w:rFonts w:ascii="Times New Roman" w:hAnsi="Times New Roman" w:cs="Times New Roman"/>
          <w:b/>
          <w:sz w:val="20"/>
          <w:szCs w:val="20"/>
          <w:u w:val="single"/>
        </w:rPr>
        <w:t>Title Page</w:t>
      </w:r>
    </w:p>
    <w:p w:rsidR="00F920B3" w:rsidRPr="00A841E7" w:rsidRDefault="00F920B3" w:rsidP="00F920B3">
      <w:pPr>
        <w:spacing w:line="480" w:lineRule="auto"/>
        <w:rPr>
          <w:rFonts w:ascii="Times New Roman" w:hAnsi="Times New Roman" w:cs="Times New Roman"/>
          <w:sz w:val="20"/>
          <w:szCs w:val="20"/>
        </w:rPr>
      </w:pPr>
      <w:r w:rsidRPr="00A841E7">
        <w:rPr>
          <w:rFonts w:ascii="Times New Roman" w:hAnsi="Times New Roman" w:cs="Times New Roman"/>
          <w:sz w:val="20"/>
          <w:szCs w:val="20"/>
        </w:rPr>
        <w:t xml:space="preserve">Title: </w:t>
      </w:r>
      <w:r w:rsidR="006D7428" w:rsidRPr="00A841E7">
        <w:rPr>
          <w:rFonts w:ascii="Times New Roman" w:hAnsi="Times New Roman" w:cs="Times New Roman"/>
          <w:sz w:val="20"/>
          <w:szCs w:val="20"/>
        </w:rPr>
        <w:t>Antimicrobial Resistance in UK Neonatal Units: neonIN Infection Surveillance Network</w:t>
      </w:r>
    </w:p>
    <w:p w:rsidR="00F920B3" w:rsidRPr="00A841E7" w:rsidRDefault="00F920B3" w:rsidP="00F920B3">
      <w:pPr>
        <w:spacing w:line="360" w:lineRule="auto"/>
        <w:rPr>
          <w:rFonts w:ascii="Times New Roman" w:hAnsi="Times New Roman" w:cs="Times New Roman"/>
          <w:sz w:val="20"/>
          <w:szCs w:val="20"/>
        </w:rPr>
      </w:pPr>
      <w:r w:rsidRPr="00A841E7">
        <w:rPr>
          <w:rFonts w:ascii="Times New Roman" w:hAnsi="Times New Roman" w:cs="Times New Roman"/>
          <w:sz w:val="20"/>
          <w:szCs w:val="20"/>
        </w:rPr>
        <w:t>Cailes, Benjamin (Corresponding Author)</w:t>
      </w:r>
      <w:r w:rsidRPr="00A841E7">
        <w:rPr>
          <w:rFonts w:ascii="Times New Roman" w:hAnsi="Times New Roman" w:cs="Times New Roman"/>
          <w:sz w:val="20"/>
          <w:szCs w:val="20"/>
        </w:rPr>
        <w:br/>
      </w:r>
      <w:r w:rsidR="003C44FB" w:rsidRPr="00A841E7">
        <w:rPr>
          <w:rFonts w:ascii="Times New Roman" w:hAnsi="Times New Roman" w:cs="Times New Roman"/>
          <w:sz w:val="20"/>
          <w:szCs w:val="20"/>
        </w:rPr>
        <w:t>Paediatric Infectious Diseases Research Group, St George’s University of London</w:t>
      </w:r>
      <w:r w:rsidR="003C44FB" w:rsidRPr="00A841E7">
        <w:rPr>
          <w:rFonts w:ascii="Times New Roman" w:hAnsi="Times New Roman" w:cs="Times New Roman"/>
          <w:sz w:val="20"/>
          <w:szCs w:val="20"/>
        </w:rPr>
        <w:br/>
        <w:t>Cranmer Terrace, London, SW11 0RU, UK</w:t>
      </w:r>
      <w:r w:rsidR="003C44FB" w:rsidRPr="00A841E7">
        <w:rPr>
          <w:rFonts w:ascii="Times New Roman" w:hAnsi="Times New Roman" w:cs="Times New Roman"/>
          <w:sz w:val="20"/>
          <w:szCs w:val="20"/>
        </w:rPr>
        <w:br/>
        <w:t xml:space="preserve">Email: </w:t>
      </w:r>
      <w:hyperlink r:id="rId5" w:history="1">
        <w:r w:rsidR="003C44FB" w:rsidRPr="00A841E7">
          <w:rPr>
            <w:rStyle w:val="Hyperlink"/>
            <w:rFonts w:ascii="Times New Roman" w:hAnsi="Times New Roman" w:cs="Times New Roman"/>
            <w:color w:val="auto"/>
            <w:sz w:val="20"/>
            <w:szCs w:val="20"/>
          </w:rPr>
          <w:t>bcailes@sgul.ac.uk</w:t>
        </w:r>
      </w:hyperlink>
      <w:r w:rsidR="003C44FB" w:rsidRPr="00A841E7">
        <w:rPr>
          <w:rFonts w:ascii="Times New Roman" w:hAnsi="Times New Roman" w:cs="Times New Roman"/>
          <w:sz w:val="20"/>
          <w:szCs w:val="20"/>
        </w:rPr>
        <w:br/>
        <w:t>Telephone: +44 20 8672 9944</w:t>
      </w:r>
    </w:p>
    <w:p w:rsidR="00F920B3" w:rsidRPr="00A841E7" w:rsidRDefault="00F920B3" w:rsidP="00F920B3">
      <w:pPr>
        <w:spacing w:line="360" w:lineRule="auto"/>
        <w:rPr>
          <w:rFonts w:ascii="Times New Roman" w:hAnsi="Times New Roman" w:cs="Times New Roman"/>
          <w:sz w:val="20"/>
          <w:szCs w:val="20"/>
        </w:rPr>
      </w:pPr>
      <w:r w:rsidRPr="00A841E7">
        <w:rPr>
          <w:rFonts w:ascii="Times New Roman" w:hAnsi="Times New Roman" w:cs="Times New Roman"/>
          <w:sz w:val="20"/>
          <w:szCs w:val="20"/>
        </w:rPr>
        <w:t>Kortsalioudaki, Christina</w:t>
      </w:r>
      <w:r w:rsidRPr="00A841E7">
        <w:rPr>
          <w:rFonts w:ascii="Times New Roman" w:hAnsi="Times New Roman" w:cs="Times New Roman"/>
          <w:sz w:val="20"/>
          <w:szCs w:val="20"/>
        </w:rPr>
        <w:br/>
      </w:r>
      <w:r w:rsidR="003C44FB" w:rsidRPr="00A841E7">
        <w:rPr>
          <w:rFonts w:ascii="Times New Roman" w:hAnsi="Times New Roman" w:cs="Times New Roman"/>
          <w:sz w:val="20"/>
          <w:szCs w:val="20"/>
        </w:rPr>
        <w:t>Paediatric Infectious Diseases Research Group, St George’s University of London</w:t>
      </w:r>
      <w:r w:rsidR="003C44FB" w:rsidRPr="00A841E7">
        <w:rPr>
          <w:rFonts w:ascii="Times New Roman" w:hAnsi="Times New Roman" w:cs="Times New Roman"/>
          <w:sz w:val="20"/>
          <w:szCs w:val="20"/>
        </w:rPr>
        <w:br/>
        <w:t>Cranmer Terrace, London, SW11 0RU, UK</w:t>
      </w:r>
    </w:p>
    <w:p w:rsidR="00F920B3" w:rsidRPr="00A841E7" w:rsidRDefault="00F920B3" w:rsidP="00F920B3">
      <w:pPr>
        <w:spacing w:line="360" w:lineRule="auto"/>
        <w:rPr>
          <w:rFonts w:ascii="Times New Roman" w:hAnsi="Times New Roman" w:cs="Times New Roman"/>
          <w:sz w:val="20"/>
          <w:szCs w:val="20"/>
        </w:rPr>
      </w:pPr>
      <w:r w:rsidRPr="00A841E7">
        <w:rPr>
          <w:rFonts w:ascii="Times New Roman" w:hAnsi="Times New Roman" w:cs="Times New Roman"/>
          <w:sz w:val="20"/>
          <w:szCs w:val="20"/>
        </w:rPr>
        <w:t>Buttery, Jim</w:t>
      </w:r>
      <w:r w:rsidRPr="00A841E7">
        <w:rPr>
          <w:rFonts w:ascii="Times New Roman" w:hAnsi="Times New Roman" w:cs="Times New Roman"/>
          <w:sz w:val="20"/>
          <w:szCs w:val="20"/>
        </w:rPr>
        <w:br/>
        <w:t>Monash Children’s, Monash Medical Centre</w:t>
      </w:r>
      <w:r w:rsidRPr="00A841E7">
        <w:rPr>
          <w:rFonts w:ascii="Times New Roman" w:hAnsi="Times New Roman" w:cs="Times New Roman"/>
          <w:sz w:val="20"/>
          <w:szCs w:val="20"/>
        </w:rPr>
        <w:br/>
        <w:t>246 Clayton Rd, Clayton VIC 3168</w:t>
      </w:r>
    </w:p>
    <w:p w:rsidR="00F920B3" w:rsidRPr="00A841E7" w:rsidRDefault="00F920B3" w:rsidP="00F920B3">
      <w:pPr>
        <w:spacing w:line="360" w:lineRule="auto"/>
        <w:rPr>
          <w:rFonts w:ascii="Times New Roman" w:hAnsi="Times New Roman" w:cs="Times New Roman"/>
          <w:sz w:val="20"/>
          <w:szCs w:val="20"/>
        </w:rPr>
      </w:pPr>
      <w:proofErr w:type="spellStart"/>
      <w:r w:rsidRPr="00A841E7">
        <w:rPr>
          <w:rFonts w:ascii="Times New Roman" w:hAnsi="Times New Roman" w:cs="Times New Roman"/>
          <w:sz w:val="20"/>
          <w:szCs w:val="20"/>
        </w:rPr>
        <w:t>Pattnayak</w:t>
      </w:r>
      <w:proofErr w:type="spellEnd"/>
      <w:r w:rsidRPr="00A841E7">
        <w:rPr>
          <w:rFonts w:ascii="Times New Roman" w:hAnsi="Times New Roman" w:cs="Times New Roman"/>
          <w:sz w:val="20"/>
          <w:szCs w:val="20"/>
        </w:rPr>
        <w:t>, Santosh</w:t>
      </w:r>
      <w:r w:rsidRPr="00A841E7">
        <w:rPr>
          <w:rFonts w:ascii="Times New Roman" w:hAnsi="Times New Roman" w:cs="Times New Roman"/>
          <w:sz w:val="20"/>
          <w:szCs w:val="20"/>
        </w:rPr>
        <w:br/>
        <w:t>Medway NHS Foundation Trust</w:t>
      </w:r>
      <w:r w:rsidRPr="00A841E7">
        <w:rPr>
          <w:rFonts w:ascii="Times New Roman" w:hAnsi="Times New Roman" w:cs="Times New Roman"/>
          <w:sz w:val="20"/>
          <w:szCs w:val="20"/>
        </w:rPr>
        <w:br/>
      </w:r>
      <w:r w:rsidRPr="00A841E7">
        <w:rPr>
          <w:rStyle w:val="xbe"/>
          <w:rFonts w:ascii="Times New Roman" w:hAnsi="Times New Roman" w:cs="Times New Roman"/>
          <w:sz w:val="20"/>
          <w:szCs w:val="20"/>
        </w:rPr>
        <w:t xml:space="preserve">Windmill Road, </w:t>
      </w:r>
      <w:proofErr w:type="spellStart"/>
      <w:r w:rsidRPr="00A841E7">
        <w:rPr>
          <w:rStyle w:val="xbe"/>
          <w:rFonts w:ascii="Times New Roman" w:hAnsi="Times New Roman" w:cs="Times New Roman"/>
          <w:sz w:val="20"/>
          <w:szCs w:val="20"/>
        </w:rPr>
        <w:t>Gillingham</w:t>
      </w:r>
      <w:proofErr w:type="spellEnd"/>
      <w:r w:rsidRPr="00A841E7">
        <w:rPr>
          <w:rStyle w:val="xbe"/>
          <w:rFonts w:ascii="Times New Roman" w:hAnsi="Times New Roman" w:cs="Times New Roman"/>
          <w:sz w:val="20"/>
          <w:szCs w:val="20"/>
        </w:rPr>
        <w:t>, Kent ME7 5NY, UK</w:t>
      </w:r>
    </w:p>
    <w:p w:rsidR="00F920B3" w:rsidRPr="00A841E7" w:rsidRDefault="00F920B3" w:rsidP="00F920B3">
      <w:pPr>
        <w:spacing w:line="360" w:lineRule="auto"/>
        <w:rPr>
          <w:rFonts w:ascii="Times New Roman" w:hAnsi="Times New Roman" w:cs="Times New Roman"/>
          <w:sz w:val="20"/>
          <w:szCs w:val="20"/>
        </w:rPr>
      </w:pPr>
      <w:r w:rsidRPr="00A841E7">
        <w:rPr>
          <w:rFonts w:ascii="Times New Roman" w:hAnsi="Times New Roman" w:cs="Times New Roman"/>
          <w:sz w:val="20"/>
          <w:szCs w:val="20"/>
        </w:rPr>
        <w:t>Greenough, Anne</w:t>
      </w:r>
      <w:r w:rsidRPr="00A841E7">
        <w:rPr>
          <w:rFonts w:ascii="Times New Roman" w:hAnsi="Times New Roman" w:cs="Times New Roman"/>
          <w:sz w:val="20"/>
          <w:szCs w:val="20"/>
        </w:rPr>
        <w:br/>
        <w:t>Kings College London</w:t>
      </w:r>
      <w:r w:rsidRPr="00A841E7">
        <w:rPr>
          <w:rFonts w:ascii="Times New Roman" w:hAnsi="Times New Roman" w:cs="Times New Roman"/>
          <w:sz w:val="20"/>
          <w:szCs w:val="20"/>
        </w:rPr>
        <w:br/>
        <w:t>Kings College Hospital, 4th Floor, Golden Jubilee Wing, London, UK SE5 9PJ</w:t>
      </w:r>
    </w:p>
    <w:p w:rsidR="00F920B3" w:rsidRPr="00A841E7" w:rsidRDefault="00F920B3" w:rsidP="00F920B3">
      <w:pPr>
        <w:spacing w:line="360" w:lineRule="auto"/>
        <w:rPr>
          <w:rFonts w:ascii="Times New Roman" w:hAnsi="Times New Roman" w:cs="Times New Roman"/>
          <w:sz w:val="20"/>
          <w:szCs w:val="20"/>
        </w:rPr>
      </w:pPr>
      <w:proofErr w:type="spellStart"/>
      <w:r w:rsidRPr="00A841E7">
        <w:rPr>
          <w:rFonts w:ascii="Times New Roman" w:hAnsi="Times New Roman" w:cs="Times New Roman"/>
          <w:sz w:val="20"/>
          <w:szCs w:val="20"/>
        </w:rPr>
        <w:t>Matthes</w:t>
      </w:r>
      <w:proofErr w:type="spellEnd"/>
      <w:r w:rsidRPr="00A841E7">
        <w:rPr>
          <w:rFonts w:ascii="Times New Roman" w:hAnsi="Times New Roman" w:cs="Times New Roman"/>
          <w:sz w:val="20"/>
          <w:szCs w:val="20"/>
        </w:rPr>
        <w:t>, Jean</w:t>
      </w:r>
      <w:r w:rsidRPr="00A841E7">
        <w:rPr>
          <w:rFonts w:ascii="Times New Roman" w:hAnsi="Times New Roman" w:cs="Times New Roman"/>
          <w:sz w:val="20"/>
          <w:szCs w:val="20"/>
        </w:rPr>
        <w:br/>
      </w:r>
      <w:r w:rsidR="003C44FB" w:rsidRPr="00A841E7">
        <w:rPr>
          <w:rFonts w:ascii="Times New Roman" w:hAnsi="Times New Roman" w:cs="Times New Roman"/>
          <w:sz w:val="20"/>
          <w:szCs w:val="20"/>
        </w:rPr>
        <w:t>Singleton Hospital</w:t>
      </w:r>
      <w:r w:rsidR="003C44FB" w:rsidRPr="00A841E7">
        <w:rPr>
          <w:rFonts w:ascii="Times New Roman" w:hAnsi="Times New Roman" w:cs="Times New Roman"/>
          <w:sz w:val="20"/>
          <w:szCs w:val="20"/>
        </w:rPr>
        <w:br/>
      </w:r>
      <w:r w:rsidR="003C44FB" w:rsidRPr="00A841E7">
        <w:rPr>
          <w:rStyle w:val="xbe"/>
          <w:rFonts w:ascii="Times New Roman" w:hAnsi="Times New Roman" w:cs="Times New Roman"/>
          <w:sz w:val="20"/>
          <w:szCs w:val="20"/>
        </w:rPr>
        <w:t>Swansea, SA2 8QA</w:t>
      </w:r>
    </w:p>
    <w:p w:rsidR="00F920B3" w:rsidRPr="00A841E7" w:rsidRDefault="00F920B3" w:rsidP="00F920B3">
      <w:pPr>
        <w:spacing w:line="360" w:lineRule="auto"/>
        <w:rPr>
          <w:rFonts w:ascii="Times New Roman" w:hAnsi="Times New Roman" w:cs="Times New Roman"/>
          <w:sz w:val="20"/>
          <w:szCs w:val="20"/>
        </w:rPr>
      </w:pPr>
      <w:r w:rsidRPr="00A841E7">
        <w:rPr>
          <w:rFonts w:ascii="Times New Roman" w:hAnsi="Times New Roman" w:cs="Times New Roman"/>
          <w:sz w:val="20"/>
          <w:szCs w:val="20"/>
        </w:rPr>
        <w:t>Bedford Russell, Alison</w:t>
      </w:r>
      <w:r w:rsidRPr="00A841E7">
        <w:rPr>
          <w:rFonts w:ascii="Times New Roman" w:hAnsi="Times New Roman" w:cs="Times New Roman"/>
          <w:sz w:val="20"/>
          <w:szCs w:val="20"/>
        </w:rPr>
        <w:br/>
        <w:t xml:space="preserve">Birmingham </w:t>
      </w:r>
      <w:proofErr w:type="spellStart"/>
      <w:r w:rsidRPr="00A841E7">
        <w:rPr>
          <w:rFonts w:ascii="Times New Roman" w:hAnsi="Times New Roman" w:cs="Times New Roman"/>
          <w:sz w:val="20"/>
          <w:szCs w:val="20"/>
        </w:rPr>
        <w:t>Womens</w:t>
      </w:r>
      <w:proofErr w:type="spellEnd"/>
      <w:r w:rsidRPr="00A841E7">
        <w:rPr>
          <w:rFonts w:ascii="Times New Roman" w:hAnsi="Times New Roman" w:cs="Times New Roman"/>
          <w:sz w:val="20"/>
          <w:szCs w:val="20"/>
        </w:rPr>
        <w:t xml:space="preserve"> Hospital</w:t>
      </w:r>
      <w:r w:rsidRPr="00A841E7">
        <w:rPr>
          <w:rFonts w:ascii="Times New Roman" w:hAnsi="Times New Roman" w:cs="Times New Roman"/>
          <w:sz w:val="20"/>
          <w:szCs w:val="20"/>
        </w:rPr>
        <w:br/>
      </w:r>
      <w:proofErr w:type="spellStart"/>
      <w:r w:rsidRPr="00A841E7">
        <w:rPr>
          <w:rFonts w:ascii="Times New Roman" w:hAnsi="Times New Roman" w:cs="Times New Roman"/>
          <w:sz w:val="20"/>
          <w:szCs w:val="20"/>
        </w:rPr>
        <w:t>Metchley</w:t>
      </w:r>
      <w:proofErr w:type="spellEnd"/>
      <w:r w:rsidRPr="00A841E7">
        <w:rPr>
          <w:rFonts w:ascii="Times New Roman" w:hAnsi="Times New Roman" w:cs="Times New Roman"/>
          <w:sz w:val="20"/>
          <w:szCs w:val="20"/>
        </w:rPr>
        <w:t xml:space="preserve"> Park Rd, Birmingham, UK B15 2TG</w:t>
      </w:r>
    </w:p>
    <w:p w:rsidR="00F920B3" w:rsidRPr="00A841E7" w:rsidRDefault="00F920B3" w:rsidP="00F920B3">
      <w:pPr>
        <w:spacing w:line="360" w:lineRule="auto"/>
        <w:rPr>
          <w:rFonts w:ascii="Times New Roman" w:hAnsi="Times New Roman" w:cs="Times New Roman"/>
          <w:sz w:val="20"/>
          <w:szCs w:val="20"/>
        </w:rPr>
      </w:pPr>
      <w:r w:rsidRPr="00A841E7">
        <w:rPr>
          <w:rFonts w:ascii="Times New Roman" w:hAnsi="Times New Roman" w:cs="Times New Roman"/>
          <w:sz w:val="20"/>
          <w:szCs w:val="20"/>
        </w:rPr>
        <w:t>Kennea, Nigel</w:t>
      </w:r>
      <w:r w:rsidRPr="00A841E7">
        <w:rPr>
          <w:rFonts w:ascii="Times New Roman" w:hAnsi="Times New Roman" w:cs="Times New Roman"/>
          <w:sz w:val="20"/>
          <w:szCs w:val="20"/>
        </w:rPr>
        <w:br/>
      </w:r>
      <w:r w:rsidR="003C44FB" w:rsidRPr="00A841E7">
        <w:rPr>
          <w:rFonts w:ascii="Times New Roman" w:hAnsi="Times New Roman" w:cs="Times New Roman"/>
          <w:sz w:val="20"/>
          <w:szCs w:val="20"/>
        </w:rPr>
        <w:t>St George’s University NHS Foundation Trust</w:t>
      </w:r>
      <w:r w:rsidRPr="00A841E7">
        <w:rPr>
          <w:rFonts w:ascii="Times New Roman" w:hAnsi="Times New Roman" w:cs="Times New Roman"/>
          <w:sz w:val="20"/>
          <w:szCs w:val="20"/>
        </w:rPr>
        <w:br/>
      </w:r>
      <w:proofErr w:type="spellStart"/>
      <w:r w:rsidRPr="00A841E7">
        <w:rPr>
          <w:rFonts w:ascii="Times New Roman" w:hAnsi="Times New Roman" w:cs="Times New Roman"/>
          <w:sz w:val="20"/>
          <w:szCs w:val="20"/>
        </w:rPr>
        <w:t>Blackshaw</w:t>
      </w:r>
      <w:proofErr w:type="spellEnd"/>
      <w:r w:rsidRPr="00A841E7">
        <w:rPr>
          <w:rFonts w:ascii="Times New Roman" w:hAnsi="Times New Roman" w:cs="Times New Roman"/>
          <w:sz w:val="20"/>
          <w:szCs w:val="20"/>
        </w:rPr>
        <w:t xml:space="preserve"> Rd, London SW17 0QT, UK</w:t>
      </w:r>
    </w:p>
    <w:p w:rsidR="003C44FB" w:rsidRPr="00A841E7" w:rsidRDefault="00F920B3" w:rsidP="003C44FB">
      <w:pPr>
        <w:spacing w:line="360" w:lineRule="auto"/>
        <w:rPr>
          <w:rFonts w:ascii="Times New Roman" w:hAnsi="Times New Roman" w:cs="Times New Roman"/>
          <w:sz w:val="20"/>
          <w:szCs w:val="20"/>
        </w:rPr>
      </w:pPr>
      <w:r w:rsidRPr="00A841E7">
        <w:rPr>
          <w:rFonts w:ascii="Times New Roman" w:hAnsi="Times New Roman" w:cs="Times New Roman"/>
          <w:sz w:val="20"/>
          <w:szCs w:val="20"/>
        </w:rPr>
        <w:t xml:space="preserve">Heath, Paul </w:t>
      </w:r>
      <w:r w:rsidR="003C44FB" w:rsidRPr="00A841E7">
        <w:rPr>
          <w:rFonts w:ascii="Times New Roman" w:hAnsi="Times New Roman" w:cs="Times New Roman"/>
          <w:sz w:val="20"/>
          <w:szCs w:val="20"/>
        </w:rPr>
        <w:t>T</w:t>
      </w:r>
      <w:r w:rsidRPr="00A841E7">
        <w:rPr>
          <w:rFonts w:ascii="Times New Roman" w:hAnsi="Times New Roman" w:cs="Times New Roman"/>
          <w:sz w:val="20"/>
          <w:szCs w:val="20"/>
        </w:rPr>
        <w:br/>
      </w:r>
      <w:r w:rsidR="003C44FB" w:rsidRPr="00A841E7">
        <w:rPr>
          <w:rFonts w:ascii="Times New Roman" w:hAnsi="Times New Roman" w:cs="Times New Roman"/>
          <w:sz w:val="20"/>
          <w:szCs w:val="20"/>
        </w:rPr>
        <w:t>Paediatric Infectious Diseases Research Group, St George’s University of London</w:t>
      </w:r>
      <w:r w:rsidR="003C44FB" w:rsidRPr="00A841E7">
        <w:rPr>
          <w:rFonts w:ascii="Times New Roman" w:hAnsi="Times New Roman" w:cs="Times New Roman"/>
          <w:sz w:val="20"/>
          <w:szCs w:val="20"/>
        </w:rPr>
        <w:br/>
        <w:t>Cranmer Terrace, London, SW11 0RU, UK</w:t>
      </w:r>
    </w:p>
    <w:p w:rsidR="003C44FB" w:rsidRPr="00A841E7" w:rsidRDefault="00F920B3" w:rsidP="00F920B3">
      <w:pPr>
        <w:spacing w:line="360" w:lineRule="auto"/>
        <w:rPr>
          <w:rFonts w:ascii="Times New Roman" w:hAnsi="Times New Roman" w:cs="Times New Roman"/>
          <w:sz w:val="20"/>
          <w:szCs w:val="20"/>
        </w:rPr>
      </w:pPr>
      <w:r w:rsidRPr="00A841E7">
        <w:rPr>
          <w:rFonts w:ascii="Times New Roman" w:hAnsi="Times New Roman" w:cs="Times New Roman"/>
          <w:sz w:val="20"/>
          <w:szCs w:val="20"/>
        </w:rPr>
        <w:t>On behalf of the neonIN network</w:t>
      </w:r>
    </w:p>
    <w:p w:rsidR="003C44FB" w:rsidRPr="00A841E7" w:rsidRDefault="003C44FB">
      <w:pPr>
        <w:rPr>
          <w:rFonts w:ascii="Times New Roman" w:hAnsi="Times New Roman" w:cs="Times New Roman"/>
          <w:sz w:val="20"/>
          <w:szCs w:val="20"/>
        </w:rPr>
      </w:pPr>
      <w:r w:rsidRPr="00A841E7">
        <w:rPr>
          <w:rFonts w:ascii="Times New Roman" w:hAnsi="Times New Roman" w:cs="Times New Roman"/>
          <w:sz w:val="20"/>
          <w:szCs w:val="20"/>
        </w:rPr>
        <w:br w:type="page"/>
      </w:r>
    </w:p>
    <w:p w:rsidR="003C44FB" w:rsidRPr="00A841E7" w:rsidRDefault="003C44FB" w:rsidP="003C44FB">
      <w:pPr>
        <w:rPr>
          <w:rFonts w:ascii="Times New Roman" w:hAnsi="Times New Roman" w:cs="Times New Roman"/>
          <w:b/>
          <w:sz w:val="20"/>
          <w:szCs w:val="20"/>
        </w:rPr>
      </w:pPr>
      <w:r w:rsidRPr="00A841E7">
        <w:rPr>
          <w:rFonts w:ascii="Times New Roman" w:hAnsi="Times New Roman" w:cs="Times New Roman"/>
          <w:b/>
          <w:sz w:val="20"/>
          <w:szCs w:val="20"/>
        </w:rPr>
        <w:lastRenderedPageBreak/>
        <w:t>Funding Statement:</w:t>
      </w:r>
    </w:p>
    <w:p w:rsidR="003C44FB" w:rsidRPr="00A841E7" w:rsidRDefault="003C44FB" w:rsidP="003C44FB">
      <w:pPr>
        <w:spacing w:line="360" w:lineRule="auto"/>
        <w:rPr>
          <w:rFonts w:ascii="Times New Roman" w:hAnsi="Times New Roman" w:cs="Times New Roman"/>
          <w:b/>
          <w:sz w:val="20"/>
          <w:szCs w:val="20"/>
        </w:rPr>
      </w:pPr>
      <w:r w:rsidRPr="00A841E7">
        <w:rPr>
          <w:rFonts w:ascii="Times New Roman" w:hAnsi="Times New Roman" w:cs="Times New Roman"/>
          <w:sz w:val="20"/>
          <w:szCs w:val="20"/>
        </w:rPr>
        <w:t>This research received no specific grant from any funding agency in the public, commercial or not-for-profit sectors</w:t>
      </w:r>
      <w:r w:rsidRPr="00A841E7">
        <w:rPr>
          <w:rFonts w:ascii="Times New Roman" w:hAnsi="Times New Roman" w:cs="Times New Roman"/>
          <w:b/>
          <w:sz w:val="20"/>
          <w:szCs w:val="20"/>
        </w:rPr>
        <w:t>.</w:t>
      </w:r>
    </w:p>
    <w:p w:rsidR="003C44FB" w:rsidRPr="00A841E7" w:rsidRDefault="003C44FB" w:rsidP="003C44FB">
      <w:pPr>
        <w:spacing w:line="360" w:lineRule="auto"/>
        <w:rPr>
          <w:rFonts w:ascii="Times New Roman" w:hAnsi="Times New Roman" w:cs="Times New Roman"/>
          <w:b/>
          <w:sz w:val="20"/>
          <w:szCs w:val="20"/>
        </w:rPr>
      </w:pPr>
      <w:proofErr w:type="spellStart"/>
      <w:r w:rsidRPr="00A841E7">
        <w:rPr>
          <w:rFonts w:ascii="Times New Roman" w:hAnsi="Times New Roman" w:cs="Times New Roman"/>
          <w:b/>
          <w:sz w:val="20"/>
          <w:szCs w:val="20"/>
        </w:rPr>
        <w:t>Contributorship</w:t>
      </w:r>
      <w:proofErr w:type="spellEnd"/>
      <w:r w:rsidRPr="00A841E7">
        <w:rPr>
          <w:rFonts w:ascii="Times New Roman" w:hAnsi="Times New Roman" w:cs="Times New Roman"/>
          <w:b/>
          <w:sz w:val="20"/>
          <w:szCs w:val="20"/>
        </w:rPr>
        <w:t xml:space="preserve"> Statement:</w:t>
      </w:r>
    </w:p>
    <w:p w:rsidR="003C44FB" w:rsidRPr="00A841E7" w:rsidRDefault="003C44FB" w:rsidP="003C44FB">
      <w:pPr>
        <w:spacing w:line="360" w:lineRule="auto"/>
        <w:rPr>
          <w:rFonts w:ascii="Times New Roman" w:hAnsi="Times New Roman" w:cs="Times New Roman"/>
          <w:sz w:val="20"/>
          <w:szCs w:val="20"/>
        </w:rPr>
      </w:pPr>
      <w:r w:rsidRPr="00A841E7">
        <w:rPr>
          <w:rFonts w:ascii="Times New Roman" w:hAnsi="Times New Roman" w:cs="Times New Roman"/>
          <w:sz w:val="20"/>
          <w:szCs w:val="20"/>
        </w:rPr>
        <w:t>BC and CK contributed to the design of the analysis, conducted the analysis of the data, drafted the manuscript and revised it according to feedback from co-authors.</w:t>
      </w:r>
    </w:p>
    <w:p w:rsidR="003C44FB" w:rsidRPr="00A841E7" w:rsidRDefault="003C44FB" w:rsidP="003C44FB">
      <w:pPr>
        <w:spacing w:line="360" w:lineRule="auto"/>
        <w:rPr>
          <w:rFonts w:ascii="Times New Roman" w:hAnsi="Times New Roman" w:cs="Times New Roman"/>
          <w:sz w:val="20"/>
          <w:szCs w:val="20"/>
        </w:rPr>
      </w:pPr>
      <w:r w:rsidRPr="00A841E7">
        <w:rPr>
          <w:rFonts w:ascii="Times New Roman" w:hAnsi="Times New Roman" w:cs="Times New Roman"/>
          <w:sz w:val="20"/>
          <w:szCs w:val="20"/>
        </w:rPr>
        <w:t>PH developed the neonIN network, designed the current analysis and provided critical appraisal as well as final approval of the manuscript.</w:t>
      </w:r>
    </w:p>
    <w:p w:rsidR="003C44FB" w:rsidRPr="00A841E7" w:rsidRDefault="003C44FB" w:rsidP="003C44FB">
      <w:pPr>
        <w:spacing w:line="360" w:lineRule="auto"/>
        <w:rPr>
          <w:rFonts w:ascii="Times New Roman" w:hAnsi="Times New Roman" w:cs="Times New Roman"/>
          <w:sz w:val="20"/>
          <w:szCs w:val="20"/>
        </w:rPr>
      </w:pPr>
      <w:r w:rsidRPr="00A841E7">
        <w:rPr>
          <w:rFonts w:ascii="Times New Roman" w:hAnsi="Times New Roman" w:cs="Times New Roman"/>
          <w:sz w:val="20"/>
          <w:szCs w:val="20"/>
        </w:rPr>
        <w:t>JB, SP, AG, JM, AB and NK made substantial contributions to the acquisition of data for the analysis, critically revised the manuscript and provided final approval for the version to be submitted.</w:t>
      </w:r>
    </w:p>
    <w:p w:rsidR="00F920B3" w:rsidRPr="00A841E7" w:rsidRDefault="003C44FB" w:rsidP="003C44FB">
      <w:pPr>
        <w:spacing w:line="360" w:lineRule="auto"/>
        <w:rPr>
          <w:rFonts w:ascii="Times New Roman" w:hAnsi="Times New Roman" w:cs="Times New Roman"/>
          <w:sz w:val="20"/>
          <w:szCs w:val="20"/>
        </w:rPr>
      </w:pPr>
      <w:r w:rsidRPr="00A841E7">
        <w:rPr>
          <w:rFonts w:ascii="Times New Roman" w:hAnsi="Times New Roman" w:cs="Times New Roman"/>
          <w:sz w:val="20"/>
          <w:szCs w:val="20"/>
        </w:rPr>
        <w:t>All authors agree to be accountable for all aspects of the work in ensuring that questions related to the accuracy or integrity of any part of the work are appropriately investigated and resolved.</w:t>
      </w:r>
    </w:p>
    <w:p w:rsidR="00F920B3" w:rsidRPr="00A841E7" w:rsidRDefault="00F920B3">
      <w:pPr>
        <w:rPr>
          <w:rFonts w:ascii="Times New Roman" w:hAnsi="Times New Roman" w:cs="Times New Roman"/>
          <w:b/>
          <w:sz w:val="20"/>
          <w:szCs w:val="20"/>
        </w:rPr>
      </w:pPr>
      <w:r w:rsidRPr="00A841E7">
        <w:rPr>
          <w:rFonts w:ascii="Times New Roman" w:hAnsi="Times New Roman" w:cs="Times New Roman"/>
          <w:b/>
          <w:sz w:val="20"/>
          <w:szCs w:val="20"/>
        </w:rPr>
        <w:br w:type="page"/>
      </w:r>
    </w:p>
    <w:p w:rsidR="00293EF4" w:rsidRPr="00A841E7" w:rsidRDefault="00293EF4" w:rsidP="00293EF4">
      <w:pPr>
        <w:jc w:val="center"/>
        <w:rPr>
          <w:b/>
          <w:u w:val="single"/>
        </w:rPr>
      </w:pPr>
      <w:r w:rsidRPr="00A841E7">
        <w:rPr>
          <w:b/>
          <w:u w:val="single"/>
        </w:rPr>
        <w:lastRenderedPageBreak/>
        <w:t>Abstract</w:t>
      </w:r>
    </w:p>
    <w:p w:rsidR="00293EF4" w:rsidRPr="00A841E7" w:rsidRDefault="00293EF4" w:rsidP="00293EF4">
      <w:pPr>
        <w:rPr>
          <w:b/>
        </w:rPr>
      </w:pPr>
      <w:r w:rsidRPr="00A841E7">
        <w:rPr>
          <w:b/>
        </w:rPr>
        <w:t>Objective:</w:t>
      </w:r>
    </w:p>
    <w:p w:rsidR="00293EF4" w:rsidRPr="00A841E7" w:rsidRDefault="00293EF4" w:rsidP="00293EF4">
      <w:r w:rsidRPr="00A841E7">
        <w:t>To define the susceptibilities of the common causative pathogens of neonatal sepsis in the UK.</w:t>
      </w:r>
    </w:p>
    <w:p w:rsidR="00293EF4" w:rsidRPr="00A841E7" w:rsidRDefault="00293EF4" w:rsidP="00293EF4">
      <w:pPr>
        <w:rPr>
          <w:b/>
        </w:rPr>
      </w:pPr>
      <w:r w:rsidRPr="00A841E7">
        <w:rPr>
          <w:b/>
        </w:rPr>
        <w:t>Design:</w:t>
      </w:r>
    </w:p>
    <w:p w:rsidR="00293EF4" w:rsidRPr="00A841E7" w:rsidRDefault="00293EF4" w:rsidP="00293EF4">
      <w:r w:rsidRPr="00A841E7">
        <w:t>Retrospective analysis of the prospectively collected neonIN infection surveillance network data between 2005 and 2014.</w:t>
      </w:r>
    </w:p>
    <w:p w:rsidR="00293EF4" w:rsidRPr="00A841E7" w:rsidRDefault="00293EF4" w:rsidP="00293EF4">
      <w:pPr>
        <w:rPr>
          <w:b/>
        </w:rPr>
      </w:pPr>
      <w:r w:rsidRPr="00A841E7">
        <w:rPr>
          <w:b/>
        </w:rPr>
        <w:t>Setting:</w:t>
      </w:r>
    </w:p>
    <w:p w:rsidR="00293EF4" w:rsidRPr="00A841E7" w:rsidRDefault="00293EF4" w:rsidP="00293EF4">
      <w:r w:rsidRPr="00A841E7">
        <w:t>30 neonatal units in the United Kingdom.</w:t>
      </w:r>
    </w:p>
    <w:p w:rsidR="00293EF4" w:rsidRPr="00A841E7" w:rsidRDefault="00293EF4" w:rsidP="00293EF4">
      <w:pPr>
        <w:rPr>
          <w:b/>
        </w:rPr>
      </w:pPr>
      <w:r w:rsidRPr="00A841E7">
        <w:rPr>
          <w:b/>
        </w:rPr>
        <w:t>Patients:</w:t>
      </w:r>
    </w:p>
    <w:p w:rsidR="00293EF4" w:rsidRPr="00A841E7" w:rsidRDefault="00293EF4" w:rsidP="00293EF4">
      <w:r w:rsidRPr="00A841E7">
        <w:t>Newborns admitted to participating neonatal units who return a positive blood, cerebrospinal fluid or urine culture and are treated with at least five days of appropriate antibiotics.</w:t>
      </w:r>
    </w:p>
    <w:p w:rsidR="00293EF4" w:rsidRPr="00A841E7" w:rsidRDefault="00293EF4" w:rsidP="00293EF4">
      <w:pPr>
        <w:rPr>
          <w:b/>
        </w:rPr>
      </w:pPr>
      <w:r w:rsidRPr="00A841E7">
        <w:rPr>
          <w:b/>
        </w:rPr>
        <w:t>Results:</w:t>
      </w:r>
    </w:p>
    <w:p w:rsidR="00293EF4" w:rsidRPr="00A841E7" w:rsidRDefault="00293EF4" w:rsidP="00293EF4">
      <w:r w:rsidRPr="00A841E7">
        <w:t xml:space="preserve">1,568 isolates with recorded antimicrobial data were collected including 328 early onset sepsis (EOS) isolates and 1,240 late onset (LOS) isolates. The majority of EOS pathogens (&gt;92%) were susceptible to </w:t>
      </w:r>
      <w:r w:rsidR="00921986" w:rsidRPr="00A841E7">
        <w:t>the</w:t>
      </w:r>
      <w:r w:rsidRPr="00A841E7">
        <w:t xml:space="preserve"> four empiric </w:t>
      </w:r>
      <w:r w:rsidR="00921986" w:rsidRPr="00A841E7">
        <w:t xml:space="preserve">commonly used </w:t>
      </w:r>
      <w:r w:rsidRPr="00A841E7">
        <w:t xml:space="preserve">antimicrobial combinations </w:t>
      </w:r>
      <w:r w:rsidR="00921986" w:rsidRPr="00A841E7">
        <w:t xml:space="preserve">(e.g. 93% for </w:t>
      </w:r>
      <w:proofErr w:type="spellStart"/>
      <w:r w:rsidR="00921986" w:rsidRPr="00A841E7">
        <w:t>benzylpenicillin</w:t>
      </w:r>
      <w:proofErr w:type="spellEnd"/>
      <w:r w:rsidR="00921986" w:rsidRPr="00A841E7">
        <w:t>/gentamicin),</w:t>
      </w:r>
      <w:r w:rsidRPr="00A841E7">
        <w:t xml:space="preserve"> while LOS pathogens demonstrat</w:t>
      </w:r>
      <w:r w:rsidR="00921986" w:rsidRPr="00A841E7">
        <w:t>ed higher levels of resistance</w:t>
      </w:r>
      <w:r w:rsidRPr="00A841E7">
        <w:t xml:space="preserve"> </w:t>
      </w:r>
      <w:r w:rsidR="00921986" w:rsidRPr="00A841E7">
        <w:t xml:space="preserve">(e.g. 89% for </w:t>
      </w:r>
      <w:proofErr w:type="spellStart"/>
      <w:r w:rsidR="00921986" w:rsidRPr="00A841E7">
        <w:t>flucloxacillin</w:t>
      </w:r>
      <w:proofErr w:type="spellEnd"/>
      <w:r w:rsidR="00921986" w:rsidRPr="00A841E7">
        <w:t>/</w:t>
      </w:r>
      <w:r w:rsidRPr="00A841E7">
        <w:t>gentamicin</w:t>
      </w:r>
      <w:r w:rsidR="00921986" w:rsidRPr="00A841E7">
        <w:t>)</w:t>
      </w:r>
      <w:r w:rsidRPr="00A841E7">
        <w:t xml:space="preserve">.  Among infants &lt;1500g and &lt;32 weeks gestation an amoxicillin/gentamicin combination demonstrated </w:t>
      </w:r>
      <w:r w:rsidR="00921986" w:rsidRPr="00A841E7">
        <w:t>a trend towards improved</w:t>
      </w:r>
      <w:r w:rsidRPr="00A841E7">
        <w:t xml:space="preserve"> coverage of EOS isolates than </w:t>
      </w:r>
      <w:proofErr w:type="spellStart"/>
      <w:r w:rsidR="00921986" w:rsidRPr="00A841E7">
        <w:t>benzyl</w:t>
      </w:r>
      <w:r w:rsidRPr="00A841E7">
        <w:t>p</w:t>
      </w:r>
      <w:r w:rsidR="00921986" w:rsidRPr="00A841E7">
        <w:t>enicillin</w:t>
      </w:r>
      <w:proofErr w:type="spellEnd"/>
      <w:r w:rsidR="00921986" w:rsidRPr="00A841E7">
        <w:t>/gentamicin (93% vs. 86</w:t>
      </w:r>
      <w:r w:rsidRPr="00A841E7">
        <w:t>%</w:t>
      </w:r>
      <w:r w:rsidR="00921986" w:rsidRPr="00A841E7">
        <w:t>, p=0.211</w:t>
      </w:r>
      <w:r w:rsidRPr="00A841E7">
        <w:t xml:space="preserve">). </w:t>
      </w:r>
    </w:p>
    <w:p w:rsidR="00293EF4" w:rsidRPr="00A841E7" w:rsidRDefault="00293EF4" w:rsidP="00293EF4">
      <w:pPr>
        <w:rPr>
          <w:b/>
        </w:rPr>
      </w:pPr>
      <w:r w:rsidRPr="00A841E7">
        <w:rPr>
          <w:b/>
        </w:rPr>
        <w:t>Conclusions:</w:t>
      </w:r>
    </w:p>
    <w:p w:rsidR="00293EF4" w:rsidRPr="00A841E7" w:rsidRDefault="00293EF4" w:rsidP="00293EF4">
      <w:r w:rsidRPr="00A841E7">
        <w:t xml:space="preserve">This analysis provides insights into the patterns of antimicrobial resistance </w:t>
      </w:r>
      <w:r w:rsidR="00921986" w:rsidRPr="00A841E7">
        <w:t>among</w:t>
      </w:r>
      <w:r w:rsidRPr="00A841E7">
        <w:t xml:space="preserve"> UK neonatal pathogens</w:t>
      </w:r>
      <w:r w:rsidR="00921986" w:rsidRPr="00A841E7">
        <w:t>.</w:t>
      </w:r>
      <w:r w:rsidRPr="00A841E7">
        <w:t xml:space="preserve"> </w:t>
      </w:r>
      <w:r w:rsidR="00921986" w:rsidRPr="00A841E7">
        <w:t>These</w:t>
      </w:r>
      <w:r w:rsidRPr="00A841E7">
        <w:t xml:space="preserve"> data will inform areas of future research and </w:t>
      </w:r>
      <w:r w:rsidR="00921986" w:rsidRPr="00A841E7">
        <w:t>can be used to update national evidence-based guidelines on antimicrobial usage</w:t>
      </w:r>
      <w:r w:rsidRPr="00A841E7">
        <w:t>.</w:t>
      </w:r>
    </w:p>
    <w:p w:rsidR="00293EF4" w:rsidRPr="00A841E7" w:rsidRDefault="00293EF4">
      <w:pPr>
        <w:rPr>
          <w:rFonts w:ascii="Times New Roman" w:hAnsi="Times New Roman" w:cs="Times New Roman"/>
          <w:b/>
          <w:sz w:val="20"/>
          <w:szCs w:val="20"/>
        </w:rPr>
      </w:pPr>
      <w:r w:rsidRPr="00A841E7">
        <w:rPr>
          <w:rFonts w:ascii="Times New Roman" w:hAnsi="Times New Roman" w:cs="Times New Roman"/>
          <w:b/>
          <w:sz w:val="20"/>
          <w:szCs w:val="20"/>
        </w:rPr>
        <w:br w:type="page"/>
      </w:r>
    </w:p>
    <w:p w:rsidR="007B010D" w:rsidRPr="00A841E7" w:rsidRDefault="007B010D" w:rsidP="005658EF">
      <w:pPr>
        <w:spacing w:line="480" w:lineRule="auto"/>
        <w:rPr>
          <w:rFonts w:ascii="Times New Roman" w:hAnsi="Times New Roman" w:cs="Times New Roman"/>
          <w:b/>
          <w:sz w:val="20"/>
          <w:szCs w:val="20"/>
        </w:rPr>
      </w:pPr>
      <w:r w:rsidRPr="00A841E7">
        <w:rPr>
          <w:rFonts w:ascii="Times New Roman" w:hAnsi="Times New Roman" w:cs="Times New Roman"/>
          <w:b/>
          <w:sz w:val="20"/>
          <w:szCs w:val="20"/>
        </w:rPr>
        <w:lastRenderedPageBreak/>
        <w:t>Introduction:</w:t>
      </w:r>
    </w:p>
    <w:p w:rsidR="007B010D" w:rsidRPr="00A841E7" w:rsidRDefault="007B010D" w:rsidP="005658EF">
      <w:pPr>
        <w:spacing w:line="480" w:lineRule="auto"/>
        <w:rPr>
          <w:rFonts w:ascii="Times New Roman" w:hAnsi="Times New Roman" w:cs="Times New Roman"/>
          <w:sz w:val="20"/>
          <w:szCs w:val="20"/>
        </w:rPr>
      </w:pPr>
      <w:r w:rsidRPr="00A841E7">
        <w:rPr>
          <w:rFonts w:ascii="Times New Roman" w:hAnsi="Times New Roman" w:cs="Times New Roman"/>
          <w:sz w:val="20"/>
          <w:szCs w:val="20"/>
        </w:rPr>
        <w:t>Newborn babies are at a significant risk of infection during the neonatal period, especially those born prematurely or of low birth-weight.</w:t>
      </w:r>
      <w:r w:rsidRPr="00A841E7">
        <w:rPr>
          <w:rFonts w:ascii="Times New Roman" w:hAnsi="Times New Roman" w:cs="Times New Roman"/>
          <w:noProof/>
          <w:sz w:val="20"/>
          <w:szCs w:val="20"/>
        </w:rPr>
        <w:t>(1)</w:t>
      </w:r>
      <w:r w:rsidRPr="00A841E7">
        <w:rPr>
          <w:rFonts w:ascii="Times New Roman" w:hAnsi="Times New Roman" w:cs="Times New Roman"/>
          <w:sz w:val="20"/>
          <w:szCs w:val="20"/>
        </w:rPr>
        <w:t xml:space="preserve"> Neonatal infection is associated with considerable morbidity and mortality, being responsible for more than 250 neonatal deaths each year in the UK alone.</w:t>
      </w:r>
      <w:r w:rsidRPr="00A841E7">
        <w:rPr>
          <w:rFonts w:ascii="Times New Roman" w:hAnsi="Times New Roman" w:cs="Times New Roman"/>
          <w:noProof/>
          <w:sz w:val="20"/>
          <w:szCs w:val="20"/>
        </w:rPr>
        <w:t>(2-4)</w:t>
      </w:r>
      <w:r w:rsidRPr="00A841E7">
        <w:rPr>
          <w:rFonts w:ascii="Times New Roman" w:hAnsi="Times New Roman" w:cs="Times New Roman"/>
          <w:sz w:val="20"/>
          <w:szCs w:val="20"/>
        </w:rPr>
        <w:t xml:space="preserve"> Infection during the neonatal period is classically divided into two distinct clinical syndromes based on the likely causative pathogens: early-onset sepsis (EOS) and late-onset sepsis (LOS).</w:t>
      </w:r>
      <w:r w:rsidR="00596D57" w:rsidRPr="00A841E7">
        <w:rPr>
          <w:rFonts w:ascii="Times New Roman" w:hAnsi="Times New Roman" w:cs="Times New Roman"/>
          <w:noProof/>
          <w:sz w:val="20"/>
          <w:szCs w:val="20"/>
        </w:rPr>
        <w:t>(4,</w:t>
      </w:r>
      <w:r w:rsidRPr="00A841E7">
        <w:rPr>
          <w:rFonts w:ascii="Times New Roman" w:hAnsi="Times New Roman" w:cs="Times New Roman"/>
          <w:noProof/>
          <w:sz w:val="20"/>
          <w:szCs w:val="20"/>
        </w:rPr>
        <w:t>5)</w:t>
      </w:r>
      <w:r w:rsidRPr="00A841E7">
        <w:rPr>
          <w:rFonts w:ascii="Times New Roman" w:hAnsi="Times New Roman" w:cs="Times New Roman"/>
          <w:sz w:val="20"/>
          <w:szCs w:val="20"/>
        </w:rPr>
        <w:t xml:space="preserve"> </w:t>
      </w:r>
    </w:p>
    <w:p w:rsidR="007B010D" w:rsidRPr="00A841E7" w:rsidRDefault="007B010D" w:rsidP="005658EF">
      <w:pPr>
        <w:spacing w:line="480" w:lineRule="auto"/>
        <w:rPr>
          <w:rFonts w:ascii="Times New Roman" w:hAnsi="Times New Roman" w:cs="Times New Roman"/>
          <w:sz w:val="20"/>
          <w:szCs w:val="20"/>
        </w:rPr>
      </w:pPr>
      <w:r w:rsidRPr="00A841E7">
        <w:rPr>
          <w:rFonts w:ascii="Times New Roman" w:hAnsi="Times New Roman" w:cs="Times New Roman"/>
          <w:sz w:val="20"/>
          <w:szCs w:val="20"/>
        </w:rPr>
        <w:t>The presentation of neonatal sepsis is typically non-specific and empiric antimicrobial treatment is generally commenced before a causative organism is identified and targeted therapy can be initiated.</w:t>
      </w:r>
      <w:r w:rsidRPr="00A841E7">
        <w:rPr>
          <w:rFonts w:ascii="Times New Roman" w:hAnsi="Times New Roman" w:cs="Times New Roman"/>
          <w:noProof/>
          <w:sz w:val="20"/>
          <w:szCs w:val="20"/>
        </w:rPr>
        <w:t>(6)</w:t>
      </w:r>
      <w:r w:rsidRPr="00A841E7">
        <w:rPr>
          <w:rFonts w:ascii="Times New Roman" w:hAnsi="Times New Roman" w:cs="Times New Roman"/>
          <w:sz w:val="20"/>
          <w:szCs w:val="20"/>
        </w:rPr>
        <w:t xml:space="preserve"> It is therefore crucial to have a thorough understanding of the current epidemiology of neonatal infections in order to select the most effective and appropriate antibiotic combinations for empiric treatment.</w:t>
      </w:r>
      <w:r w:rsidRPr="00A841E7">
        <w:rPr>
          <w:rFonts w:ascii="Times New Roman" w:hAnsi="Times New Roman" w:cs="Times New Roman"/>
          <w:noProof/>
          <w:sz w:val="20"/>
          <w:szCs w:val="20"/>
        </w:rPr>
        <w:t>(5)</w:t>
      </w:r>
      <w:r w:rsidRPr="00A841E7">
        <w:rPr>
          <w:rFonts w:ascii="Times New Roman" w:hAnsi="Times New Roman" w:cs="Times New Roman"/>
          <w:sz w:val="20"/>
          <w:szCs w:val="20"/>
        </w:rPr>
        <w:t xml:space="preserve"> </w:t>
      </w:r>
    </w:p>
    <w:p w:rsidR="00E5365C" w:rsidRPr="00A841E7" w:rsidRDefault="007B010D" w:rsidP="00E5365C">
      <w:pPr>
        <w:spacing w:line="480" w:lineRule="auto"/>
        <w:rPr>
          <w:rFonts w:ascii="Times New Roman" w:hAnsi="Times New Roman" w:cs="Times New Roman"/>
          <w:sz w:val="20"/>
          <w:szCs w:val="20"/>
        </w:rPr>
      </w:pPr>
      <w:r w:rsidRPr="00A841E7">
        <w:rPr>
          <w:rFonts w:ascii="Times New Roman" w:hAnsi="Times New Roman" w:cs="Times New Roman"/>
          <w:sz w:val="20"/>
          <w:szCs w:val="20"/>
        </w:rPr>
        <w:t>The development and spread of antimicrobial resistance is now a major challenge in modern medicine</w:t>
      </w:r>
      <w:r w:rsidR="00DD50B8" w:rsidRPr="00A841E7">
        <w:rPr>
          <w:rFonts w:ascii="Times New Roman" w:hAnsi="Times New Roman" w:cs="Times New Roman"/>
          <w:sz w:val="20"/>
          <w:szCs w:val="20"/>
        </w:rPr>
        <w:t xml:space="preserve">, emphasizing the importance of using antimicrobial agents appropriately and rationally </w:t>
      </w:r>
      <w:r w:rsidRPr="00A841E7">
        <w:rPr>
          <w:rFonts w:ascii="Times New Roman" w:hAnsi="Times New Roman" w:cs="Times New Roman"/>
          <w:sz w:val="20"/>
          <w:szCs w:val="20"/>
        </w:rPr>
        <w:t xml:space="preserve">(7-9) </w:t>
      </w:r>
      <w:proofErr w:type="gramStart"/>
      <w:r w:rsidR="00E5365C" w:rsidRPr="00A841E7">
        <w:rPr>
          <w:rFonts w:ascii="Times New Roman" w:hAnsi="Times New Roman" w:cs="Times New Roman"/>
          <w:sz w:val="20"/>
          <w:szCs w:val="20"/>
        </w:rPr>
        <w:t>There</w:t>
      </w:r>
      <w:proofErr w:type="gramEnd"/>
      <w:r w:rsidR="00E5365C" w:rsidRPr="00A841E7">
        <w:rPr>
          <w:rFonts w:ascii="Times New Roman" w:hAnsi="Times New Roman" w:cs="Times New Roman"/>
          <w:sz w:val="20"/>
          <w:szCs w:val="20"/>
        </w:rPr>
        <w:t xml:space="preserve"> are now growing concerns that empiric treatment is increasingly likely to be inadequate in terms of antibiotic cover, especially in settings where there is a high prevalence of antimicrobial resistance. For example, recent modelling puts neonatal deaths due to resistant organisms in China, India, Pakistan, Nigeria and the Democratic Republic </w:t>
      </w:r>
      <w:r w:rsidR="004644FD" w:rsidRPr="00A841E7">
        <w:rPr>
          <w:rFonts w:ascii="Times New Roman" w:hAnsi="Times New Roman" w:cs="Times New Roman"/>
          <w:sz w:val="20"/>
          <w:szCs w:val="20"/>
        </w:rPr>
        <w:t>of Congo alone at 215,000</w:t>
      </w:r>
      <w:r w:rsidR="009D6DE6" w:rsidRPr="00A841E7">
        <w:rPr>
          <w:rFonts w:ascii="Times New Roman" w:hAnsi="Times New Roman" w:cs="Times New Roman"/>
          <w:sz w:val="20"/>
          <w:szCs w:val="20"/>
        </w:rPr>
        <w:t xml:space="preserve"> per year</w:t>
      </w:r>
      <w:r w:rsidR="004644FD" w:rsidRPr="00A841E7">
        <w:rPr>
          <w:rFonts w:ascii="Times New Roman" w:hAnsi="Times New Roman" w:cs="Times New Roman"/>
          <w:sz w:val="20"/>
          <w:szCs w:val="20"/>
        </w:rPr>
        <w:t>. (10)</w:t>
      </w:r>
    </w:p>
    <w:p w:rsidR="007B010D" w:rsidRPr="00A841E7" w:rsidRDefault="007B010D" w:rsidP="005658EF">
      <w:pPr>
        <w:spacing w:line="480" w:lineRule="auto"/>
        <w:rPr>
          <w:rFonts w:ascii="Times New Roman" w:hAnsi="Times New Roman" w:cs="Times New Roman"/>
          <w:sz w:val="20"/>
          <w:szCs w:val="20"/>
        </w:rPr>
      </w:pPr>
      <w:proofErr w:type="gramStart"/>
      <w:r w:rsidRPr="00A841E7">
        <w:rPr>
          <w:rFonts w:ascii="Times New Roman" w:hAnsi="Times New Roman" w:cs="Times New Roman"/>
          <w:sz w:val="20"/>
          <w:szCs w:val="20"/>
        </w:rPr>
        <w:t>neonIN</w:t>
      </w:r>
      <w:proofErr w:type="gramEnd"/>
      <w:r w:rsidRPr="00A841E7">
        <w:rPr>
          <w:rFonts w:ascii="Times New Roman" w:hAnsi="Times New Roman" w:cs="Times New Roman"/>
          <w:sz w:val="20"/>
          <w:szCs w:val="20"/>
        </w:rPr>
        <w:t xml:space="preserve"> (www.neonin.org.uk) is a neonatal infection surveillance network established in 2004 with the aim of collecting and storing information about the causative pathogens of neonatal infection and their antimicrobial susceptibility patterns. Similar surveillance networks have been successfully implemented in other countries and have provided valuable insights into the longitudinal epidemiology of infections and effectiveness of empiric antibiotic prescribing guidelines</w:t>
      </w:r>
      <w:proofErr w:type="gramStart"/>
      <w:r w:rsidRPr="00A841E7">
        <w:rPr>
          <w:rFonts w:ascii="Times New Roman" w:hAnsi="Times New Roman" w:cs="Times New Roman"/>
          <w:sz w:val="20"/>
          <w:szCs w:val="20"/>
        </w:rPr>
        <w:t>.</w:t>
      </w:r>
      <w:r w:rsidR="00BF7FE2" w:rsidRPr="00A841E7">
        <w:rPr>
          <w:rFonts w:ascii="Times New Roman" w:hAnsi="Times New Roman" w:cs="Times New Roman"/>
          <w:noProof/>
          <w:sz w:val="20"/>
          <w:szCs w:val="20"/>
        </w:rPr>
        <w:t>(</w:t>
      </w:r>
      <w:proofErr w:type="gramEnd"/>
      <w:r w:rsidRPr="00A841E7">
        <w:rPr>
          <w:rFonts w:ascii="Times New Roman" w:hAnsi="Times New Roman" w:cs="Times New Roman"/>
          <w:noProof/>
          <w:sz w:val="20"/>
          <w:szCs w:val="20"/>
        </w:rPr>
        <w:t>11</w:t>
      </w:r>
      <w:r w:rsidR="005E0434" w:rsidRPr="00A841E7">
        <w:rPr>
          <w:rFonts w:ascii="Times New Roman" w:hAnsi="Times New Roman" w:cs="Times New Roman"/>
          <w:noProof/>
          <w:sz w:val="20"/>
          <w:szCs w:val="20"/>
        </w:rPr>
        <w:t>,12</w:t>
      </w:r>
      <w:r w:rsidR="00BF7FE2" w:rsidRPr="00A841E7">
        <w:rPr>
          <w:rFonts w:ascii="Times New Roman" w:hAnsi="Times New Roman" w:cs="Times New Roman"/>
          <w:noProof/>
          <w:sz w:val="20"/>
          <w:szCs w:val="20"/>
        </w:rPr>
        <w:t>,13</w:t>
      </w:r>
      <w:r w:rsidRPr="00A841E7">
        <w:rPr>
          <w:rFonts w:ascii="Times New Roman" w:hAnsi="Times New Roman" w:cs="Times New Roman"/>
          <w:noProof/>
          <w:sz w:val="20"/>
          <w:szCs w:val="20"/>
        </w:rPr>
        <w:t>)</w:t>
      </w:r>
      <w:r w:rsidRPr="00A841E7">
        <w:rPr>
          <w:rFonts w:ascii="Times New Roman" w:hAnsi="Times New Roman" w:cs="Times New Roman"/>
          <w:sz w:val="20"/>
          <w:szCs w:val="20"/>
        </w:rPr>
        <w:t xml:space="preserve"> </w:t>
      </w:r>
    </w:p>
    <w:p w:rsidR="007B010D" w:rsidRPr="00A841E7" w:rsidRDefault="007B010D" w:rsidP="005658EF">
      <w:pPr>
        <w:spacing w:line="480" w:lineRule="auto"/>
        <w:rPr>
          <w:rFonts w:ascii="Times New Roman" w:hAnsi="Times New Roman" w:cs="Times New Roman"/>
          <w:sz w:val="20"/>
          <w:szCs w:val="20"/>
        </w:rPr>
      </w:pPr>
      <w:r w:rsidRPr="00A841E7">
        <w:rPr>
          <w:rFonts w:ascii="Times New Roman" w:hAnsi="Times New Roman" w:cs="Times New Roman"/>
          <w:sz w:val="20"/>
          <w:szCs w:val="20"/>
        </w:rPr>
        <w:t>The objective of this analysis was to define the susceptibilities of the common causative pathogens of neonatal sepsis in the UK and to provide guidance on empiric antimicrobial combinations. The epidemiology of infections in the neonIN network has been reported elsewhere.</w:t>
      </w:r>
    </w:p>
    <w:p w:rsidR="007B010D" w:rsidRPr="00A841E7" w:rsidRDefault="007B010D" w:rsidP="005658EF">
      <w:pPr>
        <w:spacing w:line="480" w:lineRule="auto"/>
        <w:rPr>
          <w:rFonts w:ascii="Times New Roman" w:hAnsi="Times New Roman" w:cs="Times New Roman"/>
          <w:b/>
          <w:sz w:val="20"/>
          <w:szCs w:val="20"/>
          <w:lang w:val="en-GB"/>
        </w:rPr>
      </w:pPr>
      <w:r w:rsidRPr="00A841E7">
        <w:rPr>
          <w:rFonts w:ascii="Times New Roman" w:hAnsi="Times New Roman" w:cs="Times New Roman"/>
          <w:b/>
          <w:sz w:val="20"/>
          <w:szCs w:val="20"/>
        </w:rPr>
        <w:t>Methods:</w:t>
      </w:r>
    </w:p>
    <w:p w:rsidR="007B010D" w:rsidRPr="00A841E7" w:rsidRDefault="007B010D" w:rsidP="005658EF">
      <w:pPr>
        <w:spacing w:line="480" w:lineRule="auto"/>
        <w:rPr>
          <w:rFonts w:ascii="Times New Roman" w:hAnsi="Times New Roman" w:cs="Times New Roman"/>
          <w:sz w:val="20"/>
          <w:szCs w:val="20"/>
        </w:rPr>
      </w:pPr>
      <w:proofErr w:type="gramStart"/>
      <w:r w:rsidRPr="00A841E7">
        <w:rPr>
          <w:rFonts w:ascii="Times New Roman" w:hAnsi="Times New Roman" w:cs="Times New Roman"/>
          <w:sz w:val="20"/>
          <w:szCs w:val="20"/>
        </w:rPr>
        <w:t>neonIN</w:t>
      </w:r>
      <w:proofErr w:type="gramEnd"/>
      <w:r w:rsidRPr="00A841E7">
        <w:rPr>
          <w:rFonts w:ascii="Times New Roman" w:hAnsi="Times New Roman" w:cs="Times New Roman"/>
          <w:sz w:val="20"/>
          <w:szCs w:val="20"/>
        </w:rPr>
        <w:t xml:space="preserve"> collects data on all episodes of neonatal infection in participating neonatal units. An episode of neonatal infection is defined as a positive culture collected from the blood, cerebrospinal fluid (CSF) or urine (obtained via sterile technique), for which clinicians prescribed at least five days of appropriate antibiotics. Data are collected using a standardised online questionnaire which is completed by the clinician for each positive culture result.</w:t>
      </w:r>
    </w:p>
    <w:p w:rsidR="007B010D" w:rsidRPr="00A841E7" w:rsidRDefault="007B010D" w:rsidP="005658EF">
      <w:pPr>
        <w:spacing w:line="480" w:lineRule="auto"/>
        <w:rPr>
          <w:rFonts w:ascii="Times New Roman" w:hAnsi="Times New Roman" w:cs="Times New Roman"/>
          <w:sz w:val="20"/>
          <w:szCs w:val="20"/>
        </w:rPr>
      </w:pPr>
      <w:r w:rsidRPr="00A841E7">
        <w:rPr>
          <w:rFonts w:ascii="Times New Roman" w:hAnsi="Times New Roman" w:cs="Times New Roman"/>
          <w:sz w:val="20"/>
          <w:szCs w:val="20"/>
        </w:rPr>
        <w:t xml:space="preserve">Repeatedly positive samples are considered to represent the same episode of infection unless they occurred more than seven days after the last positive culture result.  EOS is defined as infection occurring less than 48 hours after birth while episodes thereafter are classified as LOS.  This age cut-off was chosen as it most likely represents the transition between pathogens which are acquired via vertical and horizontal transmission, however an analysis based on a 72 hours cut-off was also performed. </w:t>
      </w:r>
    </w:p>
    <w:p w:rsidR="007B010D" w:rsidRPr="00A841E7" w:rsidRDefault="007B010D" w:rsidP="005658EF">
      <w:pPr>
        <w:spacing w:line="480" w:lineRule="auto"/>
        <w:rPr>
          <w:rFonts w:ascii="Times New Roman" w:hAnsi="Times New Roman" w:cs="Times New Roman"/>
          <w:sz w:val="20"/>
          <w:szCs w:val="20"/>
        </w:rPr>
      </w:pPr>
      <w:r w:rsidRPr="00A841E7">
        <w:rPr>
          <w:rFonts w:ascii="Times New Roman" w:hAnsi="Times New Roman" w:cs="Times New Roman"/>
          <w:sz w:val="20"/>
          <w:szCs w:val="20"/>
        </w:rPr>
        <w:t xml:space="preserve">Antimicrobial susceptibility data were analysed against a pre-defined list of commonly used empiric antimicrobial combinations including those recommended by the British National Formulary for Children (BNFC), and the National Institute for Health and Care Excellence (NICE) </w:t>
      </w:r>
      <w:r w:rsidR="005311D8" w:rsidRPr="00A841E7">
        <w:rPr>
          <w:rFonts w:ascii="Times New Roman" w:hAnsi="Times New Roman" w:cs="Times New Roman"/>
          <w:sz w:val="20"/>
          <w:szCs w:val="20"/>
        </w:rPr>
        <w:t>EOS antibiotic</w:t>
      </w:r>
      <w:r w:rsidRPr="00A841E7">
        <w:rPr>
          <w:rFonts w:ascii="Times New Roman" w:hAnsi="Times New Roman" w:cs="Times New Roman"/>
          <w:sz w:val="20"/>
          <w:szCs w:val="20"/>
        </w:rPr>
        <w:t xml:space="preserve"> guidelines (Table 1)</w:t>
      </w:r>
      <w:proofErr w:type="gramStart"/>
      <w:r w:rsidR="00596D57" w:rsidRPr="00A841E7">
        <w:rPr>
          <w:rFonts w:ascii="Times New Roman" w:hAnsi="Times New Roman" w:cs="Times New Roman"/>
          <w:sz w:val="20"/>
          <w:szCs w:val="20"/>
        </w:rPr>
        <w:t>.</w:t>
      </w:r>
      <w:r w:rsidR="005E0434" w:rsidRPr="00A841E7">
        <w:rPr>
          <w:rFonts w:ascii="Times New Roman" w:hAnsi="Times New Roman" w:cs="Times New Roman"/>
          <w:noProof/>
          <w:sz w:val="20"/>
          <w:szCs w:val="20"/>
        </w:rPr>
        <w:t>(</w:t>
      </w:r>
      <w:proofErr w:type="gramEnd"/>
      <w:r w:rsidR="00BF7FE2" w:rsidRPr="00A841E7">
        <w:rPr>
          <w:rFonts w:ascii="Times New Roman" w:hAnsi="Times New Roman" w:cs="Times New Roman"/>
          <w:noProof/>
          <w:sz w:val="20"/>
          <w:szCs w:val="20"/>
        </w:rPr>
        <w:t>14</w:t>
      </w:r>
      <w:r w:rsidR="005E0434" w:rsidRPr="00A841E7">
        <w:rPr>
          <w:rFonts w:ascii="Times New Roman" w:hAnsi="Times New Roman" w:cs="Times New Roman"/>
          <w:noProof/>
          <w:sz w:val="20"/>
          <w:szCs w:val="20"/>
        </w:rPr>
        <w:t>,</w:t>
      </w:r>
      <w:r w:rsidR="00BF7FE2" w:rsidRPr="00A841E7">
        <w:rPr>
          <w:rFonts w:ascii="Times New Roman" w:hAnsi="Times New Roman" w:cs="Times New Roman"/>
          <w:noProof/>
          <w:sz w:val="20"/>
          <w:szCs w:val="20"/>
        </w:rPr>
        <w:t>15</w:t>
      </w:r>
      <w:r w:rsidRPr="00A841E7">
        <w:rPr>
          <w:rFonts w:ascii="Times New Roman" w:hAnsi="Times New Roman" w:cs="Times New Roman"/>
          <w:noProof/>
          <w:sz w:val="20"/>
          <w:szCs w:val="20"/>
        </w:rPr>
        <w:t>)</w:t>
      </w:r>
      <w:r w:rsidRPr="00A841E7">
        <w:rPr>
          <w:rFonts w:ascii="Times New Roman" w:hAnsi="Times New Roman" w:cs="Times New Roman"/>
          <w:sz w:val="20"/>
          <w:szCs w:val="20"/>
        </w:rPr>
        <w:t xml:space="preserve"> Th</w:t>
      </w:r>
      <w:r w:rsidR="00C93AD8" w:rsidRPr="00A841E7">
        <w:rPr>
          <w:rFonts w:ascii="Times New Roman" w:hAnsi="Times New Roman" w:cs="Times New Roman"/>
          <w:sz w:val="20"/>
          <w:szCs w:val="20"/>
        </w:rPr>
        <w:t>e</w:t>
      </w:r>
      <w:r w:rsidRPr="00A841E7">
        <w:rPr>
          <w:rFonts w:ascii="Times New Roman" w:hAnsi="Times New Roman" w:cs="Times New Roman"/>
          <w:sz w:val="20"/>
          <w:szCs w:val="20"/>
        </w:rPr>
        <w:t>s</w:t>
      </w:r>
      <w:r w:rsidR="00C93AD8" w:rsidRPr="00A841E7">
        <w:rPr>
          <w:rFonts w:ascii="Times New Roman" w:hAnsi="Times New Roman" w:cs="Times New Roman"/>
          <w:sz w:val="20"/>
          <w:szCs w:val="20"/>
        </w:rPr>
        <w:t>e</w:t>
      </w:r>
      <w:r w:rsidRPr="00A841E7">
        <w:rPr>
          <w:rFonts w:ascii="Times New Roman" w:hAnsi="Times New Roman" w:cs="Times New Roman"/>
          <w:sz w:val="20"/>
          <w:szCs w:val="20"/>
        </w:rPr>
        <w:t xml:space="preserve"> choices are also consistent with the findings of a review of antimicrobial policies in use in</w:t>
      </w:r>
      <w:r w:rsidR="00596D57" w:rsidRPr="00A841E7">
        <w:rPr>
          <w:rFonts w:ascii="Times New Roman" w:hAnsi="Times New Roman" w:cs="Times New Roman"/>
          <w:sz w:val="20"/>
          <w:szCs w:val="20"/>
        </w:rPr>
        <w:t xml:space="preserve"> UK neonatal units in 2008.</w:t>
      </w:r>
      <w:r w:rsidRPr="00A841E7">
        <w:rPr>
          <w:rFonts w:ascii="Times New Roman" w:hAnsi="Times New Roman" w:cs="Times New Roman"/>
          <w:noProof/>
          <w:sz w:val="20"/>
          <w:szCs w:val="20"/>
        </w:rPr>
        <w:t>(1</w:t>
      </w:r>
      <w:r w:rsidR="00BF7FE2" w:rsidRPr="00A841E7">
        <w:rPr>
          <w:rFonts w:ascii="Times New Roman" w:hAnsi="Times New Roman" w:cs="Times New Roman"/>
          <w:noProof/>
          <w:sz w:val="20"/>
          <w:szCs w:val="20"/>
        </w:rPr>
        <w:t>6</w:t>
      </w:r>
      <w:r w:rsidRPr="00A841E7">
        <w:rPr>
          <w:rFonts w:ascii="Times New Roman" w:hAnsi="Times New Roman" w:cs="Times New Roman"/>
          <w:noProof/>
          <w:sz w:val="20"/>
          <w:szCs w:val="20"/>
        </w:rPr>
        <w:t>)</w:t>
      </w:r>
    </w:p>
    <w:p w:rsidR="007B010D" w:rsidRPr="00A841E7" w:rsidRDefault="00B21853" w:rsidP="005658EF">
      <w:pPr>
        <w:spacing w:line="480" w:lineRule="auto"/>
        <w:jc w:val="center"/>
        <w:rPr>
          <w:rFonts w:ascii="Times New Roman" w:hAnsi="Times New Roman" w:cs="Times New Roman"/>
          <w:b/>
          <w:sz w:val="20"/>
          <w:szCs w:val="20"/>
        </w:rPr>
      </w:pPr>
      <w:r w:rsidRPr="00A841E7">
        <w:rPr>
          <w:rFonts w:ascii="Times New Roman" w:hAnsi="Times New Roman" w:cs="Times New Roman"/>
          <w:i/>
          <w:sz w:val="20"/>
          <w:szCs w:val="20"/>
        </w:rPr>
        <w:t>Insert Table 1 Here</w:t>
      </w:r>
    </w:p>
    <w:p w:rsidR="007B010D" w:rsidRPr="00A841E7" w:rsidRDefault="007B010D" w:rsidP="005658EF">
      <w:pPr>
        <w:spacing w:line="480" w:lineRule="auto"/>
        <w:rPr>
          <w:rFonts w:ascii="Times New Roman" w:hAnsi="Times New Roman" w:cs="Times New Roman"/>
          <w:sz w:val="20"/>
          <w:szCs w:val="20"/>
        </w:rPr>
      </w:pPr>
      <w:r w:rsidRPr="00A841E7">
        <w:rPr>
          <w:rFonts w:ascii="Times New Roman" w:hAnsi="Times New Roman" w:cs="Times New Roman"/>
          <w:sz w:val="20"/>
          <w:szCs w:val="20"/>
        </w:rPr>
        <w:t xml:space="preserve">Organisms were deemed ‘susceptible’ if susceptible to at least one of the antibiotics in the combination and ‘resistant’ if resistant to all the constituent antibiotics individually.  The exception to this occurred in cases where monotherapy was deemed to be inappropriate (e.g. </w:t>
      </w:r>
      <w:r w:rsidR="008623C4" w:rsidRPr="00A841E7">
        <w:rPr>
          <w:rFonts w:ascii="Times New Roman" w:hAnsi="Times New Roman" w:cs="Times New Roman"/>
          <w:sz w:val="20"/>
          <w:szCs w:val="20"/>
        </w:rPr>
        <w:t xml:space="preserve">if an </w:t>
      </w:r>
      <w:r w:rsidR="00BD5024" w:rsidRPr="00A841E7">
        <w:rPr>
          <w:rFonts w:ascii="Times New Roman" w:hAnsi="Times New Roman" w:cs="Times New Roman"/>
          <w:sz w:val="20"/>
          <w:szCs w:val="20"/>
        </w:rPr>
        <w:t xml:space="preserve">enterococcus </w:t>
      </w:r>
      <w:r w:rsidR="008623C4" w:rsidRPr="00A841E7">
        <w:rPr>
          <w:rFonts w:ascii="Times New Roman" w:hAnsi="Times New Roman" w:cs="Times New Roman"/>
          <w:sz w:val="20"/>
          <w:szCs w:val="20"/>
        </w:rPr>
        <w:t>isolate was recorded as ‘</w:t>
      </w:r>
      <w:r w:rsidR="00BD5024" w:rsidRPr="00A841E7">
        <w:rPr>
          <w:rFonts w:ascii="Times New Roman" w:hAnsi="Times New Roman" w:cs="Times New Roman"/>
          <w:sz w:val="20"/>
          <w:szCs w:val="20"/>
        </w:rPr>
        <w:t>susceptible’</w:t>
      </w:r>
      <w:r w:rsidR="008623C4" w:rsidRPr="00A841E7">
        <w:rPr>
          <w:rFonts w:ascii="Times New Roman" w:hAnsi="Times New Roman" w:cs="Times New Roman"/>
          <w:sz w:val="20"/>
          <w:szCs w:val="20"/>
        </w:rPr>
        <w:t xml:space="preserve"> to gentamicin and there was no susceptibility data for </w:t>
      </w:r>
      <w:proofErr w:type="spellStart"/>
      <w:r w:rsidR="008623C4" w:rsidRPr="00A841E7">
        <w:rPr>
          <w:rFonts w:ascii="Times New Roman" w:hAnsi="Times New Roman" w:cs="Times New Roman"/>
          <w:sz w:val="20"/>
          <w:szCs w:val="20"/>
        </w:rPr>
        <w:t>flucloxacillin</w:t>
      </w:r>
      <w:proofErr w:type="spellEnd"/>
      <w:r w:rsidR="008623C4" w:rsidRPr="00A841E7">
        <w:rPr>
          <w:rFonts w:ascii="Times New Roman" w:hAnsi="Times New Roman" w:cs="Times New Roman"/>
          <w:sz w:val="20"/>
          <w:szCs w:val="20"/>
        </w:rPr>
        <w:t>, then the culture was not listed as sensitive to the combination, as enterococci are intrinsically resistant to gentamicin</w:t>
      </w:r>
      <w:r w:rsidRPr="00A841E7">
        <w:rPr>
          <w:rFonts w:ascii="Times New Roman" w:hAnsi="Times New Roman" w:cs="Times New Roman"/>
          <w:sz w:val="20"/>
          <w:szCs w:val="20"/>
        </w:rPr>
        <w:t>).</w:t>
      </w:r>
      <w:r w:rsidR="00BD5024" w:rsidRPr="00A841E7">
        <w:rPr>
          <w:rFonts w:ascii="Times New Roman" w:hAnsi="Times New Roman" w:cs="Times New Roman"/>
          <w:sz w:val="20"/>
          <w:szCs w:val="20"/>
        </w:rPr>
        <w:t xml:space="preserve"> Otherwise, i</w:t>
      </w:r>
      <w:r w:rsidRPr="00A841E7">
        <w:rPr>
          <w:rFonts w:ascii="Times New Roman" w:hAnsi="Times New Roman" w:cs="Times New Roman"/>
          <w:sz w:val="20"/>
          <w:szCs w:val="20"/>
        </w:rPr>
        <w:t xml:space="preserve">f susceptibility data </w:t>
      </w:r>
      <w:r w:rsidR="00BD5024" w:rsidRPr="00A841E7">
        <w:rPr>
          <w:rFonts w:ascii="Times New Roman" w:hAnsi="Times New Roman" w:cs="Times New Roman"/>
          <w:sz w:val="20"/>
          <w:szCs w:val="20"/>
        </w:rPr>
        <w:t>were</w:t>
      </w:r>
      <w:r w:rsidRPr="00A841E7">
        <w:rPr>
          <w:rFonts w:ascii="Times New Roman" w:hAnsi="Times New Roman" w:cs="Times New Roman"/>
          <w:sz w:val="20"/>
          <w:szCs w:val="20"/>
        </w:rPr>
        <w:t xml:space="preserve"> only available for one of the antimicrobial agents in the combination then the pathogen was labelled as per the susceptibility of the antibiotic tested.</w:t>
      </w:r>
    </w:p>
    <w:p w:rsidR="007B010D" w:rsidRPr="00A841E7" w:rsidRDefault="007B010D" w:rsidP="005658EF">
      <w:pPr>
        <w:spacing w:line="480" w:lineRule="auto"/>
        <w:rPr>
          <w:rFonts w:ascii="Times New Roman" w:hAnsi="Times New Roman" w:cs="Times New Roman"/>
          <w:sz w:val="20"/>
          <w:szCs w:val="20"/>
        </w:rPr>
      </w:pPr>
      <w:r w:rsidRPr="00A841E7">
        <w:rPr>
          <w:rFonts w:ascii="Times New Roman" w:hAnsi="Times New Roman" w:cs="Times New Roman"/>
          <w:sz w:val="20"/>
          <w:szCs w:val="20"/>
        </w:rPr>
        <w:t>Data were extracted from the online neonIN database and imported into Stata 14 for analysis. Statistical significance was defined as a p-value of &lt;0.05. Two methods were chosen to define the confidence of coverage estimates. Firstly, 95% confidence intervals were calculated for each coverage estimate and secondly, best and worst-case scenarios were calculated by classifying all isolates without complete antimicrobial resistance profiles as either sensitive or resistant respectively.</w:t>
      </w:r>
      <w:r w:rsidR="00BD5024" w:rsidRPr="00A841E7">
        <w:rPr>
          <w:rFonts w:ascii="Times New Roman" w:hAnsi="Times New Roman" w:cs="Times New Roman"/>
          <w:sz w:val="20"/>
          <w:szCs w:val="20"/>
        </w:rPr>
        <w:t xml:space="preserve"> Finally, in recognition of the fact that antimicrobial susceptibilities may change over time, we conducted a further analysis of the data by comparing the two five-year time-periods: 2005-2009 and 2010-2014.</w:t>
      </w:r>
    </w:p>
    <w:p w:rsidR="007B010D" w:rsidRPr="00A841E7" w:rsidRDefault="007B010D" w:rsidP="005658EF">
      <w:pPr>
        <w:spacing w:line="480" w:lineRule="auto"/>
        <w:rPr>
          <w:rFonts w:ascii="Times New Roman" w:hAnsi="Times New Roman" w:cs="Times New Roman"/>
          <w:sz w:val="20"/>
          <w:szCs w:val="20"/>
        </w:rPr>
      </w:pPr>
      <w:r w:rsidRPr="00A841E7">
        <w:rPr>
          <w:rFonts w:ascii="Times New Roman" w:hAnsi="Times New Roman" w:cs="Times New Roman"/>
          <w:sz w:val="20"/>
          <w:szCs w:val="20"/>
        </w:rPr>
        <w:t>The neonIN database received ethics approval from the London-Surrey Borders Research Ethics Committee in April 2005 (05/Q0806/34) and again in December 2013 (05/Q0806/34+5).</w:t>
      </w:r>
    </w:p>
    <w:p w:rsidR="007B010D" w:rsidRPr="00A841E7" w:rsidRDefault="007B010D" w:rsidP="005658EF">
      <w:pPr>
        <w:spacing w:line="480" w:lineRule="auto"/>
        <w:rPr>
          <w:rFonts w:ascii="Times New Roman" w:hAnsi="Times New Roman" w:cs="Times New Roman"/>
          <w:b/>
          <w:sz w:val="20"/>
          <w:szCs w:val="20"/>
        </w:rPr>
      </w:pPr>
      <w:r w:rsidRPr="00A841E7">
        <w:rPr>
          <w:rFonts w:ascii="Times New Roman" w:hAnsi="Times New Roman" w:cs="Times New Roman"/>
          <w:b/>
          <w:sz w:val="20"/>
          <w:szCs w:val="20"/>
        </w:rPr>
        <w:t>Results:</w:t>
      </w:r>
    </w:p>
    <w:p w:rsidR="007B010D" w:rsidRPr="00A841E7" w:rsidRDefault="007B010D" w:rsidP="005658EF">
      <w:pPr>
        <w:spacing w:line="480" w:lineRule="auto"/>
        <w:rPr>
          <w:rFonts w:ascii="Times New Roman" w:hAnsi="Times New Roman" w:cs="Times New Roman"/>
          <w:sz w:val="20"/>
          <w:szCs w:val="20"/>
        </w:rPr>
      </w:pPr>
      <w:r w:rsidRPr="00A841E7">
        <w:rPr>
          <w:rFonts w:ascii="Times New Roman" w:hAnsi="Times New Roman" w:cs="Times New Roman"/>
          <w:sz w:val="20"/>
          <w:szCs w:val="20"/>
        </w:rPr>
        <w:t xml:space="preserve">Data were extracted for the 10 years between 1 January 2005 and 31 December 2014. The number of UK units contributing to neonIN increased each year between 2005 and 2014: 5, 8, 9, 12, 14, 16, 20, 24, 29 and 30.  </w:t>
      </w:r>
    </w:p>
    <w:p w:rsidR="007B010D" w:rsidRPr="00A841E7" w:rsidRDefault="007B010D" w:rsidP="005658EF">
      <w:pPr>
        <w:spacing w:line="480" w:lineRule="auto"/>
        <w:rPr>
          <w:rFonts w:ascii="Times New Roman" w:hAnsi="Times New Roman" w:cs="Times New Roman"/>
          <w:sz w:val="20"/>
          <w:szCs w:val="20"/>
        </w:rPr>
      </w:pPr>
      <w:r w:rsidRPr="00A841E7">
        <w:rPr>
          <w:rFonts w:ascii="Times New Roman" w:hAnsi="Times New Roman" w:cs="Times New Roman"/>
          <w:sz w:val="20"/>
          <w:szCs w:val="20"/>
        </w:rPr>
        <w:t xml:space="preserve">For 1,568 of the 2,667 isolates (59%), data were available on antimicrobial susceptibilities.  Of these, 328 isolates </w:t>
      </w:r>
      <w:r w:rsidR="005311D8" w:rsidRPr="00A841E7">
        <w:rPr>
          <w:rFonts w:ascii="Times New Roman" w:hAnsi="Times New Roman" w:cs="Times New Roman"/>
          <w:sz w:val="20"/>
          <w:szCs w:val="20"/>
        </w:rPr>
        <w:t>represented</w:t>
      </w:r>
      <w:r w:rsidRPr="00A841E7">
        <w:rPr>
          <w:rFonts w:ascii="Times New Roman" w:hAnsi="Times New Roman" w:cs="Times New Roman"/>
          <w:sz w:val="20"/>
          <w:szCs w:val="20"/>
        </w:rPr>
        <w:t xml:space="preserve"> EOS (62% of all EOS isolates) and 1,240 LOS (58% of all LOS isolates). </w:t>
      </w:r>
      <w:r w:rsidR="00B25D75" w:rsidRPr="00A841E7">
        <w:rPr>
          <w:rFonts w:ascii="Times New Roman" w:hAnsi="Times New Roman" w:cs="Times New Roman"/>
          <w:sz w:val="20"/>
          <w:szCs w:val="20"/>
        </w:rPr>
        <w:t xml:space="preserve">The vast </w:t>
      </w:r>
      <w:r w:rsidR="00BD5024" w:rsidRPr="00A841E7">
        <w:rPr>
          <w:rFonts w:ascii="Times New Roman" w:hAnsi="Times New Roman" w:cs="Times New Roman"/>
          <w:sz w:val="20"/>
          <w:szCs w:val="20"/>
        </w:rPr>
        <w:t>majority of</w:t>
      </w:r>
      <w:r w:rsidR="00B25D75" w:rsidRPr="00A841E7">
        <w:rPr>
          <w:rFonts w:ascii="Times New Roman" w:hAnsi="Times New Roman" w:cs="Times New Roman"/>
          <w:sz w:val="20"/>
          <w:szCs w:val="20"/>
        </w:rPr>
        <w:t xml:space="preserve"> recorded isolates were blood cultures (91.3%), with urine</w:t>
      </w:r>
      <w:r w:rsidR="00BD5024" w:rsidRPr="00A841E7">
        <w:rPr>
          <w:rFonts w:ascii="Times New Roman" w:hAnsi="Times New Roman" w:cs="Times New Roman"/>
          <w:sz w:val="20"/>
          <w:szCs w:val="20"/>
        </w:rPr>
        <w:t xml:space="preserve"> obtained via sterile technique</w:t>
      </w:r>
      <w:r w:rsidR="00B25D75" w:rsidRPr="00A841E7">
        <w:rPr>
          <w:rFonts w:ascii="Times New Roman" w:hAnsi="Times New Roman" w:cs="Times New Roman"/>
          <w:sz w:val="20"/>
          <w:szCs w:val="20"/>
        </w:rPr>
        <w:t xml:space="preserve"> (4.9%) and CSF (2.2%) the other common sources. </w:t>
      </w:r>
      <w:r w:rsidRPr="00A841E7">
        <w:rPr>
          <w:rFonts w:ascii="Times New Roman" w:hAnsi="Times New Roman" w:cs="Times New Roman"/>
          <w:sz w:val="20"/>
          <w:szCs w:val="20"/>
        </w:rPr>
        <w:t>There were no significant differences between isolates for which susceptibility data were available and those for which they were not with regard to patient demographics (birth-weight, gestational age or post-natal age) (p&gt;0.3 for all). Isolates were statistically significantly more likely to have a complete susceptibility profile if they were from blood cultures (Supplementary Table 1).</w:t>
      </w:r>
    </w:p>
    <w:p w:rsidR="007B010D" w:rsidRPr="00A841E7" w:rsidRDefault="007B010D" w:rsidP="005658EF">
      <w:pPr>
        <w:spacing w:line="480" w:lineRule="auto"/>
        <w:rPr>
          <w:rFonts w:ascii="Times New Roman" w:hAnsi="Times New Roman" w:cs="Times New Roman"/>
          <w:sz w:val="20"/>
          <w:szCs w:val="20"/>
          <w:u w:val="single"/>
        </w:rPr>
      </w:pPr>
      <w:r w:rsidRPr="00A841E7">
        <w:rPr>
          <w:rFonts w:ascii="Times New Roman" w:hAnsi="Times New Roman" w:cs="Times New Roman"/>
          <w:sz w:val="20"/>
          <w:szCs w:val="20"/>
          <w:u w:val="single"/>
        </w:rPr>
        <w:t>Antibiotic susceptibilities to empiric combinations</w:t>
      </w:r>
    </w:p>
    <w:p w:rsidR="007B010D" w:rsidRPr="00A841E7" w:rsidRDefault="007B010D" w:rsidP="005658EF">
      <w:pPr>
        <w:spacing w:line="480" w:lineRule="auto"/>
        <w:rPr>
          <w:rFonts w:ascii="Times New Roman" w:hAnsi="Times New Roman" w:cs="Times New Roman"/>
          <w:sz w:val="20"/>
          <w:szCs w:val="20"/>
        </w:rPr>
      </w:pPr>
      <w:r w:rsidRPr="00A841E7">
        <w:rPr>
          <w:rFonts w:ascii="Times New Roman" w:hAnsi="Times New Roman" w:cs="Times New Roman"/>
          <w:sz w:val="20"/>
          <w:szCs w:val="20"/>
        </w:rPr>
        <w:t xml:space="preserve">The majority of EOS pathogens (&gt;92%) were susceptible to the four empiric antimicrobial combinations tested.  Cefotaxime monotherapy demonstrated </w:t>
      </w:r>
      <w:r w:rsidR="009B2940" w:rsidRPr="00A841E7">
        <w:rPr>
          <w:rFonts w:ascii="Times New Roman" w:hAnsi="Times New Roman" w:cs="Times New Roman"/>
          <w:sz w:val="20"/>
          <w:szCs w:val="20"/>
        </w:rPr>
        <w:t>a</w:t>
      </w:r>
      <w:r w:rsidRPr="00A841E7">
        <w:rPr>
          <w:rFonts w:ascii="Times New Roman" w:hAnsi="Times New Roman" w:cs="Times New Roman"/>
          <w:sz w:val="20"/>
          <w:szCs w:val="20"/>
        </w:rPr>
        <w:t xml:space="preserve"> </w:t>
      </w:r>
      <w:r w:rsidR="009B2940" w:rsidRPr="00A841E7">
        <w:rPr>
          <w:rFonts w:ascii="Times New Roman" w:hAnsi="Times New Roman" w:cs="Times New Roman"/>
          <w:sz w:val="20"/>
          <w:szCs w:val="20"/>
        </w:rPr>
        <w:t>susceptibility rate of 98%</w:t>
      </w:r>
      <w:r w:rsidR="005311D8" w:rsidRPr="00A841E7">
        <w:rPr>
          <w:rFonts w:ascii="Times New Roman" w:hAnsi="Times New Roman" w:cs="Times New Roman"/>
          <w:sz w:val="20"/>
          <w:szCs w:val="20"/>
        </w:rPr>
        <w:t>.</w:t>
      </w:r>
      <w:r w:rsidRPr="00A841E7">
        <w:rPr>
          <w:rFonts w:ascii="Times New Roman" w:hAnsi="Times New Roman" w:cs="Times New Roman"/>
          <w:sz w:val="20"/>
          <w:szCs w:val="20"/>
        </w:rPr>
        <w:t xml:space="preserve"> </w:t>
      </w:r>
      <w:r w:rsidR="005311D8" w:rsidRPr="00A841E7">
        <w:rPr>
          <w:rFonts w:ascii="Times New Roman" w:hAnsi="Times New Roman" w:cs="Times New Roman"/>
          <w:sz w:val="20"/>
          <w:szCs w:val="20"/>
        </w:rPr>
        <w:t>The BNFC combinations of</w:t>
      </w:r>
      <w:r w:rsidRPr="00A841E7">
        <w:rPr>
          <w:rFonts w:ascii="Times New Roman" w:hAnsi="Times New Roman" w:cs="Times New Roman"/>
          <w:sz w:val="20"/>
          <w:szCs w:val="20"/>
        </w:rPr>
        <w:t xml:space="preserve"> </w:t>
      </w:r>
      <w:proofErr w:type="spellStart"/>
      <w:r w:rsidRPr="00A841E7">
        <w:rPr>
          <w:rFonts w:ascii="Times New Roman" w:hAnsi="Times New Roman" w:cs="Times New Roman"/>
          <w:sz w:val="20"/>
          <w:szCs w:val="20"/>
        </w:rPr>
        <w:t>benzylpenicillin</w:t>
      </w:r>
      <w:proofErr w:type="spellEnd"/>
      <w:r w:rsidRPr="00A841E7">
        <w:rPr>
          <w:rFonts w:ascii="Times New Roman" w:hAnsi="Times New Roman" w:cs="Times New Roman"/>
          <w:sz w:val="20"/>
          <w:szCs w:val="20"/>
        </w:rPr>
        <w:t xml:space="preserve"> and gentamici</w:t>
      </w:r>
      <w:r w:rsidR="00BD5024" w:rsidRPr="00A841E7">
        <w:rPr>
          <w:rFonts w:ascii="Times New Roman" w:hAnsi="Times New Roman" w:cs="Times New Roman"/>
          <w:sz w:val="20"/>
          <w:szCs w:val="20"/>
        </w:rPr>
        <w:t>n or amoxicillin and cefotaxime</w:t>
      </w:r>
      <w:r w:rsidRPr="00A841E7">
        <w:rPr>
          <w:rFonts w:ascii="Times New Roman" w:hAnsi="Times New Roman" w:cs="Times New Roman"/>
          <w:sz w:val="20"/>
          <w:szCs w:val="20"/>
        </w:rPr>
        <w:t xml:space="preserve"> demonstrated rates of 93% and 95% respectively (Table 2</w:t>
      </w:r>
      <w:r w:rsidR="00596D57" w:rsidRPr="00A841E7">
        <w:rPr>
          <w:rFonts w:ascii="Times New Roman" w:hAnsi="Times New Roman" w:cs="Times New Roman"/>
          <w:sz w:val="20"/>
          <w:szCs w:val="20"/>
        </w:rPr>
        <w:t>)</w:t>
      </w:r>
      <w:proofErr w:type="gramStart"/>
      <w:r w:rsidR="00596D57" w:rsidRPr="00A841E7">
        <w:rPr>
          <w:rFonts w:ascii="Times New Roman" w:hAnsi="Times New Roman" w:cs="Times New Roman"/>
          <w:sz w:val="20"/>
          <w:szCs w:val="20"/>
        </w:rPr>
        <w:t>.</w:t>
      </w:r>
      <w:r w:rsidRPr="00A841E7">
        <w:rPr>
          <w:rFonts w:ascii="Times New Roman" w:hAnsi="Times New Roman" w:cs="Times New Roman"/>
          <w:noProof/>
          <w:sz w:val="20"/>
          <w:szCs w:val="20"/>
        </w:rPr>
        <w:t>(</w:t>
      </w:r>
      <w:proofErr w:type="gramEnd"/>
      <w:r w:rsidRPr="00A841E7">
        <w:rPr>
          <w:rFonts w:ascii="Times New Roman" w:hAnsi="Times New Roman" w:cs="Times New Roman"/>
          <w:noProof/>
          <w:sz w:val="20"/>
          <w:szCs w:val="20"/>
        </w:rPr>
        <w:t>1</w:t>
      </w:r>
      <w:r w:rsidR="00BF7FE2" w:rsidRPr="00A841E7">
        <w:rPr>
          <w:rFonts w:ascii="Times New Roman" w:hAnsi="Times New Roman" w:cs="Times New Roman"/>
          <w:noProof/>
          <w:sz w:val="20"/>
          <w:szCs w:val="20"/>
        </w:rPr>
        <w:t>4</w:t>
      </w:r>
      <w:r w:rsidRPr="00A841E7">
        <w:rPr>
          <w:rFonts w:ascii="Times New Roman" w:hAnsi="Times New Roman" w:cs="Times New Roman"/>
          <w:noProof/>
          <w:sz w:val="20"/>
          <w:szCs w:val="20"/>
        </w:rPr>
        <w:t>)</w:t>
      </w:r>
      <w:r w:rsidRPr="00A841E7">
        <w:rPr>
          <w:rFonts w:ascii="Times New Roman" w:hAnsi="Times New Roman" w:cs="Times New Roman"/>
          <w:sz w:val="20"/>
          <w:szCs w:val="20"/>
        </w:rPr>
        <w:t xml:space="preserve"> There was a statistically significant difference in the coverage of </w:t>
      </w:r>
      <w:proofErr w:type="spellStart"/>
      <w:r w:rsidRPr="00A841E7">
        <w:rPr>
          <w:rFonts w:ascii="Times New Roman" w:hAnsi="Times New Roman" w:cs="Times New Roman"/>
          <w:sz w:val="20"/>
          <w:szCs w:val="20"/>
        </w:rPr>
        <w:t>benzylpenicillin</w:t>
      </w:r>
      <w:proofErr w:type="spellEnd"/>
      <w:r w:rsidRPr="00A841E7">
        <w:rPr>
          <w:rFonts w:ascii="Times New Roman" w:hAnsi="Times New Roman" w:cs="Times New Roman"/>
          <w:sz w:val="20"/>
          <w:szCs w:val="20"/>
        </w:rPr>
        <w:t xml:space="preserve"> and gentamicin in comparison to cefotaxime monotherapy (p=0.037), but not for the other combinations. </w:t>
      </w:r>
    </w:p>
    <w:p w:rsidR="007B010D" w:rsidRPr="00A841E7" w:rsidRDefault="007B010D" w:rsidP="005658EF">
      <w:pPr>
        <w:spacing w:line="480" w:lineRule="auto"/>
        <w:rPr>
          <w:rFonts w:ascii="Times New Roman" w:hAnsi="Times New Roman" w:cs="Times New Roman"/>
          <w:noProof/>
          <w:sz w:val="20"/>
          <w:szCs w:val="20"/>
        </w:rPr>
      </w:pPr>
      <w:r w:rsidRPr="00A841E7">
        <w:rPr>
          <w:rFonts w:ascii="Times New Roman" w:hAnsi="Times New Roman" w:cs="Times New Roman"/>
          <w:sz w:val="20"/>
          <w:szCs w:val="20"/>
        </w:rPr>
        <w:t xml:space="preserve">LOS pathogens demonstrated higher levels of resistance than EOS pathogens.  A combination of vancomycin and cefotaxime </w:t>
      </w:r>
      <w:r w:rsidR="009B2940" w:rsidRPr="00A841E7">
        <w:rPr>
          <w:rFonts w:ascii="Times New Roman" w:hAnsi="Times New Roman" w:cs="Times New Roman"/>
          <w:sz w:val="20"/>
          <w:szCs w:val="20"/>
        </w:rPr>
        <w:t xml:space="preserve">displayed coverage </w:t>
      </w:r>
      <w:r w:rsidR="00BD5024" w:rsidRPr="00A841E7">
        <w:rPr>
          <w:rFonts w:ascii="Times New Roman" w:hAnsi="Times New Roman" w:cs="Times New Roman"/>
          <w:sz w:val="20"/>
          <w:szCs w:val="20"/>
        </w:rPr>
        <w:t>of</w:t>
      </w:r>
      <w:r w:rsidR="009B2940" w:rsidRPr="00A841E7">
        <w:rPr>
          <w:rFonts w:ascii="Times New Roman" w:hAnsi="Times New Roman" w:cs="Times New Roman"/>
          <w:sz w:val="20"/>
          <w:szCs w:val="20"/>
        </w:rPr>
        <w:t xml:space="preserve"> </w:t>
      </w:r>
      <w:r w:rsidRPr="00A841E7">
        <w:rPr>
          <w:rFonts w:ascii="Times New Roman" w:hAnsi="Times New Roman" w:cs="Times New Roman"/>
          <w:sz w:val="20"/>
          <w:szCs w:val="20"/>
        </w:rPr>
        <w:t>92%</w:t>
      </w:r>
      <w:r w:rsidR="009B2940" w:rsidRPr="00A841E7">
        <w:rPr>
          <w:rFonts w:ascii="Times New Roman" w:hAnsi="Times New Roman" w:cs="Times New Roman"/>
          <w:sz w:val="20"/>
          <w:szCs w:val="20"/>
        </w:rPr>
        <w:t xml:space="preserve"> of isolates tested while </w:t>
      </w:r>
      <w:proofErr w:type="spellStart"/>
      <w:r w:rsidR="009B2940" w:rsidRPr="00A841E7">
        <w:rPr>
          <w:rFonts w:ascii="Times New Roman" w:hAnsi="Times New Roman" w:cs="Times New Roman"/>
          <w:sz w:val="20"/>
          <w:szCs w:val="20"/>
        </w:rPr>
        <w:t>flucloxacillin</w:t>
      </w:r>
      <w:proofErr w:type="spellEnd"/>
      <w:r w:rsidR="009B2940" w:rsidRPr="00A841E7">
        <w:rPr>
          <w:rFonts w:ascii="Times New Roman" w:hAnsi="Times New Roman" w:cs="Times New Roman"/>
          <w:sz w:val="20"/>
          <w:szCs w:val="20"/>
        </w:rPr>
        <w:t xml:space="preserve"> and gentamicin covered </w:t>
      </w:r>
      <w:r w:rsidRPr="00A841E7">
        <w:rPr>
          <w:rFonts w:ascii="Times New Roman" w:hAnsi="Times New Roman" w:cs="Times New Roman"/>
          <w:sz w:val="20"/>
          <w:szCs w:val="20"/>
        </w:rPr>
        <w:t>89% (Table 2)</w:t>
      </w:r>
      <w:proofErr w:type="gramStart"/>
      <w:r w:rsidR="00596D57" w:rsidRPr="00A841E7">
        <w:rPr>
          <w:rFonts w:ascii="Times New Roman" w:hAnsi="Times New Roman" w:cs="Times New Roman"/>
          <w:sz w:val="20"/>
          <w:szCs w:val="20"/>
        </w:rPr>
        <w:t>.</w:t>
      </w:r>
      <w:r w:rsidRPr="00A841E7">
        <w:rPr>
          <w:rFonts w:ascii="Times New Roman" w:hAnsi="Times New Roman" w:cs="Times New Roman"/>
          <w:noProof/>
          <w:sz w:val="20"/>
          <w:szCs w:val="20"/>
        </w:rPr>
        <w:t>(</w:t>
      </w:r>
      <w:proofErr w:type="gramEnd"/>
      <w:r w:rsidRPr="00A841E7">
        <w:rPr>
          <w:rFonts w:ascii="Times New Roman" w:hAnsi="Times New Roman" w:cs="Times New Roman"/>
          <w:noProof/>
          <w:sz w:val="20"/>
          <w:szCs w:val="20"/>
        </w:rPr>
        <w:t>1</w:t>
      </w:r>
      <w:r w:rsidR="00BF7FE2" w:rsidRPr="00A841E7">
        <w:rPr>
          <w:rFonts w:ascii="Times New Roman" w:hAnsi="Times New Roman" w:cs="Times New Roman"/>
          <w:noProof/>
          <w:sz w:val="20"/>
          <w:szCs w:val="20"/>
        </w:rPr>
        <w:t>4</w:t>
      </w:r>
      <w:r w:rsidRPr="00A841E7">
        <w:rPr>
          <w:rFonts w:ascii="Times New Roman" w:hAnsi="Times New Roman" w:cs="Times New Roman"/>
          <w:noProof/>
          <w:sz w:val="20"/>
          <w:szCs w:val="20"/>
        </w:rPr>
        <w:t>)</w:t>
      </w:r>
      <w:r w:rsidRPr="00A841E7">
        <w:rPr>
          <w:rFonts w:ascii="Times New Roman" w:hAnsi="Times New Roman" w:cs="Times New Roman"/>
          <w:sz w:val="20"/>
          <w:szCs w:val="20"/>
        </w:rPr>
        <w:t xml:space="preserve">  Amoxicillin and clavulanic acid provided significantly lower coverage than any other tested combination (p&lt;0.02</w:t>
      </w:r>
      <w:r w:rsidR="00BD5024" w:rsidRPr="00A841E7">
        <w:rPr>
          <w:rFonts w:ascii="Times New Roman" w:hAnsi="Times New Roman" w:cs="Times New Roman"/>
          <w:sz w:val="20"/>
          <w:szCs w:val="20"/>
        </w:rPr>
        <w:t xml:space="preserve">), while </w:t>
      </w:r>
      <w:proofErr w:type="spellStart"/>
      <w:r w:rsidR="00BD5024" w:rsidRPr="00A841E7">
        <w:rPr>
          <w:rFonts w:ascii="Times New Roman" w:hAnsi="Times New Roman" w:cs="Times New Roman"/>
          <w:sz w:val="20"/>
          <w:szCs w:val="20"/>
        </w:rPr>
        <w:t>f</w:t>
      </w:r>
      <w:r w:rsidRPr="00A841E7">
        <w:rPr>
          <w:rFonts w:ascii="Times New Roman" w:hAnsi="Times New Roman" w:cs="Times New Roman"/>
          <w:sz w:val="20"/>
          <w:szCs w:val="20"/>
        </w:rPr>
        <w:t>lucloxacillin</w:t>
      </w:r>
      <w:proofErr w:type="spellEnd"/>
      <w:r w:rsidRPr="00A841E7">
        <w:rPr>
          <w:rFonts w:ascii="Times New Roman" w:hAnsi="Times New Roman" w:cs="Times New Roman"/>
          <w:sz w:val="20"/>
          <w:szCs w:val="20"/>
        </w:rPr>
        <w:t xml:space="preserve"> and gentamicin was notably more effective as a combination for LOS than amoxicillin and cefotaxime </w:t>
      </w:r>
      <w:r w:rsidR="00596D57" w:rsidRPr="00A841E7">
        <w:rPr>
          <w:rFonts w:ascii="Times New Roman" w:hAnsi="Times New Roman" w:cs="Times New Roman"/>
          <w:sz w:val="20"/>
          <w:szCs w:val="20"/>
        </w:rPr>
        <w:t>(p=0.014).</w:t>
      </w:r>
      <w:r w:rsidRPr="00A841E7">
        <w:rPr>
          <w:rFonts w:ascii="Times New Roman" w:hAnsi="Times New Roman" w:cs="Times New Roman"/>
          <w:noProof/>
          <w:sz w:val="20"/>
          <w:szCs w:val="20"/>
        </w:rPr>
        <w:t>(1</w:t>
      </w:r>
      <w:r w:rsidR="00BF7FE2" w:rsidRPr="00A841E7">
        <w:rPr>
          <w:rFonts w:ascii="Times New Roman" w:hAnsi="Times New Roman" w:cs="Times New Roman"/>
          <w:noProof/>
          <w:sz w:val="20"/>
          <w:szCs w:val="20"/>
        </w:rPr>
        <w:t>4</w:t>
      </w:r>
      <w:r w:rsidRPr="00A841E7">
        <w:rPr>
          <w:rFonts w:ascii="Times New Roman" w:hAnsi="Times New Roman" w:cs="Times New Roman"/>
          <w:noProof/>
          <w:sz w:val="20"/>
          <w:szCs w:val="20"/>
        </w:rPr>
        <w:t>)</w:t>
      </w:r>
    </w:p>
    <w:p w:rsidR="009B2940" w:rsidRPr="00A841E7" w:rsidRDefault="009B2940" w:rsidP="009B2940">
      <w:pPr>
        <w:spacing w:line="480" w:lineRule="auto"/>
        <w:jc w:val="center"/>
        <w:rPr>
          <w:rFonts w:ascii="Times New Roman" w:hAnsi="Times New Roman" w:cs="Times New Roman"/>
          <w:i/>
          <w:sz w:val="20"/>
          <w:szCs w:val="20"/>
        </w:rPr>
      </w:pPr>
      <w:r w:rsidRPr="00A841E7">
        <w:rPr>
          <w:rFonts w:ascii="Times New Roman" w:hAnsi="Times New Roman" w:cs="Times New Roman"/>
          <w:i/>
          <w:sz w:val="20"/>
          <w:szCs w:val="20"/>
        </w:rPr>
        <w:t>Insert Table 2 Here</w:t>
      </w:r>
    </w:p>
    <w:p w:rsidR="00BD5024" w:rsidRPr="00A841E7" w:rsidRDefault="00BD5024" w:rsidP="005E7D52">
      <w:pPr>
        <w:spacing w:line="480" w:lineRule="auto"/>
        <w:rPr>
          <w:rFonts w:ascii="Times New Roman" w:hAnsi="Times New Roman" w:cs="Times New Roman"/>
          <w:sz w:val="20"/>
          <w:szCs w:val="20"/>
        </w:rPr>
      </w:pPr>
      <w:r w:rsidRPr="00A841E7">
        <w:rPr>
          <w:rFonts w:ascii="Times New Roman" w:hAnsi="Times New Roman" w:cs="Times New Roman"/>
          <w:sz w:val="20"/>
          <w:szCs w:val="20"/>
        </w:rPr>
        <w:t xml:space="preserve">A comparison of the susceptibilities for isolates from the time-periods 2005-2010 and 2011-2014 is shown in Supplementary Table </w:t>
      </w:r>
      <w:r w:rsidR="00234C41" w:rsidRPr="00A841E7">
        <w:rPr>
          <w:rFonts w:ascii="Times New Roman" w:hAnsi="Times New Roman" w:cs="Times New Roman"/>
          <w:sz w:val="20"/>
          <w:szCs w:val="20"/>
        </w:rPr>
        <w:t>2</w:t>
      </w:r>
      <w:r w:rsidRPr="00A841E7">
        <w:rPr>
          <w:rFonts w:ascii="Times New Roman" w:hAnsi="Times New Roman" w:cs="Times New Roman"/>
          <w:sz w:val="20"/>
          <w:szCs w:val="20"/>
        </w:rPr>
        <w:t>. This demonstrated statistically significant differences for several combinations, mostly reflecting an increase in susceptibility over time.</w:t>
      </w:r>
    </w:p>
    <w:p w:rsidR="005E7D52" w:rsidRPr="00A841E7" w:rsidRDefault="007B010D" w:rsidP="005E7D52">
      <w:pPr>
        <w:spacing w:line="480" w:lineRule="auto"/>
        <w:rPr>
          <w:rFonts w:ascii="Times New Roman" w:hAnsi="Times New Roman" w:cs="Times New Roman"/>
          <w:sz w:val="20"/>
          <w:szCs w:val="20"/>
        </w:rPr>
      </w:pPr>
      <w:proofErr w:type="spellStart"/>
      <w:r w:rsidRPr="00A841E7">
        <w:rPr>
          <w:rFonts w:ascii="Times New Roman" w:hAnsi="Times New Roman" w:cs="Times New Roman"/>
          <w:sz w:val="20"/>
          <w:szCs w:val="20"/>
        </w:rPr>
        <w:t>Carbapenem</w:t>
      </w:r>
      <w:proofErr w:type="spellEnd"/>
      <w:r w:rsidRPr="00A841E7">
        <w:rPr>
          <w:rFonts w:ascii="Times New Roman" w:hAnsi="Times New Roman" w:cs="Times New Roman"/>
          <w:sz w:val="20"/>
          <w:szCs w:val="20"/>
        </w:rPr>
        <w:t xml:space="preserve"> resistance was rare amongst the tested isolates with 97% demonstrating susceptibility. </w:t>
      </w:r>
      <w:r w:rsidRPr="00A841E7">
        <w:rPr>
          <w:rFonts w:ascii="Times New Roman" w:hAnsi="Times New Roman" w:cs="Times New Roman"/>
          <w:i/>
          <w:sz w:val="20"/>
          <w:szCs w:val="20"/>
        </w:rPr>
        <w:t>Acinetobacter</w:t>
      </w:r>
      <w:r w:rsidRPr="00A841E7">
        <w:rPr>
          <w:rFonts w:ascii="Times New Roman" w:hAnsi="Times New Roman" w:cs="Times New Roman"/>
          <w:sz w:val="20"/>
          <w:szCs w:val="20"/>
        </w:rPr>
        <w:t xml:space="preserve"> sp.</w:t>
      </w:r>
      <w:r w:rsidRPr="00A841E7">
        <w:rPr>
          <w:rFonts w:ascii="Times New Roman" w:hAnsi="Times New Roman" w:cs="Times New Roman"/>
          <w:i/>
          <w:sz w:val="20"/>
          <w:szCs w:val="20"/>
        </w:rPr>
        <w:t>, Pseudomonas</w:t>
      </w:r>
      <w:r w:rsidRPr="00A841E7">
        <w:rPr>
          <w:rFonts w:ascii="Times New Roman" w:hAnsi="Times New Roman" w:cs="Times New Roman"/>
          <w:sz w:val="20"/>
          <w:szCs w:val="20"/>
        </w:rPr>
        <w:t xml:space="preserve"> sp. and </w:t>
      </w:r>
      <w:proofErr w:type="spellStart"/>
      <w:r w:rsidRPr="00A841E7">
        <w:rPr>
          <w:rFonts w:ascii="Times New Roman" w:hAnsi="Times New Roman" w:cs="Times New Roman"/>
          <w:i/>
          <w:sz w:val="20"/>
          <w:szCs w:val="20"/>
        </w:rPr>
        <w:t>Serratia</w:t>
      </w:r>
      <w:proofErr w:type="spellEnd"/>
      <w:r w:rsidRPr="00A841E7">
        <w:rPr>
          <w:rFonts w:ascii="Times New Roman" w:hAnsi="Times New Roman" w:cs="Times New Roman"/>
          <w:sz w:val="20"/>
          <w:szCs w:val="20"/>
        </w:rPr>
        <w:t xml:space="preserve"> sp. exhibited the highest levels of resistance (40%, 5% and 3% respectively</w:t>
      </w:r>
      <w:r w:rsidR="005311D8" w:rsidRPr="00A841E7">
        <w:rPr>
          <w:rFonts w:ascii="Times New Roman" w:hAnsi="Times New Roman" w:cs="Times New Roman"/>
          <w:sz w:val="20"/>
          <w:szCs w:val="20"/>
        </w:rPr>
        <w:t>)</w:t>
      </w:r>
      <w:r w:rsidRPr="00A841E7">
        <w:rPr>
          <w:rFonts w:ascii="Times New Roman" w:hAnsi="Times New Roman" w:cs="Times New Roman"/>
          <w:sz w:val="20"/>
          <w:szCs w:val="20"/>
        </w:rPr>
        <w:t>.</w:t>
      </w:r>
      <w:r w:rsidR="005E7D52" w:rsidRPr="00A841E7">
        <w:rPr>
          <w:rFonts w:ascii="Times New Roman" w:hAnsi="Times New Roman" w:cs="Times New Roman"/>
          <w:sz w:val="20"/>
          <w:szCs w:val="20"/>
        </w:rPr>
        <w:t xml:space="preserve"> </w:t>
      </w:r>
    </w:p>
    <w:p w:rsidR="007B010D" w:rsidRPr="00A841E7" w:rsidRDefault="007B010D" w:rsidP="005658EF">
      <w:pPr>
        <w:spacing w:line="480" w:lineRule="auto"/>
        <w:rPr>
          <w:rFonts w:ascii="Times New Roman" w:hAnsi="Times New Roman" w:cs="Times New Roman"/>
          <w:sz w:val="20"/>
          <w:szCs w:val="20"/>
        </w:rPr>
      </w:pPr>
      <w:r w:rsidRPr="00A841E7">
        <w:rPr>
          <w:rFonts w:ascii="Times New Roman" w:hAnsi="Times New Roman" w:cs="Times New Roman"/>
          <w:sz w:val="20"/>
          <w:szCs w:val="20"/>
        </w:rPr>
        <w:t xml:space="preserve">Extending the definition of EOS from 48h to 72h made no difference to the estimates of coverage for </w:t>
      </w:r>
      <w:r w:rsidR="005311D8" w:rsidRPr="00A841E7">
        <w:rPr>
          <w:rFonts w:ascii="Times New Roman" w:hAnsi="Times New Roman" w:cs="Times New Roman"/>
          <w:sz w:val="20"/>
          <w:szCs w:val="20"/>
        </w:rPr>
        <w:t>any</w:t>
      </w:r>
      <w:r w:rsidRPr="00A841E7">
        <w:rPr>
          <w:rFonts w:ascii="Times New Roman" w:hAnsi="Times New Roman" w:cs="Times New Roman"/>
          <w:sz w:val="20"/>
          <w:szCs w:val="20"/>
        </w:rPr>
        <w:t xml:space="preserve"> </w:t>
      </w:r>
      <w:r w:rsidR="005311D8" w:rsidRPr="00A841E7">
        <w:rPr>
          <w:rFonts w:ascii="Times New Roman" w:hAnsi="Times New Roman" w:cs="Times New Roman"/>
          <w:sz w:val="20"/>
          <w:szCs w:val="20"/>
        </w:rPr>
        <w:t>combination</w:t>
      </w:r>
      <w:r w:rsidRPr="00A841E7">
        <w:rPr>
          <w:rFonts w:ascii="Times New Roman" w:hAnsi="Times New Roman" w:cs="Times New Roman"/>
          <w:sz w:val="20"/>
          <w:szCs w:val="20"/>
        </w:rPr>
        <w:t xml:space="preserve"> tested, largely because so few isolates were obtained</w:t>
      </w:r>
      <w:r w:rsidR="000B56F2" w:rsidRPr="00A841E7">
        <w:rPr>
          <w:rFonts w:ascii="Times New Roman" w:hAnsi="Times New Roman" w:cs="Times New Roman"/>
          <w:sz w:val="20"/>
          <w:szCs w:val="20"/>
        </w:rPr>
        <w:t xml:space="preserve"> on day </w:t>
      </w:r>
      <w:r w:rsidR="00BF7FE2" w:rsidRPr="00A841E7">
        <w:rPr>
          <w:rFonts w:ascii="Times New Roman" w:hAnsi="Times New Roman" w:cs="Times New Roman"/>
          <w:sz w:val="20"/>
          <w:szCs w:val="20"/>
        </w:rPr>
        <w:t>three</w:t>
      </w:r>
      <w:r w:rsidR="000B56F2" w:rsidRPr="00A841E7">
        <w:rPr>
          <w:rFonts w:ascii="Times New Roman" w:hAnsi="Times New Roman" w:cs="Times New Roman"/>
          <w:sz w:val="20"/>
          <w:szCs w:val="20"/>
        </w:rPr>
        <w:t xml:space="preserve"> (Supplementary Table 3</w:t>
      </w:r>
      <w:r w:rsidRPr="00A841E7">
        <w:rPr>
          <w:rFonts w:ascii="Times New Roman" w:hAnsi="Times New Roman" w:cs="Times New Roman"/>
          <w:sz w:val="20"/>
          <w:szCs w:val="20"/>
        </w:rPr>
        <w:t>).</w:t>
      </w:r>
    </w:p>
    <w:p w:rsidR="007B010D" w:rsidRPr="00A841E7" w:rsidRDefault="007B010D" w:rsidP="005658EF">
      <w:pPr>
        <w:spacing w:line="480" w:lineRule="auto"/>
        <w:rPr>
          <w:rFonts w:ascii="Times New Roman" w:hAnsi="Times New Roman" w:cs="Times New Roman"/>
          <w:sz w:val="20"/>
          <w:szCs w:val="20"/>
          <w:u w:val="single"/>
        </w:rPr>
      </w:pPr>
      <w:r w:rsidRPr="00A841E7">
        <w:rPr>
          <w:rFonts w:ascii="Times New Roman" w:hAnsi="Times New Roman" w:cs="Times New Roman"/>
          <w:sz w:val="20"/>
          <w:szCs w:val="20"/>
          <w:u w:val="single"/>
        </w:rPr>
        <w:t>Antimicrobial susceptibilities of specific pathogens</w:t>
      </w:r>
    </w:p>
    <w:p w:rsidR="007B010D" w:rsidRPr="00A841E7" w:rsidRDefault="007B010D" w:rsidP="005658EF">
      <w:pPr>
        <w:spacing w:line="480" w:lineRule="auto"/>
        <w:rPr>
          <w:rFonts w:ascii="Times New Roman" w:hAnsi="Times New Roman" w:cs="Times New Roman"/>
          <w:sz w:val="20"/>
          <w:szCs w:val="20"/>
        </w:rPr>
      </w:pPr>
      <w:r w:rsidRPr="00A841E7">
        <w:rPr>
          <w:rFonts w:ascii="Times New Roman" w:hAnsi="Times New Roman" w:cs="Times New Roman"/>
          <w:sz w:val="20"/>
          <w:szCs w:val="20"/>
        </w:rPr>
        <w:t>Both BNFC-recommended EOS combinations had complete coverage of the most commonly isolated pathogen Group B Streptococcus (GBS)</w:t>
      </w:r>
      <w:r w:rsidR="009B2940" w:rsidRPr="00A841E7">
        <w:rPr>
          <w:rFonts w:ascii="Times New Roman" w:hAnsi="Times New Roman" w:cs="Times New Roman"/>
          <w:sz w:val="20"/>
          <w:szCs w:val="20"/>
        </w:rPr>
        <w:t>. T</w:t>
      </w:r>
      <w:r w:rsidRPr="00A841E7">
        <w:rPr>
          <w:rFonts w:ascii="Times New Roman" w:hAnsi="Times New Roman" w:cs="Times New Roman"/>
          <w:sz w:val="20"/>
          <w:szCs w:val="20"/>
        </w:rPr>
        <w:t>he</w:t>
      </w:r>
      <w:r w:rsidR="009B2940" w:rsidRPr="00A841E7">
        <w:rPr>
          <w:rFonts w:ascii="Times New Roman" w:hAnsi="Times New Roman" w:cs="Times New Roman"/>
          <w:sz w:val="20"/>
          <w:szCs w:val="20"/>
        </w:rPr>
        <w:t>re was no significant difference in the coverage of the</w:t>
      </w:r>
      <w:r w:rsidRPr="00A841E7">
        <w:rPr>
          <w:rFonts w:ascii="Times New Roman" w:hAnsi="Times New Roman" w:cs="Times New Roman"/>
          <w:sz w:val="20"/>
          <w:szCs w:val="20"/>
        </w:rPr>
        <w:t xml:space="preserve"> 2</w:t>
      </w:r>
      <w:r w:rsidRPr="00A841E7">
        <w:rPr>
          <w:rFonts w:ascii="Times New Roman" w:hAnsi="Times New Roman" w:cs="Times New Roman"/>
          <w:sz w:val="20"/>
          <w:szCs w:val="20"/>
          <w:vertAlign w:val="superscript"/>
        </w:rPr>
        <w:t>nd</w:t>
      </w:r>
      <w:r w:rsidRPr="00A841E7">
        <w:rPr>
          <w:rFonts w:ascii="Times New Roman" w:hAnsi="Times New Roman" w:cs="Times New Roman"/>
          <w:sz w:val="20"/>
          <w:szCs w:val="20"/>
        </w:rPr>
        <w:t xml:space="preserve"> most prevalent EOS pathogen, </w:t>
      </w:r>
      <w:r w:rsidRPr="00A841E7">
        <w:rPr>
          <w:rFonts w:ascii="Times New Roman" w:hAnsi="Times New Roman" w:cs="Times New Roman"/>
          <w:i/>
          <w:sz w:val="20"/>
          <w:szCs w:val="20"/>
        </w:rPr>
        <w:t xml:space="preserve">E.coli, </w:t>
      </w:r>
      <w:r w:rsidR="009B2940" w:rsidRPr="00A841E7">
        <w:rPr>
          <w:rFonts w:ascii="Times New Roman" w:hAnsi="Times New Roman" w:cs="Times New Roman"/>
          <w:sz w:val="20"/>
          <w:szCs w:val="20"/>
        </w:rPr>
        <w:t xml:space="preserve">between </w:t>
      </w:r>
      <w:r w:rsidRPr="00A841E7">
        <w:rPr>
          <w:rFonts w:ascii="Times New Roman" w:hAnsi="Times New Roman" w:cs="Times New Roman"/>
          <w:sz w:val="20"/>
          <w:szCs w:val="20"/>
        </w:rPr>
        <w:t xml:space="preserve">penicillin and gentamicin (94%) </w:t>
      </w:r>
      <w:r w:rsidR="009B2940" w:rsidRPr="00A841E7">
        <w:rPr>
          <w:rFonts w:ascii="Times New Roman" w:hAnsi="Times New Roman" w:cs="Times New Roman"/>
          <w:sz w:val="20"/>
          <w:szCs w:val="20"/>
        </w:rPr>
        <w:t>and</w:t>
      </w:r>
      <w:r w:rsidRPr="00A841E7">
        <w:rPr>
          <w:rFonts w:ascii="Times New Roman" w:hAnsi="Times New Roman" w:cs="Times New Roman"/>
          <w:sz w:val="20"/>
          <w:szCs w:val="20"/>
        </w:rPr>
        <w:t xml:space="preserve"> am</w:t>
      </w:r>
      <w:r w:rsidR="009B2940" w:rsidRPr="00A841E7">
        <w:rPr>
          <w:rFonts w:ascii="Times New Roman" w:hAnsi="Times New Roman" w:cs="Times New Roman"/>
          <w:sz w:val="20"/>
          <w:szCs w:val="20"/>
        </w:rPr>
        <w:t xml:space="preserve">oxicillin and cefotaxime (90%) </w:t>
      </w:r>
      <w:r w:rsidRPr="00A841E7">
        <w:rPr>
          <w:rFonts w:ascii="Times New Roman" w:hAnsi="Times New Roman" w:cs="Times New Roman"/>
          <w:sz w:val="20"/>
          <w:szCs w:val="20"/>
        </w:rPr>
        <w:t xml:space="preserve">(p=0.53). </w:t>
      </w:r>
      <w:proofErr w:type="spellStart"/>
      <w:r w:rsidRPr="00A841E7">
        <w:rPr>
          <w:rFonts w:ascii="Times New Roman" w:hAnsi="Times New Roman" w:cs="Times New Roman"/>
          <w:sz w:val="20"/>
          <w:szCs w:val="20"/>
        </w:rPr>
        <w:t>Enterococcal</w:t>
      </w:r>
      <w:proofErr w:type="spellEnd"/>
      <w:r w:rsidRPr="00A841E7">
        <w:rPr>
          <w:rFonts w:ascii="Times New Roman" w:hAnsi="Times New Roman" w:cs="Times New Roman"/>
          <w:sz w:val="20"/>
          <w:szCs w:val="20"/>
        </w:rPr>
        <w:t xml:space="preserve"> species had high susceptibility to an amoxicillin and cefotaxime combination (93%)</w:t>
      </w:r>
      <w:r w:rsidR="009B2940" w:rsidRPr="00A841E7">
        <w:rPr>
          <w:rFonts w:ascii="Times New Roman" w:hAnsi="Times New Roman" w:cs="Times New Roman"/>
          <w:sz w:val="20"/>
          <w:szCs w:val="20"/>
        </w:rPr>
        <w:t>.</w:t>
      </w:r>
    </w:p>
    <w:p w:rsidR="007B010D" w:rsidRPr="00A841E7" w:rsidRDefault="007B010D" w:rsidP="005658EF">
      <w:pPr>
        <w:spacing w:line="480" w:lineRule="auto"/>
        <w:rPr>
          <w:rFonts w:ascii="Times New Roman" w:hAnsi="Times New Roman" w:cs="Times New Roman"/>
          <w:sz w:val="20"/>
          <w:szCs w:val="20"/>
        </w:rPr>
      </w:pPr>
      <w:r w:rsidRPr="00A841E7">
        <w:rPr>
          <w:rFonts w:ascii="Times New Roman" w:hAnsi="Times New Roman" w:cs="Times New Roman"/>
          <w:sz w:val="20"/>
          <w:szCs w:val="20"/>
        </w:rPr>
        <w:t xml:space="preserve">Amongst common LOS pathogens, </w:t>
      </w:r>
      <w:r w:rsidRPr="00A841E7">
        <w:rPr>
          <w:rFonts w:ascii="Times New Roman" w:hAnsi="Times New Roman" w:cs="Times New Roman"/>
          <w:i/>
          <w:sz w:val="20"/>
          <w:szCs w:val="20"/>
        </w:rPr>
        <w:t>E.coli</w:t>
      </w:r>
      <w:r w:rsidRPr="00A841E7">
        <w:rPr>
          <w:rFonts w:ascii="Times New Roman" w:hAnsi="Times New Roman" w:cs="Times New Roman"/>
          <w:sz w:val="20"/>
          <w:szCs w:val="20"/>
        </w:rPr>
        <w:t xml:space="preserve"> exhibited susceptibility in approximately 85% of cases to both BNFC-recommended combinations</w:t>
      </w:r>
      <w:r w:rsidR="009B2940" w:rsidRPr="00A841E7">
        <w:rPr>
          <w:rFonts w:ascii="Times New Roman" w:hAnsi="Times New Roman" w:cs="Times New Roman"/>
          <w:sz w:val="20"/>
          <w:szCs w:val="20"/>
        </w:rPr>
        <w:t xml:space="preserve">. </w:t>
      </w:r>
      <w:r w:rsidRPr="00A841E7">
        <w:rPr>
          <w:rFonts w:ascii="Times New Roman" w:hAnsi="Times New Roman" w:cs="Times New Roman"/>
          <w:i/>
          <w:sz w:val="20"/>
          <w:szCs w:val="20"/>
        </w:rPr>
        <w:t xml:space="preserve">Enterococcus </w:t>
      </w:r>
      <w:r w:rsidRPr="00A841E7">
        <w:rPr>
          <w:rFonts w:ascii="Times New Roman" w:hAnsi="Times New Roman" w:cs="Times New Roman"/>
          <w:sz w:val="20"/>
          <w:szCs w:val="20"/>
        </w:rPr>
        <w:t xml:space="preserve">sp. demonstrated high susceptibility rates to amoxicillin and cefotaxime (95%) </w:t>
      </w:r>
      <w:r w:rsidR="00DC147C" w:rsidRPr="00A841E7">
        <w:rPr>
          <w:rFonts w:ascii="Times New Roman" w:hAnsi="Times New Roman" w:cs="Times New Roman"/>
          <w:sz w:val="20"/>
          <w:szCs w:val="20"/>
        </w:rPr>
        <w:t>while t</w:t>
      </w:r>
      <w:r w:rsidRPr="00A841E7">
        <w:rPr>
          <w:rFonts w:ascii="Times New Roman" w:hAnsi="Times New Roman" w:cs="Times New Roman"/>
          <w:sz w:val="20"/>
          <w:szCs w:val="20"/>
        </w:rPr>
        <w:t xml:space="preserve">he contrary was true of </w:t>
      </w:r>
      <w:r w:rsidRPr="00A841E7">
        <w:rPr>
          <w:rFonts w:ascii="Times New Roman" w:hAnsi="Times New Roman" w:cs="Times New Roman"/>
          <w:i/>
          <w:sz w:val="20"/>
          <w:szCs w:val="20"/>
        </w:rPr>
        <w:t>Enterobacter</w:t>
      </w:r>
      <w:r w:rsidRPr="00A841E7">
        <w:rPr>
          <w:rFonts w:ascii="Times New Roman" w:hAnsi="Times New Roman" w:cs="Times New Roman"/>
          <w:sz w:val="20"/>
          <w:szCs w:val="20"/>
        </w:rPr>
        <w:t xml:space="preserve"> </w:t>
      </w:r>
      <w:r w:rsidR="00BD5024" w:rsidRPr="00A841E7">
        <w:rPr>
          <w:rFonts w:ascii="Times New Roman" w:hAnsi="Times New Roman" w:cs="Times New Roman"/>
          <w:sz w:val="20"/>
          <w:szCs w:val="20"/>
        </w:rPr>
        <w:t xml:space="preserve">sp. </w:t>
      </w:r>
      <w:r w:rsidR="007C49B0" w:rsidRPr="00A841E7">
        <w:rPr>
          <w:rFonts w:ascii="Times New Roman" w:hAnsi="Times New Roman" w:cs="Times New Roman"/>
          <w:sz w:val="20"/>
          <w:szCs w:val="20"/>
        </w:rPr>
        <w:t xml:space="preserve">which were significantly more likely to be susceptible to </w:t>
      </w:r>
      <w:proofErr w:type="spellStart"/>
      <w:r w:rsidR="007C49B0" w:rsidRPr="00A841E7">
        <w:rPr>
          <w:rFonts w:ascii="Times New Roman" w:hAnsi="Times New Roman" w:cs="Times New Roman"/>
          <w:sz w:val="20"/>
          <w:szCs w:val="20"/>
        </w:rPr>
        <w:t>flucloxacillin</w:t>
      </w:r>
      <w:proofErr w:type="spellEnd"/>
      <w:r w:rsidR="007C49B0" w:rsidRPr="00A841E7">
        <w:rPr>
          <w:rFonts w:ascii="Times New Roman" w:hAnsi="Times New Roman" w:cs="Times New Roman"/>
          <w:sz w:val="20"/>
          <w:szCs w:val="20"/>
        </w:rPr>
        <w:t xml:space="preserve"> and gentamicin (59% vs. 82%, p&lt;0.001). A</w:t>
      </w:r>
      <w:r w:rsidRPr="00A841E7">
        <w:rPr>
          <w:rFonts w:ascii="Times New Roman" w:hAnsi="Times New Roman" w:cs="Times New Roman"/>
          <w:sz w:val="20"/>
          <w:szCs w:val="20"/>
        </w:rPr>
        <w:t xml:space="preserve">t least 88% </w:t>
      </w:r>
      <w:r w:rsidR="007C49B0" w:rsidRPr="00A841E7">
        <w:rPr>
          <w:rFonts w:ascii="Times New Roman" w:hAnsi="Times New Roman" w:cs="Times New Roman"/>
          <w:sz w:val="20"/>
          <w:szCs w:val="20"/>
        </w:rPr>
        <w:t>o</w:t>
      </w:r>
      <w:r w:rsidRPr="00A841E7">
        <w:rPr>
          <w:rFonts w:ascii="Times New Roman" w:hAnsi="Times New Roman" w:cs="Times New Roman"/>
          <w:sz w:val="20"/>
          <w:szCs w:val="20"/>
        </w:rPr>
        <w:t xml:space="preserve">f </w:t>
      </w:r>
      <w:proofErr w:type="spellStart"/>
      <w:r w:rsidRPr="00A841E7">
        <w:rPr>
          <w:rFonts w:ascii="Times New Roman" w:hAnsi="Times New Roman" w:cs="Times New Roman"/>
          <w:i/>
          <w:sz w:val="20"/>
          <w:szCs w:val="20"/>
        </w:rPr>
        <w:t>Klebsiella</w:t>
      </w:r>
      <w:proofErr w:type="spellEnd"/>
      <w:r w:rsidRPr="00A841E7">
        <w:rPr>
          <w:rFonts w:ascii="Times New Roman" w:hAnsi="Times New Roman" w:cs="Times New Roman"/>
          <w:sz w:val="20"/>
          <w:szCs w:val="20"/>
        </w:rPr>
        <w:t xml:space="preserve"> species were susceptible to </w:t>
      </w:r>
      <w:r w:rsidR="005311D8" w:rsidRPr="00A841E7">
        <w:rPr>
          <w:rFonts w:ascii="Times New Roman" w:hAnsi="Times New Roman" w:cs="Times New Roman"/>
          <w:sz w:val="20"/>
          <w:szCs w:val="20"/>
        </w:rPr>
        <w:t>each of</w:t>
      </w:r>
      <w:r w:rsidR="007C49B0" w:rsidRPr="00A841E7">
        <w:rPr>
          <w:rFonts w:ascii="Times New Roman" w:hAnsi="Times New Roman" w:cs="Times New Roman"/>
          <w:sz w:val="20"/>
          <w:szCs w:val="20"/>
        </w:rPr>
        <w:t xml:space="preserve"> </w:t>
      </w:r>
      <w:r w:rsidRPr="00A841E7">
        <w:rPr>
          <w:rFonts w:ascii="Times New Roman" w:hAnsi="Times New Roman" w:cs="Times New Roman"/>
          <w:sz w:val="20"/>
          <w:szCs w:val="20"/>
        </w:rPr>
        <w:t>these combinations</w:t>
      </w:r>
      <w:r w:rsidR="005311D8" w:rsidRPr="00A841E7">
        <w:rPr>
          <w:rFonts w:ascii="Times New Roman" w:hAnsi="Times New Roman" w:cs="Times New Roman"/>
          <w:sz w:val="20"/>
          <w:szCs w:val="20"/>
        </w:rPr>
        <w:t xml:space="preserve"> (</w:t>
      </w:r>
      <w:r w:rsidRPr="00A841E7">
        <w:rPr>
          <w:rFonts w:ascii="Times New Roman" w:hAnsi="Times New Roman" w:cs="Times New Roman"/>
          <w:sz w:val="20"/>
          <w:szCs w:val="20"/>
        </w:rPr>
        <w:t>Table 3</w:t>
      </w:r>
      <w:r w:rsidR="005311D8" w:rsidRPr="00A841E7">
        <w:rPr>
          <w:rFonts w:ascii="Times New Roman" w:hAnsi="Times New Roman" w:cs="Times New Roman"/>
          <w:sz w:val="20"/>
          <w:szCs w:val="20"/>
        </w:rPr>
        <w:t>)</w:t>
      </w:r>
      <w:r w:rsidRPr="00A841E7">
        <w:rPr>
          <w:rFonts w:ascii="Times New Roman" w:hAnsi="Times New Roman" w:cs="Times New Roman"/>
          <w:sz w:val="20"/>
          <w:szCs w:val="20"/>
        </w:rPr>
        <w:t>.</w:t>
      </w:r>
      <w:r w:rsidR="00600B44" w:rsidRPr="00A841E7">
        <w:rPr>
          <w:rFonts w:ascii="Times New Roman" w:hAnsi="Times New Roman" w:cs="Times New Roman"/>
          <w:sz w:val="20"/>
          <w:szCs w:val="20"/>
        </w:rPr>
        <w:t xml:space="preserve"> The most prevalent individual organisms displaying resistance to common antimicrobial combinations are demonstrated in Supplementary Table </w:t>
      </w:r>
      <w:r w:rsidR="00234C41" w:rsidRPr="00A841E7">
        <w:rPr>
          <w:rFonts w:ascii="Times New Roman" w:hAnsi="Times New Roman" w:cs="Times New Roman"/>
          <w:sz w:val="20"/>
          <w:szCs w:val="20"/>
        </w:rPr>
        <w:t>4</w:t>
      </w:r>
      <w:r w:rsidR="00600B44" w:rsidRPr="00A841E7">
        <w:rPr>
          <w:rFonts w:ascii="Times New Roman" w:hAnsi="Times New Roman" w:cs="Times New Roman"/>
          <w:sz w:val="20"/>
          <w:szCs w:val="20"/>
        </w:rPr>
        <w:t>.</w:t>
      </w:r>
    </w:p>
    <w:p w:rsidR="007B010D"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i/>
          <w:sz w:val="20"/>
          <w:szCs w:val="20"/>
        </w:rPr>
        <w:t>Insert Table 3 Here</w:t>
      </w:r>
    </w:p>
    <w:p w:rsidR="007B010D" w:rsidRPr="00A841E7" w:rsidRDefault="007B010D" w:rsidP="005658EF">
      <w:pPr>
        <w:spacing w:line="480" w:lineRule="auto"/>
        <w:rPr>
          <w:rFonts w:ascii="Times New Roman" w:hAnsi="Times New Roman" w:cs="Times New Roman"/>
          <w:sz w:val="20"/>
          <w:szCs w:val="20"/>
        </w:rPr>
      </w:pPr>
      <w:r w:rsidRPr="00A841E7">
        <w:rPr>
          <w:rFonts w:ascii="Times New Roman" w:hAnsi="Times New Roman" w:cs="Times New Roman"/>
          <w:sz w:val="20"/>
          <w:szCs w:val="20"/>
        </w:rPr>
        <w:t xml:space="preserve">The </w:t>
      </w:r>
      <w:r w:rsidRPr="00A841E7">
        <w:rPr>
          <w:rFonts w:ascii="Times New Roman" w:hAnsi="Times New Roman" w:cs="Times New Roman"/>
          <w:i/>
          <w:sz w:val="20"/>
          <w:szCs w:val="20"/>
        </w:rPr>
        <w:t>E.coli</w:t>
      </w:r>
      <w:r w:rsidRPr="00A841E7">
        <w:rPr>
          <w:rFonts w:ascii="Times New Roman" w:hAnsi="Times New Roman" w:cs="Times New Roman"/>
          <w:sz w:val="20"/>
          <w:szCs w:val="20"/>
        </w:rPr>
        <w:t xml:space="preserve"> associated with EOS were different to those associated with LOS. Of a total of 393 </w:t>
      </w:r>
      <w:r w:rsidRPr="00A841E7">
        <w:rPr>
          <w:rFonts w:ascii="Times New Roman" w:hAnsi="Times New Roman" w:cs="Times New Roman"/>
          <w:i/>
          <w:sz w:val="20"/>
          <w:szCs w:val="20"/>
        </w:rPr>
        <w:t>E.coli</w:t>
      </w:r>
      <w:r w:rsidRPr="00A841E7">
        <w:rPr>
          <w:rFonts w:ascii="Times New Roman" w:hAnsi="Times New Roman" w:cs="Times New Roman"/>
          <w:sz w:val="20"/>
          <w:szCs w:val="20"/>
        </w:rPr>
        <w:t xml:space="preserve"> isolates reported, 258 (66%) had a complete antimicrobial susceptibility profile.  Isolates causing LOS had </w:t>
      </w:r>
      <w:r w:rsidR="005311D8" w:rsidRPr="00A841E7">
        <w:rPr>
          <w:rFonts w:ascii="Times New Roman" w:hAnsi="Times New Roman" w:cs="Times New Roman"/>
          <w:sz w:val="20"/>
          <w:szCs w:val="20"/>
        </w:rPr>
        <w:t xml:space="preserve">significantly </w:t>
      </w:r>
      <w:r w:rsidRPr="00A841E7">
        <w:rPr>
          <w:rFonts w:ascii="Times New Roman" w:hAnsi="Times New Roman" w:cs="Times New Roman"/>
          <w:sz w:val="20"/>
          <w:szCs w:val="20"/>
        </w:rPr>
        <w:t>higher rates of antimicrobial resistance to a number of agents including amoxicillin and clavulanic acid (29% vs. 16% for EOS), cefotaxime (16% vs. 6%), ciprofloxacin (22% vs. 3%) and gentamicin (15% vs. 5%).  High levels of resistance to amoxicillin/ampicillin (58-63%) were observed for both EOS and LOS</w:t>
      </w:r>
      <w:r w:rsidR="003A678F" w:rsidRPr="00A841E7">
        <w:rPr>
          <w:rFonts w:ascii="Times New Roman" w:hAnsi="Times New Roman" w:cs="Times New Roman"/>
          <w:sz w:val="20"/>
          <w:szCs w:val="20"/>
        </w:rPr>
        <w:t xml:space="preserve"> isolates</w:t>
      </w:r>
      <w:r w:rsidRPr="00A841E7">
        <w:rPr>
          <w:rFonts w:ascii="Times New Roman" w:hAnsi="Times New Roman" w:cs="Times New Roman"/>
          <w:sz w:val="20"/>
          <w:szCs w:val="20"/>
        </w:rPr>
        <w:t xml:space="preserve">. LOS </w:t>
      </w:r>
      <w:r w:rsidRPr="00A841E7">
        <w:rPr>
          <w:rFonts w:ascii="Times New Roman" w:hAnsi="Times New Roman" w:cs="Times New Roman"/>
          <w:i/>
          <w:sz w:val="20"/>
          <w:szCs w:val="20"/>
        </w:rPr>
        <w:t>E.coli</w:t>
      </w:r>
      <w:r w:rsidRPr="00A841E7">
        <w:rPr>
          <w:rFonts w:ascii="Times New Roman" w:hAnsi="Times New Roman" w:cs="Times New Roman"/>
          <w:sz w:val="20"/>
          <w:szCs w:val="20"/>
        </w:rPr>
        <w:t xml:space="preserve"> isolates were also 2.5 times more likely to demonstrate multi-drug resistance (i.e. to at least three tested classes of antimicrobial agents), than those causing EOS (p=0.039).</w:t>
      </w:r>
    </w:p>
    <w:p w:rsidR="007B010D" w:rsidRPr="00A841E7" w:rsidRDefault="007B010D" w:rsidP="005658EF">
      <w:pPr>
        <w:spacing w:line="480" w:lineRule="auto"/>
        <w:rPr>
          <w:rFonts w:ascii="Times New Roman" w:hAnsi="Times New Roman" w:cs="Times New Roman"/>
          <w:sz w:val="20"/>
          <w:szCs w:val="20"/>
          <w:u w:val="single"/>
        </w:rPr>
      </w:pPr>
      <w:r w:rsidRPr="00A841E7">
        <w:rPr>
          <w:rFonts w:ascii="Times New Roman" w:hAnsi="Times New Roman" w:cs="Times New Roman"/>
          <w:sz w:val="20"/>
          <w:szCs w:val="20"/>
          <w:u w:val="single"/>
        </w:rPr>
        <w:t>Antimicrobial susceptibilities by birthweight and gestation at birth</w:t>
      </w:r>
    </w:p>
    <w:p w:rsidR="007B010D" w:rsidRPr="00A841E7" w:rsidRDefault="007B010D" w:rsidP="005658EF">
      <w:pPr>
        <w:spacing w:line="480" w:lineRule="auto"/>
        <w:rPr>
          <w:rFonts w:ascii="Times New Roman" w:hAnsi="Times New Roman" w:cs="Times New Roman"/>
          <w:sz w:val="20"/>
          <w:szCs w:val="20"/>
        </w:rPr>
      </w:pPr>
      <w:r w:rsidRPr="00A841E7">
        <w:rPr>
          <w:rFonts w:ascii="Times New Roman" w:hAnsi="Times New Roman" w:cs="Times New Roman"/>
          <w:sz w:val="20"/>
          <w:szCs w:val="20"/>
        </w:rPr>
        <w:t>The two BNFC-recommended EOS combinations demonstrated high rates of coverage of EOS pathogens for infants &gt;1500 grams and &gt;32 weeks gestation (93-99%)</w:t>
      </w:r>
      <w:proofErr w:type="gramStart"/>
      <w:r w:rsidR="00596D57" w:rsidRPr="00A841E7">
        <w:rPr>
          <w:rFonts w:ascii="Times New Roman" w:hAnsi="Times New Roman" w:cs="Times New Roman"/>
          <w:sz w:val="20"/>
          <w:szCs w:val="20"/>
        </w:rPr>
        <w:t>.</w:t>
      </w:r>
      <w:r w:rsidRPr="00A841E7">
        <w:rPr>
          <w:rFonts w:ascii="Times New Roman" w:hAnsi="Times New Roman" w:cs="Times New Roman"/>
          <w:noProof/>
          <w:sz w:val="20"/>
          <w:szCs w:val="20"/>
        </w:rPr>
        <w:t>(</w:t>
      </w:r>
      <w:proofErr w:type="gramEnd"/>
      <w:r w:rsidRPr="00A841E7">
        <w:rPr>
          <w:rFonts w:ascii="Times New Roman" w:hAnsi="Times New Roman" w:cs="Times New Roman"/>
          <w:noProof/>
          <w:sz w:val="20"/>
          <w:szCs w:val="20"/>
        </w:rPr>
        <w:t>12)</w:t>
      </w:r>
      <w:r w:rsidRPr="00A841E7">
        <w:rPr>
          <w:rFonts w:ascii="Times New Roman" w:hAnsi="Times New Roman" w:cs="Times New Roman"/>
          <w:sz w:val="20"/>
          <w:szCs w:val="20"/>
        </w:rPr>
        <w:t xml:space="preserve"> However, these combinations demonstrated</w:t>
      </w:r>
      <w:r w:rsidR="005311D8" w:rsidRPr="00A841E7">
        <w:rPr>
          <w:rFonts w:ascii="Times New Roman" w:hAnsi="Times New Roman" w:cs="Times New Roman"/>
          <w:sz w:val="20"/>
          <w:szCs w:val="20"/>
        </w:rPr>
        <w:t xml:space="preserve"> significantly</w:t>
      </w:r>
      <w:r w:rsidRPr="00A841E7">
        <w:rPr>
          <w:rFonts w:ascii="Times New Roman" w:hAnsi="Times New Roman" w:cs="Times New Roman"/>
          <w:sz w:val="20"/>
          <w:szCs w:val="20"/>
        </w:rPr>
        <w:t xml:space="preserve"> lower coverage rates in VLBW infants (&lt;1500g) and the extremely preterm (&lt;32 weeks) (79-92%, p=0.013 and 0.003 respectively).  An amoxicillin and gentamicin combination demonstrated </w:t>
      </w:r>
      <w:r w:rsidR="003A678F" w:rsidRPr="00A841E7">
        <w:rPr>
          <w:rFonts w:ascii="Times New Roman" w:hAnsi="Times New Roman" w:cs="Times New Roman"/>
          <w:sz w:val="20"/>
          <w:szCs w:val="20"/>
        </w:rPr>
        <w:t>comparable</w:t>
      </w:r>
      <w:r w:rsidRPr="00A841E7">
        <w:rPr>
          <w:rFonts w:ascii="Times New Roman" w:hAnsi="Times New Roman" w:cs="Times New Roman"/>
          <w:sz w:val="20"/>
          <w:szCs w:val="20"/>
        </w:rPr>
        <w:t xml:space="preserve"> levels of coverage </w:t>
      </w:r>
      <w:r w:rsidR="003A678F" w:rsidRPr="00A841E7">
        <w:rPr>
          <w:rFonts w:ascii="Times New Roman" w:hAnsi="Times New Roman" w:cs="Times New Roman"/>
          <w:sz w:val="20"/>
          <w:szCs w:val="20"/>
        </w:rPr>
        <w:t>to</w:t>
      </w:r>
      <w:r w:rsidRPr="00A841E7">
        <w:rPr>
          <w:rFonts w:ascii="Times New Roman" w:hAnsi="Times New Roman" w:cs="Times New Roman"/>
          <w:sz w:val="20"/>
          <w:szCs w:val="20"/>
        </w:rPr>
        <w:t xml:space="preserve"> the </w:t>
      </w:r>
      <w:proofErr w:type="spellStart"/>
      <w:r w:rsidRPr="00A841E7">
        <w:rPr>
          <w:rFonts w:ascii="Times New Roman" w:hAnsi="Times New Roman" w:cs="Times New Roman"/>
          <w:sz w:val="20"/>
          <w:szCs w:val="20"/>
        </w:rPr>
        <w:t>benzylpenicillin</w:t>
      </w:r>
      <w:proofErr w:type="spellEnd"/>
      <w:r w:rsidRPr="00A841E7">
        <w:rPr>
          <w:rFonts w:ascii="Times New Roman" w:hAnsi="Times New Roman" w:cs="Times New Roman"/>
          <w:sz w:val="20"/>
          <w:szCs w:val="20"/>
        </w:rPr>
        <w:t xml:space="preserve"> and gentamicin combination for all birthweight and gestational age categories</w:t>
      </w:r>
      <w:r w:rsidR="00234C41" w:rsidRPr="00A841E7">
        <w:rPr>
          <w:rFonts w:ascii="Times New Roman" w:hAnsi="Times New Roman" w:cs="Times New Roman"/>
          <w:sz w:val="20"/>
          <w:szCs w:val="20"/>
        </w:rPr>
        <w:t xml:space="preserve">, with </w:t>
      </w:r>
      <w:r w:rsidR="003A678F" w:rsidRPr="00A841E7">
        <w:rPr>
          <w:rFonts w:ascii="Times New Roman" w:hAnsi="Times New Roman" w:cs="Times New Roman"/>
          <w:sz w:val="20"/>
          <w:szCs w:val="20"/>
        </w:rPr>
        <w:t xml:space="preserve">a non-significant trend towards </w:t>
      </w:r>
      <w:r w:rsidR="00C26FD4" w:rsidRPr="00A841E7">
        <w:rPr>
          <w:rFonts w:ascii="Times New Roman" w:hAnsi="Times New Roman" w:cs="Times New Roman"/>
          <w:sz w:val="20"/>
          <w:szCs w:val="20"/>
        </w:rPr>
        <w:t>improved</w:t>
      </w:r>
      <w:r w:rsidR="003A678F" w:rsidRPr="00A841E7">
        <w:rPr>
          <w:rFonts w:ascii="Times New Roman" w:hAnsi="Times New Roman" w:cs="Times New Roman"/>
          <w:sz w:val="20"/>
          <w:szCs w:val="20"/>
        </w:rPr>
        <w:t xml:space="preserve"> coverage i</w:t>
      </w:r>
      <w:r w:rsidRPr="00A841E7">
        <w:rPr>
          <w:rFonts w:ascii="Times New Roman" w:hAnsi="Times New Roman" w:cs="Times New Roman"/>
          <w:sz w:val="20"/>
          <w:szCs w:val="20"/>
        </w:rPr>
        <w:t xml:space="preserve">n infants &lt;1500g and &lt;32 weeks </w:t>
      </w:r>
      <w:r w:rsidR="00C26FD4" w:rsidRPr="00A841E7">
        <w:rPr>
          <w:rFonts w:ascii="Times New Roman" w:hAnsi="Times New Roman" w:cs="Times New Roman"/>
          <w:sz w:val="20"/>
          <w:szCs w:val="20"/>
        </w:rPr>
        <w:t xml:space="preserve">(93% vs. 86%) </w:t>
      </w:r>
      <w:r w:rsidR="003A678F" w:rsidRPr="00A841E7">
        <w:rPr>
          <w:rFonts w:ascii="Times New Roman" w:hAnsi="Times New Roman" w:cs="Times New Roman"/>
          <w:sz w:val="20"/>
          <w:szCs w:val="20"/>
        </w:rPr>
        <w:t>(p=0.211</w:t>
      </w:r>
      <w:r w:rsidRPr="00A841E7">
        <w:rPr>
          <w:rFonts w:ascii="Times New Roman" w:hAnsi="Times New Roman" w:cs="Times New Roman"/>
          <w:sz w:val="20"/>
          <w:szCs w:val="20"/>
        </w:rPr>
        <w:t>)</w:t>
      </w:r>
      <w:r w:rsidR="003A678F" w:rsidRPr="00A841E7">
        <w:rPr>
          <w:rFonts w:ascii="Times New Roman" w:hAnsi="Times New Roman" w:cs="Times New Roman"/>
          <w:sz w:val="20"/>
          <w:szCs w:val="20"/>
        </w:rPr>
        <w:t xml:space="preserve"> (Supplementary Table 5)</w:t>
      </w:r>
      <w:r w:rsidRPr="00A841E7">
        <w:rPr>
          <w:rFonts w:ascii="Times New Roman" w:hAnsi="Times New Roman" w:cs="Times New Roman"/>
          <w:sz w:val="20"/>
          <w:szCs w:val="20"/>
        </w:rPr>
        <w:t xml:space="preserve">. </w:t>
      </w:r>
    </w:p>
    <w:p w:rsidR="007B010D" w:rsidRPr="00A841E7" w:rsidRDefault="007B010D" w:rsidP="005658EF">
      <w:pPr>
        <w:spacing w:line="480" w:lineRule="auto"/>
        <w:rPr>
          <w:rFonts w:ascii="Times New Roman" w:hAnsi="Times New Roman" w:cs="Times New Roman"/>
          <w:noProof/>
          <w:sz w:val="20"/>
          <w:szCs w:val="20"/>
        </w:rPr>
      </w:pPr>
      <w:r w:rsidRPr="00A841E7">
        <w:rPr>
          <w:rFonts w:ascii="Times New Roman" w:hAnsi="Times New Roman" w:cs="Times New Roman"/>
          <w:sz w:val="20"/>
          <w:szCs w:val="20"/>
        </w:rPr>
        <w:t>For LOS, similar rates of coverage were seen across all birthweight and gestational age categories for each combination. For flucloxacillin and gentamicin, for example, the rates of coverage varied only from 86-92% (</w:t>
      </w:r>
      <w:r w:rsidR="00F04862" w:rsidRPr="00A841E7">
        <w:rPr>
          <w:rFonts w:ascii="Times New Roman" w:hAnsi="Times New Roman" w:cs="Times New Roman"/>
          <w:sz w:val="20"/>
          <w:szCs w:val="20"/>
        </w:rPr>
        <w:t xml:space="preserve">Supplementary </w:t>
      </w:r>
      <w:r w:rsidR="000B56F2" w:rsidRPr="00A841E7">
        <w:rPr>
          <w:rFonts w:ascii="Times New Roman" w:hAnsi="Times New Roman" w:cs="Times New Roman"/>
          <w:sz w:val="20"/>
          <w:szCs w:val="20"/>
        </w:rPr>
        <w:t>Table 5</w:t>
      </w:r>
      <w:r w:rsidRPr="00A841E7">
        <w:rPr>
          <w:rFonts w:ascii="Times New Roman" w:hAnsi="Times New Roman" w:cs="Times New Roman"/>
          <w:sz w:val="20"/>
          <w:szCs w:val="20"/>
        </w:rPr>
        <w:t>)</w:t>
      </w:r>
      <w:proofErr w:type="gramStart"/>
      <w:r w:rsidR="00596D57" w:rsidRPr="00A841E7">
        <w:rPr>
          <w:rFonts w:ascii="Times New Roman" w:hAnsi="Times New Roman" w:cs="Times New Roman"/>
          <w:sz w:val="20"/>
          <w:szCs w:val="20"/>
        </w:rPr>
        <w:t>.</w:t>
      </w:r>
      <w:r w:rsidRPr="00A841E7">
        <w:rPr>
          <w:rFonts w:ascii="Times New Roman" w:hAnsi="Times New Roman" w:cs="Times New Roman"/>
          <w:noProof/>
          <w:sz w:val="20"/>
          <w:szCs w:val="20"/>
        </w:rPr>
        <w:t>(</w:t>
      </w:r>
      <w:proofErr w:type="gramEnd"/>
      <w:r w:rsidRPr="00A841E7">
        <w:rPr>
          <w:rFonts w:ascii="Times New Roman" w:hAnsi="Times New Roman" w:cs="Times New Roman"/>
          <w:noProof/>
          <w:sz w:val="20"/>
          <w:szCs w:val="20"/>
        </w:rPr>
        <w:t>1</w:t>
      </w:r>
      <w:r w:rsidR="00BF7FE2" w:rsidRPr="00A841E7">
        <w:rPr>
          <w:rFonts w:ascii="Times New Roman" w:hAnsi="Times New Roman" w:cs="Times New Roman"/>
          <w:noProof/>
          <w:sz w:val="20"/>
          <w:szCs w:val="20"/>
        </w:rPr>
        <w:t>4</w:t>
      </w:r>
      <w:r w:rsidRPr="00A841E7">
        <w:rPr>
          <w:rFonts w:ascii="Times New Roman" w:hAnsi="Times New Roman" w:cs="Times New Roman"/>
          <w:noProof/>
          <w:sz w:val="20"/>
          <w:szCs w:val="20"/>
        </w:rPr>
        <w:t>)</w:t>
      </w:r>
    </w:p>
    <w:p w:rsidR="007B010D" w:rsidRPr="00A841E7" w:rsidRDefault="007B010D" w:rsidP="005658EF">
      <w:pPr>
        <w:spacing w:line="480" w:lineRule="auto"/>
        <w:rPr>
          <w:rFonts w:ascii="Times New Roman" w:hAnsi="Times New Roman" w:cs="Times New Roman"/>
          <w:b/>
          <w:sz w:val="20"/>
          <w:szCs w:val="20"/>
          <w:u w:val="single"/>
        </w:rPr>
      </w:pPr>
      <w:r w:rsidRPr="00A841E7">
        <w:rPr>
          <w:rFonts w:ascii="Times New Roman" w:hAnsi="Times New Roman" w:cs="Times New Roman"/>
          <w:b/>
          <w:sz w:val="20"/>
          <w:szCs w:val="20"/>
          <w:u w:val="single"/>
        </w:rPr>
        <w:t>Discussion</w:t>
      </w:r>
    </w:p>
    <w:p w:rsidR="007B010D" w:rsidRPr="00A841E7" w:rsidRDefault="007B010D" w:rsidP="005658EF">
      <w:pPr>
        <w:tabs>
          <w:tab w:val="num" w:pos="1440"/>
        </w:tabs>
        <w:spacing w:line="480" w:lineRule="auto"/>
        <w:rPr>
          <w:rFonts w:ascii="Times New Roman" w:hAnsi="Times New Roman" w:cs="Times New Roman"/>
          <w:sz w:val="20"/>
          <w:szCs w:val="20"/>
        </w:rPr>
      </w:pPr>
      <w:r w:rsidRPr="00A841E7">
        <w:rPr>
          <w:rFonts w:ascii="Times New Roman" w:hAnsi="Times New Roman" w:cs="Times New Roman"/>
          <w:sz w:val="20"/>
          <w:szCs w:val="20"/>
        </w:rPr>
        <w:t xml:space="preserve">EOS pathogens showed high rates of susceptibility to all four of the tested empiric antimicrobial combinations.  The levels of susceptibility to the two BNFC </w:t>
      </w:r>
      <w:r w:rsidR="005E0434" w:rsidRPr="00A841E7">
        <w:rPr>
          <w:rFonts w:ascii="Times New Roman" w:hAnsi="Times New Roman" w:cs="Times New Roman"/>
          <w:noProof/>
          <w:sz w:val="20"/>
          <w:szCs w:val="20"/>
        </w:rPr>
        <w:t>(1</w:t>
      </w:r>
      <w:r w:rsidR="00BF7FE2" w:rsidRPr="00A841E7">
        <w:rPr>
          <w:rFonts w:ascii="Times New Roman" w:hAnsi="Times New Roman" w:cs="Times New Roman"/>
          <w:noProof/>
          <w:sz w:val="20"/>
          <w:szCs w:val="20"/>
        </w:rPr>
        <w:t>4</w:t>
      </w:r>
      <w:r w:rsidRPr="00A841E7">
        <w:rPr>
          <w:rFonts w:ascii="Times New Roman" w:hAnsi="Times New Roman" w:cs="Times New Roman"/>
          <w:noProof/>
          <w:sz w:val="20"/>
          <w:szCs w:val="20"/>
        </w:rPr>
        <w:t>)</w:t>
      </w:r>
      <w:r w:rsidRPr="00A841E7">
        <w:rPr>
          <w:rFonts w:ascii="Times New Roman" w:hAnsi="Times New Roman" w:cs="Times New Roman"/>
          <w:sz w:val="20"/>
          <w:szCs w:val="20"/>
        </w:rPr>
        <w:t xml:space="preserve"> recommended combinations were approximately 95%; similar to those r</w:t>
      </w:r>
      <w:r w:rsidR="00596D57" w:rsidRPr="00A841E7">
        <w:rPr>
          <w:rFonts w:ascii="Times New Roman" w:hAnsi="Times New Roman" w:cs="Times New Roman"/>
          <w:sz w:val="20"/>
          <w:szCs w:val="20"/>
        </w:rPr>
        <w:t>eported in previous UK studies.</w:t>
      </w:r>
      <w:r w:rsidR="005E0434" w:rsidRPr="00A841E7">
        <w:rPr>
          <w:rFonts w:ascii="Times New Roman" w:hAnsi="Times New Roman" w:cs="Times New Roman"/>
          <w:noProof/>
          <w:sz w:val="20"/>
          <w:szCs w:val="20"/>
        </w:rPr>
        <w:t>(1</w:t>
      </w:r>
      <w:r w:rsidR="00BF7FE2" w:rsidRPr="00A841E7">
        <w:rPr>
          <w:rFonts w:ascii="Times New Roman" w:hAnsi="Times New Roman" w:cs="Times New Roman"/>
          <w:noProof/>
          <w:sz w:val="20"/>
          <w:szCs w:val="20"/>
        </w:rPr>
        <w:t>7</w:t>
      </w:r>
      <w:r w:rsidR="00596D57" w:rsidRPr="00A841E7">
        <w:rPr>
          <w:rFonts w:ascii="Times New Roman" w:hAnsi="Times New Roman" w:cs="Times New Roman"/>
          <w:noProof/>
          <w:sz w:val="20"/>
          <w:szCs w:val="20"/>
        </w:rPr>
        <w:t>,</w:t>
      </w:r>
      <w:r w:rsidR="005E0434" w:rsidRPr="00A841E7">
        <w:rPr>
          <w:rFonts w:ascii="Times New Roman" w:hAnsi="Times New Roman" w:cs="Times New Roman"/>
          <w:noProof/>
          <w:sz w:val="20"/>
          <w:szCs w:val="20"/>
        </w:rPr>
        <w:t>1</w:t>
      </w:r>
      <w:r w:rsidR="00BF7FE2" w:rsidRPr="00A841E7">
        <w:rPr>
          <w:rFonts w:ascii="Times New Roman" w:hAnsi="Times New Roman" w:cs="Times New Roman"/>
          <w:noProof/>
          <w:sz w:val="20"/>
          <w:szCs w:val="20"/>
        </w:rPr>
        <w:t>8</w:t>
      </w:r>
      <w:r w:rsidRPr="00A841E7">
        <w:rPr>
          <w:rFonts w:ascii="Times New Roman" w:hAnsi="Times New Roman" w:cs="Times New Roman"/>
          <w:noProof/>
          <w:sz w:val="20"/>
          <w:szCs w:val="20"/>
        </w:rPr>
        <w:t>)</w:t>
      </w:r>
      <w:r w:rsidRPr="00A841E7">
        <w:rPr>
          <w:rFonts w:ascii="Times New Roman" w:hAnsi="Times New Roman" w:cs="Times New Roman"/>
          <w:sz w:val="20"/>
          <w:szCs w:val="20"/>
        </w:rPr>
        <w:t xml:space="preserve"> Although </w:t>
      </w:r>
      <w:r w:rsidR="00F16F78" w:rsidRPr="00A841E7">
        <w:rPr>
          <w:rFonts w:ascii="Times New Roman" w:hAnsi="Times New Roman" w:cs="Times New Roman"/>
          <w:sz w:val="20"/>
          <w:szCs w:val="20"/>
        </w:rPr>
        <w:t>high</w:t>
      </w:r>
      <w:r w:rsidRPr="00A841E7">
        <w:rPr>
          <w:rFonts w:ascii="Times New Roman" w:hAnsi="Times New Roman" w:cs="Times New Roman"/>
          <w:sz w:val="20"/>
          <w:szCs w:val="20"/>
        </w:rPr>
        <w:t xml:space="preserve"> rates of susceptibility (95-98%) were reported for the cefotaxime-based regimens, due to the broadness of their spectrum of coverage and propensity to induce resistance there should be considerable reluctance to consider these as first-line empiric therapies</w:t>
      </w:r>
      <w:r w:rsidR="00596D57" w:rsidRPr="00A841E7">
        <w:rPr>
          <w:rFonts w:ascii="Times New Roman" w:hAnsi="Times New Roman" w:cs="Times New Roman"/>
          <w:sz w:val="20"/>
          <w:szCs w:val="20"/>
        </w:rPr>
        <w:t xml:space="preserve"> for EOS.</w:t>
      </w:r>
      <w:r w:rsidR="00596D57" w:rsidRPr="00A841E7">
        <w:rPr>
          <w:rFonts w:ascii="Times New Roman" w:hAnsi="Times New Roman" w:cs="Times New Roman"/>
          <w:noProof/>
          <w:sz w:val="20"/>
          <w:szCs w:val="20"/>
        </w:rPr>
        <w:t>(1</w:t>
      </w:r>
      <w:r w:rsidR="00BF7FE2" w:rsidRPr="00A841E7">
        <w:rPr>
          <w:rFonts w:ascii="Times New Roman" w:hAnsi="Times New Roman" w:cs="Times New Roman"/>
          <w:noProof/>
          <w:sz w:val="20"/>
          <w:szCs w:val="20"/>
        </w:rPr>
        <w:t>6</w:t>
      </w:r>
      <w:r w:rsidR="00596D57" w:rsidRPr="00A841E7">
        <w:rPr>
          <w:rFonts w:ascii="Times New Roman" w:hAnsi="Times New Roman" w:cs="Times New Roman"/>
          <w:noProof/>
          <w:sz w:val="20"/>
          <w:szCs w:val="20"/>
        </w:rPr>
        <w:t>,</w:t>
      </w:r>
      <w:r w:rsidRPr="00A841E7">
        <w:rPr>
          <w:rFonts w:ascii="Times New Roman" w:hAnsi="Times New Roman" w:cs="Times New Roman"/>
          <w:noProof/>
          <w:sz w:val="20"/>
          <w:szCs w:val="20"/>
        </w:rPr>
        <w:t>1</w:t>
      </w:r>
      <w:r w:rsidR="00BF7FE2" w:rsidRPr="00A841E7">
        <w:rPr>
          <w:rFonts w:ascii="Times New Roman" w:hAnsi="Times New Roman" w:cs="Times New Roman"/>
          <w:noProof/>
          <w:sz w:val="20"/>
          <w:szCs w:val="20"/>
        </w:rPr>
        <w:t>9</w:t>
      </w:r>
      <w:r w:rsidRPr="00A841E7">
        <w:rPr>
          <w:rFonts w:ascii="Times New Roman" w:hAnsi="Times New Roman" w:cs="Times New Roman"/>
          <w:noProof/>
          <w:sz w:val="20"/>
          <w:szCs w:val="20"/>
        </w:rPr>
        <w:t>)</w:t>
      </w:r>
      <w:r w:rsidRPr="00A841E7">
        <w:rPr>
          <w:rFonts w:ascii="Times New Roman" w:hAnsi="Times New Roman" w:cs="Times New Roman"/>
          <w:sz w:val="20"/>
          <w:szCs w:val="20"/>
        </w:rPr>
        <w:t xml:space="preserve"> The only exception to this would be the use of cefotaxime and amoxicillin in the setting of possible bacterial meningitis, due to the better CSF penetration associated with t</w:t>
      </w:r>
      <w:r w:rsidR="00596D57" w:rsidRPr="00A841E7">
        <w:rPr>
          <w:rFonts w:ascii="Times New Roman" w:hAnsi="Times New Roman" w:cs="Times New Roman"/>
          <w:sz w:val="20"/>
          <w:szCs w:val="20"/>
        </w:rPr>
        <w:t xml:space="preserve">hird generation </w:t>
      </w:r>
      <w:proofErr w:type="spellStart"/>
      <w:r w:rsidR="00596D57" w:rsidRPr="00A841E7">
        <w:rPr>
          <w:rFonts w:ascii="Times New Roman" w:hAnsi="Times New Roman" w:cs="Times New Roman"/>
          <w:sz w:val="20"/>
          <w:szCs w:val="20"/>
        </w:rPr>
        <w:t>cephalosporins</w:t>
      </w:r>
      <w:proofErr w:type="spellEnd"/>
      <w:r w:rsidR="00596D57" w:rsidRPr="00A841E7">
        <w:rPr>
          <w:rFonts w:ascii="Times New Roman" w:hAnsi="Times New Roman" w:cs="Times New Roman"/>
          <w:sz w:val="20"/>
          <w:szCs w:val="20"/>
        </w:rPr>
        <w:t>.</w:t>
      </w:r>
      <w:r w:rsidRPr="00A841E7">
        <w:rPr>
          <w:rFonts w:ascii="Times New Roman" w:hAnsi="Times New Roman" w:cs="Times New Roman"/>
          <w:noProof/>
          <w:sz w:val="20"/>
          <w:szCs w:val="20"/>
        </w:rPr>
        <w:t>(</w:t>
      </w:r>
      <w:r w:rsidR="00BF7FE2" w:rsidRPr="00A841E7">
        <w:rPr>
          <w:rFonts w:ascii="Times New Roman" w:hAnsi="Times New Roman" w:cs="Times New Roman"/>
          <w:noProof/>
          <w:sz w:val="20"/>
          <w:szCs w:val="20"/>
        </w:rPr>
        <w:t>20</w:t>
      </w:r>
      <w:r w:rsidRPr="00A841E7">
        <w:rPr>
          <w:rFonts w:ascii="Times New Roman" w:hAnsi="Times New Roman" w:cs="Times New Roman"/>
          <w:noProof/>
          <w:sz w:val="20"/>
          <w:szCs w:val="20"/>
        </w:rPr>
        <w:t>)</w:t>
      </w:r>
      <w:r w:rsidR="00F16F78" w:rsidRPr="00A841E7">
        <w:rPr>
          <w:rFonts w:ascii="Times New Roman" w:hAnsi="Times New Roman" w:cs="Times New Roman"/>
          <w:noProof/>
          <w:sz w:val="20"/>
          <w:szCs w:val="20"/>
        </w:rPr>
        <w:t xml:space="preserve"> It is also important to note that the absence of coverage of </w:t>
      </w:r>
      <w:r w:rsidR="00F16F78" w:rsidRPr="00A841E7">
        <w:rPr>
          <w:rFonts w:ascii="Times New Roman" w:hAnsi="Times New Roman" w:cs="Times New Roman"/>
          <w:i/>
          <w:noProof/>
          <w:sz w:val="20"/>
          <w:szCs w:val="20"/>
        </w:rPr>
        <w:t>Listeria</w:t>
      </w:r>
      <w:r w:rsidR="00F16F78" w:rsidRPr="00A841E7">
        <w:rPr>
          <w:rFonts w:ascii="Times New Roman" w:hAnsi="Times New Roman" w:cs="Times New Roman"/>
          <w:noProof/>
          <w:sz w:val="20"/>
          <w:szCs w:val="20"/>
        </w:rPr>
        <w:t xml:space="preserve"> and enterococcal infection</w:t>
      </w:r>
      <w:r w:rsidR="00C26FD4" w:rsidRPr="00A841E7">
        <w:rPr>
          <w:rFonts w:ascii="Times New Roman" w:hAnsi="Times New Roman" w:cs="Times New Roman"/>
          <w:noProof/>
          <w:sz w:val="20"/>
          <w:szCs w:val="20"/>
        </w:rPr>
        <w:t>s</w:t>
      </w:r>
      <w:r w:rsidR="00F16F78" w:rsidRPr="00A841E7">
        <w:rPr>
          <w:rFonts w:ascii="Times New Roman" w:hAnsi="Times New Roman" w:cs="Times New Roman"/>
          <w:noProof/>
          <w:sz w:val="20"/>
          <w:szCs w:val="20"/>
        </w:rPr>
        <w:t xml:space="preserve"> further reduces the </w:t>
      </w:r>
      <w:r w:rsidR="00C26FD4" w:rsidRPr="00A841E7">
        <w:rPr>
          <w:rFonts w:ascii="Times New Roman" w:hAnsi="Times New Roman" w:cs="Times New Roman"/>
          <w:noProof/>
          <w:sz w:val="20"/>
          <w:szCs w:val="20"/>
        </w:rPr>
        <w:t>effectiveness</w:t>
      </w:r>
      <w:r w:rsidR="00F16F78" w:rsidRPr="00A841E7">
        <w:rPr>
          <w:rFonts w:ascii="Times New Roman" w:hAnsi="Times New Roman" w:cs="Times New Roman"/>
          <w:noProof/>
          <w:sz w:val="20"/>
          <w:szCs w:val="20"/>
        </w:rPr>
        <w:t xml:space="preserve"> of cefotaxime monotherapy as a first-line choice for EOS.</w:t>
      </w:r>
    </w:p>
    <w:p w:rsidR="007B010D" w:rsidRPr="00A841E7" w:rsidRDefault="007B010D" w:rsidP="005658EF">
      <w:pPr>
        <w:spacing w:line="480" w:lineRule="auto"/>
        <w:rPr>
          <w:rFonts w:ascii="Times New Roman" w:hAnsi="Times New Roman" w:cs="Times New Roman"/>
          <w:sz w:val="20"/>
          <w:szCs w:val="20"/>
        </w:rPr>
      </w:pPr>
      <w:r w:rsidRPr="00A841E7">
        <w:rPr>
          <w:rFonts w:ascii="Times New Roman" w:hAnsi="Times New Roman" w:cs="Times New Roman"/>
          <w:sz w:val="20"/>
          <w:szCs w:val="20"/>
        </w:rPr>
        <w:t xml:space="preserve">Whilst a </w:t>
      </w:r>
      <w:proofErr w:type="spellStart"/>
      <w:r w:rsidRPr="00A841E7">
        <w:rPr>
          <w:rFonts w:ascii="Times New Roman" w:hAnsi="Times New Roman" w:cs="Times New Roman"/>
          <w:sz w:val="20"/>
          <w:szCs w:val="20"/>
        </w:rPr>
        <w:t>benzylpenicillin</w:t>
      </w:r>
      <w:proofErr w:type="spellEnd"/>
      <w:r w:rsidRPr="00A841E7">
        <w:rPr>
          <w:rFonts w:ascii="Times New Roman" w:hAnsi="Times New Roman" w:cs="Times New Roman"/>
          <w:sz w:val="20"/>
          <w:szCs w:val="20"/>
        </w:rPr>
        <w:t xml:space="preserve"> and gentamicin combination had satisfactory coverage of EOS pathogens in infants &gt;32 weeks or &gt;1500g, our results suggest that for infants of lower gestation and birthweight, the slightly broader spectrum combination of amoxicillin and gentamicin </w:t>
      </w:r>
      <w:r w:rsidR="00F16F78" w:rsidRPr="00A841E7">
        <w:rPr>
          <w:rFonts w:ascii="Times New Roman" w:hAnsi="Times New Roman" w:cs="Times New Roman"/>
          <w:sz w:val="20"/>
          <w:szCs w:val="20"/>
        </w:rPr>
        <w:t>provide</w:t>
      </w:r>
      <w:r w:rsidR="00234C41" w:rsidRPr="00A841E7">
        <w:rPr>
          <w:rFonts w:ascii="Times New Roman" w:hAnsi="Times New Roman" w:cs="Times New Roman"/>
          <w:sz w:val="20"/>
          <w:szCs w:val="20"/>
        </w:rPr>
        <w:t>s</w:t>
      </w:r>
      <w:r w:rsidRPr="00A841E7">
        <w:rPr>
          <w:rFonts w:ascii="Times New Roman" w:hAnsi="Times New Roman" w:cs="Times New Roman"/>
          <w:sz w:val="20"/>
          <w:szCs w:val="20"/>
        </w:rPr>
        <w:t xml:space="preserve"> </w:t>
      </w:r>
      <w:r w:rsidR="00C26FD4" w:rsidRPr="00A841E7">
        <w:rPr>
          <w:rFonts w:ascii="Times New Roman" w:hAnsi="Times New Roman" w:cs="Times New Roman"/>
          <w:sz w:val="20"/>
          <w:szCs w:val="20"/>
        </w:rPr>
        <w:t>at least equivalent</w:t>
      </w:r>
      <w:r w:rsidRPr="00A841E7">
        <w:rPr>
          <w:rFonts w:ascii="Times New Roman" w:hAnsi="Times New Roman" w:cs="Times New Roman"/>
          <w:sz w:val="20"/>
          <w:szCs w:val="20"/>
        </w:rPr>
        <w:t xml:space="preserve"> coverage</w:t>
      </w:r>
      <w:r w:rsidR="00234C41" w:rsidRPr="00A841E7">
        <w:rPr>
          <w:rFonts w:ascii="Times New Roman" w:hAnsi="Times New Roman" w:cs="Times New Roman"/>
          <w:sz w:val="20"/>
          <w:szCs w:val="20"/>
        </w:rPr>
        <w:t>,</w:t>
      </w:r>
      <w:r w:rsidR="00C26FD4" w:rsidRPr="00A841E7">
        <w:rPr>
          <w:rFonts w:ascii="Times New Roman" w:hAnsi="Times New Roman" w:cs="Times New Roman"/>
          <w:sz w:val="20"/>
          <w:szCs w:val="20"/>
        </w:rPr>
        <w:t xml:space="preserve"> with a trend towards increase</w:t>
      </w:r>
      <w:r w:rsidR="00234C41" w:rsidRPr="00A841E7">
        <w:rPr>
          <w:rFonts w:ascii="Times New Roman" w:hAnsi="Times New Roman" w:cs="Times New Roman"/>
          <w:sz w:val="20"/>
          <w:szCs w:val="20"/>
        </w:rPr>
        <w:t>d</w:t>
      </w:r>
      <w:r w:rsidR="00C26FD4" w:rsidRPr="00A841E7">
        <w:rPr>
          <w:rFonts w:ascii="Times New Roman" w:hAnsi="Times New Roman" w:cs="Times New Roman"/>
          <w:sz w:val="20"/>
          <w:szCs w:val="20"/>
        </w:rPr>
        <w:t xml:space="preserve"> efficacy</w:t>
      </w:r>
      <w:r w:rsidR="00234C41" w:rsidRPr="00A841E7">
        <w:rPr>
          <w:rFonts w:ascii="Times New Roman" w:hAnsi="Times New Roman" w:cs="Times New Roman"/>
          <w:sz w:val="20"/>
          <w:szCs w:val="20"/>
        </w:rPr>
        <w:t>,</w:t>
      </w:r>
      <w:r w:rsidR="00C26FD4" w:rsidRPr="00A841E7">
        <w:rPr>
          <w:rFonts w:ascii="Times New Roman" w:hAnsi="Times New Roman" w:cs="Times New Roman"/>
          <w:sz w:val="20"/>
          <w:szCs w:val="20"/>
        </w:rPr>
        <w:t xml:space="preserve"> in this population of neonates</w:t>
      </w:r>
      <w:r w:rsidRPr="00A841E7">
        <w:rPr>
          <w:rFonts w:ascii="Times New Roman" w:hAnsi="Times New Roman" w:cs="Times New Roman"/>
          <w:sz w:val="20"/>
          <w:szCs w:val="20"/>
        </w:rPr>
        <w:t xml:space="preserve"> (93% vs. 86%</w:t>
      </w:r>
      <w:r w:rsidR="00C26FD4" w:rsidRPr="00A841E7">
        <w:rPr>
          <w:rFonts w:ascii="Times New Roman" w:hAnsi="Times New Roman" w:cs="Times New Roman"/>
          <w:sz w:val="20"/>
          <w:szCs w:val="20"/>
        </w:rPr>
        <w:t xml:space="preserve">, p=0.211). </w:t>
      </w:r>
      <w:r w:rsidRPr="00A841E7">
        <w:rPr>
          <w:rFonts w:ascii="Times New Roman" w:hAnsi="Times New Roman" w:cs="Times New Roman"/>
          <w:sz w:val="20"/>
          <w:szCs w:val="20"/>
        </w:rPr>
        <w:t>This</w:t>
      </w:r>
      <w:r w:rsidR="00C26FD4" w:rsidRPr="00A841E7">
        <w:rPr>
          <w:rFonts w:ascii="Times New Roman" w:hAnsi="Times New Roman" w:cs="Times New Roman"/>
          <w:sz w:val="20"/>
          <w:szCs w:val="20"/>
        </w:rPr>
        <w:t xml:space="preserve"> raises the possibility that </w:t>
      </w:r>
      <w:r w:rsidR="00B03874" w:rsidRPr="00A841E7">
        <w:rPr>
          <w:rFonts w:ascii="Times New Roman" w:hAnsi="Times New Roman" w:cs="Times New Roman"/>
          <w:sz w:val="20"/>
          <w:szCs w:val="20"/>
        </w:rPr>
        <w:t>the above</w:t>
      </w:r>
      <w:r w:rsidR="00C26FD4" w:rsidRPr="00A841E7">
        <w:rPr>
          <w:rFonts w:ascii="Times New Roman" w:hAnsi="Times New Roman" w:cs="Times New Roman"/>
          <w:sz w:val="20"/>
          <w:szCs w:val="20"/>
        </w:rPr>
        <w:t xml:space="preserve"> combination</w:t>
      </w:r>
      <w:r w:rsidRPr="00A841E7">
        <w:rPr>
          <w:rFonts w:ascii="Times New Roman" w:hAnsi="Times New Roman" w:cs="Times New Roman"/>
          <w:sz w:val="20"/>
          <w:szCs w:val="20"/>
        </w:rPr>
        <w:t xml:space="preserve"> </w:t>
      </w:r>
      <w:r w:rsidR="00234C41" w:rsidRPr="00A841E7">
        <w:rPr>
          <w:rFonts w:ascii="Times New Roman" w:hAnsi="Times New Roman" w:cs="Times New Roman"/>
          <w:sz w:val="20"/>
          <w:szCs w:val="20"/>
        </w:rPr>
        <w:t>should</w:t>
      </w:r>
      <w:r w:rsidR="00C26FD4" w:rsidRPr="00A841E7">
        <w:rPr>
          <w:rFonts w:ascii="Times New Roman" w:hAnsi="Times New Roman" w:cs="Times New Roman"/>
          <w:sz w:val="20"/>
          <w:szCs w:val="20"/>
        </w:rPr>
        <w:t xml:space="preserve"> be the preferred option for</w:t>
      </w:r>
      <w:r w:rsidRPr="00A841E7">
        <w:rPr>
          <w:rFonts w:ascii="Times New Roman" w:hAnsi="Times New Roman" w:cs="Times New Roman"/>
          <w:sz w:val="20"/>
          <w:szCs w:val="20"/>
        </w:rPr>
        <w:t xml:space="preserve"> first-line therapy in these more premature infants. </w:t>
      </w:r>
      <w:r w:rsidR="00B03874" w:rsidRPr="00A841E7">
        <w:rPr>
          <w:rFonts w:ascii="Times New Roman" w:hAnsi="Times New Roman" w:cs="Times New Roman"/>
          <w:sz w:val="20"/>
          <w:szCs w:val="20"/>
        </w:rPr>
        <w:t>A</w:t>
      </w:r>
      <w:r w:rsidRPr="00A841E7">
        <w:rPr>
          <w:rFonts w:ascii="Times New Roman" w:hAnsi="Times New Roman" w:cs="Times New Roman"/>
          <w:sz w:val="20"/>
          <w:szCs w:val="20"/>
        </w:rPr>
        <w:t>s the majority of babies receiving empiric antibiotics for EOS are born at term</w:t>
      </w:r>
      <w:r w:rsidR="00B03874" w:rsidRPr="00A841E7">
        <w:rPr>
          <w:rFonts w:ascii="Times New Roman" w:hAnsi="Times New Roman" w:cs="Times New Roman"/>
          <w:sz w:val="20"/>
          <w:szCs w:val="20"/>
        </w:rPr>
        <w:t>,</w:t>
      </w:r>
      <w:r w:rsidRPr="00A841E7">
        <w:rPr>
          <w:rFonts w:ascii="Times New Roman" w:hAnsi="Times New Roman" w:cs="Times New Roman"/>
          <w:sz w:val="20"/>
          <w:szCs w:val="20"/>
        </w:rPr>
        <w:t xml:space="preserve"> it is </w:t>
      </w:r>
      <w:r w:rsidR="00B03874" w:rsidRPr="00A841E7">
        <w:rPr>
          <w:rFonts w:ascii="Times New Roman" w:hAnsi="Times New Roman" w:cs="Times New Roman"/>
          <w:sz w:val="20"/>
          <w:szCs w:val="20"/>
        </w:rPr>
        <w:t xml:space="preserve">however </w:t>
      </w:r>
      <w:r w:rsidRPr="00A841E7">
        <w:rPr>
          <w:rFonts w:ascii="Times New Roman" w:hAnsi="Times New Roman" w:cs="Times New Roman"/>
          <w:sz w:val="20"/>
          <w:szCs w:val="20"/>
        </w:rPr>
        <w:t>important to continue to use the more narrow spectrum combination (</w:t>
      </w:r>
      <w:proofErr w:type="spellStart"/>
      <w:r w:rsidRPr="00A841E7">
        <w:rPr>
          <w:rFonts w:ascii="Times New Roman" w:hAnsi="Times New Roman" w:cs="Times New Roman"/>
          <w:sz w:val="20"/>
          <w:szCs w:val="20"/>
        </w:rPr>
        <w:t>benzylpenicillin</w:t>
      </w:r>
      <w:proofErr w:type="spellEnd"/>
      <w:r w:rsidRPr="00A841E7">
        <w:rPr>
          <w:rFonts w:ascii="Times New Roman" w:hAnsi="Times New Roman" w:cs="Times New Roman"/>
          <w:sz w:val="20"/>
          <w:szCs w:val="20"/>
        </w:rPr>
        <w:t xml:space="preserve"> and gentamicin), in this group, especially given the coverage </w:t>
      </w:r>
      <w:r w:rsidR="00AC4221" w:rsidRPr="00A841E7">
        <w:rPr>
          <w:rFonts w:ascii="Times New Roman" w:hAnsi="Times New Roman" w:cs="Times New Roman"/>
          <w:sz w:val="20"/>
          <w:szCs w:val="20"/>
        </w:rPr>
        <w:t xml:space="preserve">or pathogens </w:t>
      </w:r>
      <w:r w:rsidRPr="00A841E7">
        <w:rPr>
          <w:rFonts w:ascii="Times New Roman" w:hAnsi="Times New Roman" w:cs="Times New Roman"/>
          <w:sz w:val="20"/>
          <w:szCs w:val="20"/>
        </w:rPr>
        <w:t>is</w:t>
      </w:r>
      <w:r w:rsidR="00AC4221" w:rsidRPr="00A841E7">
        <w:rPr>
          <w:rFonts w:ascii="Times New Roman" w:hAnsi="Times New Roman" w:cs="Times New Roman"/>
          <w:sz w:val="20"/>
          <w:szCs w:val="20"/>
        </w:rPr>
        <w:t xml:space="preserve"> very</w:t>
      </w:r>
      <w:r w:rsidRPr="00A841E7">
        <w:rPr>
          <w:rFonts w:ascii="Times New Roman" w:hAnsi="Times New Roman" w:cs="Times New Roman"/>
          <w:sz w:val="20"/>
          <w:szCs w:val="20"/>
        </w:rPr>
        <w:t xml:space="preserve"> high.</w:t>
      </w:r>
    </w:p>
    <w:p w:rsidR="00D316A1" w:rsidRPr="00A841E7" w:rsidRDefault="007B010D" w:rsidP="005658EF">
      <w:pPr>
        <w:spacing w:line="480" w:lineRule="auto"/>
        <w:rPr>
          <w:rFonts w:ascii="Times New Roman" w:hAnsi="Times New Roman" w:cs="Times New Roman"/>
          <w:sz w:val="20"/>
          <w:szCs w:val="20"/>
        </w:rPr>
      </w:pPr>
      <w:r w:rsidRPr="00A841E7">
        <w:rPr>
          <w:rFonts w:ascii="Times New Roman" w:hAnsi="Times New Roman" w:cs="Times New Roman"/>
          <w:sz w:val="20"/>
          <w:szCs w:val="20"/>
        </w:rPr>
        <w:t xml:space="preserve">As would be expected, because LOS pathogens are generally </w:t>
      </w:r>
      <w:proofErr w:type="spellStart"/>
      <w:r w:rsidRPr="00A841E7">
        <w:rPr>
          <w:rFonts w:ascii="Times New Roman" w:hAnsi="Times New Roman" w:cs="Times New Roman"/>
          <w:sz w:val="20"/>
          <w:szCs w:val="20"/>
        </w:rPr>
        <w:t>nosocomially</w:t>
      </w:r>
      <w:proofErr w:type="spellEnd"/>
      <w:r w:rsidRPr="00A841E7">
        <w:rPr>
          <w:rFonts w:ascii="Times New Roman" w:hAnsi="Times New Roman" w:cs="Times New Roman"/>
          <w:sz w:val="20"/>
          <w:szCs w:val="20"/>
        </w:rPr>
        <w:t xml:space="preserve"> acquired, the LOS pathogens demonstrated higher levels of resistance than EOS pathogens.  The very broad-spectrum combination of vancomycin and cefotaxime displayed coverage </w:t>
      </w:r>
      <w:r w:rsidR="0091001F" w:rsidRPr="00A841E7">
        <w:rPr>
          <w:rFonts w:ascii="Times New Roman" w:hAnsi="Times New Roman" w:cs="Times New Roman"/>
          <w:sz w:val="20"/>
          <w:szCs w:val="20"/>
        </w:rPr>
        <w:t xml:space="preserve">of </w:t>
      </w:r>
      <w:r w:rsidR="00753806" w:rsidRPr="00A841E7">
        <w:rPr>
          <w:rFonts w:ascii="Times New Roman" w:hAnsi="Times New Roman" w:cs="Times New Roman"/>
          <w:sz w:val="20"/>
          <w:szCs w:val="20"/>
        </w:rPr>
        <w:t xml:space="preserve">over </w:t>
      </w:r>
      <w:r w:rsidRPr="00A841E7">
        <w:rPr>
          <w:rFonts w:ascii="Times New Roman" w:hAnsi="Times New Roman" w:cs="Times New Roman"/>
          <w:sz w:val="20"/>
          <w:szCs w:val="20"/>
        </w:rPr>
        <w:t>91%</w:t>
      </w:r>
      <w:r w:rsidR="005311D8" w:rsidRPr="00A841E7">
        <w:rPr>
          <w:rFonts w:ascii="Times New Roman" w:hAnsi="Times New Roman" w:cs="Times New Roman"/>
          <w:sz w:val="20"/>
          <w:szCs w:val="20"/>
        </w:rPr>
        <w:t xml:space="preserve"> of</w:t>
      </w:r>
      <w:r w:rsidR="00753806" w:rsidRPr="00A841E7">
        <w:rPr>
          <w:rFonts w:ascii="Times New Roman" w:hAnsi="Times New Roman" w:cs="Times New Roman"/>
          <w:sz w:val="20"/>
          <w:szCs w:val="20"/>
        </w:rPr>
        <w:t xml:space="preserve"> organisms tested. </w:t>
      </w:r>
      <w:r w:rsidR="0091001F" w:rsidRPr="00A841E7">
        <w:rPr>
          <w:rFonts w:ascii="Times New Roman" w:hAnsi="Times New Roman" w:cs="Times New Roman"/>
          <w:sz w:val="20"/>
          <w:szCs w:val="20"/>
        </w:rPr>
        <w:t>T</w:t>
      </w:r>
      <w:r w:rsidRPr="00A841E7">
        <w:rPr>
          <w:rFonts w:ascii="Times New Roman" w:hAnsi="Times New Roman" w:cs="Times New Roman"/>
          <w:sz w:val="20"/>
          <w:szCs w:val="20"/>
        </w:rPr>
        <w:t xml:space="preserve">here should </w:t>
      </w:r>
      <w:r w:rsidR="0091001F" w:rsidRPr="00A841E7">
        <w:rPr>
          <w:rFonts w:ascii="Times New Roman" w:hAnsi="Times New Roman" w:cs="Times New Roman"/>
          <w:sz w:val="20"/>
          <w:szCs w:val="20"/>
        </w:rPr>
        <w:t xml:space="preserve">however </w:t>
      </w:r>
      <w:r w:rsidRPr="00A841E7">
        <w:rPr>
          <w:rFonts w:ascii="Times New Roman" w:hAnsi="Times New Roman" w:cs="Times New Roman"/>
          <w:sz w:val="20"/>
          <w:szCs w:val="20"/>
        </w:rPr>
        <w:t xml:space="preserve">be considerable reluctance </w:t>
      </w:r>
      <w:r w:rsidR="0091001F" w:rsidRPr="00A841E7">
        <w:rPr>
          <w:rFonts w:ascii="Times New Roman" w:hAnsi="Times New Roman" w:cs="Times New Roman"/>
          <w:sz w:val="20"/>
          <w:szCs w:val="20"/>
        </w:rPr>
        <w:t>in using this combination</w:t>
      </w:r>
      <w:r w:rsidRPr="00A841E7">
        <w:rPr>
          <w:rFonts w:ascii="Times New Roman" w:hAnsi="Times New Roman" w:cs="Times New Roman"/>
          <w:sz w:val="20"/>
          <w:szCs w:val="20"/>
        </w:rPr>
        <w:t xml:space="preserve"> routinely given </w:t>
      </w:r>
      <w:r w:rsidR="0091001F" w:rsidRPr="00A841E7">
        <w:rPr>
          <w:rFonts w:ascii="Times New Roman" w:hAnsi="Times New Roman" w:cs="Times New Roman"/>
          <w:sz w:val="20"/>
          <w:szCs w:val="20"/>
        </w:rPr>
        <w:t>its</w:t>
      </w:r>
      <w:r w:rsidRPr="00A841E7">
        <w:rPr>
          <w:rFonts w:ascii="Times New Roman" w:hAnsi="Times New Roman" w:cs="Times New Roman"/>
          <w:sz w:val="20"/>
          <w:szCs w:val="20"/>
        </w:rPr>
        <w:t xml:space="preserve"> high potential to develop</w:t>
      </w:r>
      <w:r w:rsidR="00596D57" w:rsidRPr="00A841E7">
        <w:rPr>
          <w:rFonts w:ascii="Times New Roman" w:hAnsi="Times New Roman" w:cs="Times New Roman"/>
          <w:sz w:val="20"/>
          <w:szCs w:val="20"/>
        </w:rPr>
        <w:t xml:space="preserve"> antimicrobial resistance</w:t>
      </w:r>
      <w:r w:rsidR="0091001F" w:rsidRPr="00A841E7">
        <w:rPr>
          <w:rFonts w:ascii="Times New Roman" w:hAnsi="Times New Roman" w:cs="Times New Roman"/>
          <w:sz w:val="20"/>
          <w:szCs w:val="20"/>
        </w:rPr>
        <w:t>.</w:t>
      </w:r>
      <w:r w:rsidRPr="00A841E7">
        <w:rPr>
          <w:rFonts w:ascii="Times New Roman" w:hAnsi="Times New Roman" w:cs="Times New Roman"/>
          <w:noProof/>
          <w:sz w:val="20"/>
          <w:szCs w:val="20"/>
        </w:rPr>
        <w:t>(</w:t>
      </w:r>
      <w:r w:rsidR="00BF7FE2" w:rsidRPr="00A841E7">
        <w:rPr>
          <w:rFonts w:ascii="Times New Roman" w:hAnsi="Times New Roman" w:cs="Times New Roman"/>
          <w:noProof/>
          <w:sz w:val="20"/>
          <w:szCs w:val="20"/>
        </w:rPr>
        <w:t>22</w:t>
      </w:r>
      <w:r w:rsidRPr="00A841E7">
        <w:rPr>
          <w:rFonts w:ascii="Times New Roman" w:hAnsi="Times New Roman" w:cs="Times New Roman"/>
          <w:noProof/>
          <w:sz w:val="20"/>
          <w:szCs w:val="20"/>
        </w:rPr>
        <w:t>)</w:t>
      </w:r>
      <w:r w:rsidRPr="00A841E7">
        <w:rPr>
          <w:rFonts w:ascii="Times New Roman" w:hAnsi="Times New Roman" w:cs="Times New Roman"/>
          <w:sz w:val="20"/>
          <w:szCs w:val="20"/>
        </w:rPr>
        <w:t xml:space="preserve"> </w:t>
      </w:r>
      <w:r w:rsidR="0091001F" w:rsidRPr="00A841E7">
        <w:rPr>
          <w:rFonts w:ascii="Times New Roman" w:hAnsi="Times New Roman" w:cs="Times New Roman"/>
          <w:sz w:val="20"/>
          <w:szCs w:val="20"/>
        </w:rPr>
        <w:t>This policy is supported by the</w:t>
      </w:r>
      <w:r w:rsidR="00BE605F" w:rsidRPr="00A841E7">
        <w:rPr>
          <w:rFonts w:ascii="Times New Roman" w:hAnsi="Times New Roman" w:cs="Times New Roman"/>
          <w:sz w:val="20"/>
          <w:szCs w:val="20"/>
        </w:rPr>
        <w:t xml:space="preserve"> low mortality rate of</w:t>
      </w:r>
      <w:r w:rsidR="0091001F" w:rsidRPr="00A841E7">
        <w:rPr>
          <w:rFonts w:ascii="Times New Roman" w:hAnsi="Times New Roman" w:cs="Times New Roman"/>
          <w:sz w:val="20"/>
          <w:szCs w:val="20"/>
        </w:rPr>
        <w:t xml:space="preserve"> coagulase negative staphylococcal</w:t>
      </w:r>
      <w:r w:rsidR="00BE605F" w:rsidRPr="00A841E7">
        <w:rPr>
          <w:rFonts w:ascii="Times New Roman" w:hAnsi="Times New Roman" w:cs="Times New Roman"/>
          <w:sz w:val="20"/>
          <w:szCs w:val="20"/>
        </w:rPr>
        <w:t xml:space="preserve"> </w:t>
      </w:r>
      <w:r w:rsidR="002A0305" w:rsidRPr="00A841E7">
        <w:rPr>
          <w:rFonts w:ascii="Times New Roman" w:hAnsi="Times New Roman" w:cs="Times New Roman"/>
          <w:sz w:val="20"/>
          <w:szCs w:val="20"/>
        </w:rPr>
        <w:t>(</w:t>
      </w:r>
      <w:proofErr w:type="spellStart"/>
      <w:r w:rsidR="002A0305" w:rsidRPr="00A841E7">
        <w:rPr>
          <w:rFonts w:ascii="Times New Roman" w:hAnsi="Times New Roman" w:cs="Times New Roman"/>
          <w:sz w:val="20"/>
          <w:szCs w:val="20"/>
        </w:rPr>
        <w:t>CoNS</w:t>
      </w:r>
      <w:proofErr w:type="spellEnd"/>
      <w:r w:rsidR="002A0305" w:rsidRPr="00A841E7">
        <w:rPr>
          <w:rFonts w:ascii="Times New Roman" w:hAnsi="Times New Roman" w:cs="Times New Roman"/>
          <w:sz w:val="20"/>
          <w:szCs w:val="20"/>
        </w:rPr>
        <w:t xml:space="preserve">) </w:t>
      </w:r>
      <w:r w:rsidR="00BE605F" w:rsidRPr="00A841E7">
        <w:rPr>
          <w:rFonts w:ascii="Times New Roman" w:hAnsi="Times New Roman" w:cs="Times New Roman"/>
          <w:sz w:val="20"/>
          <w:szCs w:val="20"/>
        </w:rPr>
        <w:t>i</w:t>
      </w:r>
      <w:r w:rsidR="005311D8" w:rsidRPr="00A841E7">
        <w:rPr>
          <w:rFonts w:ascii="Times New Roman" w:hAnsi="Times New Roman" w:cs="Times New Roman"/>
          <w:sz w:val="20"/>
          <w:szCs w:val="20"/>
        </w:rPr>
        <w:t>nfections (2</w:t>
      </w:r>
      <w:r w:rsidR="00BF7FE2" w:rsidRPr="00A841E7">
        <w:rPr>
          <w:rFonts w:ascii="Times New Roman" w:hAnsi="Times New Roman" w:cs="Times New Roman"/>
          <w:sz w:val="20"/>
          <w:szCs w:val="20"/>
        </w:rPr>
        <w:t>3</w:t>
      </w:r>
      <w:r w:rsidR="005311D8" w:rsidRPr="00A841E7">
        <w:rPr>
          <w:rFonts w:ascii="Times New Roman" w:hAnsi="Times New Roman" w:cs="Times New Roman"/>
          <w:sz w:val="20"/>
          <w:szCs w:val="20"/>
        </w:rPr>
        <w:t>) and the rarity of</w:t>
      </w:r>
      <w:r w:rsidR="00BE605F" w:rsidRPr="00A841E7">
        <w:rPr>
          <w:rFonts w:ascii="Times New Roman" w:hAnsi="Times New Roman" w:cs="Times New Roman"/>
          <w:sz w:val="20"/>
          <w:szCs w:val="20"/>
        </w:rPr>
        <w:t xml:space="preserve"> </w:t>
      </w:r>
      <w:r w:rsidR="0091001F" w:rsidRPr="00A841E7">
        <w:rPr>
          <w:rFonts w:ascii="Times New Roman" w:hAnsi="Times New Roman" w:cs="Times New Roman"/>
          <w:sz w:val="20"/>
          <w:szCs w:val="20"/>
        </w:rPr>
        <w:t xml:space="preserve">methicillin-resistant </w:t>
      </w:r>
      <w:r w:rsidR="0091001F" w:rsidRPr="00A841E7">
        <w:rPr>
          <w:rFonts w:ascii="Times New Roman" w:hAnsi="Times New Roman" w:cs="Times New Roman"/>
          <w:i/>
          <w:sz w:val="20"/>
          <w:szCs w:val="20"/>
        </w:rPr>
        <w:t>Staphylococcus aureus</w:t>
      </w:r>
      <w:r w:rsidR="0091001F" w:rsidRPr="00A841E7">
        <w:rPr>
          <w:rFonts w:ascii="Times New Roman" w:hAnsi="Times New Roman" w:cs="Times New Roman"/>
          <w:sz w:val="20"/>
          <w:szCs w:val="20"/>
        </w:rPr>
        <w:t xml:space="preserve"> (MRSA)</w:t>
      </w:r>
      <w:r w:rsidR="00BE605F" w:rsidRPr="00A841E7">
        <w:rPr>
          <w:rFonts w:ascii="Times New Roman" w:hAnsi="Times New Roman" w:cs="Times New Roman"/>
          <w:sz w:val="20"/>
          <w:szCs w:val="20"/>
        </w:rPr>
        <w:t xml:space="preserve"> </w:t>
      </w:r>
      <w:r w:rsidR="002A0305" w:rsidRPr="00A841E7">
        <w:rPr>
          <w:rFonts w:ascii="Times New Roman" w:hAnsi="Times New Roman" w:cs="Times New Roman"/>
          <w:sz w:val="20"/>
          <w:szCs w:val="20"/>
        </w:rPr>
        <w:t>in our network</w:t>
      </w:r>
      <w:r w:rsidR="00BE605F" w:rsidRPr="00A841E7">
        <w:rPr>
          <w:rFonts w:ascii="Times New Roman" w:hAnsi="Times New Roman" w:cs="Times New Roman"/>
          <w:sz w:val="20"/>
          <w:szCs w:val="20"/>
        </w:rPr>
        <w:t>.(2</w:t>
      </w:r>
      <w:r w:rsidR="00BF7FE2" w:rsidRPr="00A841E7">
        <w:rPr>
          <w:rFonts w:ascii="Times New Roman" w:hAnsi="Times New Roman" w:cs="Times New Roman"/>
          <w:sz w:val="20"/>
          <w:szCs w:val="20"/>
        </w:rPr>
        <w:t>2</w:t>
      </w:r>
      <w:r w:rsidR="00BE605F" w:rsidRPr="00A841E7">
        <w:rPr>
          <w:rFonts w:ascii="Times New Roman" w:hAnsi="Times New Roman" w:cs="Times New Roman"/>
          <w:sz w:val="20"/>
          <w:szCs w:val="20"/>
        </w:rPr>
        <w:t>)</w:t>
      </w:r>
    </w:p>
    <w:p w:rsidR="007B010D" w:rsidRPr="00A841E7" w:rsidRDefault="007B010D" w:rsidP="005658EF">
      <w:pPr>
        <w:spacing w:line="480" w:lineRule="auto"/>
        <w:rPr>
          <w:rFonts w:ascii="Times New Roman" w:hAnsi="Times New Roman" w:cs="Times New Roman"/>
          <w:sz w:val="20"/>
          <w:szCs w:val="20"/>
        </w:rPr>
      </w:pPr>
      <w:r w:rsidRPr="00A841E7">
        <w:rPr>
          <w:rFonts w:ascii="Times New Roman" w:hAnsi="Times New Roman" w:cs="Times New Roman"/>
          <w:sz w:val="20"/>
          <w:szCs w:val="20"/>
        </w:rPr>
        <w:t>In total 89% of isolates were susceptible to flucloxacillin and gentamicin whilst 85% were susceptible to amoxicillin and cefotaxime</w:t>
      </w:r>
      <w:proofErr w:type="gramStart"/>
      <w:r w:rsidRPr="00A841E7">
        <w:rPr>
          <w:rFonts w:ascii="Times New Roman" w:hAnsi="Times New Roman" w:cs="Times New Roman"/>
          <w:sz w:val="20"/>
          <w:szCs w:val="20"/>
        </w:rPr>
        <w:t>.</w:t>
      </w:r>
      <w:r w:rsidR="00596D57" w:rsidRPr="00A841E7">
        <w:rPr>
          <w:rFonts w:ascii="Times New Roman" w:hAnsi="Times New Roman" w:cs="Times New Roman"/>
          <w:noProof/>
          <w:sz w:val="20"/>
          <w:szCs w:val="20"/>
        </w:rPr>
        <w:t>(</w:t>
      </w:r>
      <w:proofErr w:type="gramEnd"/>
      <w:r w:rsidR="00596D57" w:rsidRPr="00A841E7">
        <w:rPr>
          <w:rFonts w:ascii="Times New Roman" w:hAnsi="Times New Roman" w:cs="Times New Roman"/>
          <w:noProof/>
          <w:sz w:val="20"/>
          <w:szCs w:val="20"/>
        </w:rPr>
        <w:t>1</w:t>
      </w:r>
      <w:r w:rsidR="00BF7FE2" w:rsidRPr="00A841E7">
        <w:rPr>
          <w:rFonts w:ascii="Times New Roman" w:hAnsi="Times New Roman" w:cs="Times New Roman"/>
          <w:noProof/>
          <w:sz w:val="20"/>
          <w:szCs w:val="20"/>
        </w:rPr>
        <w:t>7</w:t>
      </w:r>
      <w:r w:rsidR="00596D57" w:rsidRPr="00A841E7">
        <w:rPr>
          <w:rFonts w:ascii="Times New Roman" w:hAnsi="Times New Roman" w:cs="Times New Roman"/>
          <w:noProof/>
          <w:sz w:val="20"/>
          <w:szCs w:val="20"/>
        </w:rPr>
        <w:t>,</w:t>
      </w:r>
      <w:r w:rsidR="005E0434" w:rsidRPr="00A841E7">
        <w:rPr>
          <w:rFonts w:ascii="Times New Roman" w:hAnsi="Times New Roman" w:cs="Times New Roman"/>
          <w:noProof/>
          <w:sz w:val="20"/>
          <w:szCs w:val="20"/>
        </w:rPr>
        <w:t>1</w:t>
      </w:r>
      <w:r w:rsidR="00BF7FE2" w:rsidRPr="00A841E7">
        <w:rPr>
          <w:rFonts w:ascii="Times New Roman" w:hAnsi="Times New Roman" w:cs="Times New Roman"/>
          <w:noProof/>
          <w:sz w:val="20"/>
          <w:szCs w:val="20"/>
        </w:rPr>
        <w:t>8</w:t>
      </w:r>
      <w:r w:rsidRPr="00A841E7">
        <w:rPr>
          <w:rFonts w:ascii="Times New Roman" w:hAnsi="Times New Roman" w:cs="Times New Roman"/>
          <w:noProof/>
          <w:sz w:val="20"/>
          <w:szCs w:val="20"/>
        </w:rPr>
        <w:t>)</w:t>
      </w:r>
      <w:r w:rsidRPr="00A841E7">
        <w:rPr>
          <w:rFonts w:ascii="Times New Roman" w:hAnsi="Times New Roman" w:cs="Times New Roman"/>
          <w:sz w:val="20"/>
          <w:szCs w:val="20"/>
        </w:rPr>
        <w:t xml:space="preserve"> </w:t>
      </w:r>
      <w:r w:rsidR="00343843" w:rsidRPr="00A841E7">
        <w:rPr>
          <w:rFonts w:ascii="Times New Roman" w:hAnsi="Times New Roman" w:cs="Times New Roman"/>
          <w:sz w:val="20"/>
          <w:szCs w:val="20"/>
        </w:rPr>
        <w:t>In fact, t</w:t>
      </w:r>
      <w:r w:rsidRPr="00A841E7">
        <w:rPr>
          <w:rFonts w:ascii="Times New Roman" w:hAnsi="Times New Roman" w:cs="Times New Roman"/>
          <w:sz w:val="20"/>
          <w:szCs w:val="20"/>
        </w:rPr>
        <w:t xml:space="preserve">hese values are not statistically significantly lower than for vancomycin and cefotaxime. LOS pathogens were similarly susceptible to </w:t>
      </w:r>
      <w:proofErr w:type="spellStart"/>
      <w:r w:rsidRPr="00A841E7">
        <w:rPr>
          <w:rFonts w:ascii="Times New Roman" w:hAnsi="Times New Roman" w:cs="Times New Roman"/>
          <w:sz w:val="20"/>
          <w:szCs w:val="20"/>
        </w:rPr>
        <w:t>flucloxacillin</w:t>
      </w:r>
      <w:proofErr w:type="spellEnd"/>
      <w:r w:rsidRPr="00A841E7">
        <w:rPr>
          <w:rFonts w:ascii="Times New Roman" w:hAnsi="Times New Roman" w:cs="Times New Roman"/>
          <w:sz w:val="20"/>
          <w:szCs w:val="20"/>
        </w:rPr>
        <w:t xml:space="preserve"> and gentamicin across all birthweight and gestational age categories, supporting the continued routine use of this narrow-spectrum combination as a first line empiric therapy</w:t>
      </w:r>
      <w:proofErr w:type="gramStart"/>
      <w:r w:rsidR="00596D57" w:rsidRPr="00A841E7">
        <w:rPr>
          <w:rFonts w:ascii="Times New Roman" w:hAnsi="Times New Roman" w:cs="Times New Roman"/>
          <w:sz w:val="20"/>
          <w:szCs w:val="20"/>
        </w:rPr>
        <w:t>.</w:t>
      </w:r>
      <w:r w:rsidRPr="00A841E7">
        <w:rPr>
          <w:rFonts w:ascii="Times New Roman" w:hAnsi="Times New Roman" w:cs="Times New Roman"/>
          <w:noProof/>
          <w:sz w:val="20"/>
          <w:szCs w:val="20"/>
        </w:rPr>
        <w:t>(</w:t>
      </w:r>
      <w:proofErr w:type="gramEnd"/>
      <w:r w:rsidRPr="00A841E7">
        <w:rPr>
          <w:rFonts w:ascii="Times New Roman" w:hAnsi="Times New Roman" w:cs="Times New Roman"/>
          <w:noProof/>
          <w:sz w:val="20"/>
          <w:szCs w:val="20"/>
        </w:rPr>
        <w:t>1</w:t>
      </w:r>
      <w:r w:rsidR="00BF7FE2" w:rsidRPr="00A841E7">
        <w:rPr>
          <w:rFonts w:ascii="Times New Roman" w:hAnsi="Times New Roman" w:cs="Times New Roman"/>
          <w:noProof/>
          <w:sz w:val="20"/>
          <w:szCs w:val="20"/>
        </w:rPr>
        <w:t>4</w:t>
      </w:r>
      <w:r w:rsidRPr="00A841E7">
        <w:rPr>
          <w:rFonts w:ascii="Times New Roman" w:hAnsi="Times New Roman" w:cs="Times New Roman"/>
          <w:noProof/>
          <w:sz w:val="20"/>
          <w:szCs w:val="20"/>
        </w:rPr>
        <w:t>)</w:t>
      </w:r>
      <w:r w:rsidR="00A85D7C" w:rsidRPr="00A841E7">
        <w:rPr>
          <w:rFonts w:ascii="Times New Roman" w:hAnsi="Times New Roman" w:cs="Times New Roman"/>
          <w:noProof/>
          <w:sz w:val="20"/>
          <w:szCs w:val="20"/>
        </w:rPr>
        <w:t xml:space="preserve"> </w:t>
      </w:r>
    </w:p>
    <w:p w:rsidR="007B010D" w:rsidRPr="00A841E7" w:rsidRDefault="007B010D" w:rsidP="005658EF">
      <w:pPr>
        <w:tabs>
          <w:tab w:val="num" w:pos="1440"/>
        </w:tabs>
        <w:spacing w:line="480" w:lineRule="auto"/>
        <w:rPr>
          <w:rFonts w:ascii="Times New Roman" w:hAnsi="Times New Roman" w:cs="Times New Roman"/>
          <w:sz w:val="20"/>
          <w:szCs w:val="20"/>
        </w:rPr>
      </w:pPr>
      <w:r w:rsidRPr="00A841E7">
        <w:rPr>
          <w:rFonts w:ascii="Times New Roman" w:hAnsi="Times New Roman" w:cs="Times New Roman"/>
          <w:i/>
          <w:sz w:val="20"/>
          <w:szCs w:val="20"/>
        </w:rPr>
        <w:t>E.coli</w:t>
      </w:r>
      <w:r w:rsidRPr="00A841E7">
        <w:rPr>
          <w:rFonts w:ascii="Times New Roman" w:hAnsi="Times New Roman" w:cs="Times New Roman"/>
          <w:sz w:val="20"/>
          <w:szCs w:val="20"/>
        </w:rPr>
        <w:t xml:space="preserve"> isolates associated with EOS had different antimicrobial resistance patterns to those causing LOS.  LOS </w:t>
      </w:r>
      <w:r w:rsidRPr="00A841E7">
        <w:rPr>
          <w:rFonts w:ascii="Times New Roman" w:hAnsi="Times New Roman" w:cs="Times New Roman"/>
          <w:i/>
          <w:sz w:val="20"/>
          <w:szCs w:val="20"/>
        </w:rPr>
        <w:t>E.coli</w:t>
      </w:r>
      <w:r w:rsidRPr="00A841E7">
        <w:rPr>
          <w:rFonts w:ascii="Times New Roman" w:hAnsi="Times New Roman" w:cs="Times New Roman"/>
          <w:sz w:val="20"/>
          <w:szCs w:val="20"/>
        </w:rPr>
        <w:t xml:space="preserve"> were more frequently associated with higher levels of antimicrobial resistance to a variety of common antibiotics including amoxicillin and clavulanic acid, cefotaxime and gentamicin. This suggests that the </w:t>
      </w:r>
      <w:r w:rsidRPr="00A841E7">
        <w:rPr>
          <w:rFonts w:ascii="Times New Roman" w:hAnsi="Times New Roman" w:cs="Times New Roman"/>
          <w:i/>
          <w:sz w:val="20"/>
          <w:szCs w:val="20"/>
        </w:rPr>
        <w:t>E.coli</w:t>
      </w:r>
      <w:r w:rsidRPr="00A841E7">
        <w:rPr>
          <w:rFonts w:ascii="Times New Roman" w:hAnsi="Times New Roman" w:cs="Times New Roman"/>
          <w:sz w:val="20"/>
          <w:szCs w:val="20"/>
        </w:rPr>
        <w:t xml:space="preserve"> isolates associated with vertical transmission are different to those which are associated with horizontal transmitted and supports the notion that they require treatment with di</w:t>
      </w:r>
      <w:r w:rsidR="00596D57" w:rsidRPr="00A841E7">
        <w:rPr>
          <w:rFonts w:ascii="Times New Roman" w:hAnsi="Times New Roman" w:cs="Times New Roman"/>
          <w:sz w:val="20"/>
          <w:szCs w:val="20"/>
        </w:rPr>
        <w:t>fferent antimicrobial regimens</w:t>
      </w:r>
      <w:proofErr w:type="gramStart"/>
      <w:r w:rsidR="00596D57" w:rsidRPr="00A841E7">
        <w:rPr>
          <w:rFonts w:ascii="Times New Roman" w:hAnsi="Times New Roman" w:cs="Times New Roman"/>
          <w:sz w:val="20"/>
          <w:szCs w:val="20"/>
        </w:rPr>
        <w:t>.</w:t>
      </w:r>
      <w:r w:rsidRPr="00A841E7">
        <w:rPr>
          <w:rFonts w:ascii="Times New Roman" w:hAnsi="Times New Roman" w:cs="Times New Roman"/>
          <w:noProof/>
          <w:sz w:val="20"/>
          <w:szCs w:val="20"/>
        </w:rPr>
        <w:t>(</w:t>
      </w:r>
      <w:proofErr w:type="gramEnd"/>
      <w:r w:rsidRPr="00A841E7">
        <w:rPr>
          <w:rFonts w:ascii="Times New Roman" w:hAnsi="Times New Roman" w:cs="Times New Roman"/>
          <w:noProof/>
          <w:sz w:val="20"/>
          <w:szCs w:val="20"/>
        </w:rPr>
        <w:t>1</w:t>
      </w:r>
      <w:r w:rsidR="00BF7FE2" w:rsidRPr="00A841E7">
        <w:rPr>
          <w:rFonts w:ascii="Times New Roman" w:hAnsi="Times New Roman" w:cs="Times New Roman"/>
          <w:noProof/>
          <w:sz w:val="20"/>
          <w:szCs w:val="20"/>
        </w:rPr>
        <w:t>8</w:t>
      </w:r>
      <w:r w:rsidRPr="00A841E7">
        <w:rPr>
          <w:rFonts w:ascii="Times New Roman" w:hAnsi="Times New Roman" w:cs="Times New Roman"/>
          <w:noProof/>
          <w:sz w:val="20"/>
          <w:szCs w:val="20"/>
        </w:rPr>
        <w:t>)</w:t>
      </w:r>
      <w:r w:rsidRPr="00A841E7">
        <w:rPr>
          <w:rFonts w:ascii="Times New Roman" w:hAnsi="Times New Roman" w:cs="Times New Roman"/>
          <w:sz w:val="20"/>
          <w:szCs w:val="20"/>
        </w:rPr>
        <w:t xml:space="preserve"> </w:t>
      </w:r>
    </w:p>
    <w:p w:rsidR="007B010D" w:rsidRPr="00A841E7" w:rsidRDefault="007B010D" w:rsidP="005658EF">
      <w:pPr>
        <w:tabs>
          <w:tab w:val="num" w:pos="1440"/>
        </w:tabs>
        <w:spacing w:line="480" w:lineRule="auto"/>
        <w:rPr>
          <w:rFonts w:ascii="Times New Roman" w:hAnsi="Times New Roman" w:cs="Times New Roman"/>
          <w:sz w:val="20"/>
          <w:szCs w:val="20"/>
        </w:rPr>
      </w:pPr>
      <w:r w:rsidRPr="00A841E7">
        <w:rPr>
          <w:rFonts w:ascii="Times New Roman" w:hAnsi="Times New Roman" w:cs="Times New Roman"/>
          <w:sz w:val="20"/>
          <w:szCs w:val="20"/>
        </w:rPr>
        <w:t>For all infants, regardless of age at onset or gestation at birth, none of the antibiotic combinations tested provide complete coverage against all pathogens. This raises the question of what comparative levels of coverage are acceptable, an issue which should also take into account the individual pathogens that are missed and their intrinsic virulence. It also means that clinicians should be vigilant in their regular assessment of the clinical effectiveness of the antimicrobial combination chosen in an individual neonate. Infants that are deteriorating despite ‘appropriate’ empiric therapy should be reviewed and antibiotics changed rather than waiting for blood culture results. This concept is includ</w:t>
      </w:r>
      <w:r w:rsidR="00596D57" w:rsidRPr="00A841E7">
        <w:rPr>
          <w:rFonts w:ascii="Times New Roman" w:hAnsi="Times New Roman" w:cs="Times New Roman"/>
          <w:sz w:val="20"/>
          <w:szCs w:val="20"/>
        </w:rPr>
        <w:t>ed in the NICE guidelines</w:t>
      </w:r>
      <w:proofErr w:type="gramStart"/>
      <w:r w:rsidR="00596D57" w:rsidRPr="00A841E7">
        <w:rPr>
          <w:rFonts w:ascii="Times New Roman" w:hAnsi="Times New Roman" w:cs="Times New Roman"/>
          <w:sz w:val="20"/>
          <w:szCs w:val="20"/>
        </w:rPr>
        <w:t>.</w:t>
      </w:r>
      <w:r w:rsidRPr="00A841E7">
        <w:rPr>
          <w:rFonts w:ascii="Times New Roman" w:hAnsi="Times New Roman" w:cs="Times New Roman"/>
          <w:noProof/>
          <w:sz w:val="20"/>
          <w:szCs w:val="20"/>
        </w:rPr>
        <w:t>(</w:t>
      </w:r>
      <w:proofErr w:type="gramEnd"/>
      <w:r w:rsidRPr="00A841E7">
        <w:rPr>
          <w:rFonts w:ascii="Times New Roman" w:hAnsi="Times New Roman" w:cs="Times New Roman"/>
          <w:noProof/>
          <w:sz w:val="20"/>
          <w:szCs w:val="20"/>
        </w:rPr>
        <w:t>1</w:t>
      </w:r>
      <w:r w:rsidR="00BF7FE2" w:rsidRPr="00A841E7">
        <w:rPr>
          <w:rFonts w:ascii="Times New Roman" w:hAnsi="Times New Roman" w:cs="Times New Roman"/>
          <w:noProof/>
          <w:sz w:val="20"/>
          <w:szCs w:val="20"/>
        </w:rPr>
        <w:t>5</w:t>
      </w:r>
      <w:r w:rsidRPr="00A841E7">
        <w:rPr>
          <w:rFonts w:ascii="Times New Roman" w:hAnsi="Times New Roman" w:cs="Times New Roman"/>
          <w:noProof/>
          <w:sz w:val="20"/>
          <w:szCs w:val="20"/>
        </w:rPr>
        <w:t>)</w:t>
      </w:r>
    </w:p>
    <w:p w:rsidR="00897B17" w:rsidRPr="00A841E7" w:rsidRDefault="007B010D" w:rsidP="005658EF">
      <w:pPr>
        <w:tabs>
          <w:tab w:val="num" w:pos="1440"/>
        </w:tabs>
        <w:spacing w:line="480" w:lineRule="auto"/>
        <w:rPr>
          <w:rFonts w:ascii="Times New Roman" w:hAnsi="Times New Roman" w:cs="Times New Roman"/>
          <w:sz w:val="20"/>
          <w:szCs w:val="20"/>
        </w:rPr>
      </w:pPr>
      <w:r w:rsidRPr="00A841E7">
        <w:rPr>
          <w:rFonts w:ascii="Times New Roman" w:hAnsi="Times New Roman" w:cs="Times New Roman"/>
          <w:sz w:val="20"/>
          <w:szCs w:val="20"/>
        </w:rPr>
        <w:t>The primary strength of the neonIN database is its size and longitudinal design, incorporating 3</w:t>
      </w:r>
      <w:r w:rsidR="00343843" w:rsidRPr="00A841E7">
        <w:rPr>
          <w:rFonts w:ascii="Times New Roman" w:hAnsi="Times New Roman" w:cs="Times New Roman"/>
          <w:sz w:val="20"/>
          <w:szCs w:val="20"/>
        </w:rPr>
        <w:t>0 neonatal units over 10 years, however a</w:t>
      </w:r>
      <w:r w:rsidR="00E5365C" w:rsidRPr="00A841E7">
        <w:rPr>
          <w:rFonts w:ascii="Times New Roman" w:hAnsi="Times New Roman" w:cs="Times New Roman"/>
          <w:sz w:val="20"/>
          <w:szCs w:val="20"/>
        </w:rPr>
        <w:t xml:space="preserve"> number of </w:t>
      </w:r>
      <w:r w:rsidR="00343843" w:rsidRPr="00A841E7">
        <w:rPr>
          <w:rFonts w:ascii="Times New Roman" w:hAnsi="Times New Roman" w:cs="Times New Roman"/>
          <w:sz w:val="20"/>
          <w:szCs w:val="20"/>
        </w:rPr>
        <w:t xml:space="preserve">potential </w:t>
      </w:r>
      <w:r w:rsidR="00E5365C" w:rsidRPr="00A841E7">
        <w:rPr>
          <w:rFonts w:ascii="Times New Roman" w:hAnsi="Times New Roman" w:cs="Times New Roman"/>
          <w:sz w:val="20"/>
          <w:szCs w:val="20"/>
        </w:rPr>
        <w:t xml:space="preserve">limitations must </w:t>
      </w:r>
      <w:r w:rsidR="00343843" w:rsidRPr="00A841E7">
        <w:rPr>
          <w:rFonts w:ascii="Times New Roman" w:hAnsi="Times New Roman" w:cs="Times New Roman"/>
          <w:sz w:val="20"/>
          <w:szCs w:val="20"/>
        </w:rPr>
        <w:t xml:space="preserve">also </w:t>
      </w:r>
      <w:r w:rsidR="00E5365C" w:rsidRPr="00A841E7">
        <w:rPr>
          <w:rFonts w:ascii="Times New Roman" w:hAnsi="Times New Roman" w:cs="Times New Roman"/>
          <w:sz w:val="20"/>
          <w:szCs w:val="20"/>
        </w:rPr>
        <w:t xml:space="preserve">be acknowledged. Firstly, the infection definition may be considered too simplistic or subjective given its reliance on the clinician’s judgement. This subjectivity may lead to over-reporting of cases, particularly of common skin contaminants. An alternative would be to incorporate more clinical and laboratory markers into the study definition, but </w:t>
      </w:r>
      <w:r w:rsidR="006E39EB" w:rsidRPr="00A841E7">
        <w:rPr>
          <w:rFonts w:ascii="Times New Roman" w:hAnsi="Times New Roman" w:cs="Times New Roman"/>
          <w:sz w:val="20"/>
          <w:szCs w:val="20"/>
        </w:rPr>
        <w:t>this may then in turn</w:t>
      </w:r>
      <w:r w:rsidR="00E5365C" w:rsidRPr="00A841E7">
        <w:rPr>
          <w:rFonts w:ascii="Times New Roman" w:hAnsi="Times New Roman" w:cs="Times New Roman"/>
          <w:sz w:val="20"/>
          <w:szCs w:val="20"/>
        </w:rPr>
        <w:t xml:space="preserve"> affect the completeness and quality of data entered. </w:t>
      </w:r>
    </w:p>
    <w:p w:rsidR="008623C4" w:rsidRPr="00A841E7" w:rsidRDefault="008623C4" w:rsidP="00683FED">
      <w:pPr>
        <w:tabs>
          <w:tab w:val="num" w:pos="1440"/>
        </w:tabs>
        <w:spacing w:line="480" w:lineRule="auto"/>
        <w:rPr>
          <w:rFonts w:ascii="Times New Roman" w:hAnsi="Times New Roman" w:cs="Times New Roman"/>
          <w:sz w:val="20"/>
          <w:szCs w:val="20"/>
        </w:rPr>
      </w:pPr>
      <w:r w:rsidRPr="00A841E7">
        <w:rPr>
          <w:rFonts w:ascii="Times New Roman" w:hAnsi="Times New Roman" w:cs="Times New Roman"/>
          <w:sz w:val="20"/>
          <w:szCs w:val="20"/>
        </w:rPr>
        <w:t xml:space="preserve">It is also important to acknowledge the fact that some antimicrobial combinations act synergistically (e.g. </w:t>
      </w:r>
      <w:proofErr w:type="spellStart"/>
      <w:r w:rsidRPr="00A841E7">
        <w:rPr>
          <w:rFonts w:ascii="Times New Roman" w:hAnsi="Times New Roman" w:cs="Times New Roman"/>
          <w:sz w:val="20"/>
          <w:szCs w:val="20"/>
        </w:rPr>
        <w:t>benzylpenicillin</w:t>
      </w:r>
      <w:proofErr w:type="spellEnd"/>
      <w:r w:rsidRPr="00A841E7">
        <w:rPr>
          <w:rFonts w:ascii="Times New Roman" w:hAnsi="Times New Roman" w:cs="Times New Roman"/>
          <w:sz w:val="20"/>
          <w:szCs w:val="20"/>
        </w:rPr>
        <w:t xml:space="preserve"> and gentamicin), and that resistance </w:t>
      </w:r>
      <w:r w:rsidR="006E39EB" w:rsidRPr="00A841E7">
        <w:rPr>
          <w:rFonts w:ascii="Times New Roman" w:hAnsi="Times New Roman" w:cs="Times New Roman"/>
          <w:sz w:val="20"/>
          <w:szCs w:val="20"/>
        </w:rPr>
        <w:t>to the constituent</w:t>
      </w:r>
      <w:r w:rsidRPr="00A841E7">
        <w:rPr>
          <w:rFonts w:ascii="Times New Roman" w:hAnsi="Times New Roman" w:cs="Times New Roman"/>
          <w:sz w:val="20"/>
          <w:szCs w:val="20"/>
        </w:rPr>
        <w:t xml:space="preserve"> antimicrobial agents in a combination </w:t>
      </w:r>
      <w:r w:rsidR="006E39EB" w:rsidRPr="00A841E7">
        <w:rPr>
          <w:rFonts w:ascii="Times New Roman" w:hAnsi="Times New Roman" w:cs="Times New Roman"/>
          <w:sz w:val="20"/>
          <w:szCs w:val="20"/>
        </w:rPr>
        <w:t>may not equate to resistance</w:t>
      </w:r>
      <w:r w:rsidRPr="00A841E7">
        <w:rPr>
          <w:rFonts w:ascii="Times New Roman" w:hAnsi="Times New Roman" w:cs="Times New Roman"/>
          <w:sz w:val="20"/>
          <w:szCs w:val="20"/>
        </w:rPr>
        <w:t xml:space="preserve"> to the combination itself.(2</w:t>
      </w:r>
      <w:r w:rsidR="00BF7FE2" w:rsidRPr="00A841E7">
        <w:rPr>
          <w:rFonts w:ascii="Times New Roman" w:hAnsi="Times New Roman" w:cs="Times New Roman"/>
          <w:sz w:val="20"/>
          <w:szCs w:val="20"/>
        </w:rPr>
        <w:t>4</w:t>
      </w:r>
      <w:r w:rsidRPr="00A841E7">
        <w:rPr>
          <w:rFonts w:ascii="Times New Roman" w:hAnsi="Times New Roman" w:cs="Times New Roman"/>
          <w:sz w:val="20"/>
          <w:szCs w:val="20"/>
        </w:rPr>
        <w:t xml:space="preserve">) </w:t>
      </w:r>
      <w:r w:rsidR="00343843" w:rsidRPr="00A841E7">
        <w:rPr>
          <w:rFonts w:ascii="Times New Roman" w:hAnsi="Times New Roman" w:cs="Times New Roman"/>
          <w:sz w:val="20"/>
          <w:szCs w:val="20"/>
        </w:rPr>
        <w:t>Conversely</w:t>
      </w:r>
      <w:r w:rsidR="00897B17" w:rsidRPr="00A841E7">
        <w:rPr>
          <w:rFonts w:ascii="Times New Roman" w:hAnsi="Times New Roman" w:cs="Times New Roman"/>
          <w:sz w:val="20"/>
          <w:szCs w:val="20"/>
        </w:rPr>
        <w:t>, it must be ack</w:t>
      </w:r>
      <w:r w:rsidR="006E39EB" w:rsidRPr="00A841E7">
        <w:rPr>
          <w:rFonts w:ascii="Times New Roman" w:hAnsi="Times New Roman" w:cs="Times New Roman"/>
          <w:sz w:val="20"/>
          <w:szCs w:val="20"/>
        </w:rPr>
        <w:t xml:space="preserve">nowledged that in some cases </w:t>
      </w:r>
      <w:r w:rsidR="00343843" w:rsidRPr="00A841E7">
        <w:rPr>
          <w:rFonts w:ascii="Times New Roman" w:hAnsi="Times New Roman" w:cs="Times New Roman"/>
          <w:sz w:val="20"/>
          <w:szCs w:val="20"/>
        </w:rPr>
        <w:t xml:space="preserve">the reported </w:t>
      </w:r>
      <w:r w:rsidR="006E39EB" w:rsidRPr="00A841E7">
        <w:rPr>
          <w:rFonts w:ascii="Times New Roman" w:hAnsi="Times New Roman" w:cs="Times New Roman"/>
          <w:sz w:val="20"/>
          <w:szCs w:val="20"/>
        </w:rPr>
        <w:t>in-</w:t>
      </w:r>
      <w:r w:rsidR="00897B17" w:rsidRPr="00A841E7">
        <w:rPr>
          <w:rFonts w:ascii="Times New Roman" w:hAnsi="Times New Roman" w:cs="Times New Roman"/>
          <w:sz w:val="20"/>
          <w:szCs w:val="20"/>
        </w:rPr>
        <w:t xml:space="preserve">vitro susceptibility to an antimicrobial agent does not mean that it is recommended for the treatment of that organism (e.g. </w:t>
      </w:r>
      <w:proofErr w:type="spellStart"/>
      <w:r w:rsidR="00897B17" w:rsidRPr="00A841E7">
        <w:rPr>
          <w:rFonts w:ascii="Times New Roman" w:hAnsi="Times New Roman" w:cs="Times New Roman"/>
          <w:sz w:val="20"/>
          <w:szCs w:val="20"/>
        </w:rPr>
        <w:t>cephalosporins</w:t>
      </w:r>
      <w:proofErr w:type="spellEnd"/>
      <w:r w:rsidR="00897B17" w:rsidRPr="00A841E7">
        <w:rPr>
          <w:rFonts w:ascii="Times New Roman" w:hAnsi="Times New Roman" w:cs="Times New Roman"/>
          <w:sz w:val="20"/>
          <w:szCs w:val="20"/>
        </w:rPr>
        <w:t xml:space="preserve"> for </w:t>
      </w:r>
      <w:proofErr w:type="spellStart"/>
      <w:r w:rsidR="00897B17" w:rsidRPr="00A841E7">
        <w:rPr>
          <w:rFonts w:ascii="Times New Roman" w:hAnsi="Times New Roman" w:cs="Times New Roman"/>
          <w:sz w:val="20"/>
          <w:szCs w:val="20"/>
        </w:rPr>
        <w:t>enterobacter</w:t>
      </w:r>
      <w:proofErr w:type="spellEnd"/>
      <w:r w:rsidR="00897B17" w:rsidRPr="00A841E7">
        <w:rPr>
          <w:rFonts w:ascii="Times New Roman" w:hAnsi="Times New Roman" w:cs="Times New Roman"/>
          <w:sz w:val="20"/>
          <w:szCs w:val="20"/>
        </w:rPr>
        <w:t xml:space="preserve">). Both these factors are difficult to account for and may affect the </w:t>
      </w:r>
      <w:proofErr w:type="spellStart"/>
      <w:r w:rsidR="00897B17" w:rsidRPr="00A841E7">
        <w:rPr>
          <w:rFonts w:ascii="Times New Roman" w:hAnsi="Times New Roman" w:cs="Times New Roman"/>
          <w:sz w:val="20"/>
          <w:szCs w:val="20"/>
        </w:rPr>
        <w:t>generalisability</w:t>
      </w:r>
      <w:proofErr w:type="spellEnd"/>
      <w:r w:rsidR="00897B17" w:rsidRPr="00A841E7">
        <w:rPr>
          <w:rFonts w:ascii="Times New Roman" w:hAnsi="Times New Roman" w:cs="Times New Roman"/>
          <w:sz w:val="20"/>
          <w:szCs w:val="20"/>
        </w:rPr>
        <w:t xml:space="preserve"> of the stated results.</w:t>
      </w:r>
    </w:p>
    <w:p w:rsidR="00683FED" w:rsidRPr="00A841E7" w:rsidRDefault="00683FED" w:rsidP="00683FED">
      <w:pPr>
        <w:spacing w:line="480" w:lineRule="auto"/>
        <w:rPr>
          <w:rFonts w:ascii="Times New Roman" w:hAnsi="Times New Roman" w:cs="Times New Roman"/>
          <w:sz w:val="20"/>
          <w:szCs w:val="20"/>
        </w:rPr>
      </w:pPr>
      <w:r w:rsidRPr="00A841E7">
        <w:rPr>
          <w:rFonts w:ascii="Times New Roman" w:hAnsi="Times New Roman" w:cs="Times New Roman"/>
          <w:sz w:val="20"/>
          <w:szCs w:val="20"/>
        </w:rPr>
        <w:t xml:space="preserve">The statistical analyses used </w:t>
      </w:r>
      <w:r w:rsidR="00343843" w:rsidRPr="00A841E7">
        <w:rPr>
          <w:rFonts w:ascii="Times New Roman" w:hAnsi="Times New Roman" w:cs="Times New Roman"/>
          <w:sz w:val="20"/>
          <w:szCs w:val="20"/>
        </w:rPr>
        <w:t xml:space="preserve">may </w:t>
      </w:r>
      <w:r w:rsidRPr="00A841E7">
        <w:rPr>
          <w:rFonts w:ascii="Times New Roman" w:hAnsi="Times New Roman" w:cs="Times New Roman"/>
          <w:sz w:val="20"/>
          <w:szCs w:val="20"/>
        </w:rPr>
        <w:t xml:space="preserve">also provide a potential source of bias as we have </w:t>
      </w:r>
      <w:r w:rsidR="006E39EB" w:rsidRPr="00A841E7">
        <w:rPr>
          <w:rFonts w:ascii="Times New Roman" w:hAnsi="Times New Roman" w:cs="Times New Roman"/>
          <w:sz w:val="20"/>
          <w:szCs w:val="20"/>
        </w:rPr>
        <w:t>converted</w:t>
      </w:r>
      <w:r w:rsidRPr="00A841E7">
        <w:rPr>
          <w:rFonts w:ascii="Times New Roman" w:hAnsi="Times New Roman" w:cs="Times New Roman"/>
          <w:sz w:val="20"/>
          <w:szCs w:val="20"/>
        </w:rPr>
        <w:t xml:space="preserve"> raw susceptibility data into a more </w:t>
      </w:r>
      <w:r w:rsidR="006E39EB" w:rsidRPr="00A841E7">
        <w:rPr>
          <w:rFonts w:ascii="Times New Roman" w:hAnsi="Times New Roman" w:cs="Times New Roman"/>
          <w:sz w:val="20"/>
          <w:szCs w:val="20"/>
        </w:rPr>
        <w:t>clinically relevant</w:t>
      </w:r>
      <w:r w:rsidRPr="00A841E7">
        <w:rPr>
          <w:rFonts w:ascii="Times New Roman" w:hAnsi="Times New Roman" w:cs="Times New Roman"/>
          <w:sz w:val="20"/>
          <w:szCs w:val="20"/>
        </w:rPr>
        <w:t xml:space="preserve"> format which is combination based. This may create issues in cases where testing is done for </w:t>
      </w:r>
      <w:r w:rsidR="006E39EB" w:rsidRPr="00A841E7">
        <w:rPr>
          <w:rFonts w:ascii="Times New Roman" w:hAnsi="Times New Roman" w:cs="Times New Roman"/>
          <w:sz w:val="20"/>
          <w:szCs w:val="20"/>
        </w:rPr>
        <w:t xml:space="preserve">only </w:t>
      </w:r>
      <w:r w:rsidRPr="00A841E7">
        <w:rPr>
          <w:rFonts w:ascii="Times New Roman" w:hAnsi="Times New Roman" w:cs="Times New Roman"/>
          <w:sz w:val="20"/>
          <w:szCs w:val="20"/>
        </w:rPr>
        <w:t>one antibiotic</w:t>
      </w:r>
      <w:r w:rsidR="006E39EB" w:rsidRPr="00A841E7">
        <w:rPr>
          <w:rFonts w:ascii="Times New Roman" w:hAnsi="Times New Roman" w:cs="Times New Roman"/>
          <w:sz w:val="20"/>
          <w:szCs w:val="20"/>
        </w:rPr>
        <w:t>,</w:t>
      </w:r>
      <w:r w:rsidRPr="00A841E7">
        <w:rPr>
          <w:rFonts w:ascii="Times New Roman" w:hAnsi="Times New Roman" w:cs="Times New Roman"/>
          <w:sz w:val="20"/>
          <w:szCs w:val="20"/>
        </w:rPr>
        <w:t xml:space="preserve"> as the combination is </w:t>
      </w:r>
      <w:r w:rsidR="006E39EB" w:rsidRPr="00A841E7">
        <w:rPr>
          <w:rFonts w:ascii="Times New Roman" w:hAnsi="Times New Roman" w:cs="Times New Roman"/>
          <w:sz w:val="20"/>
          <w:szCs w:val="20"/>
        </w:rPr>
        <w:t>therefore labeled</w:t>
      </w:r>
      <w:r w:rsidRPr="00A841E7">
        <w:rPr>
          <w:rFonts w:ascii="Times New Roman" w:hAnsi="Times New Roman" w:cs="Times New Roman"/>
          <w:sz w:val="20"/>
          <w:szCs w:val="20"/>
        </w:rPr>
        <w:t xml:space="preserve"> as susceptible or resistant</w:t>
      </w:r>
      <w:r w:rsidR="006E39EB" w:rsidRPr="00A841E7">
        <w:rPr>
          <w:rFonts w:ascii="Times New Roman" w:hAnsi="Times New Roman" w:cs="Times New Roman"/>
          <w:sz w:val="20"/>
          <w:szCs w:val="20"/>
        </w:rPr>
        <w:t xml:space="preserve"> accordingly. For example, t</w:t>
      </w:r>
      <w:r w:rsidRPr="00A841E7">
        <w:rPr>
          <w:rFonts w:ascii="Times New Roman" w:hAnsi="Times New Roman" w:cs="Times New Roman"/>
          <w:sz w:val="20"/>
          <w:szCs w:val="20"/>
        </w:rPr>
        <w:t xml:space="preserve">he difference between cefotaxime monotherapy and an amoxicillin and cefotaxime combination </w:t>
      </w:r>
      <w:r w:rsidR="006E39EB" w:rsidRPr="00A841E7">
        <w:rPr>
          <w:rFonts w:ascii="Times New Roman" w:hAnsi="Times New Roman" w:cs="Times New Roman"/>
          <w:sz w:val="20"/>
          <w:szCs w:val="20"/>
        </w:rPr>
        <w:t>may be explained by</w:t>
      </w:r>
      <w:r w:rsidRPr="00A841E7">
        <w:rPr>
          <w:rFonts w:ascii="Times New Roman" w:hAnsi="Times New Roman" w:cs="Times New Roman"/>
          <w:sz w:val="20"/>
          <w:szCs w:val="20"/>
        </w:rPr>
        <w:t xml:space="preserve"> isolates with a recorded susceptibility profile to amoxicillin</w:t>
      </w:r>
      <w:r w:rsidR="006E39EB" w:rsidRPr="00A841E7">
        <w:rPr>
          <w:rFonts w:ascii="Times New Roman" w:hAnsi="Times New Roman" w:cs="Times New Roman"/>
          <w:sz w:val="20"/>
          <w:szCs w:val="20"/>
        </w:rPr>
        <w:t xml:space="preserve"> alone</w:t>
      </w:r>
      <w:r w:rsidRPr="00A841E7">
        <w:rPr>
          <w:rFonts w:ascii="Times New Roman" w:hAnsi="Times New Roman" w:cs="Times New Roman"/>
          <w:sz w:val="20"/>
          <w:szCs w:val="20"/>
        </w:rPr>
        <w:t xml:space="preserve"> (e.g. resistant). As such the isolate </w:t>
      </w:r>
      <w:r w:rsidR="006E39EB" w:rsidRPr="00A841E7">
        <w:rPr>
          <w:rFonts w:ascii="Times New Roman" w:hAnsi="Times New Roman" w:cs="Times New Roman"/>
          <w:sz w:val="20"/>
          <w:szCs w:val="20"/>
        </w:rPr>
        <w:t>would be</w:t>
      </w:r>
      <w:r w:rsidRPr="00A841E7">
        <w:rPr>
          <w:rFonts w:ascii="Times New Roman" w:hAnsi="Times New Roman" w:cs="Times New Roman"/>
          <w:sz w:val="20"/>
          <w:szCs w:val="20"/>
        </w:rPr>
        <w:t xml:space="preserve"> labeled as resistant to the combination but ‘not tested’ for cefotaxime monotherapy.</w:t>
      </w:r>
    </w:p>
    <w:p w:rsidR="007B010D" w:rsidRPr="00A841E7" w:rsidRDefault="007B010D" w:rsidP="00683FED">
      <w:pPr>
        <w:tabs>
          <w:tab w:val="num" w:pos="1440"/>
        </w:tabs>
        <w:spacing w:line="480" w:lineRule="auto"/>
        <w:rPr>
          <w:rFonts w:ascii="Times New Roman" w:hAnsi="Times New Roman" w:cs="Times New Roman"/>
          <w:sz w:val="20"/>
          <w:szCs w:val="20"/>
          <w:lang w:val="en-GB"/>
        </w:rPr>
      </w:pPr>
      <w:r w:rsidRPr="00A841E7">
        <w:rPr>
          <w:rFonts w:ascii="Times New Roman" w:hAnsi="Times New Roman" w:cs="Times New Roman"/>
          <w:sz w:val="20"/>
          <w:szCs w:val="20"/>
        </w:rPr>
        <w:t xml:space="preserve">Data completeness is </w:t>
      </w:r>
      <w:r w:rsidR="00343843" w:rsidRPr="00A841E7">
        <w:rPr>
          <w:rFonts w:ascii="Times New Roman" w:hAnsi="Times New Roman" w:cs="Times New Roman"/>
          <w:sz w:val="20"/>
          <w:szCs w:val="20"/>
        </w:rPr>
        <w:t>always a</w:t>
      </w:r>
      <w:r w:rsidR="00F4167B" w:rsidRPr="00A841E7">
        <w:rPr>
          <w:rFonts w:ascii="Times New Roman" w:hAnsi="Times New Roman" w:cs="Times New Roman"/>
          <w:sz w:val="20"/>
          <w:szCs w:val="20"/>
        </w:rPr>
        <w:t xml:space="preserve"> potential weakness. However, a</w:t>
      </w:r>
      <w:r w:rsidRPr="00A841E7">
        <w:rPr>
          <w:rFonts w:ascii="Times New Roman" w:hAnsi="Times New Roman" w:cs="Times New Roman"/>
          <w:sz w:val="20"/>
          <w:szCs w:val="20"/>
        </w:rPr>
        <w:t>lthough only half of the pathogens h</w:t>
      </w:r>
      <w:r w:rsidR="00F4167B" w:rsidRPr="00A841E7">
        <w:rPr>
          <w:rFonts w:ascii="Times New Roman" w:hAnsi="Times New Roman" w:cs="Times New Roman"/>
          <w:sz w:val="20"/>
          <w:szCs w:val="20"/>
        </w:rPr>
        <w:t>ad susceptibility data recorded</w:t>
      </w:r>
      <w:r w:rsidRPr="00A841E7">
        <w:rPr>
          <w:rFonts w:ascii="Times New Roman" w:hAnsi="Times New Roman" w:cs="Times New Roman"/>
          <w:sz w:val="20"/>
          <w:szCs w:val="20"/>
        </w:rPr>
        <w:t xml:space="preserve"> we have no evidence to suggest that these isolates were not representative. We also believe that the conclusions are relevant for all UK tertiary neonatal units as this reflects the case-mix found in the </w:t>
      </w:r>
      <w:proofErr w:type="spellStart"/>
      <w:r w:rsidRPr="00A841E7">
        <w:rPr>
          <w:rFonts w:ascii="Times New Roman" w:hAnsi="Times New Roman" w:cs="Times New Roman"/>
          <w:sz w:val="20"/>
          <w:szCs w:val="20"/>
        </w:rPr>
        <w:t>neonIN</w:t>
      </w:r>
      <w:proofErr w:type="spellEnd"/>
      <w:r w:rsidRPr="00A841E7">
        <w:rPr>
          <w:rFonts w:ascii="Times New Roman" w:hAnsi="Times New Roman" w:cs="Times New Roman"/>
          <w:sz w:val="20"/>
          <w:szCs w:val="20"/>
        </w:rPr>
        <w:t xml:space="preserve"> network</w:t>
      </w:r>
      <w:r w:rsidR="00F4167B" w:rsidRPr="00A841E7">
        <w:rPr>
          <w:rFonts w:ascii="Times New Roman" w:hAnsi="Times New Roman" w:cs="Times New Roman"/>
          <w:sz w:val="20"/>
          <w:szCs w:val="20"/>
        </w:rPr>
        <w:t>,</w:t>
      </w:r>
      <w:r w:rsidR="00BE7EDD" w:rsidRPr="00A841E7">
        <w:rPr>
          <w:rFonts w:ascii="Times New Roman" w:hAnsi="Times New Roman" w:cs="Times New Roman"/>
          <w:sz w:val="20"/>
          <w:szCs w:val="20"/>
        </w:rPr>
        <w:t xml:space="preserve"> </w:t>
      </w:r>
      <w:r w:rsidR="00F4167B" w:rsidRPr="00A841E7">
        <w:rPr>
          <w:rFonts w:ascii="Times New Roman" w:hAnsi="Times New Roman" w:cs="Times New Roman"/>
          <w:sz w:val="20"/>
          <w:szCs w:val="20"/>
        </w:rPr>
        <w:t>with units spread widely</w:t>
      </w:r>
      <w:r w:rsidR="00BE7EDD" w:rsidRPr="00A841E7">
        <w:rPr>
          <w:rFonts w:ascii="Times New Roman" w:hAnsi="Times New Roman" w:cs="Times New Roman"/>
          <w:sz w:val="20"/>
          <w:szCs w:val="20"/>
        </w:rPr>
        <w:t xml:space="preserve"> throughout </w:t>
      </w:r>
      <w:r w:rsidR="00343843" w:rsidRPr="00A841E7">
        <w:rPr>
          <w:rFonts w:ascii="Times New Roman" w:hAnsi="Times New Roman" w:cs="Times New Roman"/>
          <w:sz w:val="20"/>
          <w:szCs w:val="20"/>
        </w:rPr>
        <w:t>England</w:t>
      </w:r>
      <w:r w:rsidR="00F4167B" w:rsidRPr="00A841E7">
        <w:rPr>
          <w:rFonts w:ascii="Times New Roman" w:hAnsi="Times New Roman" w:cs="Times New Roman"/>
          <w:sz w:val="20"/>
          <w:szCs w:val="20"/>
        </w:rPr>
        <w:t>.</w:t>
      </w:r>
      <w:r w:rsidR="00BE7EDD" w:rsidRPr="00A841E7">
        <w:rPr>
          <w:rFonts w:ascii="Times New Roman" w:hAnsi="Times New Roman" w:cs="Times New Roman"/>
          <w:sz w:val="20"/>
          <w:szCs w:val="20"/>
        </w:rPr>
        <w:t xml:space="preserve"> </w:t>
      </w:r>
      <w:r w:rsidR="00F4167B" w:rsidRPr="00A841E7">
        <w:rPr>
          <w:rFonts w:ascii="Times New Roman" w:hAnsi="Times New Roman" w:cs="Times New Roman"/>
          <w:sz w:val="20"/>
          <w:szCs w:val="20"/>
        </w:rPr>
        <w:t>We do however note</w:t>
      </w:r>
      <w:r w:rsidR="00BE7EDD" w:rsidRPr="00A841E7">
        <w:rPr>
          <w:rFonts w:ascii="Times New Roman" w:hAnsi="Times New Roman" w:cs="Times New Roman"/>
          <w:sz w:val="20"/>
          <w:szCs w:val="20"/>
        </w:rPr>
        <w:t xml:space="preserve"> the presence of dominant reporting </w:t>
      </w:r>
      <w:proofErr w:type="spellStart"/>
      <w:r w:rsidR="00BE7EDD" w:rsidRPr="00A841E7">
        <w:rPr>
          <w:rFonts w:ascii="Times New Roman" w:hAnsi="Times New Roman" w:cs="Times New Roman"/>
          <w:sz w:val="20"/>
          <w:szCs w:val="20"/>
        </w:rPr>
        <w:t>centres</w:t>
      </w:r>
      <w:proofErr w:type="spellEnd"/>
      <w:r w:rsidR="00F4167B" w:rsidRPr="00A841E7">
        <w:rPr>
          <w:rFonts w:ascii="Times New Roman" w:hAnsi="Times New Roman" w:cs="Times New Roman"/>
          <w:sz w:val="20"/>
          <w:szCs w:val="20"/>
        </w:rPr>
        <w:t>,</w:t>
      </w:r>
      <w:r w:rsidR="00BE7EDD" w:rsidRPr="00A841E7">
        <w:rPr>
          <w:rFonts w:ascii="Times New Roman" w:hAnsi="Times New Roman" w:cs="Times New Roman"/>
          <w:sz w:val="20"/>
          <w:szCs w:val="20"/>
        </w:rPr>
        <w:t xml:space="preserve"> with 10 units providing data on &gt;50 isolates</w:t>
      </w:r>
      <w:r w:rsidR="00F4167B" w:rsidRPr="00A841E7">
        <w:rPr>
          <w:rFonts w:ascii="Times New Roman" w:hAnsi="Times New Roman" w:cs="Times New Roman"/>
          <w:sz w:val="20"/>
          <w:szCs w:val="20"/>
        </w:rPr>
        <w:t>.</w:t>
      </w:r>
      <w:r w:rsidR="00A54A3B" w:rsidRPr="00A841E7">
        <w:rPr>
          <w:rFonts w:ascii="Times New Roman" w:hAnsi="Times New Roman" w:cs="Times New Roman"/>
          <w:sz w:val="20"/>
          <w:szCs w:val="20"/>
        </w:rPr>
        <w:t xml:space="preserve"> </w:t>
      </w:r>
      <w:r w:rsidR="00F4167B" w:rsidRPr="00A841E7">
        <w:rPr>
          <w:rFonts w:ascii="Times New Roman" w:hAnsi="Times New Roman" w:cs="Times New Roman"/>
          <w:sz w:val="20"/>
          <w:szCs w:val="20"/>
        </w:rPr>
        <w:t>This</w:t>
      </w:r>
      <w:r w:rsidR="00A54A3B" w:rsidRPr="00A841E7">
        <w:rPr>
          <w:rFonts w:ascii="Times New Roman" w:hAnsi="Times New Roman" w:cs="Times New Roman"/>
          <w:sz w:val="20"/>
          <w:szCs w:val="20"/>
        </w:rPr>
        <w:t xml:space="preserve"> may impact the </w:t>
      </w:r>
      <w:proofErr w:type="spellStart"/>
      <w:r w:rsidR="00A54A3B" w:rsidRPr="00A841E7">
        <w:rPr>
          <w:rFonts w:ascii="Times New Roman" w:hAnsi="Times New Roman" w:cs="Times New Roman"/>
          <w:sz w:val="20"/>
          <w:szCs w:val="20"/>
        </w:rPr>
        <w:t>generalisability</w:t>
      </w:r>
      <w:proofErr w:type="spellEnd"/>
      <w:r w:rsidR="00A54A3B" w:rsidRPr="00A841E7">
        <w:rPr>
          <w:rFonts w:ascii="Times New Roman" w:hAnsi="Times New Roman" w:cs="Times New Roman"/>
          <w:sz w:val="20"/>
          <w:szCs w:val="20"/>
        </w:rPr>
        <w:t xml:space="preserve"> of the data.</w:t>
      </w:r>
      <w:r w:rsidR="00BE7EDD" w:rsidRPr="00A841E7">
        <w:rPr>
          <w:rFonts w:ascii="Times New Roman" w:hAnsi="Times New Roman" w:cs="Times New Roman"/>
          <w:sz w:val="20"/>
          <w:szCs w:val="20"/>
        </w:rPr>
        <w:t xml:space="preserve">  </w:t>
      </w:r>
    </w:p>
    <w:p w:rsidR="005912CB" w:rsidRPr="00A841E7" w:rsidRDefault="00F4167B" w:rsidP="005912CB">
      <w:pPr>
        <w:tabs>
          <w:tab w:val="num" w:pos="1440"/>
        </w:tabs>
        <w:spacing w:line="480" w:lineRule="auto"/>
        <w:rPr>
          <w:rFonts w:ascii="Times New Roman" w:hAnsi="Times New Roman" w:cs="Times New Roman"/>
          <w:sz w:val="20"/>
          <w:szCs w:val="20"/>
        </w:rPr>
      </w:pPr>
      <w:r w:rsidRPr="00A841E7">
        <w:rPr>
          <w:rFonts w:ascii="Times New Roman" w:hAnsi="Times New Roman" w:cs="Times New Roman"/>
          <w:sz w:val="20"/>
          <w:szCs w:val="20"/>
        </w:rPr>
        <w:t xml:space="preserve">These results </w:t>
      </w:r>
      <w:r w:rsidR="007B010D" w:rsidRPr="00A841E7">
        <w:rPr>
          <w:rFonts w:ascii="Times New Roman" w:hAnsi="Times New Roman" w:cs="Times New Roman"/>
          <w:sz w:val="20"/>
          <w:szCs w:val="20"/>
        </w:rPr>
        <w:t xml:space="preserve">highlight a number of important areas for future research, particularly with respect to the use of </w:t>
      </w:r>
      <w:r w:rsidRPr="00A841E7">
        <w:rPr>
          <w:rFonts w:ascii="Times New Roman" w:hAnsi="Times New Roman" w:cs="Times New Roman"/>
          <w:sz w:val="20"/>
          <w:szCs w:val="20"/>
        </w:rPr>
        <w:t>risk-factor based guidelines</w:t>
      </w:r>
      <w:r w:rsidR="007B010D" w:rsidRPr="00A841E7">
        <w:rPr>
          <w:rFonts w:ascii="Times New Roman" w:hAnsi="Times New Roman" w:cs="Times New Roman"/>
          <w:sz w:val="20"/>
          <w:szCs w:val="20"/>
        </w:rPr>
        <w:t xml:space="preserve"> for empiric antimicrobial policies.  The introduction of </w:t>
      </w:r>
      <w:r w:rsidRPr="00A841E7">
        <w:rPr>
          <w:rFonts w:ascii="Times New Roman" w:hAnsi="Times New Roman" w:cs="Times New Roman"/>
          <w:sz w:val="20"/>
          <w:szCs w:val="20"/>
        </w:rPr>
        <w:t>such</w:t>
      </w:r>
      <w:r w:rsidR="007B010D" w:rsidRPr="00A841E7">
        <w:rPr>
          <w:rFonts w:ascii="Times New Roman" w:hAnsi="Times New Roman" w:cs="Times New Roman"/>
          <w:sz w:val="20"/>
          <w:szCs w:val="20"/>
        </w:rPr>
        <w:t xml:space="preserve"> guidelines, </w:t>
      </w:r>
      <w:r w:rsidRPr="00A841E7">
        <w:rPr>
          <w:rFonts w:ascii="Times New Roman" w:hAnsi="Times New Roman" w:cs="Times New Roman"/>
          <w:sz w:val="20"/>
          <w:szCs w:val="20"/>
        </w:rPr>
        <w:t>for example</w:t>
      </w:r>
      <w:r w:rsidR="007B010D" w:rsidRPr="00A841E7">
        <w:rPr>
          <w:rFonts w:ascii="Times New Roman" w:hAnsi="Times New Roman" w:cs="Times New Roman"/>
          <w:sz w:val="20"/>
          <w:szCs w:val="20"/>
        </w:rPr>
        <w:t xml:space="preserve"> those proposed for infants &lt;1500g or &lt;32 weeks gestation, would be of significant clinical value if further validated.  Future research in this area would inform the development of a simple and clinically relevant guideline which could easily be implemented in neonatal units.</w:t>
      </w:r>
    </w:p>
    <w:p w:rsidR="007B010D" w:rsidRPr="00A841E7" w:rsidRDefault="007B010D" w:rsidP="005912CB">
      <w:pPr>
        <w:tabs>
          <w:tab w:val="num" w:pos="1440"/>
        </w:tabs>
        <w:spacing w:line="480" w:lineRule="auto"/>
        <w:rPr>
          <w:rFonts w:ascii="Times New Roman" w:hAnsi="Times New Roman" w:cs="Times New Roman"/>
          <w:sz w:val="20"/>
          <w:szCs w:val="20"/>
        </w:rPr>
      </w:pPr>
      <w:r w:rsidRPr="00A841E7">
        <w:rPr>
          <w:rFonts w:ascii="Times New Roman" w:hAnsi="Times New Roman" w:cs="Times New Roman"/>
          <w:sz w:val="20"/>
          <w:szCs w:val="20"/>
        </w:rPr>
        <w:t>This study provides unique insights into the antimicrobial resistance patterns exhibited by the pathogens which commonly cause neonatal infections in tertiary UK neonatal units. It presents new data of clinical value which could provide direction for the development of novel risk-factor based guidelines for empiric antimicrobial treatment which may in turn lead to better health outcomes for our neonatal popul</w:t>
      </w:r>
      <w:r w:rsidR="00B77B98" w:rsidRPr="00A841E7">
        <w:rPr>
          <w:rFonts w:ascii="Times New Roman" w:hAnsi="Times New Roman" w:cs="Times New Roman"/>
          <w:sz w:val="20"/>
          <w:szCs w:val="20"/>
        </w:rPr>
        <w:t>ation</w:t>
      </w:r>
      <w:r w:rsidRPr="00A841E7">
        <w:rPr>
          <w:rFonts w:ascii="Times New Roman" w:hAnsi="Times New Roman" w:cs="Times New Roman"/>
          <w:sz w:val="20"/>
          <w:szCs w:val="20"/>
        </w:rPr>
        <w:t>.</w:t>
      </w:r>
    </w:p>
    <w:p w:rsidR="007B010D" w:rsidRPr="00A841E7" w:rsidRDefault="00095F98" w:rsidP="005658EF">
      <w:pPr>
        <w:spacing w:line="480" w:lineRule="auto"/>
        <w:rPr>
          <w:rFonts w:ascii="Times New Roman" w:hAnsi="Times New Roman" w:cs="Times New Roman"/>
          <w:b/>
          <w:sz w:val="20"/>
          <w:szCs w:val="20"/>
          <w:u w:val="single"/>
        </w:rPr>
      </w:pPr>
      <w:r w:rsidRPr="00A841E7">
        <w:rPr>
          <w:rFonts w:ascii="Times New Roman" w:hAnsi="Times New Roman" w:cs="Times New Roman"/>
          <w:b/>
          <w:sz w:val="20"/>
          <w:szCs w:val="20"/>
          <w:u w:val="single"/>
        </w:rPr>
        <w:br w:type="page"/>
      </w:r>
      <w:r w:rsidR="007B010D" w:rsidRPr="00A841E7">
        <w:rPr>
          <w:rFonts w:ascii="Times New Roman" w:hAnsi="Times New Roman" w:cs="Times New Roman"/>
          <w:b/>
          <w:sz w:val="20"/>
          <w:szCs w:val="20"/>
          <w:u w:val="single"/>
        </w:rPr>
        <w:t>References:</w:t>
      </w:r>
    </w:p>
    <w:p w:rsidR="007B010D" w:rsidRPr="00A841E7" w:rsidRDefault="00596D57" w:rsidP="005658EF">
      <w:pPr>
        <w:pStyle w:val="EndNoteBibliography"/>
        <w:spacing w:after="0" w:line="480" w:lineRule="auto"/>
      </w:pPr>
      <w:r w:rsidRPr="00A841E7">
        <w:t xml:space="preserve">1. </w:t>
      </w:r>
      <w:r w:rsidR="007B010D" w:rsidRPr="00A841E7">
        <w:t xml:space="preserve">Zea-Vera A, Ochoa TJ. Challenges in the diagnosis and management of neonatal sepsis. </w:t>
      </w:r>
      <w:r w:rsidRPr="00A841E7">
        <w:rPr>
          <w:i/>
        </w:rPr>
        <w:t>J Trop Pediatr</w:t>
      </w:r>
      <w:r w:rsidR="007B010D" w:rsidRPr="00A841E7">
        <w:t>. 2015;</w:t>
      </w:r>
      <w:r w:rsidR="007B010D" w:rsidRPr="00A841E7">
        <w:rPr>
          <w:b/>
        </w:rPr>
        <w:t>61</w:t>
      </w:r>
      <w:r w:rsidR="007B010D" w:rsidRPr="00A841E7">
        <w:t>:1-13.</w:t>
      </w:r>
    </w:p>
    <w:p w:rsidR="007B010D" w:rsidRPr="00A841E7" w:rsidRDefault="00596D57" w:rsidP="005658EF">
      <w:pPr>
        <w:pStyle w:val="EndNoteBibliography"/>
        <w:spacing w:after="0" w:line="480" w:lineRule="auto"/>
      </w:pPr>
      <w:r w:rsidRPr="00A841E7">
        <w:t xml:space="preserve">2. </w:t>
      </w:r>
      <w:r w:rsidR="007B010D" w:rsidRPr="00A841E7">
        <w:t xml:space="preserve">Tzialla C, Borghesi A, Pozzi M, Stronati M. Neonatal infections due to multi-resistant strains: epidemiology, current treatment, emerging therapeutic approaches and prevention. </w:t>
      </w:r>
      <w:r w:rsidR="007B010D" w:rsidRPr="00A841E7">
        <w:rPr>
          <w:i/>
        </w:rPr>
        <w:t>Clin Chim Acta</w:t>
      </w:r>
      <w:r w:rsidR="007B010D" w:rsidRPr="00A841E7">
        <w:t>. 2015;</w:t>
      </w:r>
      <w:r w:rsidR="007B010D" w:rsidRPr="00A841E7">
        <w:rPr>
          <w:b/>
        </w:rPr>
        <w:t>S0009-8981</w:t>
      </w:r>
      <w:r w:rsidR="007B010D" w:rsidRPr="00A841E7">
        <w:t>:00122-9.</w:t>
      </w:r>
    </w:p>
    <w:p w:rsidR="007B010D" w:rsidRPr="00A841E7" w:rsidRDefault="00596D57" w:rsidP="005658EF">
      <w:pPr>
        <w:pStyle w:val="EndNoteBibliography"/>
        <w:spacing w:after="0" w:line="480" w:lineRule="auto"/>
      </w:pPr>
      <w:r w:rsidRPr="00A841E7">
        <w:t xml:space="preserve">3. </w:t>
      </w:r>
      <w:r w:rsidR="007B010D" w:rsidRPr="00A841E7">
        <w:t>Depani SJ, Ladhani S, Heath PT</w:t>
      </w:r>
      <w:r w:rsidR="007B010D" w:rsidRPr="00A841E7">
        <w:rPr>
          <w:i/>
        </w:rPr>
        <w:t>, et al.</w:t>
      </w:r>
      <w:r w:rsidR="007B010D" w:rsidRPr="00A841E7">
        <w:t xml:space="preserve"> The contribution of infections to neonatal deaths in England and Wales. </w:t>
      </w:r>
      <w:r w:rsidRPr="00A841E7">
        <w:rPr>
          <w:i/>
        </w:rPr>
        <w:t>Pediatr Infect Dis J</w:t>
      </w:r>
      <w:r w:rsidR="007B010D" w:rsidRPr="00A841E7">
        <w:t>. 2011;</w:t>
      </w:r>
      <w:r w:rsidR="007B010D" w:rsidRPr="00A841E7">
        <w:rPr>
          <w:b/>
        </w:rPr>
        <w:t>30</w:t>
      </w:r>
      <w:r w:rsidR="007B010D" w:rsidRPr="00A841E7">
        <w:t>:345-7.</w:t>
      </w:r>
    </w:p>
    <w:p w:rsidR="007B010D" w:rsidRPr="00A841E7" w:rsidRDefault="00596D57" w:rsidP="005658EF">
      <w:pPr>
        <w:pStyle w:val="EndNoteBibliography"/>
        <w:spacing w:after="0" w:line="480" w:lineRule="auto"/>
      </w:pPr>
      <w:r w:rsidRPr="00A841E7">
        <w:t xml:space="preserve">4. </w:t>
      </w:r>
      <w:r w:rsidR="007B010D" w:rsidRPr="00A841E7">
        <w:t xml:space="preserve">Camacho-Gonzalez A, Spearman PW, Stoll BJ. Neonatal infectious diseases: evaluation of neonatal sepsis. </w:t>
      </w:r>
      <w:r w:rsidR="007B010D" w:rsidRPr="00A841E7">
        <w:rPr>
          <w:i/>
        </w:rPr>
        <w:t>Pediatr Clin North Am</w:t>
      </w:r>
      <w:r w:rsidR="007B010D" w:rsidRPr="00A841E7">
        <w:t>. 2013;</w:t>
      </w:r>
      <w:r w:rsidR="007B010D" w:rsidRPr="00A841E7">
        <w:rPr>
          <w:b/>
        </w:rPr>
        <w:t>60</w:t>
      </w:r>
      <w:r w:rsidR="007B010D" w:rsidRPr="00A841E7">
        <w:t>:367-89.</w:t>
      </w:r>
    </w:p>
    <w:p w:rsidR="007B010D" w:rsidRPr="00A841E7" w:rsidRDefault="00596D57" w:rsidP="005658EF">
      <w:pPr>
        <w:pStyle w:val="EndNoteBibliography"/>
        <w:spacing w:after="0" w:line="480" w:lineRule="auto"/>
      </w:pPr>
      <w:r w:rsidRPr="00A841E7">
        <w:t xml:space="preserve">5. </w:t>
      </w:r>
      <w:r w:rsidR="007B010D" w:rsidRPr="00A841E7">
        <w:t xml:space="preserve">Adams-Chapman I, Stoll BJ. Neonatal infection and long-term neurodevelopmental outcome in the preterm infant. </w:t>
      </w:r>
      <w:r w:rsidRPr="00A841E7">
        <w:rPr>
          <w:i/>
        </w:rPr>
        <w:t>Curr Opin Infect Dis</w:t>
      </w:r>
      <w:r w:rsidR="007B010D" w:rsidRPr="00A841E7">
        <w:t>. 2006;</w:t>
      </w:r>
      <w:r w:rsidR="007B010D" w:rsidRPr="00A841E7">
        <w:rPr>
          <w:b/>
        </w:rPr>
        <w:t>19</w:t>
      </w:r>
      <w:r w:rsidR="007B010D" w:rsidRPr="00A841E7">
        <w:t>:290-7.</w:t>
      </w:r>
    </w:p>
    <w:p w:rsidR="007B010D" w:rsidRPr="00A841E7" w:rsidRDefault="00596D57" w:rsidP="005658EF">
      <w:pPr>
        <w:pStyle w:val="EndNoteBibliography"/>
        <w:spacing w:after="0" w:line="480" w:lineRule="auto"/>
      </w:pPr>
      <w:r w:rsidRPr="00A841E7">
        <w:t xml:space="preserve">6. </w:t>
      </w:r>
      <w:r w:rsidR="007B010D" w:rsidRPr="00A841E7">
        <w:t xml:space="preserve">Shah BA, Padbury JF. Neonatal sepsis: an old problem with new insights. </w:t>
      </w:r>
      <w:r w:rsidR="007B010D" w:rsidRPr="00A841E7">
        <w:rPr>
          <w:i/>
        </w:rPr>
        <w:t>Virulence</w:t>
      </w:r>
      <w:r w:rsidR="007B010D" w:rsidRPr="00A841E7">
        <w:t>. 2014;</w:t>
      </w:r>
      <w:r w:rsidR="007B010D" w:rsidRPr="00A841E7">
        <w:rPr>
          <w:b/>
        </w:rPr>
        <w:t>5</w:t>
      </w:r>
      <w:r w:rsidR="007B010D" w:rsidRPr="00A841E7">
        <w:t>:170-8.</w:t>
      </w:r>
    </w:p>
    <w:p w:rsidR="007B010D" w:rsidRPr="00A841E7" w:rsidRDefault="00596D57" w:rsidP="005658EF">
      <w:pPr>
        <w:pStyle w:val="EndNoteBibliography"/>
        <w:spacing w:after="0" w:line="480" w:lineRule="auto"/>
      </w:pPr>
      <w:r w:rsidRPr="00A841E7">
        <w:t xml:space="preserve">7. </w:t>
      </w:r>
      <w:r w:rsidR="007B010D" w:rsidRPr="00A841E7">
        <w:t xml:space="preserve">Bell BG, Schellevis F, Stobberingh E, Goossens H, Pringle M. A systematic review and meta-analysis of the effects of antibiotic consumption on antibiotic resistance. </w:t>
      </w:r>
      <w:r w:rsidR="007B010D" w:rsidRPr="00A841E7">
        <w:rPr>
          <w:i/>
        </w:rPr>
        <w:t xml:space="preserve">BMC </w:t>
      </w:r>
      <w:r w:rsidRPr="00A841E7">
        <w:rPr>
          <w:i/>
        </w:rPr>
        <w:t>Infect Dis</w:t>
      </w:r>
      <w:r w:rsidR="007B010D" w:rsidRPr="00A841E7">
        <w:t>. 2014;</w:t>
      </w:r>
      <w:r w:rsidR="007B010D" w:rsidRPr="00A841E7">
        <w:rPr>
          <w:b/>
        </w:rPr>
        <w:t>14</w:t>
      </w:r>
      <w:r w:rsidR="007B010D" w:rsidRPr="00A841E7">
        <w:t>:13.</w:t>
      </w:r>
    </w:p>
    <w:p w:rsidR="007B010D" w:rsidRPr="00A841E7" w:rsidRDefault="00596D57" w:rsidP="005658EF">
      <w:pPr>
        <w:pStyle w:val="EndNoteBibliography"/>
        <w:spacing w:after="0" w:line="480" w:lineRule="auto"/>
      </w:pPr>
      <w:r w:rsidRPr="00A841E7">
        <w:t xml:space="preserve">8. </w:t>
      </w:r>
      <w:r w:rsidR="007B010D" w:rsidRPr="00A841E7">
        <w:t xml:space="preserve">Russell AB, Sharland M, Heath PT. Improving antibiotic prescribing in neonatal units: time to act. </w:t>
      </w:r>
      <w:r w:rsidRPr="00A841E7">
        <w:rPr>
          <w:i/>
        </w:rPr>
        <w:t>Arch Dis Child Fetal Neonatal Ed</w:t>
      </w:r>
      <w:r w:rsidR="007B010D" w:rsidRPr="00A841E7">
        <w:t>. 2012;</w:t>
      </w:r>
      <w:r w:rsidR="007B010D" w:rsidRPr="00A841E7">
        <w:rPr>
          <w:b/>
        </w:rPr>
        <w:t>97</w:t>
      </w:r>
      <w:r w:rsidR="007B010D" w:rsidRPr="00A841E7">
        <w:t>:F141-F6.</w:t>
      </w:r>
    </w:p>
    <w:p w:rsidR="007B010D" w:rsidRPr="00A841E7" w:rsidRDefault="00596D57" w:rsidP="005658EF">
      <w:pPr>
        <w:pStyle w:val="EndNoteBibliography"/>
        <w:spacing w:after="0" w:line="480" w:lineRule="auto"/>
      </w:pPr>
      <w:r w:rsidRPr="00A841E7">
        <w:t xml:space="preserve">9. </w:t>
      </w:r>
      <w:r w:rsidR="007B010D" w:rsidRPr="00A841E7">
        <w:t xml:space="preserve">Cailes B, Vergnano S, Kortsalioudaki C, Heath P, Sharland M. The current and future roles of neonatal infection surveillance programmes in combating antimicrobial resistance. </w:t>
      </w:r>
      <w:r w:rsidR="007B010D" w:rsidRPr="00A841E7">
        <w:rPr>
          <w:i/>
        </w:rPr>
        <w:t>Early Hum Dev</w:t>
      </w:r>
      <w:r w:rsidR="007B010D" w:rsidRPr="00A841E7">
        <w:t>. 2015;</w:t>
      </w:r>
      <w:r w:rsidR="007B010D" w:rsidRPr="00A841E7">
        <w:rPr>
          <w:b/>
        </w:rPr>
        <w:t>91</w:t>
      </w:r>
      <w:r w:rsidR="007B010D" w:rsidRPr="00A841E7">
        <w:t>:613-8.</w:t>
      </w:r>
    </w:p>
    <w:p w:rsidR="004644FD" w:rsidRPr="00A841E7" w:rsidRDefault="00596D57" w:rsidP="005658EF">
      <w:pPr>
        <w:pStyle w:val="EndNoteBibliography"/>
        <w:spacing w:after="0" w:line="480" w:lineRule="auto"/>
      </w:pPr>
      <w:r w:rsidRPr="00A841E7">
        <w:t xml:space="preserve">10. </w:t>
      </w:r>
      <w:r w:rsidR="004644FD" w:rsidRPr="00A841E7">
        <w:t xml:space="preserve">Laxminarayan R, Matsos P, Pant S, et al. Access to effective antimicrobials: a worldwide challenge. </w:t>
      </w:r>
      <w:r w:rsidR="004644FD" w:rsidRPr="00A841E7">
        <w:rPr>
          <w:i/>
        </w:rPr>
        <w:t>Lancet</w:t>
      </w:r>
      <w:r w:rsidR="004644FD" w:rsidRPr="00A841E7">
        <w:t>. 2016 Jan 9;387(10014):168-75.</w:t>
      </w:r>
    </w:p>
    <w:p w:rsidR="00BF7FE2" w:rsidRPr="00A841E7" w:rsidRDefault="00BF7FE2" w:rsidP="00BF7FE2">
      <w:pPr>
        <w:pStyle w:val="EndNoteBibliography"/>
        <w:spacing w:after="0" w:line="480" w:lineRule="auto"/>
      </w:pPr>
      <w:r w:rsidRPr="00A841E7">
        <w:t>11. Gastmeier P, Sohr D, Schwab F</w:t>
      </w:r>
      <w:r w:rsidRPr="00A841E7">
        <w:rPr>
          <w:i/>
        </w:rPr>
        <w:t>, et al.</w:t>
      </w:r>
      <w:r w:rsidRPr="00A841E7">
        <w:t xml:space="preserve"> Ten years of KISS: the most important requirements for success. </w:t>
      </w:r>
      <w:r w:rsidRPr="00A841E7">
        <w:rPr>
          <w:i/>
        </w:rPr>
        <w:t>J Hosp Infect</w:t>
      </w:r>
      <w:r w:rsidRPr="00A841E7">
        <w:t>. 2008 Oct;</w:t>
      </w:r>
      <w:r w:rsidRPr="00A841E7">
        <w:rPr>
          <w:b/>
        </w:rPr>
        <w:t>70 Suppl 1</w:t>
      </w:r>
      <w:r w:rsidRPr="00A841E7">
        <w:t>:11-6.</w:t>
      </w:r>
    </w:p>
    <w:p w:rsidR="00BF7FE2" w:rsidRPr="00A841E7" w:rsidRDefault="00BF7FE2" w:rsidP="00BF7FE2">
      <w:pPr>
        <w:pStyle w:val="EndNoteBibliography"/>
        <w:spacing w:after="0" w:line="480" w:lineRule="auto"/>
      </w:pPr>
      <w:r w:rsidRPr="00A841E7">
        <w:t xml:space="preserve">12. Isaacs D, Royle JA. Intrapartum antibiotics and early onset neonatal sepsis caused by group B Streptococcus and by other organisms in Australia. Australasian Study Group for Neonatal Infections. </w:t>
      </w:r>
      <w:r w:rsidRPr="00A841E7">
        <w:rPr>
          <w:i/>
        </w:rPr>
        <w:t>Pediatr Infect Dis J</w:t>
      </w:r>
      <w:r w:rsidRPr="00A841E7">
        <w:t>. 1999 Jun;</w:t>
      </w:r>
      <w:r w:rsidRPr="00A841E7">
        <w:rPr>
          <w:b/>
        </w:rPr>
        <w:t>18(6)</w:t>
      </w:r>
      <w:r w:rsidRPr="00A841E7">
        <w:t>:524-8.</w:t>
      </w:r>
    </w:p>
    <w:p w:rsidR="00BF7FE2" w:rsidRPr="00A841E7" w:rsidRDefault="00BF7FE2" w:rsidP="005658EF">
      <w:pPr>
        <w:pStyle w:val="EndNoteBibliography"/>
        <w:spacing w:after="0" w:line="480" w:lineRule="auto"/>
      </w:pPr>
      <w:r w:rsidRPr="00A841E7">
        <w:t xml:space="preserve">13. Stoll BJ, Hansen N. Infections in VLBW infants: studies from the NICHD Neonatal Research Network. </w:t>
      </w:r>
      <w:r w:rsidRPr="00A841E7">
        <w:rPr>
          <w:i/>
        </w:rPr>
        <w:t>Semin Perinatol</w:t>
      </w:r>
      <w:r w:rsidRPr="00A841E7">
        <w:t>. 2003 Aug;</w:t>
      </w:r>
      <w:r w:rsidRPr="00A841E7">
        <w:rPr>
          <w:b/>
        </w:rPr>
        <w:t>27(4)</w:t>
      </w:r>
      <w:r w:rsidRPr="00A841E7">
        <w:t>:293-301.</w:t>
      </w:r>
    </w:p>
    <w:p w:rsidR="007B010D" w:rsidRPr="00A841E7" w:rsidRDefault="004644FD" w:rsidP="005658EF">
      <w:pPr>
        <w:pStyle w:val="EndNoteBibliography"/>
        <w:spacing w:after="0" w:line="480" w:lineRule="auto"/>
      </w:pPr>
      <w:r w:rsidRPr="00A841E7">
        <w:t>1</w:t>
      </w:r>
      <w:r w:rsidR="00BF7FE2" w:rsidRPr="00A841E7">
        <w:t>4</w:t>
      </w:r>
      <w:r w:rsidR="00596D57" w:rsidRPr="00A841E7">
        <w:t xml:space="preserve">. </w:t>
      </w:r>
      <w:r w:rsidR="007B010D" w:rsidRPr="00A841E7">
        <w:t>BMJ Group. BNF for children. London: BMJ Group; 2012.</w:t>
      </w:r>
    </w:p>
    <w:p w:rsidR="007B010D" w:rsidRPr="00A841E7" w:rsidRDefault="004644FD" w:rsidP="005658EF">
      <w:pPr>
        <w:pStyle w:val="EndNoteBibliography"/>
        <w:spacing w:after="0" w:line="480" w:lineRule="auto"/>
      </w:pPr>
      <w:r w:rsidRPr="00A841E7">
        <w:t>1</w:t>
      </w:r>
      <w:r w:rsidR="00BF7FE2" w:rsidRPr="00A841E7">
        <w:t>5</w:t>
      </w:r>
      <w:r w:rsidR="00596D57" w:rsidRPr="00A841E7">
        <w:t xml:space="preserve">. </w:t>
      </w:r>
      <w:r w:rsidR="007B010D" w:rsidRPr="00A841E7">
        <w:t xml:space="preserve">National Institute for Health and Care Excellence. Antibiotics for early-onset neonatal infection: antibiotics for the prevention and treatment of early-onset neonatal infection.  </w:t>
      </w:r>
      <w:r w:rsidR="007B010D" w:rsidRPr="00A841E7">
        <w:rPr>
          <w:i/>
        </w:rPr>
        <w:t>NICE guidelines</w:t>
      </w:r>
      <w:r w:rsidR="00596D57" w:rsidRPr="00A841E7">
        <w:rPr>
          <w:i/>
        </w:rPr>
        <w:t xml:space="preserve"> </w:t>
      </w:r>
      <w:r w:rsidR="007B010D" w:rsidRPr="00A841E7">
        <w:t>2012.</w:t>
      </w:r>
    </w:p>
    <w:p w:rsidR="007B010D" w:rsidRPr="00A841E7" w:rsidRDefault="004644FD" w:rsidP="005658EF">
      <w:pPr>
        <w:pStyle w:val="EndNoteBibliography"/>
        <w:spacing w:after="0" w:line="480" w:lineRule="auto"/>
      </w:pPr>
      <w:r w:rsidRPr="00A841E7">
        <w:t>1</w:t>
      </w:r>
      <w:r w:rsidR="00BF7FE2" w:rsidRPr="00A841E7">
        <w:t>6</w:t>
      </w:r>
      <w:r w:rsidR="00596D57" w:rsidRPr="00A841E7">
        <w:t xml:space="preserve">. </w:t>
      </w:r>
      <w:r w:rsidR="007B010D" w:rsidRPr="00A841E7">
        <w:t xml:space="preserve">Fernando AM, Heath PT, Menson EN. Antimicrobial policies in the neonatal units of the United Kingdom and Republic of Ireland. </w:t>
      </w:r>
      <w:r w:rsidR="00596D57" w:rsidRPr="00A841E7">
        <w:rPr>
          <w:i/>
        </w:rPr>
        <w:t>J Antimicrob Chemother</w:t>
      </w:r>
      <w:r w:rsidR="007B010D" w:rsidRPr="00A841E7">
        <w:t>. 2008;</w:t>
      </w:r>
      <w:r w:rsidR="007B010D" w:rsidRPr="00A841E7">
        <w:rPr>
          <w:b/>
        </w:rPr>
        <w:t>61</w:t>
      </w:r>
      <w:r w:rsidR="007B010D" w:rsidRPr="00A841E7">
        <w:t>:743-5.</w:t>
      </w:r>
    </w:p>
    <w:p w:rsidR="007B010D" w:rsidRPr="00A841E7" w:rsidRDefault="004644FD" w:rsidP="005658EF">
      <w:pPr>
        <w:pStyle w:val="EndNoteBibliography"/>
        <w:spacing w:after="0" w:line="480" w:lineRule="auto"/>
      </w:pPr>
      <w:r w:rsidRPr="00A841E7">
        <w:t>1</w:t>
      </w:r>
      <w:r w:rsidR="00BF7FE2" w:rsidRPr="00A841E7">
        <w:t>7</w:t>
      </w:r>
      <w:r w:rsidR="00596D57" w:rsidRPr="00A841E7">
        <w:t xml:space="preserve">. </w:t>
      </w:r>
      <w:r w:rsidR="007B010D" w:rsidRPr="00A841E7">
        <w:t>Muller-Pebody B, Johnson AP, Heath PT</w:t>
      </w:r>
      <w:r w:rsidR="007B010D" w:rsidRPr="00A841E7">
        <w:rPr>
          <w:i/>
        </w:rPr>
        <w:t>, et al.</w:t>
      </w:r>
      <w:r w:rsidR="007B010D" w:rsidRPr="00A841E7">
        <w:t xml:space="preserve"> Empirical treatment of neonatal sepsis: are the current guidelines adequate? </w:t>
      </w:r>
      <w:r w:rsidR="00596D57" w:rsidRPr="00A841E7">
        <w:rPr>
          <w:i/>
        </w:rPr>
        <w:t>Arch Dis Child Fetal Neonatal Ed</w:t>
      </w:r>
      <w:r w:rsidR="007B010D" w:rsidRPr="00A841E7">
        <w:t>. 2011;</w:t>
      </w:r>
      <w:r w:rsidR="007B010D" w:rsidRPr="00A841E7">
        <w:rPr>
          <w:b/>
        </w:rPr>
        <w:t>96</w:t>
      </w:r>
      <w:r w:rsidR="007B010D" w:rsidRPr="00A841E7">
        <w:t>:F4-8.</w:t>
      </w:r>
    </w:p>
    <w:p w:rsidR="00BF7FE2" w:rsidRPr="00A841E7" w:rsidRDefault="00BF7FE2" w:rsidP="005658EF">
      <w:pPr>
        <w:pStyle w:val="EndNoteBibliography"/>
        <w:spacing w:after="0" w:line="480" w:lineRule="auto"/>
      </w:pPr>
      <w:r w:rsidRPr="00A841E7">
        <w:t>18. Vergnano S, Menson E, Kennea N</w:t>
      </w:r>
      <w:r w:rsidRPr="00A841E7">
        <w:rPr>
          <w:i/>
        </w:rPr>
        <w:t>, et al.</w:t>
      </w:r>
      <w:r w:rsidRPr="00A841E7">
        <w:t xml:space="preserve"> Neonatal infections in England: the NeonIN surveillance network. </w:t>
      </w:r>
      <w:r w:rsidRPr="00A841E7">
        <w:rPr>
          <w:i/>
        </w:rPr>
        <w:t>Arch Dis Child Fetal Neonatal Ed</w:t>
      </w:r>
      <w:r w:rsidRPr="00A841E7">
        <w:t>. 2011;</w:t>
      </w:r>
      <w:r w:rsidRPr="00A841E7">
        <w:rPr>
          <w:b/>
        </w:rPr>
        <w:t>96</w:t>
      </w:r>
      <w:r w:rsidRPr="00A841E7">
        <w:t>:F9-F14.</w:t>
      </w:r>
    </w:p>
    <w:p w:rsidR="007B010D" w:rsidRPr="00A841E7" w:rsidRDefault="004644FD" w:rsidP="005658EF">
      <w:pPr>
        <w:pStyle w:val="EndNoteBibliography"/>
        <w:spacing w:after="0" w:line="480" w:lineRule="auto"/>
      </w:pPr>
      <w:r w:rsidRPr="00A841E7">
        <w:t>1</w:t>
      </w:r>
      <w:r w:rsidR="00BF7FE2" w:rsidRPr="00A841E7">
        <w:t>9</w:t>
      </w:r>
      <w:r w:rsidR="00596D57" w:rsidRPr="00A841E7">
        <w:t xml:space="preserve">. </w:t>
      </w:r>
      <w:r w:rsidR="007B010D" w:rsidRPr="00A841E7">
        <w:t xml:space="preserve">de Man P, Verhoeven BA, Verbrugh HA, Vos MC, van den Anker JN. An antibiotic policy to prevent emergence of resistant bacilli. </w:t>
      </w:r>
      <w:r w:rsidR="007B010D" w:rsidRPr="00A841E7">
        <w:rPr>
          <w:i/>
        </w:rPr>
        <w:t>Lancet</w:t>
      </w:r>
      <w:r w:rsidR="007B010D" w:rsidRPr="00A841E7">
        <w:t>. 2000;</w:t>
      </w:r>
      <w:r w:rsidR="007B010D" w:rsidRPr="00A841E7">
        <w:rPr>
          <w:b/>
        </w:rPr>
        <w:t>355</w:t>
      </w:r>
      <w:r w:rsidR="007B010D" w:rsidRPr="00A841E7">
        <w:t>:973-8.</w:t>
      </w:r>
    </w:p>
    <w:p w:rsidR="007B010D" w:rsidRPr="00A841E7" w:rsidRDefault="00BF7FE2" w:rsidP="005658EF">
      <w:pPr>
        <w:pStyle w:val="EndNoteBibliography"/>
        <w:spacing w:after="0" w:line="480" w:lineRule="auto"/>
      </w:pPr>
      <w:r w:rsidRPr="00A841E7">
        <w:t>20</w:t>
      </w:r>
      <w:r w:rsidR="00596D57" w:rsidRPr="00A841E7">
        <w:t xml:space="preserve">. </w:t>
      </w:r>
      <w:r w:rsidR="007B010D" w:rsidRPr="00A841E7">
        <w:t>National Institute for Health and Care Excellence. Meningitis (bacterial) and meningococcal septicaemia in under 16s: recognition, diagnosis and management. 2010.</w:t>
      </w:r>
    </w:p>
    <w:p w:rsidR="007B010D" w:rsidRPr="00A841E7" w:rsidRDefault="00BF7FE2" w:rsidP="005658EF">
      <w:pPr>
        <w:pStyle w:val="EndNoteBibliography"/>
        <w:spacing w:after="0" w:line="480" w:lineRule="auto"/>
      </w:pPr>
      <w:r w:rsidRPr="00A841E7">
        <w:t>21</w:t>
      </w:r>
      <w:r w:rsidR="00596D57" w:rsidRPr="00A841E7">
        <w:t xml:space="preserve">. </w:t>
      </w:r>
      <w:r w:rsidR="007B010D" w:rsidRPr="00A841E7">
        <w:t xml:space="preserve">Ho J, Tambyah PA, Paterson DL. Multiresistant Gram-negative infections: a global perspective. </w:t>
      </w:r>
      <w:r w:rsidR="00596D57" w:rsidRPr="00A841E7">
        <w:rPr>
          <w:i/>
        </w:rPr>
        <w:t>Curr Opin Infect Dis</w:t>
      </w:r>
      <w:r w:rsidR="007B010D" w:rsidRPr="00A841E7">
        <w:t>. 2010;</w:t>
      </w:r>
      <w:r w:rsidR="007B010D" w:rsidRPr="00A841E7">
        <w:rPr>
          <w:b/>
        </w:rPr>
        <w:t>23</w:t>
      </w:r>
      <w:r w:rsidR="007B010D" w:rsidRPr="00A841E7">
        <w:t>:546-53.</w:t>
      </w:r>
    </w:p>
    <w:p w:rsidR="00BE605F" w:rsidRPr="00A841E7" w:rsidRDefault="004644FD" w:rsidP="00BE605F">
      <w:pPr>
        <w:pStyle w:val="EndNoteBibliography"/>
        <w:spacing w:after="0" w:line="480" w:lineRule="auto"/>
      </w:pPr>
      <w:r w:rsidRPr="00A841E7">
        <w:t>2</w:t>
      </w:r>
      <w:r w:rsidR="00BF7FE2" w:rsidRPr="00A841E7">
        <w:t>2</w:t>
      </w:r>
      <w:r w:rsidR="00596D57" w:rsidRPr="00A841E7">
        <w:t xml:space="preserve">. </w:t>
      </w:r>
      <w:r w:rsidR="007B010D" w:rsidRPr="00A841E7">
        <w:t xml:space="preserve">Avent ML, Vaska VL, Rogers BA, et al. Vancomycin therapeutics and monitoring: a contemporary approach. </w:t>
      </w:r>
      <w:r w:rsidR="00596D57" w:rsidRPr="00A841E7">
        <w:rPr>
          <w:i/>
        </w:rPr>
        <w:t>Intern Med</w:t>
      </w:r>
      <w:r w:rsidR="007B010D" w:rsidRPr="00A841E7">
        <w:t>. 2013;43:110-9.</w:t>
      </w:r>
      <w:r w:rsidR="008623C4" w:rsidRPr="00A841E7">
        <w:br/>
        <w:t>2</w:t>
      </w:r>
      <w:r w:rsidR="00BF7FE2" w:rsidRPr="00A841E7">
        <w:t>3</w:t>
      </w:r>
      <w:r w:rsidR="008623C4" w:rsidRPr="00A841E7">
        <w:t xml:space="preserve">. </w:t>
      </w:r>
      <w:r w:rsidR="00BE605F" w:rsidRPr="00A841E7">
        <w:t>Jean-Baptiste N, Benjamin DK Jr., Cohen-Wolkowiez M, et al. Coagulase-negative staphylococcal infections in the neonatal intensive care unit. Infect Control Hosp Epidemiol. 2011;32:679-86.</w:t>
      </w:r>
    </w:p>
    <w:p w:rsidR="008623C4" w:rsidRPr="00A841E7" w:rsidRDefault="00BE605F" w:rsidP="008623C4">
      <w:pPr>
        <w:pStyle w:val="EndNoteBibliography"/>
        <w:spacing w:after="0" w:line="480" w:lineRule="auto"/>
      </w:pPr>
      <w:r w:rsidRPr="00A841E7">
        <w:t>2</w:t>
      </w:r>
      <w:r w:rsidR="00BF7FE2" w:rsidRPr="00A841E7">
        <w:t>4</w:t>
      </w:r>
      <w:r w:rsidRPr="00A841E7">
        <w:t xml:space="preserve">. </w:t>
      </w:r>
      <w:r w:rsidR="008623C4" w:rsidRPr="00A841E7">
        <w:t xml:space="preserve">Torres C, Tenorio C, Lantero M, Gastanares MJ, Baguero F. High-level penicillin resistance and penicillin-gentamicin synergy in Enterococcus faecium. </w:t>
      </w:r>
      <w:r w:rsidR="008623C4" w:rsidRPr="00A841E7">
        <w:rPr>
          <w:i/>
        </w:rPr>
        <w:t>Antimicrob Agents Chemother</w:t>
      </w:r>
      <w:r w:rsidR="008623C4" w:rsidRPr="00A841E7">
        <w:t>. 1993 Nov;37(11):2427-31.</w:t>
      </w:r>
    </w:p>
    <w:p w:rsidR="008623C4" w:rsidRPr="00A841E7" w:rsidRDefault="008623C4" w:rsidP="005658EF">
      <w:pPr>
        <w:pStyle w:val="EndNoteBibliography"/>
        <w:spacing w:line="480" w:lineRule="auto"/>
      </w:pPr>
    </w:p>
    <w:p w:rsidR="00B21853" w:rsidRPr="00A841E7" w:rsidRDefault="00B21853" w:rsidP="005658EF">
      <w:pPr>
        <w:spacing w:line="480" w:lineRule="auto"/>
        <w:rPr>
          <w:rFonts w:ascii="Calibri" w:hAnsi="Calibri"/>
          <w:noProof/>
        </w:rPr>
      </w:pPr>
      <w:r w:rsidRPr="00A841E7">
        <w:br w:type="page"/>
      </w:r>
    </w:p>
    <w:tbl>
      <w:tblPr>
        <w:tblStyle w:val="TableGrid"/>
        <w:tblW w:w="0" w:type="auto"/>
        <w:jc w:val="center"/>
        <w:tblLook w:val="04A0" w:firstRow="1" w:lastRow="0" w:firstColumn="1" w:lastColumn="0" w:noHBand="0" w:noVBand="1"/>
      </w:tblPr>
      <w:tblGrid>
        <w:gridCol w:w="1331"/>
        <w:gridCol w:w="2584"/>
        <w:gridCol w:w="1508"/>
      </w:tblGrid>
      <w:tr w:rsidR="00A841E7" w:rsidRPr="00A841E7" w:rsidTr="00F172CF">
        <w:trPr>
          <w:trHeight w:val="111"/>
          <w:jc w:val="center"/>
        </w:trPr>
        <w:tc>
          <w:tcPr>
            <w:tcW w:w="1331" w:type="dxa"/>
            <w:tcBorders>
              <w:top w:val="single" w:sz="4" w:space="0" w:color="auto"/>
              <w:left w:val="single" w:sz="4" w:space="0" w:color="auto"/>
              <w:bottom w:val="single" w:sz="4" w:space="0" w:color="auto"/>
              <w:right w:val="single" w:sz="4" w:space="0" w:color="auto"/>
            </w:tcBorders>
            <w:vAlign w:val="center"/>
          </w:tcPr>
          <w:p w:rsidR="00B21853" w:rsidRPr="00A841E7" w:rsidRDefault="00B21853" w:rsidP="005658EF">
            <w:pPr>
              <w:spacing w:line="480" w:lineRule="auto"/>
              <w:jc w:val="center"/>
              <w:rPr>
                <w:rFonts w:ascii="Times New Roman" w:hAnsi="Times New Roman" w:cs="Times New Roman"/>
                <w:sz w:val="20"/>
                <w:szCs w:val="20"/>
                <w:lang w:val="en-GB"/>
              </w:rPr>
            </w:pPr>
          </w:p>
        </w:tc>
        <w:tc>
          <w:tcPr>
            <w:tcW w:w="2584"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b/>
                <w:bCs/>
                <w:sz w:val="20"/>
                <w:szCs w:val="20"/>
              </w:rPr>
              <w:t>Antibiotic 1</w:t>
            </w:r>
          </w:p>
        </w:tc>
        <w:tc>
          <w:tcPr>
            <w:tcW w:w="1508"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b/>
                <w:bCs/>
                <w:sz w:val="20"/>
                <w:szCs w:val="20"/>
              </w:rPr>
              <w:t>Antibiotic 2</w:t>
            </w:r>
          </w:p>
        </w:tc>
      </w:tr>
      <w:tr w:rsidR="00A841E7" w:rsidRPr="00A841E7" w:rsidTr="00F172CF">
        <w:trPr>
          <w:trHeight w:val="233"/>
          <w:jc w:val="center"/>
        </w:trPr>
        <w:tc>
          <w:tcPr>
            <w:tcW w:w="1331" w:type="dxa"/>
            <w:vMerge w:val="restart"/>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b/>
                <w:bCs/>
                <w:sz w:val="20"/>
                <w:szCs w:val="20"/>
              </w:rPr>
              <w:t xml:space="preserve">Early Onset </w:t>
            </w:r>
            <w:r w:rsidRPr="00A841E7">
              <w:rPr>
                <w:rFonts w:ascii="Times New Roman" w:hAnsi="Times New Roman" w:cs="Times New Roman"/>
                <w:b/>
                <w:bCs/>
                <w:sz w:val="20"/>
                <w:szCs w:val="20"/>
              </w:rPr>
              <w:br/>
              <w:t>Sepsis</w:t>
            </w:r>
          </w:p>
        </w:tc>
        <w:tc>
          <w:tcPr>
            <w:tcW w:w="2584"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proofErr w:type="spellStart"/>
            <w:r w:rsidRPr="00A841E7">
              <w:rPr>
                <w:rFonts w:ascii="Times New Roman" w:hAnsi="Times New Roman" w:cs="Times New Roman"/>
                <w:sz w:val="20"/>
                <w:szCs w:val="20"/>
              </w:rPr>
              <w:t>Benzylpenicillin</w:t>
            </w:r>
            <w:proofErr w:type="spellEnd"/>
          </w:p>
        </w:tc>
        <w:tc>
          <w:tcPr>
            <w:tcW w:w="1508"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Gentamicin</w:t>
            </w:r>
          </w:p>
        </w:tc>
      </w:tr>
      <w:tr w:rsidR="00A841E7" w:rsidRPr="00A841E7" w:rsidTr="00F172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p>
        </w:tc>
        <w:tc>
          <w:tcPr>
            <w:tcW w:w="2584"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Amoxicillin</w:t>
            </w:r>
          </w:p>
        </w:tc>
        <w:tc>
          <w:tcPr>
            <w:tcW w:w="1508"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Cefotaxime</w:t>
            </w:r>
          </w:p>
        </w:tc>
      </w:tr>
      <w:tr w:rsidR="00A841E7" w:rsidRPr="00A841E7" w:rsidTr="00F172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p>
        </w:tc>
        <w:tc>
          <w:tcPr>
            <w:tcW w:w="2584"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Amoxicillin</w:t>
            </w:r>
          </w:p>
        </w:tc>
        <w:tc>
          <w:tcPr>
            <w:tcW w:w="1508"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Gentamicin</w:t>
            </w:r>
          </w:p>
        </w:tc>
      </w:tr>
      <w:tr w:rsidR="00A841E7" w:rsidRPr="00A841E7" w:rsidTr="00F172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p>
        </w:tc>
        <w:tc>
          <w:tcPr>
            <w:tcW w:w="4092" w:type="dxa"/>
            <w:gridSpan w:val="2"/>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Cefotaxime</w:t>
            </w:r>
          </w:p>
        </w:tc>
      </w:tr>
      <w:tr w:rsidR="00A841E7" w:rsidRPr="00A841E7" w:rsidTr="00F172CF">
        <w:trPr>
          <w:trHeight w:val="582"/>
          <w:jc w:val="center"/>
        </w:trPr>
        <w:tc>
          <w:tcPr>
            <w:tcW w:w="1331" w:type="dxa"/>
            <w:vMerge w:val="restart"/>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b/>
                <w:bCs/>
                <w:sz w:val="20"/>
                <w:szCs w:val="20"/>
              </w:rPr>
              <w:t xml:space="preserve">Late Onset </w:t>
            </w:r>
            <w:r w:rsidRPr="00A841E7">
              <w:rPr>
                <w:rFonts w:ascii="Times New Roman" w:hAnsi="Times New Roman" w:cs="Times New Roman"/>
                <w:b/>
                <w:bCs/>
                <w:sz w:val="20"/>
                <w:szCs w:val="20"/>
              </w:rPr>
              <w:br/>
              <w:t>Sepsis</w:t>
            </w:r>
          </w:p>
        </w:tc>
        <w:tc>
          <w:tcPr>
            <w:tcW w:w="2584"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Flucloxacillin</w:t>
            </w:r>
          </w:p>
        </w:tc>
        <w:tc>
          <w:tcPr>
            <w:tcW w:w="1508"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Gentamicin</w:t>
            </w:r>
          </w:p>
        </w:tc>
      </w:tr>
      <w:tr w:rsidR="00A841E7" w:rsidRPr="00A841E7" w:rsidTr="00F172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p>
        </w:tc>
        <w:tc>
          <w:tcPr>
            <w:tcW w:w="2584"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Amoxicillin</w:t>
            </w:r>
          </w:p>
        </w:tc>
        <w:tc>
          <w:tcPr>
            <w:tcW w:w="1508"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Cefotaxime</w:t>
            </w:r>
          </w:p>
        </w:tc>
      </w:tr>
      <w:tr w:rsidR="00A841E7" w:rsidRPr="00A841E7" w:rsidTr="00F172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p>
        </w:tc>
        <w:tc>
          <w:tcPr>
            <w:tcW w:w="2584"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Amoxicillin</w:t>
            </w:r>
          </w:p>
        </w:tc>
        <w:tc>
          <w:tcPr>
            <w:tcW w:w="1508"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Gentamicin</w:t>
            </w:r>
          </w:p>
        </w:tc>
      </w:tr>
      <w:tr w:rsidR="00A841E7" w:rsidRPr="00A841E7" w:rsidTr="00F172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p>
        </w:tc>
        <w:tc>
          <w:tcPr>
            <w:tcW w:w="2584"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Piperacillin/</w:t>
            </w:r>
            <w:proofErr w:type="spellStart"/>
            <w:r w:rsidRPr="00A841E7">
              <w:rPr>
                <w:rFonts w:ascii="Times New Roman" w:hAnsi="Times New Roman" w:cs="Times New Roman"/>
                <w:sz w:val="20"/>
                <w:szCs w:val="20"/>
              </w:rPr>
              <w:t>Tazobactam</w:t>
            </w:r>
            <w:proofErr w:type="spellEnd"/>
          </w:p>
        </w:tc>
        <w:tc>
          <w:tcPr>
            <w:tcW w:w="1508"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Gentamicin</w:t>
            </w:r>
          </w:p>
        </w:tc>
      </w:tr>
      <w:tr w:rsidR="00A841E7" w:rsidRPr="00A841E7" w:rsidTr="00F172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p>
        </w:tc>
        <w:tc>
          <w:tcPr>
            <w:tcW w:w="2584"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Vancomycin</w:t>
            </w:r>
          </w:p>
        </w:tc>
        <w:tc>
          <w:tcPr>
            <w:tcW w:w="1508"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Cefotaxime</w:t>
            </w:r>
          </w:p>
        </w:tc>
      </w:tr>
      <w:tr w:rsidR="00A841E7" w:rsidRPr="00A841E7" w:rsidTr="00F172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p>
        </w:tc>
        <w:tc>
          <w:tcPr>
            <w:tcW w:w="4092" w:type="dxa"/>
            <w:gridSpan w:val="2"/>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Cefotaxime</w:t>
            </w:r>
          </w:p>
        </w:tc>
      </w:tr>
      <w:tr w:rsidR="00B21853" w:rsidRPr="00A841E7" w:rsidTr="00F172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p>
        </w:tc>
        <w:tc>
          <w:tcPr>
            <w:tcW w:w="4092" w:type="dxa"/>
            <w:gridSpan w:val="2"/>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Amoxicillin &amp; Clavulanic acid</w:t>
            </w:r>
          </w:p>
        </w:tc>
      </w:tr>
    </w:tbl>
    <w:p w:rsidR="007B010D" w:rsidRPr="00A841E7" w:rsidRDefault="007B010D" w:rsidP="005658EF">
      <w:pPr>
        <w:spacing w:after="160" w:line="480" w:lineRule="auto"/>
        <w:rPr>
          <w:rFonts w:ascii="Calibri" w:hAnsi="Calibri"/>
          <w:noProof/>
        </w:rPr>
      </w:pPr>
    </w:p>
    <w:p w:rsidR="00B21853" w:rsidRPr="00A841E7" w:rsidRDefault="00B21853" w:rsidP="005658EF">
      <w:pPr>
        <w:spacing w:after="160" w:line="480" w:lineRule="auto"/>
        <w:rPr>
          <w:rFonts w:ascii="Times New Roman" w:hAnsi="Times New Roman" w:cs="Times New Roman"/>
          <w:b/>
          <w:sz w:val="20"/>
          <w:szCs w:val="20"/>
        </w:rPr>
      </w:pPr>
      <w:r w:rsidRPr="00A841E7">
        <w:rPr>
          <w:rFonts w:ascii="Times New Roman" w:hAnsi="Times New Roman" w:cs="Times New Roman"/>
          <w:b/>
          <w:sz w:val="20"/>
          <w:szCs w:val="20"/>
        </w:rPr>
        <w:t>Table 1: Commonly used empiric antibiotic combinations in the treatment of neonatal sepsis.</w:t>
      </w:r>
      <w:r w:rsidR="00777D6B" w:rsidRPr="00A841E7">
        <w:rPr>
          <w:rFonts w:ascii="Times New Roman" w:hAnsi="Times New Roman" w:cs="Times New Roman"/>
          <w:b/>
          <w:sz w:val="20"/>
          <w:szCs w:val="20"/>
        </w:rPr>
        <w:t xml:space="preserve"> </w:t>
      </w:r>
      <w:r w:rsidR="00777D6B" w:rsidRPr="00A841E7">
        <w:rPr>
          <w:rFonts w:ascii="Times New Roman" w:hAnsi="Times New Roman" w:cs="Times New Roman"/>
          <w:sz w:val="20"/>
          <w:szCs w:val="20"/>
        </w:rPr>
        <w:t>Adapted from the British National Formulary for Children recommendations, Muller-</w:t>
      </w:r>
      <w:proofErr w:type="spellStart"/>
      <w:r w:rsidR="00777D6B" w:rsidRPr="00A841E7">
        <w:rPr>
          <w:rFonts w:ascii="Times New Roman" w:hAnsi="Times New Roman" w:cs="Times New Roman"/>
          <w:sz w:val="20"/>
          <w:szCs w:val="20"/>
        </w:rPr>
        <w:t>Pebody</w:t>
      </w:r>
      <w:proofErr w:type="spellEnd"/>
      <w:r w:rsidR="00777D6B" w:rsidRPr="00A841E7">
        <w:rPr>
          <w:rFonts w:ascii="Times New Roman" w:hAnsi="Times New Roman" w:cs="Times New Roman"/>
          <w:sz w:val="20"/>
          <w:szCs w:val="20"/>
        </w:rPr>
        <w:t xml:space="preserve"> et al. and Vergnano et al</w:t>
      </w:r>
      <w:proofErr w:type="gramStart"/>
      <w:r w:rsidR="00777D6B" w:rsidRPr="00A841E7">
        <w:rPr>
          <w:rFonts w:ascii="Times New Roman" w:hAnsi="Times New Roman" w:cs="Times New Roman"/>
          <w:sz w:val="20"/>
          <w:szCs w:val="20"/>
        </w:rPr>
        <w:t>.(</w:t>
      </w:r>
      <w:proofErr w:type="gramEnd"/>
      <w:r w:rsidR="00777D6B" w:rsidRPr="00A841E7">
        <w:rPr>
          <w:rFonts w:ascii="Times New Roman" w:hAnsi="Times New Roman" w:cs="Times New Roman"/>
          <w:sz w:val="20"/>
          <w:szCs w:val="20"/>
        </w:rPr>
        <w:t>10,12,15)</w:t>
      </w:r>
      <w:r w:rsidR="00777D6B" w:rsidRPr="00A841E7">
        <w:rPr>
          <w:rFonts w:ascii="Arial" w:hAnsi="Arial" w:cs="Arial"/>
        </w:rPr>
        <w:t xml:space="preserve"> </w:t>
      </w:r>
    </w:p>
    <w:p w:rsidR="00B21853" w:rsidRPr="00A841E7" w:rsidRDefault="00B21853" w:rsidP="005658EF">
      <w:pPr>
        <w:spacing w:line="480" w:lineRule="auto"/>
        <w:rPr>
          <w:rFonts w:ascii="Times New Roman" w:hAnsi="Times New Roman" w:cs="Times New Roman"/>
          <w:b/>
          <w:sz w:val="20"/>
          <w:szCs w:val="20"/>
        </w:rPr>
      </w:pPr>
      <w:r w:rsidRPr="00A841E7">
        <w:rPr>
          <w:rFonts w:ascii="Times New Roman" w:hAnsi="Times New Roman" w:cs="Times New Roman"/>
          <w:b/>
          <w:sz w:val="20"/>
          <w:szCs w:val="20"/>
        </w:rPr>
        <w:br w:type="page"/>
      </w:r>
    </w:p>
    <w:tbl>
      <w:tblPr>
        <w:tblpPr w:leftFromText="180" w:rightFromText="180" w:vertAnchor="text" w:horzAnchor="margin" w:tblpY="31"/>
        <w:tblW w:w="9080" w:type="dxa"/>
        <w:tblLook w:val="04A0" w:firstRow="1" w:lastRow="0" w:firstColumn="1" w:lastColumn="0" w:noHBand="0" w:noVBand="1"/>
      </w:tblPr>
      <w:tblGrid>
        <w:gridCol w:w="765"/>
        <w:gridCol w:w="2586"/>
        <w:gridCol w:w="1329"/>
        <w:gridCol w:w="1079"/>
        <w:gridCol w:w="1620"/>
        <w:gridCol w:w="1701"/>
      </w:tblGrid>
      <w:tr w:rsidR="00A841E7" w:rsidRPr="00A841E7" w:rsidTr="00F172CF">
        <w:trPr>
          <w:trHeight w:val="300"/>
        </w:trPr>
        <w:tc>
          <w:tcPr>
            <w:tcW w:w="76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p>
        </w:tc>
        <w:tc>
          <w:tcPr>
            <w:tcW w:w="3915" w:type="dxa"/>
            <w:gridSpan w:val="2"/>
            <w:tcBorders>
              <w:top w:val="single" w:sz="8" w:space="0" w:color="auto"/>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Combination</w:t>
            </w:r>
          </w:p>
        </w:tc>
        <w:tc>
          <w:tcPr>
            <w:tcW w:w="1079" w:type="dxa"/>
            <w:tcBorders>
              <w:top w:val="single" w:sz="8" w:space="0" w:color="auto"/>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 Tested</w:t>
            </w:r>
          </w:p>
        </w:tc>
        <w:tc>
          <w:tcPr>
            <w:tcW w:w="1620" w:type="dxa"/>
            <w:tcBorders>
              <w:top w:val="single" w:sz="8" w:space="0" w:color="auto"/>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 Susceptible</w:t>
            </w:r>
          </w:p>
        </w:tc>
        <w:tc>
          <w:tcPr>
            <w:tcW w:w="1701" w:type="dxa"/>
            <w:tcBorders>
              <w:top w:val="single" w:sz="8" w:space="0" w:color="auto"/>
              <w:left w:val="nil"/>
              <w:bottom w:val="single" w:sz="4" w:space="0" w:color="auto"/>
              <w:right w:val="single" w:sz="8"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 Susceptible (95% CI)</w:t>
            </w:r>
          </w:p>
        </w:tc>
      </w:tr>
      <w:tr w:rsidR="00A841E7" w:rsidRPr="00A841E7" w:rsidTr="00F172CF">
        <w:trPr>
          <w:trHeight w:val="300"/>
        </w:trPr>
        <w:tc>
          <w:tcPr>
            <w:tcW w:w="76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EOS</w:t>
            </w:r>
          </w:p>
        </w:tc>
        <w:tc>
          <w:tcPr>
            <w:tcW w:w="2586" w:type="dxa"/>
            <w:tcBorders>
              <w:top w:val="nil"/>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proofErr w:type="spellStart"/>
            <w:r w:rsidRPr="00A841E7">
              <w:rPr>
                <w:rFonts w:ascii="Times New Roman" w:eastAsia="Times New Roman" w:hAnsi="Times New Roman" w:cs="Times New Roman"/>
                <w:sz w:val="20"/>
                <w:szCs w:val="20"/>
                <w:lang w:eastAsia="en-GB"/>
              </w:rPr>
              <w:t>Benzylpenicillin</w:t>
            </w:r>
            <w:proofErr w:type="spellEnd"/>
          </w:p>
        </w:tc>
        <w:tc>
          <w:tcPr>
            <w:tcW w:w="1329" w:type="dxa"/>
            <w:tcBorders>
              <w:top w:val="nil"/>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Gentamicin</w:t>
            </w:r>
          </w:p>
        </w:tc>
        <w:tc>
          <w:tcPr>
            <w:tcW w:w="1079" w:type="dxa"/>
            <w:tcBorders>
              <w:top w:val="nil"/>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238</w:t>
            </w:r>
          </w:p>
        </w:tc>
        <w:tc>
          <w:tcPr>
            <w:tcW w:w="1620" w:type="dxa"/>
            <w:tcBorders>
              <w:top w:val="nil"/>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222</w:t>
            </w:r>
          </w:p>
        </w:tc>
        <w:tc>
          <w:tcPr>
            <w:tcW w:w="1701" w:type="dxa"/>
            <w:tcBorders>
              <w:top w:val="nil"/>
              <w:left w:val="nil"/>
              <w:bottom w:val="single" w:sz="4" w:space="0" w:color="auto"/>
              <w:right w:val="single" w:sz="8"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93 (89-96)</w:t>
            </w:r>
          </w:p>
        </w:tc>
      </w:tr>
      <w:tr w:rsidR="00A841E7" w:rsidRPr="00A841E7" w:rsidTr="00F172CF">
        <w:trPr>
          <w:trHeight w:val="300"/>
        </w:trPr>
        <w:tc>
          <w:tcPr>
            <w:tcW w:w="765" w:type="dxa"/>
            <w:vMerge/>
            <w:tcBorders>
              <w:top w:val="nil"/>
              <w:left w:val="single" w:sz="8" w:space="0" w:color="auto"/>
              <w:bottom w:val="single" w:sz="4" w:space="0" w:color="auto"/>
              <w:right w:val="single" w:sz="4" w:space="0" w:color="auto"/>
            </w:tcBorders>
            <w:vAlign w:val="center"/>
            <w:hideMark/>
          </w:tcPr>
          <w:p w:rsidR="00B21853" w:rsidRPr="00A841E7" w:rsidRDefault="00B21853" w:rsidP="005658EF">
            <w:pPr>
              <w:spacing w:after="0" w:line="480" w:lineRule="auto"/>
              <w:rPr>
                <w:rFonts w:ascii="Times New Roman" w:eastAsia="Times New Roman" w:hAnsi="Times New Roman" w:cs="Times New Roman"/>
                <w:sz w:val="20"/>
                <w:szCs w:val="20"/>
                <w:lang w:eastAsia="en-GB"/>
              </w:rPr>
            </w:pPr>
          </w:p>
        </w:tc>
        <w:tc>
          <w:tcPr>
            <w:tcW w:w="2586" w:type="dxa"/>
            <w:tcBorders>
              <w:top w:val="nil"/>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Amoxicillin</w:t>
            </w:r>
          </w:p>
        </w:tc>
        <w:tc>
          <w:tcPr>
            <w:tcW w:w="1329" w:type="dxa"/>
            <w:tcBorders>
              <w:top w:val="nil"/>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Cefotaxime*</w:t>
            </w:r>
          </w:p>
        </w:tc>
        <w:tc>
          <w:tcPr>
            <w:tcW w:w="1079" w:type="dxa"/>
            <w:tcBorders>
              <w:top w:val="nil"/>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228</w:t>
            </w:r>
          </w:p>
        </w:tc>
        <w:tc>
          <w:tcPr>
            <w:tcW w:w="1620" w:type="dxa"/>
            <w:tcBorders>
              <w:top w:val="nil"/>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216</w:t>
            </w:r>
          </w:p>
        </w:tc>
        <w:tc>
          <w:tcPr>
            <w:tcW w:w="1701" w:type="dxa"/>
            <w:tcBorders>
              <w:top w:val="nil"/>
              <w:left w:val="nil"/>
              <w:bottom w:val="single" w:sz="4" w:space="0" w:color="auto"/>
              <w:right w:val="single" w:sz="8"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95 (91-97)</w:t>
            </w:r>
          </w:p>
        </w:tc>
      </w:tr>
      <w:tr w:rsidR="00A841E7" w:rsidRPr="00A841E7" w:rsidTr="00F172CF">
        <w:trPr>
          <w:trHeight w:val="300"/>
        </w:trPr>
        <w:tc>
          <w:tcPr>
            <w:tcW w:w="765" w:type="dxa"/>
            <w:vMerge/>
            <w:tcBorders>
              <w:top w:val="nil"/>
              <w:left w:val="single" w:sz="8" w:space="0" w:color="auto"/>
              <w:bottom w:val="single" w:sz="4" w:space="0" w:color="auto"/>
              <w:right w:val="single" w:sz="4" w:space="0" w:color="auto"/>
            </w:tcBorders>
            <w:vAlign w:val="center"/>
            <w:hideMark/>
          </w:tcPr>
          <w:p w:rsidR="00B21853" w:rsidRPr="00A841E7" w:rsidRDefault="00B21853" w:rsidP="005658EF">
            <w:pPr>
              <w:spacing w:after="0" w:line="480" w:lineRule="auto"/>
              <w:rPr>
                <w:rFonts w:ascii="Times New Roman" w:eastAsia="Times New Roman" w:hAnsi="Times New Roman" w:cs="Times New Roman"/>
                <w:sz w:val="20"/>
                <w:szCs w:val="20"/>
                <w:lang w:eastAsia="en-GB"/>
              </w:rPr>
            </w:pPr>
          </w:p>
        </w:tc>
        <w:tc>
          <w:tcPr>
            <w:tcW w:w="2586" w:type="dxa"/>
            <w:tcBorders>
              <w:top w:val="nil"/>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Amoxicillin</w:t>
            </w:r>
          </w:p>
        </w:tc>
        <w:tc>
          <w:tcPr>
            <w:tcW w:w="1329" w:type="dxa"/>
            <w:tcBorders>
              <w:top w:val="nil"/>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Gentamicin</w:t>
            </w:r>
          </w:p>
        </w:tc>
        <w:tc>
          <w:tcPr>
            <w:tcW w:w="1079" w:type="dxa"/>
            <w:tcBorders>
              <w:top w:val="nil"/>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238</w:t>
            </w:r>
          </w:p>
        </w:tc>
        <w:tc>
          <w:tcPr>
            <w:tcW w:w="1620" w:type="dxa"/>
            <w:tcBorders>
              <w:top w:val="nil"/>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229</w:t>
            </w:r>
          </w:p>
        </w:tc>
        <w:tc>
          <w:tcPr>
            <w:tcW w:w="1701" w:type="dxa"/>
            <w:tcBorders>
              <w:top w:val="nil"/>
              <w:left w:val="nil"/>
              <w:bottom w:val="single" w:sz="4" w:space="0" w:color="auto"/>
              <w:right w:val="single" w:sz="8"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96 (93-98)</w:t>
            </w:r>
          </w:p>
        </w:tc>
      </w:tr>
      <w:tr w:rsidR="00A841E7" w:rsidRPr="00A841E7" w:rsidTr="00F172CF">
        <w:trPr>
          <w:trHeight w:val="315"/>
        </w:trPr>
        <w:tc>
          <w:tcPr>
            <w:tcW w:w="765" w:type="dxa"/>
            <w:vMerge/>
            <w:tcBorders>
              <w:top w:val="nil"/>
              <w:left w:val="single" w:sz="8" w:space="0" w:color="auto"/>
              <w:bottom w:val="single" w:sz="4" w:space="0" w:color="auto"/>
              <w:right w:val="single" w:sz="4" w:space="0" w:color="auto"/>
            </w:tcBorders>
            <w:vAlign w:val="center"/>
            <w:hideMark/>
          </w:tcPr>
          <w:p w:rsidR="00B21853" w:rsidRPr="00A841E7" w:rsidRDefault="00B21853" w:rsidP="005658EF">
            <w:pPr>
              <w:spacing w:after="0" w:line="480" w:lineRule="auto"/>
              <w:rPr>
                <w:rFonts w:ascii="Times New Roman" w:eastAsia="Times New Roman" w:hAnsi="Times New Roman" w:cs="Times New Roman"/>
                <w:sz w:val="20"/>
                <w:szCs w:val="20"/>
                <w:lang w:eastAsia="en-GB"/>
              </w:rPr>
            </w:pPr>
          </w:p>
        </w:tc>
        <w:tc>
          <w:tcPr>
            <w:tcW w:w="39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Cefotaxime*</w:t>
            </w:r>
          </w:p>
        </w:tc>
        <w:tc>
          <w:tcPr>
            <w:tcW w:w="1079" w:type="dxa"/>
            <w:tcBorders>
              <w:top w:val="nil"/>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193</w:t>
            </w:r>
          </w:p>
        </w:tc>
        <w:tc>
          <w:tcPr>
            <w:tcW w:w="1620" w:type="dxa"/>
            <w:tcBorders>
              <w:top w:val="nil"/>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189</w:t>
            </w:r>
          </w:p>
        </w:tc>
        <w:tc>
          <w:tcPr>
            <w:tcW w:w="1701" w:type="dxa"/>
            <w:tcBorders>
              <w:top w:val="nil"/>
              <w:left w:val="nil"/>
              <w:bottom w:val="single" w:sz="4" w:space="0" w:color="auto"/>
              <w:right w:val="single" w:sz="8"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98 (95-99)</w:t>
            </w:r>
          </w:p>
        </w:tc>
      </w:tr>
      <w:tr w:rsidR="00A841E7" w:rsidRPr="00A841E7" w:rsidTr="00F172CF">
        <w:trPr>
          <w:trHeight w:val="300"/>
        </w:trPr>
        <w:tc>
          <w:tcPr>
            <w:tcW w:w="765"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LOS</w:t>
            </w:r>
          </w:p>
        </w:tc>
        <w:tc>
          <w:tcPr>
            <w:tcW w:w="2586" w:type="dxa"/>
            <w:tcBorders>
              <w:top w:val="nil"/>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Flucloxacillin</w:t>
            </w:r>
          </w:p>
        </w:tc>
        <w:tc>
          <w:tcPr>
            <w:tcW w:w="1329" w:type="dxa"/>
            <w:tcBorders>
              <w:top w:val="nil"/>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Gentamicin</w:t>
            </w:r>
          </w:p>
        </w:tc>
        <w:tc>
          <w:tcPr>
            <w:tcW w:w="1079" w:type="dxa"/>
            <w:tcBorders>
              <w:top w:val="nil"/>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833</w:t>
            </w:r>
          </w:p>
        </w:tc>
        <w:tc>
          <w:tcPr>
            <w:tcW w:w="1620" w:type="dxa"/>
            <w:tcBorders>
              <w:top w:val="nil"/>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742</w:t>
            </w:r>
          </w:p>
        </w:tc>
        <w:tc>
          <w:tcPr>
            <w:tcW w:w="1701" w:type="dxa"/>
            <w:tcBorders>
              <w:top w:val="nil"/>
              <w:left w:val="nil"/>
              <w:bottom w:val="single" w:sz="4" w:space="0" w:color="auto"/>
              <w:right w:val="single" w:sz="8"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89 (87-91)</w:t>
            </w:r>
          </w:p>
        </w:tc>
      </w:tr>
      <w:tr w:rsidR="00A841E7" w:rsidRPr="00A841E7" w:rsidTr="00F172CF">
        <w:trPr>
          <w:trHeight w:val="300"/>
        </w:trPr>
        <w:tc>
          <w:tcPr>
            <w:tcW w:w="765" w:type="dxa"/>
            <w:vMerge/>
            <w:tcBorders>
              <w:top w:val="nil"/>
              <w:left w:val="single" w:sz="8" w:space="0" w:color="auto"/>
              <w:bottom w:val="single" w:sz="8" w:space="0" w:color="000000"/>
              <w:right w:val="single" w:sz="4" w:space="0" w:color="auto"/>
            </w:tcBorders>
            <w:vAlign w:val="center"/>
            <w:hideMark/>
          </w:tcPr>
          <w:p w:rsidR="00B21853" w:rsidRPr="00A841E7" w:rsidRDefault="00B21853" w:rsidP="005658EF">
            <w:pPr>
              <w:spacing w:after="0" w:line="480" w:lineRule="auto"/>
              <w:rPr>
                <w:rFonts w:ascii="Times New Roman" w:eastAsia="Times New Roman" w:hAnsi="Times New Roman" w:cs="Times New Roman"/>
                <w:sz w:val="20"/>
                <w:szCs w:val="20"/>
                <w:lang w:eastAsia="en-GB"/>
              </w:rPr>
            </w:pPr>
          </w:p>
        </w:tc>
        <w:tc>
          <w:tcPr>
            <w:tcW w:w="2586" w:type="dxa"/>
            <w:tcBorders>
              <w:top w:val="nil"/>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Amoxicillin</w:t>
            </w:r>
          </w:p>
        </w:tc>
        <w:tc>
          <w:tcPr>
            <w:tcW w:w="1329" w:type="dxa"/>
            <w:tcBorders>
              <w:top w:val="nil"/>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Cefotaxime</w:t>
            </w:r>
          </w:p>
        </w:tc>
        <w:tc>
          <w:tcPr>
            <w:tcW w:w="1079" w:type="dxa"/>
            <w:tcBorders>
              <w:top w:val="nil"/>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783</w:t>
            </w:r>
          </w:p>
        </w:tc>
        <w:tc>
          <w:tcPr>
            <w:tcW w:w="1620" w:type="dxa"/>
            <w:tcBorders>
              <w:top w:val="nil"/>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665</w:t>
            </w:r>
          </w:p>
        </w:tc>
        <w:tc>
          <w:tcPr>
            <w:tcW w:w="1701" w:type="dxa"/>
            <w:tcBorders>
              <w:top w:val="nil"/>
              <w:left w:val="nil"/>
              <w:bottom w:val="single" w:sz="4" w:space="0" w:color="auto"/>
              <w:right w:val="single" w:sz="8"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85 (82-87)</w:t>
            </w:r>
          </w:p>
        </w:tc>
      </w:tr>
      <w:tr w:rsidR="00A841E7" w:rsidRPr="00A841E7" w:rsidTr="00F172CF">
        <w:trPr>
          <w:trHeight w:val="300"/>
        </w:trPr>
        <w:tc>
          <w:tcPr>
            <w:tcW w:w="765" w:type="dxa"/>
            <w:vMerge/>
            <w:tcBorders>
              <w:top w:val="nil"/>
              <w:left w:val="single" w:sz="8" w:space="0" w:color="auto"/>
              <w:bottom w:val="single" w:sz="8" w:space="0" w:color="000000"/>
              <w:right w:val="single" w:sz="4" w:space="0" w:color="auto"/>
            </w:tcBorders>
            <w:vAlign w:val="center"/>
            <w:hideMark/>
          </w:tcPr>
          <w:p w:rsidR="00B21853" w:rsidRPr="00A841E7" w:rsidRDefault="00B21853" w:rsidP="005658EF">
            <w:pPr>
              <w:spacing w:after="0" w:line="480" w:lineRule="auto"/>
              <w:rPr>
                <w:rFonts w:ascii="Times New Roman" w:eastAsia="Times New Roman" w:hAnsi="Times New Roman" w:cs="Times New Roman"/>
                <w:sz w:val="20"/>
                <w:szCs w:val="20"/>
                <w:lang w:eastAsia="en-GB"/>
              </w:rPr>
            </w:pPr>
          </w:p>
        </w:tc>
        <w:tc>
          <w:tcPr>
            <w:tcW w:w="2586" w:type="dxa"/>
            <w:tcBorders>
              <w:top w:val="nil"/>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Amoxicillin</w:t>
            </w:r>
          </w:p>
        </w:tc>
        <w:tc>
          <w:tcPr>
            <w:tcW w:w="1329" w:type="dxa"/>
            <w:tcBorders>
              <w:top w:val="nil"/>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Gentamicin</w:t>
            </w:r>
          </w:p>
        </w:tc>
        <w:tc>
          <w:tcPr>
            <w:tcW w:w="1079" w:type="dxa"/>
            <w:tcBorders>
              <w:top w:val="nil"/>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876</w:t>
            </w:r>
          </w:p>
        </w:tc>
        <w:tc>
          <w:tcPr>
            <w:tcW w:w="1620" w:type="dxa"/>
            <w:tcBorders>
              <w:top w:val="nil"/>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770</w:t>
            </w:r>
          </w:p>
        </w:tc>
        <w:tc>
          <w:tcPr>
            <w:tcW w:w="1701" w:type="dxa"/>
            <w:tcBorders>
              <w:top w:val="nil"/>
              <w:left w:val="nil"/>
              <w:bottom w:val="single" w:sz="4" w:space="0" w:color="auto"/>
              <w:right w:val="single" w:sz="8"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88 (86-90)</w:t>
            </w:r>
          </w:p>
        </w:tc>
      </w:tr>
      <w:tr w:rsidR="00A841E7" w:rsidRPr="00A841E7" w:rsidTr="00F172CF">
        <w:trPr>
          <w:trHeight w:val="315"/>
        </w:trPr>
        <w:tc>
          <w:tcPr>
            <w:tcW w:w="765" w:type="dxa"/>
            <w:vMerge/>
            <w:tcBorders>
              <w:top w:val="nil"/>
              <w:left w:val="single" w:sz="8" w:space="0" w:color="auto"/>
              <w:bottom w:val="single" w:sz="8" w:space="0" w:color="000000"/>
              <w:right w:val="single" w:sz="4" w:space="0" w:color="auto"/>
            </w:tcBorders>
            <w:vAlign w:val="center"/>
            <w:hideMark/>
          </w:tcPr>
          <w:p w:rsidR="00B21853" w:rsidRPr="00A841E7" w:rsidRDefault="00B21853" w:rsidP="005658EF">
            <w:pPr>
              <w:spacing w:after="0" w:line="480" w:lineRule="auto"/>
              <w:rPr>
                <w:rFonts w:ascii="Times New Roman" w:eastAsia="Times New Roman" w:hAnsi="Times New Roman" w:cs="Times New Roman"/>
                <w:sz w:val="20"/>
                <w:szCs w:val="20"/>
                <w:lang w:eastAsia="en-GB"/>
              </w:rPr>
            </w:pPr>
          </w:p>
        </w:tc>
        <w:tc>
          <w:tcPr>
            <w:tcW w:w="2586" w:type="dxa"/>
            <w:tcBorders>
              <w:top w:val="nil"/>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Piperacillin/</w:t>
            </w:r>
            <w:proofErr w:type="spellStart"/>
            <w:r w:rsidRPr="00A841E7">
              <w:rPr>
                <w:rFonts w:ascii="Times New Roman" w:eastAsia="Times New Roman" w:hAnsi="Times New Roman" w:cs="Times New Roman"/>
                <w:sz w:val="20"/>
                <w:szCs w:val="20"/>
                <w:lang w:eastAsia="en-GB"/>
              </w:rPr>
              <w:t>Tazobactam</w:t>
            </w:r>
            <w:proofErr w:type="spellEnd"/>
          </w:p>
        </w:tc>
        <w:tc>
          <w:tcPr>
            <w:tcW w:w="1329" w:type="dxa"/>
            <w:tcBorders>
              <w:top w:val="nil"/>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Gentamicin</w:t>
            </w:r>
          </w:p>
        </w:tc>
        <w:tc>
          <w:tcPr>
            <w:tcW w:w="1079" w:type="dxa"/>
            <w:tcBorders>
              <w:top w:val="nil"/>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317</w:t>
            </w:r>
          </w:p>
        </w:tc>
        <w:tc>
          <w:tcPr>
            <w:tcW w:w="1620" w:type="dxa"/>
            <w:tcBorders>
              <w:top w:val="nil"/>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279</w:t>
            </w:r>
          </w:p>
        </w:tc>
        <w:tc>
          <w:tcPr>
            <w:tcW w:w="1701" w:type="dxa"/>
            <w:tcBorders>
              <w:top w:val="nil"/>
              <w:left w:val="nil"/>
              <w:bottom w:val="single" w:sz="4" w:space="0" w:color="auto"/>
              <w:right w:val="single" w:sz="8"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88 (84-91)</w:t>
            </w:r>
          </w:p>
        </w:tc>
      </w:tr>
      <w:tr w:rsidR="00A841E7" w:rsidRPr="00A841E7" w:rsidTr="00F172CF">
        <w:trPr>
          <w:trHeight w:val="300"/>
        </w:trPr>
        <w:tc>
          <w:tcPr>
            <w:tcW w:w="765" w:type="dxa"/>
            <w:vMerge/>
            <w:tcBorders>
              <w:top w:val="nil"/>
              <w:left w:val="single" w:sz="8" w:space="0" w:color="auto"/>
              <w:bottom w:val="single" w:sz="8" w:space="0" w:color="000000"/>
              <w:right w:val="single" w:sz="4" w:space="0" w:color="auto"/>
            </w:tcBorders>
            <w:vAlign w:val="center"/>
            <w:hideMark/>
          </w:tcPr>
          <w:p w:rsidR="00B21853" w:rsidRPr="00A841E7" w:rsidRDefault="00B21853" w:rsidP="005658EF">
            <w:pPr>
              <w:spacing w:after="0" w:line="480" w:lineRule="auto"/>
              <w:rPr>
                <w:rFonts w:ascii="Times New Roman" w:eastAsia="Times New Roman" w:hAnsi="Times New Roman" w:cs="Times New Roman"/>
                <w:sz w:val="20"/>
                <w:szCs w:val="20"/>
                <w:lang w:eastAsia="en-GB"/>
              </w:rPr>
            </w:pPr>
          </w:p>
        </w:tc>
        <w:tc>
          <w:tcPr>
            <w:tcW w:w="2586" w:type="dxa"/>
            <w:tcBorders>
              <w:top w:val="nil"/>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Vancomycin</w:t>
            </w:r>
          </w:p>
        </w:tc>
        <w:tc>
          <w:tcPr>
            <w:tcW w:w="1329" w:type="dxa"/>
            <w:tcBorders>
              <w:top w:val="nil"/>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Cefotaxime</w:t>
            </w:r>
          </w:p>
        </w:tc>
        <w:tc>
          <w:tcPr>
            <w:tcW w:w="1079" w:type="dxa"/>
            <w:tcBorders>
              <w:top w:val="nil"/>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763</w:t>
            </w:r>
          </w:p>
        </w:tc>
        <w:tc>
          <w:tcPr>
            <w:tcW w:w="1620" w:type="dxa"/>
            <w:tcBorders>
              <w:top w:val="nil"/>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700</w:t>
            </w:r>
          </w:p>
        </w:tc>
        <w:tc>
          <w:tcPr>
            <w:tcW w:w="1701" w:type="dxa"/>
            <w:tcBorders>
              <w:top w:val="nil"/>
              <w:left w:val="nil"/>
              <w:bottom w:val="single" w:sz="4" w:space="0" w:color="auto"/>
              <w:right w:val="single" w:sz="8"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92 (90-94)</w:t>
            </w:r>
          </w:p>
        </w:tc>
      </w:tr>
      <w:tr w:rsidR="00A841E7" w:rsidRPr="00A841E7" w:rsidTr="00F172CF">
        <w:trPr>
          <w:trHeight w:val="315"/>
        </w:trPr>
        <w:tc>
          <w:tcPr>
            <w:tcW w:w="765" w:type="dxa"/>
            <w:vMerge/>
            <w:tcBorders>
              <w:top w:val="nil"/>
              <w:left w:val="single" w:sz="8" w:space="0" w:color="auto"/>
              <w:bottom w:val="single" w:sz="8" w:space="0" w:color="000000"/>
              <w:right w:val="single" w:sz="4" w:space="0" w:color="auto"/>
            </w:tcBorders>
            <w:vAlign w:val="center"/>
            <w:hideMark/>
          </w:tcPr>
          <w:p w:rsidR="00B21853" w:rsidRPr="00A841E7" w:rsidRDefault="00B21853" w:rsidP="005658EF">
            <w:pPr>
              <w:spacing w:after="0" w:line="480" w:lineRule="auto"/>
              <w:rPr>
                <w:rFonts w:ascii="Times New Roman" w:eastAsia="Times New Roman" w:hAnsi="Times New Roman" w:cs="Times New Roman"/>
                <w:sz w:val="20"/>
                <w:szCs w:val="20"/>
                <w:lang w:eastAsia="en-GB"/>
              </w:rPr>
            </w:pPr>
          </w:p>
        </w:tc>
        <w:tc>
          <w:tcPr>
            <w:tcW w:w="39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Cefotaxime</w:t>
            </w:r>
          </w:p>
        </w:tc>
        <w:tc>
          <w:tcPr>
            <w:tcW w:w="1079" w:type="dxa"/>
            <w:tcBorders>
              <w:top w:val="nil"/>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538</w:t>
            </w:r>
          </w:p>
        </w:tc>
        <w:tc>
          <w:tcPr>
            <w:tcW w:w="1620" w:type="dxa"/>
            <w:tcBorders>
              <w:top w:val="nil"/>
              <w:left w:val="nil"/>
              <w:bottom w:val="single" w:sz="4"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475</w:t>
            </w:r>
          </w:p>
        </w:tc>
        <w:tc>
          <w:tcPr>
            <w:tcW w:w="1701" w:type="dxa"/>
            <w:tcBorders>
              <w:top w:val="nil"/>
              <w:left w:val="nil"/>
              <w:bottom w:val="single" w:sz="4" w:space="0" w:color="auto"/>
              <w:right w:val="single" w:sz="8"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88 (85-91)</w:t>
            </w:r>
          </w:p>
        </w:tc>
      </w:tr>
      <w:tr w:rsidR="00A841E7" w:rsidRPr="00A841E7" w:rsidTr="00F172CF">
        <w:trPr>
          <w:trHeight w:val="315"/>
        </w:trPr>
        <w:tc>
          <w:tcPr>
            <w:tcW w:w="765" w:type="dxa"/>
            <w:vMerge/>
            <w:tcBorders>
              <w:top w:val="nil"/>
              <w:left w:val="single" w:sz="8" w:space="0" w:color="auto"/>
              <w:bottom w:val="single" w:sz="8" w:space="0" w:color="000000"/>
              <w:right w:val="single" w:sz="4" w:space="0" w:color="auto"/>
            </w:tcBorders>
            <w:vAlign w:val="center"/>
            <w:hideMark/>
          </w:tcPr>
          <w:p w:rsidR="00B21853" w:rsidRPr="00A841E7" w:rsidRDefault="00B21853" w:rsidP="005658EF">
            <w:pPr>
              <w:spacing w:after="0" w:line="480" w:lineRule="auto"/>
              <w:rPr>
                <w:rFonts w:ascii="Times New Roman" w:eastAsia="Times New Roman" w:hAnsi="Times New Roman" w:cs="Times New Roman"/>
                <w:sz w:val="20"/>
                <w:szCs w:val="20"/>
                <w:lang w:eastAsia="en-GB"/>
              </w:rPr>
            </w:pPr>
          </w:p>
        </w:tc>
        <w:tc>
          <w:tcPr>
            <w:tcW w:w="3915" w:type="dxa"/>
            <w:gridSpan w:val="2"/>
            <w:tcBorders>
              <w:top w:val="single" w:sz="4" w:space="0" w:color="auto"/>
              <w:left w:val="nil"/>
              <w:bottom w:val="single" w:sz="8"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Amoxicillin &amp; Clavulanic acid</w:t>
            </w:r>
          </w:p>
        </w:tc>
        <w:tc>
          <w:tcPr>
            <w:tcW w:w="1079" w:type="dxa"/>
            <w:tcBorders>
              <w:top w:val="nil"/>
              <w:left w:val="nil"/>
              <w:bottom w:val="single" w:sz="8"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657</w:t>
            </w:r>
          </w:p>
        </w:tc>
        <w:tc>
          <w:tcPr>
            <w:tcW w:w="1620" w:type="dxa"/>
            <w:tcBorders>
              <w:top w:val="nil"/>
              <w:left w:val="nil"/>
              <w:bottom w:val="single" w:sz="8" w:space="0" w:color="auto"/>
              <w:right w:val="single" w:sz="4"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526</w:t>
            </w:r>
          </w:p>
        </w:tc>
        <w:tc>
          <w:tcPr>
            <w:tcW w:w="1701" w:type="dxa"/>
            <w:tcBorders>
              <w:top w:val="nil"/>
              <w:left w:val="nil"/>
              <w:bottom w:val="single" w:sz="8" w:space="0" w:color="auto"/>
              <w:right w:val="single" w:sz="8" w:space="0" w:color="auto"/>
            </w:tcBorders>
            <w:shd w:val="clear" w:color="auto" w:fill="auto"/>
            <w:noWrap/>
            <w:vAlign w:val="center"/>
            <w:hideMark/>
          </w:tcPr>
          <w:p w:rsidR="00B21853" w:rsidRPr="00A841E7" w:rsidRDefault="00B21853" w:rsidP="005658EF">
            <w:pPr>
              <w:spacing w:after="0" w:line="480" w:lineRule="auto"/>
              <w:jc w:val="center"/>
              <w:rPr>
                <w:rFonts w:ascii="Times New Roman" w:eastAsia="Times New Roman" w:hAnsi="Times New Roman" w:cs="Times New Roman"/>
                <w:sz w:val="20"/>
                <w:szCs w:val="20"/>
                <w:lang w:eastAsia="en-GB"/>
              </w:rPr>
            </w:pPr>
            <w:r w:rsidRPr="00A841E7">
              <w:rPr>
                <w:rFonts w:ascii="Times New Roman" w:eastAsia="Times New Roman" w:hAnsi="Times New Roman" w:cs="Times New Roman"/>
                <w:sz w:val="20"/>
                <w:szCs w:val="20"/>
                <w:lang w:eastAsia="en-GB"/>
              </w:rPr>
              <w:t>80 (77-83)</w:t>
            </w:r>
          </w:p>
        </w:tc>
      </w:tr>
    </w:tbl>
    <w:p w:rsidR="00B21853" w:rsidRPr="00A841E7" w:rsidRDefault="00B21853" w:rsidP="005658EF">
      <w:pPr>
        <w:spacing w:after="160" w:line="480" w:lineRule="auto"/>
        <w:rPr>
          <w:rFonts w:ascii="Times New Roman" w:hAnsi="Times New Roman" w:cs="Times New Roman"/>
          <w:b/>
          <w:sz w:val="20"/>
          <w:szCs w:val="20"/>
        </w:rPr>
      </w:pPr>
    </w:p>
    <w:p w:rsidR="00B21853" w:rsidRPr="00A841E7" w:rsidRDefault="00B21853" w:rsidP="00777D6B">
      <w:pPr>
        <w:pStyle w:val="CommentText"/>
        <w:spacing w:line="480" w:lineRule="auto"/>
        <w:rPr>
          <w:rFonts w:ascii="Times New Roman" w:hAnsi="Times New Roman" w:cs="Times New Roman"/>
          <w:sz w:val="20"/>
          <w:szCs w:val="20"/>
        </w:rPr>
      </w:pPr>
      <w:r w:rsidRPr="00A841E7">
        <w:rPr>
          <w:rFonts w:ascii="Times New Roman" w:hAnsi="Times New Roman" w:cs="Times New Roman"/>
          <w:b/>
          <w:sz w:val="20"/>
          <w:szCs w:val="20"/>
        </w:rPr>
        <w:t xml:space="preserve">Table 2: Susceptibility of pathogens to commonly used antimicrobial combinations. </w:t>
      </w:r>
      <w:r w:rsidR="00777D6B" w:rsidRPr="00A841E7">
        <w:rPr>
          <w:rFonts w:ascii="Times New Roman" w:hAnsi="Times New Roman" w:cs="Times New Roman"/>
          <w:sz w:val="20"/>
          <w:szCs w:val="20"/>
        </w:rPr>
        <w:t xml:space="preserve">Susceptibility levels (%) of early onset and late onset pathogens in the neonIN cohort to commonly used antibiotic combinations for the treatment of neonatal sepsis. Cefotaxime monotherapy demonstrated the highest rate of susceptibility for early onset pathogens (98%), whilst the two most commonly used empiric combinations, </w:t>
      </w:r>
      <w:proofErr w:type="spellStart"/>
      <w:r w:rsidR="00777D6B" w:rsidRPr="00A841E7">
        <w:rPr>
          <w:rFonts w:ascii="Times New Roman" w:hAnsi="Times New Roman" w:cs="Times New Roman"/>
          <w:sz w:val="20"/>
          <w:szCs w:val="20"/>
        </w:rPr>
        <w:t>benzylpenicillin</w:t>
      </w:r>
      <w:proofErr w:type="spellEnd"/>
      <w:r w:rsidR="00777D6B" w:rsidRPr="00A841E7">
        <w:rPr>
          <w:rFonts w:ascii="Times New Roman" w:hAnsi="Times New Roman" w:cs="Times New Roman"/>
          <w:sz w:val="20"/>
          <w:szCs w:val="20"/>
        </w:rPr>
        <w:t xml:space="preserve"> and gentamicin or amoxicillin and cefotaxime, demonstrated rates of 93% and 95% respectively.  A combination of vancomycin and cefotaxime displayed the highest rates of microbial susceptibility among late onset pathogens (91%) with the commonly prescribed combination of flucloxacillin and gentamicin demonstrating the second highest rate of coverage (89%). # = Number of isolates, % = Percentage of isolates, EOS = Early onset sepsis, LOS = Late onset sepsis. 95% CI = 95% confidence interval.</w:t>
      </w:r>
      <w:r w:rsidRPr="00A841E7">
        <w:rPr>
          <w:rFonts w:ascii="Times New Roman" w:hAnsi="Times New Roman" w:cs="Times New Roman"/>
          <w:sz w:val="20"/>
          <w:szCs w:val="20"/>
        </w:rPr>
        <w:br/>
        <w:t>*Please note that while it may seem counter-intuitive that these figures should differ, this is due to the fact that isolates where testing is done for one antibiotic in a combination but not the other are marked as susceptible or resistant according to that agent. Therefore the difference between cefotaxime monotherapy and an amoxicillin and cefotaxime combination is due to isolates labelled as resistant to amoxicillin and for which cefotaxime is untested. As such the isolate is labeled as resistant to the amoxicillin and cefotaxime combination but ‘not tested’ for cefotaxime monotherapy.</w:t>
      </w:r>
      <w:r w:rsidR="00B967EE" w:rsidRPr="00A841E7">
        <w:rPr>
          <w:rFonts w:ascii="Times New Roman" w:hAnsi="Times New Roman" w:cs="Times New Roman"/>
          <w:sz w:val="20"/>
          <w:szCs w:val="20"/>
        </w:rPr>
        <w:t xml:space="preserve"> </w:t>
      </w:r>
      <w:r w:rsidRPr="00A841E7">
        <w:rPr>
          <w:rFonts w:ascii="Times New Roman" w:hAnsi="Times New Roman" w:cs="Times New Roman"/>
          <w:b/>
          <w:sz w:val="20"/>
          <w:szCs w:val="20"/>
        </w:rPr>
        <w:br w:type="page"/>
      </w:r>
    </w:p>
    <w:p w:rsidR="00B21853" w:rsidRPr="00A841E7" w:rsidRDefault="00B21853" w:rsidP="005658EF">
      <w:pPr>
        <w:spacing w:line="480" w:lineRule="auto"/>
        <w:rPr>
          <w:rFonts w:ascii="Times New Roman" w:hAnsi="Times New Roman" w:cs="Times New Roman"/>
          <w:sz w:val="20"/>
          <w:szCs w:val="20"/>
          <w:lang w:val="en-GB"/>
        </w:rPr>
      </w:pPr>
      <w:r w:rsidRPr="00A841E7">
        <w:rPr>
          <w:rFonts w:ascii="Times New Roman" w:hAnsi="Times New Roman" w:cs="Times New Roman"/>
          <w:sz w:val="20"/>
          <w:szCs w:val="20"/>
        </w:rPr>
        <w:t>(a)</w:t>
      </w:r>
    </w:p>
    <w:tbl>
      <w:tblPr>
        <w:tblStyle w:val="TableGrid"/>
        <w:tblW w:w="9042" w:type="dxa"/>
        <w:jc w:val="center"/>
        <w:tblLayout w:type="fixed"/>
        <w:tblLook w:val="04A0" w:firstRow="1" w:lastRow="0" w:firstColumn="1" w:lastColumn="0" w:noHBand="0" w:noVBand="1"/>
      </w:tblPr>
      <w:tblGrid>
        <w:gridCol w:w="2238"/>
        <w:gridCol w:w="1301"/>
        <w:gridCol w:w="1134"/>
        <w:gridCol w:w="1701"/>
        <w:gridCol w:w="967"/>
        <w:gridCol w:w="1701"/>
      </w:tblGrid>
      <w:tr w:rsidR="00A841E7" w:rsidRPr="00A841E7" w:rsidTr="00F172CF">
        <w:trPr>
          <w:trHeight w:val="380"/>
          <w:jc w:val="center"/>
        </w:trPr>
        <w:tc>
          <w:tcPr>
            <w:tcW w:w="2238" w:type="dxa"/>
            <w:vMerge w:val="restart"/>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Pathogen</w:t>
            </w:r>
          </w:p>
        </w:tc>
        <w:tc>
          <w:tcPr>
            <w:tcW w:w="1301" w:type="dxa"/>
            <w:vMerge w:val="restart"/>
            <w:tcBorders>
              <w:top w:val="single" w:sz="4" w:space="0" w:color="auto"/>
              <w:left w:val="single" w:sz="4" w:space="0" w:color="auto"/>
              <w:right w:val="single" w:sz="4" w:space="0" w:color="auto"/>
            </w:tcBorders>
            <w:vAlign w:val="center"/>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 of all EOS isolates</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proofErr w:type="spellStart"/>
            <w:r w:rsidRPr="00A841E7">
              <w:rPr>
                <w:rFonts w:ascii="Times New Roman" w:hAnsi="Times New Roman" w:cs="Times New Roman"/>
                <w:sz w:val="20"/>
                <w:szCs w:val="20"/>
              </w:rPr>
              <w:t>Benzylpenicillin</w:t>
            </w:r>
            <w:proofErr w:type="spellEnd"/>
            <w:r w:rsidRPr="00A841E7">
              <w:rPr>
                <w:rFonts w:ascii="Times New Roman" w:hAnsi="Times New Roman" w:cs="Times New Roman"/>
                <w:sz w:val="20"/>
                <w:szCs w:val="20"/>
              </w:rPr>
              <w:t xml:space="preserve"> &amp; Gentamicin</w:t>
            </w:r>
          </w:p>
        </w:tc>
        <w:tc>
          <w:tcPr>
            <w:tcW w:w="2668" w:type="dxa"/>
            <w:gridSpan w:val="2"/>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Amoxicillin &amp; Cefotaxime</w:t>
            </w:r>
          </w:p>
        </w:tc>
      </w:tr>
      <w:tr w:rsidR="00A841E7" w:rsidRPr="00A841E7" w:rsidTr="00F172CF">
        <w:trPr>
          <w:trHeight w:val="380"/>
          <w:jc w:val="center"/>
        </w:trPr>
        <w:tc>
          <w:tcPr>
            <w:tcW w:w="2238" w:type="dxa"/>
            <w:vMerge/>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rPr>
                <w:rFonts w:ascii="Times New Roman" w:hAnsi="Times New Roman" w:cs="Times New Roman"/>
                <w:sz w:val="20"/>
                <w:szCs w:val="20"/>
              </w:rPr>
            </w:pPr>
          </w:p>
        </w:tc>
        <w:tc>
          <w:tcPr>
            <w:tcW w:w="1301" w:type="dxa"/>
            <w:vMerge/>
            <w:tcBorders>
              <w:left w:val="single" w:sz="4" w:space="0" w:color="auto"/>
              <w:bottom w:val="single" w:sz="4" w:space="0" w:color="auto"/>
              <w:right w:val="single" w:sz="4" w:space="0" w:color="auto"/>
            </w:tcBorders>
          </w:tcPr>
          <w:p w:rsidR="00B21853" w:rsidRPr="00A841E7" w:rsidRDefault="00B21853" w:rsidP="005658EF">
            <w:pPr>
              <w:spacing w:line="48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 Tested</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 Susceptible</w:t>
            </w:r>
          </w:p>
        </w:tc>
        <w:tc>
          <w:tcPr>
            <w:tcW w:w="967"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 Tested</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 Susceptible</w:t>
            </w:r>
          </w:p>
        </w:tc>
      </w:tr>
      <w:tr w:rsidR="00A841E7" w:rsidRPr="00A841E7" w:rsidTr="00F172CF">
        <w:trPr>
          <w:trHeight w:val="380"/>
          <w:jc w:val="center"/>
        </w:trPr>
        <w:tc>
          <w:tcPr>
            <w:tcW w:w="2238"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Group B Streptococcus</w:t>
            </w:r>
          </w:p>
        </w:tc>
        <w:tc>
          <w:tcPr>
            <w:tcW w:w="1301" w:type="dxa"/>
            <w:tcBorders>
              <w:top w:val="single" w:sz="4" w:space="0" w:color="auto"/>
              <w:left w:val="single" w:sz="4" w:space="0" w:color="auto"/>
              <w:bottom w:val="single" w:sz="4" w:space="0" w:color="auto"/>
              <w:right w:val="single" w:sz="4" w:space="0" w:color="auto"/>
            </w:tcBorders>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106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99</w:t>
            </w:r>
          </w:p>
        </w:tc>
        <w:tc>
          <w:tcPr>
            <w:tcW w:w="967"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110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99</w:t>
            </w:r>
          </w:p>
        </w:tc>
      </w:tr>
      <w:tr w:rsidR="00A841E7" w:rsidRPr="00A841E7" w:rsidTr="00F172CF">
        <w:trPr>
          <w:trHeight w:val="380"/>
          <w:jc w:val="center"/>
        </w:trPr>
        <w:tc>
          <w:tcPr>
            <w:tcW w:w="2238"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i/>
                <w:sz w:val="20"/>
                <w:szCs w:val="20"/>
              </w:rPr>
            </w:pPr>
            <w:r w:rsidRPr="00A841E7">
              <w:rPr>
                <w:rFonts w:ascii="Times New Roman" w:hAnsi="Times New Roman" w:cs="Times New Roman"/>
                <w:i/>
                <w:sz w:val="20"/>
                <w:szCs w:val="20"/>
              </w:rPr>
              <w:t>E.coli</w:t>
            </w:r>
          </w:p>
        </w:tc>
        <w:tc>
          <w:tcPr>
            <w:tcW w:w="1301" w:type="dxa"/>
            <w:tcBorders>
              <w:top w:val="single" w:sz="4" w:space="0" w:color="auto"/>
              <w:left w:val="single" w:sz="4" w:space="0" w:color="auto"/>
              <w:bottom w:val="single" w:sz="4" w:space="0" w:color="auto"/>
              <w:right w:val="single" w:sz="4" w:space="0" w:color="auto"/>
            </w:tcBorders>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65</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94</w:t>
            </w:r>
          </w:p>
        </w:tc>
        <w:tc>
          <w:tcPr>
            <w:tcW w:w="967"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63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90</w:t>
            </w:r>
          </w:p>
        </w:tc>
      </w:tr>
      <w:tr w:rsidR="00A841E7" w:rsidRPr="00A841E7" w:rsidTr="00F172CF">
        <w:trPr>
          <w:trHeight w:val="363"/>
          <w:jc w:val="center"/>
        </w:trPr>
        <w:tc>
          <w:tcPr>
            <w:tcW w:w="2238"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i/>
                <w:sz w:val="20"/>
                <w:szCs w:val="20"/>
              </w:rPr>
              <w:t>Streptococcus</w:t>
            </w:r>
            <w:r w:rsidRPr="00A841E7">
              <w:rPr>
                <w:rFonts w:ascii="Times New Roman" w:hAnsi="Times New Roman" w:cs="Times New Roman"/>
                <w:sz w:val="20"/>
                <w:szCs w:val="20"/>
              </w:rPr>
              <w:t xml:space="preserve"> sp.</w:t>
            </w:r>
          </w:p>
        </w:tc>
        <w:tc>
          <w:tcPr>
            <w:tcW w:w="1301" w:type="dxa"/>
            <w:tcBorders>
              <w:top w:val="single" w:sz="4" w:space="0" w:color="auto"/>
              <w:left w:val="single" w:sz="4" w:space="0" w:color="auto"/>
              <w:bottom w:val="single" w:sz="4" w:space="0" w:color="auto"/>
              <w:right w:val="single" w:sz="4" w:space="0" w:color="auto"/>
            </w:tcBorders>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28</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100</w:t>
            </w:r>
          </w:p>
        </w:tc>
        <w:tc>
          <w:tcPr>
            <w:tcW w:w="967"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95</w:t>
            </w:r>
          </w:p>
        </w:tc>
      </w:tr>
      <w:tr w:rsidR="00A841E7" w:rsidRPr="00A841E7" w:rsidTr="00F172CF">
        <w:trPr>
          <w:trHeight w:val="380"/>
          <w:jc w:val="center"/>
        </w:trPr>
        <w:tc>
          <w:tcPr>
            <w:tcW w:w="2238" w:type="dxa"/>
            <w:tcBorders>
              <w:top w:val="single" w:sz="4" w:space="0" w:color="auto"/>
              <w:left w:val="single" w:sz="4" w:space="0" w:color="auto"/>
              <w:bottom w:val="single" w:sz="4" w:space="0" w:color="auto"/>
              <w:right w:val="single" w:sz="4" w:space="0" w:color="auto"/>
            </w:tcBorders>
            <w:vAlign w:val="center"/>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i/>
                <w:sz w:val="20"/>
                <w:szCs w:val="20"/>
              </w:rPr>
              <w:t>Micrococcus</w:t>
            </w:r>
            <w:r w:rsidRPr="00A841E7">
              <w:rPr>
                <w:rFonts w:ascii="Times New Roman" w:hAnsi="Times New Roman" w:cs="Times New Roman"/>
                <w:sz w:val="20"/>
                <w:szCs w:val="20"/>
              </w:rPr>
              <w:t xml:space="preserve"> sp.</w:t>
            </w:r>
          </w:p>
        </w:tc>
        <w:tc>
          <w:tcPr>
            <w:tcW w:w="1301" w:type="dxa"/>
            <w:tcBorders>
              <w:top w:val="single" w:sz="4" w:space="0" w:color="auto"/>
              <w:left w:val="single" w:sz="4" w:space="0" w:color="auto"/>
              <w:bottom w:val="single" w:sz="4" w:space="0" w:color="auto"/>
              <w:right w:val="single" w:sz="4" w:space="0" w:color="auto"/>
            </w:tcBorders>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100</w:t>
            </w:r>
          </w:p>
        </w:tc>
        <w:tc>
          <w:tcPr>
            <w:tcW w:w="967" w:type="dxa"/>
            <w:tcBorders>
              <w:top w:val="single" w:sz="4" w:space="0" w:color="auto"/>
              <w:left w:val="single" w:sz="4" w:space="0" w:color="auto"/>
              <w:bottom w:val="single" w:sz="4" w:space="0" w:color="auto"/>
              <w:right w:val="single" w:sz="4" w:space="0" w:color="auto"/>
            </w:tcBorders>
            <w:vAlign w:val="center"/>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N/A</w:t>
            </w:r>
          </w:p>
        </w:tc>
      </w:tr>
      <w:tr w:rsidR="00B21853" w:rsidRPr="00A841E7" w:rsidTr="00F172CF">
        <w:trPr>
          <w:trHeight w:val="363"/>
          <w:jc w:val="center"/>
        </w:trPr>
        <w:tc>
          <w:tcPr>
            <w:tcW w:w="2238"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i/>
                <w:sz w:val="20"/>
                <w:szCs w:val="20"/>
              </w:rPr>
              <w:t>Enterococcus</w:t>
            </w:r>
            <w:r w:rsidRPr="00A841E7">
              <w:rPr>
                <w:rFonts w:ascii="Times New Roman" w:hAnsi="Times New Roman" w:cs="Times New Roman"/>
                <w:sz w:val="20"/>
                <w:szCs w:val="20"/>
              </w:rPr>
              <w:t xml:space="preserve"> sp.</w:t>
            </w:r>
          </w:p>
        </w:tc>
        <w:tc>
          <w:tcPr>
            <w:tcW w:w="1301" w:type="dxa"/>
            <w:tcBorders>
              <w:top w:val="single" w:sz="4" w:space="0" w:color="auto"/>
              <w:left w:val="single" w:sz="4" w:space="0" w:color="auto"/>
              <w:bottom w:val="single" w:sz="4" w:space="0" w:color="auto"/>
              <w:right w:val="single" w:sz="4" w:space="0" w:color="auto"/>
            </w:tcBorders>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33</w:t>
            </w:r>
          </w:p>
        </w:tc>
        <w:tc>
          <w:tcPr>
            <w:tcW w:w="967"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93</w:t>
            </w:r>
          </w:p>
        </w:tc>
      </w:tr>
    </w:tbl>
    <w:p w:rsidR="00B21853" w:rsidRPr="00A841E7" w:rsidRDefault="00B21853" w:rsidP="005658EF">
      <w:pPr>
        <w:spacing w:line="480" w:lineRule="auto"/>
        <w:rPr>
          <w:rFonts w:ascii="Times New Roman" w:hAnsi="Times New Roman" w:cs="Times New Roman"/>
          <w:b/>
          <w:sz w:val="20"/>
          <w:szCs w:val="20"/>
          <w:u w:val="single"/>
        </w:rPr>
      </w:pPr>
    </w:p>
    <w:p w:rsidR="00B21853" w:rsidRPr="00A841E7" w:rsidRDefault="00B21853" w:rsidP="005658EF">
      <w:pPr>
        <w:spacing w:line="480" w:lineRule="auto"/>
        <w:rPr>
          <w:rFonts w:ascii="Times New Roman" w:hAnsi="Times New Roman" w:cs="Times New Roman"/>
          <w:sz w:val="20"/>
          <w:szCs w:val="20"/>
        </w:rPr>
      </w:pPr>
      <w:r w:rsidRPr="00A841E7">
        <w:rPr>
          <w:rFonts w:ascii="Times New Roman" w:hAnsi="Times New Roman" w:cs="Times New Roman"/>
          <w:sz w:val="20"/>
          <w:szCs w:val="20"/>
        </w:rPr>
        <w:t xml:space="preserve">(b) </w:t>
      </w:r>
    </w:p>
    <w:tbl>
      <w:tblPr>
        <w:tblStyle w:val="TableGrid"/>
        <w:tblW w:w="0" w:type="auto"/>
        <w:tblLook w:val="04A0" w:firstRow="1" w:lastRow="0" w:firstColumn="1" w:lastColumn="0" w:noHBand="0" w:noVBand="1"/>
      </w:tblPr>
      <w:tblGrid>
        <w:gridCol w:w="1690"/>
        <w:gridCol w:w="1896"/>
        <w:gridCol w:w="1216"/>
        <w:gridCol w:w="1484"/>
        <w:gridCol w:w="1243"/>
        <w:gridCol w:w="1487"/>
      </w:tblGrid>
      <w:tr w:rsidR="00A841E7" w:rsidRPr="00A841E7" w:rsidTr="00F172CF">
        <w:tc>
          <w:tcPr>
            <w:tcW w:w="1690" w:type="dxa"/>
            <w:vMerge w:val="restart"/>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Pathogen</w:t>
            </w:r>
          </w:p>
        </w:tc>
        <w:tc>
          <w:tcPr>
            <w:tcW w:w="1896" w:type="dxa"/>
            <w:vMerge w:val="restart"/>
            <w:tcBorders>
              <w:top w:val="single" w:sz="4" w:space="0" w:color="auto"/>
              <w:left w:val="single" w:sz="4" w:space="0" w:color="auto"/>
              <w:right w:val="single" w:sz="4" w:space="0" w:color="auto"/>
            </w:tcBorders>
            <w:vAlign w:val="center"/>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 of all LOS isolates</w:t>
            </w:r>
          </w:p>
        </w:tc>
        <w:tc>
          <w:tcPr>
            <w:tcW w:w="2700" w:type="dxa"/>
            <w:gridSpan w:val="2"/>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Flucloxacillin &amp; Gentamicin</w:t>
            </w:r>
          </w:p>
        </w:tc>
        <w:tc>
          <w:tcPr>
            <w:tcW w:w="2730" w:type="dxa"/>
            <w:gridSpan w:val="2"/>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Amoxicillin &amp; Cefotaxime</w:t>
            </w:r>
          </w:p>
        </w:tc>
      </w:tr>
      <w:tr w:rsidR="00A841E7" w:rsidRPr="00A841E7" w:rsidTr="00F172CF">
        <w:tc>
          <w:tcPr>
            <w:tcW w:w="1690" w:type="dxa"/>
            <w:vMerge/>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rPr>
                <w:rFonts w:ascii="Times New Roman" w:hAnsi="Times New Roman" w:cs="Times New Roman"/>
                <w:sz w:val="20"/>
                <w:szCs w:val="20"/>
              </w:rPr>
            </w:pPr>
          </w:p>
        </w:tc>
        <w:tc>
          <w:tcPr>
            <w:tcW w:w="1896" w:type="dxa"/>
            <w:vMerge/>
            <w:tcBorders>
              <w:left w:val="single" w:sz="4" w:space="0" w:color="auto"/>
              <w:bottom w:val="single" w:sz="4" w:space="0" w:color="auto"/>
              <w:right w:val="single" w:sz="4" w:space="0" w:color="auto"/>
            </w:tcBorders>
            <w:vAlign w:val="center"/>
          </w:tcPr>
          <w:p w:rsidR="00B21853" w:rsidRPr="00A841E7" w:rsidRDefault="00B21853" w:rsidP="005658EF">
            <w:pPr>
              <w:spacing w:line="480" w:lineRule="auto"/>
              <w:jc w:val="center"/>
              <w:rPr>
                <w:rFonts w:ascii="Times New Roman" w:hAnsi="Times New Roman" w:cs="Times New Roman"/>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 Tested</w:t>
            </w:r>
          </w:p>
        </w:tc>
        <w:tc>
          <w:tcPr>
            <w:tcW w:w="1484"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 Susceptible</w:t>
            </w:r>
          </w:p>
        </w:tc>
        <w:tc>
          <w:tcPr>
            <w:tcW w:w="1243"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 Tested</w:t>
            </w:r>
          </w:p>
        </w:tc>
        <w:tc>
          <w:tcPr>
            <w:tcW w:w="1487"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 Susceptible</w:t>
            </w:r>
          </w:p>
        </w:tc>
      </w:tr>
      <w:tr w:rsidR="00A841E7" w:rsidRPr="00A841E7" w:rsidTr="00F172CF">
        <w:tc>
          <w:tcPr>
            <w:tcW w:w="1690"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i/>
                <w:sz w:val="20"/>
                <w:szCs w:val="20"/>
              </w:rPr>
              <w:t>Enterococcus</w:t>
            </w:r>
            <w:r w:rsidRPr="00A841E7">
              <w:rPr>
                <w:rFonts w:ascii="Times New Roman" w:hAnsi="Times New Roman" w:cs="Times New Roman"/>
                <w:sz w:val="20"/>
                <w:szCs w:val="20"/>
              </w:rPr>
              <w:t xml:space="preserve"> sp.</w:t>
            </w:r>
          </w:p>
        </w:tc>
        <w:tc>
          <w:tcPr>
            <w:tcW w:w="1896" w:type="dxa"/>
            <w:tcBorders>
              <w:top w:val="single" w:sz="4" w:space="0" w:color="auto"/>
              <w:left w:val="single" w:sz="4" w:space="0" w:color="auto"/>
              <w:bottom w:val="single" w:sz="4" w:space="0" w:color="auto"/>
              <w:right w:val="single" w:sz="4" w:space="0" w:color="auto"/>
            </w:tcBorders>
            <w:vAlign w:val="center"/>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17%</w:t>
            </w:r>
          </w:p>
        </w:tc>
        <w:tc>
          <w:tcPr>
            <w:tcW w:w="1216"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22</w:t>
            </w:r>
          </w:p>
        </w:tc>
        <w:tc>
          <w:tcPr>
            <w:tcW w:w="1484"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7C49B0"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0</w:t>
            </w:r>
          </w:p>
        </w:tc>
        <w:tc>
          <w:tcPr>
            <w:tcW w:w="1243"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177</w:t>
            </w:r>
          </w:p>
        </w:tc>
        <w:tc>
          <w:tcPr>
            <w:tcW w:w="1487"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95</w:t>
            </w:r>
          </w:p>
        </w:tc>
      </w:tr>
      <w:tr w:rsidR="00A841E7" w:rsidRPr="00A841E7" w:rsidTr="00F172CF">
        <w:tc>
          <w:tcPr>
            <w:tcW w:w="1690"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i/>
                <w:sz w:val="20"/>
                <w:szCs w:val="20"/>
              </w:rPr>
            </w:pPr>
            <w:r w:rsidRPr="00A841E7">
              <w:rPr>
                <w:rFonts w:ascii="Times New Roman" w:hAnsi="Times New Roman" w:cs="Times New Roman"/>
                <w:i/>
                <w:sz w:val="20"/>
                <w:szCs w:val="20"/>
              </w:rPr>
              <w:t>E.coli</w:t>
            </w:r>
          </w:p>
        </w:tc>
        <w:tc>
          <w:tcPr>
            <w:tcW w:w="1896" w:type="dxa"/>
            <w:tcBorders>
              <w:top w:val="single" w:sz="4" w:space="0" w:color="auto"/>
              <w:left w:val="single" w:sz="4" w:space="0" w:color="auto"/>
              <w:bottom w:val="single" w:sz="4" w:space="0" w:color="auto"/>
              <w:right w:val="single" w:sz="4" w:space="0" w:color="auto"/>
            </w:tcBorders>
            <w:vAlign w:val="center"/>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16%</w:t>
            </w:r>
          </w:p>
        </w:tc>
        <w:tc>
          <w:tcPr>
            <w:tcW w:w="1216"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186</w:t>
            </w:r>
          </w:p>
        </w:tc>
        <w:tc>
          <w:tcPr>
            <w:tcW w:w="1484"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84</w:t>
            </w:r>
          </w:p>
        </w:tc>
        <w:tc>
          <w:tcPr>
            <w:tcW w:w="1243"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180</w:t>
            </w:r>
          </w:p>
        </w:tc>
        <w:tc>
          <w:tcPr>
            <w:tcW w:w="1487"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86</w:t>
            </w:r>
          </w:p>
        </w:tc>
      </w:tr>
      <w:tr w:rsidR="00A841E7" w:rsidRPr="00A841E7" w:rsidTr="00F172CF">
        <w:tc>
          <w:tcPr>
            <w:tcW w:w="1690"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i/>
                <w:sz w:val="20"/>
                <w:szCs w:val="20"/>
              </w:rPr>
            </w:pPr>
            <w:proofErr w:type="spellStart"/>
            <w:r w:rsidRPr="00A841E7">
              <w:rPr>
                <w:rFonts w:ascii="Times New Roman" w:hAnsi="Times New Roman" w:cs="Times New Roman"/>
                <w:i/>
                <w:sz w:val="20"/>
                <w:szCs w:val="20"/>
              </w:rPr>
              <w:t>S.aureus</w:t>
            </w:r>
            <w:proofErr w:type="spellEnd"/>
          </w:p>
        </w:tc>
        <w:tc>
          <w:tcPr>
            <w:tcW w:w="1896" w:type="dxa"/>
            <w:tcBorders>
              <w:top w:val="single" w:sz="4" w:space="0" w:color="auto"/>
              <w:left w:val="single" w:sz="4" w:space="0" w:color="auto"/>
              <w:bottom w:val="single" w:sz="4" w:space="0" w:color="auto"/>
              <w:right w:val="single" w:sz="4" w:space="0" w:color="auto"/>
            </w:tcBorders>
            <w:vAlign w:val="center"/>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16%</w:t>
            </w:r>
          </w:p>
        </w:tc>
        <w:tc>
          <w:tcPr>
            <w:tcW w:w="1216"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160</w:t>
            </w:r>
          </w:p>
        </w:tc>
        <w:tc>
          <w:tcPr>
            <w:tcW w:w="1484"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98</w:t>
            </w:r>
          </w:p>
        </w:tc>
        <w:tc>
          <w:tcPr>
            <w:tcW w:w="1243"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2</w:t>
            </w:r>
          </w:p>
        </w:tc>
        <w:tc>
          <w:tcPr>
            <w:tcW w:w="1487"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50</w:t>
            </w:r>
          </w:p>
        </w:tc>
      </w:tr>
      <w:tr w:rsidR="00A841E7" w:rsidRPr="00A841E7" w:rsidTr="00F172CF">
        <w:tc>
          <w:tcPr>
            <w:tcW w:w="1690"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proofErr w:type="spellStart"/>
            <w:r w:rsidRPr="00A841E7">
              <w:rPr>
                <w:rFonts w:ascii="Times New Roman" w:hAnsi="Times New Roman" w:cs="Times New Roman"/>
                <w:i/>
                <w:sz w:val="20"/>
                <w:szCs w:val="20"/>
              </w:rPr>
              <w:t>Klebsiella</w:t>
            </w:r>
            <w:proofErr w:type="spellEnd"/>
            <w:r w:rsidRPr="00A841E7">
              <w:rPr>
                <w:rFonts w:ascii="Times New Roman" w:hAnsi="Times New Roman" w:cs="Times New Roman"/>
                <w:sz w:val="20"/>
                <w:szCs w:val="20"/>
              </w:rPr>
              <w:t xml:space="preserve"> sp.</w:t>
            </w:r>
          </w:p>
        </w:tc>
        <w:tc>
          <w:tcPr>
            <w:tcW w:w="1896" w:type="dxa"/>
            <w:tcBorders>
              <w:top w:val="single" w:sz="4" w:space="0" w:color="auto"/>
              <w:left w:val="single" w:sz="4" w:space="0" w:color="auto"/>
              <w:bottom w:val="single" w:sz="4" w:space="0" w:color="auto"/>
              <w:right w:val="single" w:sz="4" w:space="0" w:color="auto"/>
            </w:tcBorders>
            <w:vAlign w:val="center"/>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11%</w:t>
            </w:r>
          </w:p>
        </w:tc>
        <w:tc>
          <w:tcPr>
            <w:tcW w:w="1216"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134</w:t>
            </w:r>
          </w:p>
        </w:tc>
        <w:tc>
          <w:tcPr>
            <w:tcW w:w="1484"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92</w:t>
            </w:r>
          </w:p>
        </w:tc>
        <w:tc>
          <w:tcPr>
            <w:tcW w:w="1243"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137</w:t>
            </w:r>
          </w:p>
        </w:tc>
        <w:tc>
          <w:tcPr>
            <w:tcW w:w="1487"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88</w:t>
            </w:r>
          </w:p>
        </w:tc>
      </w:tr>
      <w:tr w:rsidR="00A841E7" w:rsidRPr="00A841E7" w:rsidTr="00F172CF">
        <w:tc>
          <w:tcPr>
            <w:tcW w:w="1690"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i/>
                <w:sz w:val="20"/>
                <w:szCs w:val="20"/>
              </w:rPr>
              <w:t>Enterobacter</w:t>
            </w:r>
            <w:r w:rsidRPr="00A841E7">
              <w:rPr>
                <w:rFonts w:ascii="Times New Roman" w:hAnsi="Times New Roman" w:cs="Times New Roman"/>
                <w:sz w:val="20"/>
                <w:szCs w:val="20"/>
              </w:rPr>
              <w:t xml:space="preserve"> sp.</w:t>
            </w:r>
          </w:p>
        </w:tc>
        <w:tc>
          <w:tcPr>
            <w:tcW w:w="1896" w:type="dxa"/>
            <w:tcBorders>
              <w:top w:val="single" w:sz="4" w:space="0" w:color="auto"/>
              <w:left w:val="single" w:sz="4" w:space="0" w:color="auto"/>
              <w:bottom w:val="single" w:sz="4" w:space="0" w:color="auto"/>
              <w:right w:val="single" w:sz="4" w:space="0" w:color="auto"/>
            </w:tcBorders>
            <w:vAlign w:val="center"/>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9%</w:t>
            </w:r>
          </w:p>
        </w:tc>
        <w:tc>
          <w:tcPr>
            <w:tcW w:w="1216"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106</w:t>
            </w:r>
          </w:p>
        </w:tc>
        <w:tc>
          <w:tcPr>
            <w:tcW w:w="1484"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82</w:t>
            </w:r>
          </w:p>
        </w:tc>
        <w:tc>
          <w:tcPr>
            <w:tcW w:w="1243"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99</w:t>
            </w:r>
          </w:p>
        </w:tc>
        <w:tc>
          <w:tcPr>
            <w:tcW w:w="1487" w:type="dxa"/>
            <w:tcBorders>
              <w:top w:val="single" w:sz="4" w:space="0" w:color="auto"/>
              <w:left w:val="single" w:sz="4" w:space="0" w:color="auto"/>
              <w:bottom w:val="single" w:sz="4" w:space="0" w:color="auto"/>
              <w:right w:val="single" w:sz="4" w:space="0" w:color="auto"/>
            </w:tcBorders>
            <w:vAlign w:val="center"/>
            <w:hideMark/>
          </w:tcPr>
          <w:p w:rsidR="00B21853" w:rsidRPr="00A841E7" w:rsidRDefault="00B21853" w:rsidP="005658EF">
            <w:pPr>
              <w:spacing w:line="480" w:lineRule="auto"/>
              <w:jc w:val="center"/>
              <w:rPr>
                <w:rFonts w:ascii="Times New Roman" w:hAnsi="Times New Roman" w:cs="Times New Roman"/>
                <w:sz w:val="20"/>
                <w:szCs w:val="20"/>
              </w:rPr>
            </w:pPr>
            <w:r w:rsidRPr="00A841E7">
              <w:rPr>
                <w:rFonts w:ascii="Times New Roman" w:hAnsi="Times New Roman" w:cs="Times New Roman"/>
                <w:sz w:val="20"/>
                <w:szCs w:val="20"/>
              </w:rPr>
              <w:t>59</w:t>
            </w:r>
          </w:p>
        </w:tc>
      </w:tr>
    </w:tbl>
    <w:p w:rsidR="00B21853" w:rsidRPr="00A841E7" w:rsidRDefault="00B21853" w:rsidP="005658EF">
      <w:pPr>
        <w:spacing w:after="160" w:line="480" w:lineRule="auto"/>
        <w:rPr>
          <w:rFonts w:ascii="Times New Roman" w:hAnsi="Times New Roman" w:cs="Times New Roman"/>
          <w:b/>
          <w:sz w:val="20"/>
          <w:szCs w:val="20"/>
        </w:rPr>
      </w:pPr>
    </w:p>
    <w:p w:rsidR="00D960BD" w:rsidRPr="00A841E7" w:rsidRDefault="00B21853" w:rsidP="00F04862">
      <w:pPr>
        <w:spacing w:after="160" w:line="480" w:lineRule="auto"/>
        <w:rPr>
          <w:rFonts w:ascii="Times New Roman" w:hAnsi="Times New Roman" w:cs="Times New Roman"/>
          <w:sz w:val="20"/>
          <w:szCs w:val="20"/>
        </w:rPr>
      </w:pPr>
      <w:r w:rsidRPr="00A841E7">
        <w:rPr>
          <w:rFonts w:ascii="Times New Roman" w:hAnsi="Times New Roman" w:cs="Times New Roman"/>
          <w:b/>
          <w:sz w:val="20"/>
          <w:szCs w:val="20"/>
        </w:rPr>
        <w:t>Table 3: Susceptibility of the 5 most common pathogens causing neonatal sepsis to BNFC-recommended antimicrobial combinations for a) early-onset sepsis and b) late-onset sepsis.</w:t>
      </w:r>
      <w:r w:rsidR="00777D6B" w:rsidRPr="00A841E7">
        <w:rPr>
          <w:rFonts w:ascii="Times New Roman" w:hAnsi="Times New Roman" w:cs="Times New Roman"/>
          <w:b/>
          <w:sz w:val="20"/>
          <w:szCs w:val="20"/>
        </w:rPr>
        <w:t xml:space="preserve"> </w:t>
      </w:r>
      <w:r w:rsidR="00777D6B" w:rsidRPr="00A841E7">
        <w:rPr>
          <w:rFonts w:ascii="Times New Roman" w:hAnsi="Times New Roman" w:cs="Times New Roman"/>
          <w:sz w:val="20"/>
          <w:szCs w:val="20"/>
        </w:rPr>
        <w:t xml:space="preserve">Number of isolates tested and susceptibility rate for the most prevalent pathogens of both (a) early-onset and (b) late-onset sepsis. Almost all the most common pathogens of early onset sepsis demonstrated high levels (&gt;=90%) of susceptibility to both first-line antimicrobial combinations.  </w:t>
      </w:r>
      <w:r w:rsidR="007C49B0" w:rsidRPr="00A841E7">
        <w:rPr>
          <w:rFonts w:ascii="Times New Roman" w:hAnsi="Times New Roman" w:cs="Times New Roman"/>
          <w:sz w:val="20"/>
          <w:szCs w:val="20"/>
        </w:rPr>
        <w:t>A</w:t>
      </w:r>
      <w:r w:rsidR="00777D6B" w:rsidRPr="00A841E7">
        <w:rPr>
          <w:rFonts w:ascii="Times New Roman" w:hAnsi="Times New Roman" w:cs="Times New Roman"/>
          <w:sz w:val="20"/>
          <w:szCs w:val="20"/>
        </w:rPr>
        <w:t>pproximately 15% of E.coli isolates displayed resistance to both late-onset sepsis combinations.  # = Number of isolates, % = Percentage of isolates.</w:t>
      </w:r>
    </w:p>
    <w:p w:rsidR="00D960BD" w:rsidRPr="00A841E7" w:rsidRDefault="00D960BD" w:rsidP="005658EF">
      <w:pPr>
        <w:spacing w:line="480" w:lineRule="auto"/>
        <w:rPr>
          <w:rFonts w:ascii="Times New Roman" w:hAnsi="Times New Roman" w:cs="Times New Roman"/>
          <w:b/>
          <w:sz w:val="20"/>
          <w:szCs w:val="20"/>
        </w:rPr>
      </w:pPr>
    </w:p>
    <w:p w:rsidR="00B21853" w:rsidRPr="00A841E7" w:rsidRDefault="00B21853" w:rsidP="005658EF">
      <w:pPr>
        <w:spacing w:after="160" w:line="480" w:lineRule="auto"/>
        <w:rPr>
          <w:rFonts w:ascii="Times New Roman" w:hAnsi="Times New Roman" w:cs="Times New Roman"/>
          <w:b/>
          <w:sz w:val="20"/>
          <w:szCs w:val="20"/>
        </w:rPr>
      </w:pPr>
    </w:p>
    <w:p w:rsidR="007B010D" w:rsidRPr="00A841E7" w:rsidRDefault="00B21853" w:rsidP="00F04862">
      <w:pPr>
        <w:spacing w:line="480" w:lineRule="auto"/>
        <w:rPr>
          <w:b/>
          <w:u w:val="single"/>
        </w:rPr>
      </w:pPr>
      <w:r w:rsidRPr="00A841E7">
        <w:rPr>
          <w:rFonts w:ascii="Times New Roman" w:hAnsi="Times New Roman" w:cs="Times New Roman"/>
          <w:b/>
          <w:sz w:val="20"/>
          <w:szCs w:val="20"/>
        </w:rPr>
        <w:br w:type="page"/>
      </w:r>
      <w:r w:rsidR="007B010D" w:rsidRPr="00A841E7">
        <w:rPr>
          <w:b/>
          <w:u w:val="single"/>
        </w:rPr>
        <w:t>Associated ‘Boxes’ of Background Information</w:t>
      </w:r>
    </w:p>
    <w:p w:rsidR="007B010D" w:rsidRPr="00A841E7" w:rsidRDefault="007B010D" w:rsidP="005658EF">
      <w:pPr>
        <w:spacing w:line="480" w:lineRule="auto"/>
        <w:rPr>
          <w:b/>
        </w:rPr>
      </w:pPr>
      <w:r w:rsidRPr="00A841E7">
        <w:rPr>
          <w:b/>
        </w:rPr>
        <w:t xml:space="preserve">What is already known on this </w:t>
      </w:r>
      <w:proofErr w:type="gramStart"/>
      <w:r w:rsidRPr="00A841E7">
        <w:rPr>
          <w:b/>
        </w:rPr>
        <w:t>topic:</w:t>
      </w:r>
      <w:proofErr w:type="gramEnd"/>
    </w:p>
    <w:p w:rsidR="00277BF4" w:rsidRPr="00A841E7" w:rsidRDefault="00277BF4" w:rsidP="00277BF4">
      <w:pPr>
        <w:pStyle w:val="ListParagraph"/>
        <w:numPr>
          <w:ilvl w:val="0"/>
          <w:numId w:val="1"/>
        </w:numPr>
        <w:spacing w:line="480" w:lineRule="auto"/>
      </w:pPr>
      <w:r w:rsidRPr="00A841E7">
        <w:t>Neonates with presumed sepsis require empiric</w:t>
      </w:r>
      <w:r w:rsidR="00D96F80" w:rsidRPr="00A841E7">
        <w:t xml:space="preserve"> antibiotic</w:t>
      </w:r>
      <w:r w:rsidRPr="00A841E7">
        <w:t xml:space="preserve"> treatment </w:t>
      </w:r>
      <w:r w:rsidR="00D96F80" w:rsidRPr="00A841E7">
        <w:t>before</w:t>
      </w:r>
      <w:r w:rsidRPr="00A841E7">
        <w:t xml:space="preserve"> definitive culture results </w:t>
      </w:r>
      <w:r w:rsidR="00D96F80" w:rsidRPr="00A841E7">
        <w:t>are available. A</w:t>
      </w:r>
      <w:r w:rsidRPr="00A841E7">
        <w:t xml:space="preserve"> thorough understanding of epidemiology and resistance patterns is</w:t>
      </w:r>
      <w:r w:rsidR="00D96F80" w:rsidRPr="00A841E7">
        <w:t xml:space="preserve"> therefore</w:t>
      </w:r>
      <w:r w:rsidRPr="00A841E7">
        <w:t xml:space="preserve"> imperative.</w:t>
      </w:r>
    </w:p>
    <w:p w:rsidR="007B010D" w:rsidRPr="00A841E7" w:rsidRDefault="007B010D" w:rsidP="005658EF">
      <w:pPr>
        <w:pStyle w:val="ListParagraph"/>
        <w:numPr>
          <w:ilvl w:val="0"/>
          <w:numId w:val="1"/>
        </w:numPr>
        <w:spacing w:line="480" w:lineRule="auto"/>
      </w:pPr>
      <w:r w:rsidRPr="00A841E7">
        <w:t xml:space="preserve">The development and spread of antimicrobial resistance is an important issue in modern medicine. </w:t>
      </w:r>
    </w:p>
    <w:p w:rsidR="007B010D" w:rsidRPr="00A841E7" w:rsidRDefault="007B010D" w:rsidP="005658EF">
      <w:pPr>
        <w:pStyle w:val="ListParagraph"/>
        <w:numPr>
          <w:ilvl w:val="0"/>
          <w:numId w:val="1"/>
        </w:numPr>
        <w:spacing w:line="480" w:lineRule="auto"/>
      </w:pPr>
      <w:r w:rsidRPr="00A841E7">
        <w:t>There is a paucity of new antibiotics to replace the current agents should they be rendered obsolete reinforcing the importance of choosing empiric combinations wisely.</w:t>
      </w:r>
    </w:p>
    <w:p w:rsidR="007B010D" w:rsidRPr="00A841E7" w:rsidRDefault="007B010D" w:rsidP="005658EF">
      <w:pPr>
        <w:spacing w:line="480" w:lineRule="auto"/>
      </w:pPr>
      <w:r w:rsidRPr="00A841E7">
        <w:rPr>
          <w:b/>
        </w:rPr>
        <w:t>What this study adds:</w:t>
      </w:r>
    </w:p>
    <w:p w:rsidR="0032007C" w:rsidRDefault="00D96F80" w:rsidP="005658EF">
      <w:pPr>
        <w:pStyle w:val="ListParagraph"/>
        <w:numPr>
          <w:ilvl w:val="0"/>
          <w:numId w:val="1"/>
        </w:numPr>
        <w:spacing w:line="480" w:lineRule="auto"/>
      </w:pPr>
      <w:r w:rsidRPr="00A841E7">
        <w:t xml:space="preserve">A </w:t>
      </w:r>
      <w:proofErr w:type="spellStart"/>
      <w:r w:rsidRPr="00A841E7">
        <w:t>benzylpenicillin</w:t>
      </w:r>
      <w:proofErr w:type="spellEnd"/>
      <w:r w:rsidRPr="00A841E7">
        <w:t xml:space="preserve"> and gentamicin combination has very high coverage of EOS pathogens in infants &gt;</w:t>
      </w:r>
      <w:r w:rsidR="0032007C">
        <w:t>32 weeks or &gt;1500g.</w:t>
      </w:r>
    </w:p>
    <w:p w:rsidR="00D96F80" w:rsidRPr="00A841E7" w:rsidRDefault="0032007C" w:rsidP="005658EF">
      <w:pPr>
        <w:pStyle w:val="ListParagraph"/>
        <w:numPr>
          <w:ilvl w:val="0"/>
          <w:numId w:val="1"/>
        </w:numPr>
        <w:spacing w:line="480" w:lineRule="auto"/>
      </w:pPr>
      <w:r>
        <w:t>F</w:t>
      </w:r>
      <w:r w:rsidR="00D96F80" w:rsidRPr="00A841E7">
        <w:t>or infants of lower gestation and birthweight, the combination of amoxicillin and gentamicin may provide better coverage.</w:t>
      </w:r>
    </w:p>
    <w:p w:rsidR="00D96F80" w:rsidRPr="00A841E7" w:rsidRDefault="00D96F80" w:rsidP="00D96F80">
      <w:pPr>
        <w:pStyle w:val="ListParagraph"/>
        <w:numPr>
          <w:ilvl w:val="0"/>
          <w:numId w:val="1"/>
        </w:numPr>
        <w:spacing w:line="480" w:lineRule="auto"/>
      </w:pPr>
      <w:r w:rsidRPr="00A841E7">
        <w:t xml:space="preserve">Clinicians should be vigilant in their assessment of the clinical effectiveness of the antimicrobial combination chosen in an individual neonate. </w:t>
      </w:r>
    </w:p>
    <w:sectPr w:rsidR="00D96F80" w:rsidRPr="00A841E7" w:rsidSect="001D20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D7E2F"/>
    <w:multiLevelType w:val="hybridMultilevel"/>
    <w:tmpl w:val="59989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F007C8"/>
    <w:multiLevelType w:val="hybridMultilevel"/>
    <w:tmpl w:val="CA6ABC3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180"/>
      </w:pPr>
      <w:rPr>
        <w:rFonts w:ascii="Wingdings" w:hAnsi="Wingding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B010D"/>
    <w:rsid w:val="00046A4C"/>
    <w:rsid w:val="0007178E"/>
    <w:rsid w:val="00095F98"/>
    <w:rsid w:val="000B56F2"/>
    <w:rsid w:val="000E3507"/>
    <w:rsid w:val="001D20F5"/>
    <w:rsid w:val="001F49F6"/>
    <w:rsid w:val="00221142"/>
    <w:rsid w:val="00234C41"/>
    <w:rsid w:val="00277BF4"/>
    <w:rsid w:val="00293EF4"/>
    <w:rsid w:val="002A0305"/>
    <w:rsid w:val="0030699D"/>
    <w:rsid w:val="0032007C"/>
    <w:rsid w:val="00343843"/>
    <w:rsid w:val="00381EE3"/>
    <w:rsid w:val="00395B61"/>
    <w:rsid w:val="003A678F"/>
    <w:rsid w:val="003C44FB"/>
    <w:rsid w:val="003F3A66"/>
    <w:rsid w:val="004141F1"/>
    <w:rsid w:val="004644FD"/>
    <w:rsid w:val="00497870"/>
    <w:rsid w:val="004C5BE9"/>
    <w:rsid w:val="005311D8"/>
    <w:rsid w:val="005312C2"/>
    <w:rsid w:val="005658EF"/>
    <w:rsid w:val="005912CB"/>
    <w:rsid w:val="00596D57"/>
    <w:rsid w:val="005B422E"/>
    <w:rsid w:val="005E0434"/>
    <w:rsid w:val="005E7D52"/>
    <w:rsid w:val="00600B44"/>
    <w:rsid w:val="0060396B"/>
    <w:rsid w:val="00645F67"/>
    <w:rsid w:val="006622C9"/>
    <w:rsid w:val="00683FED"/>
    <w:rsid w:val="006D7428"/>
    <w:rsid w:val="006E39EB"/>
    <w:rsid w:val="00753806"/>
    <w:rsid w:val="00777D6B"/>
    <w:rsid w:val="00790062"/>
    <w:rsid w:val="007B010D"/>
    <w:rsid w:val="007C49B0"/>
    <w:rsid w:val="008623C4"/>
    <w:rsid w:val="00897B17"/>
    <w:rsid w:val="0091001F"/>
    <w:rsid w:val="00920B19"/>
    <w:rsid w:val="00921986"/>
    <w:rsid w:val="00953323"/>
    <w:rsid w:val="009B2940"/>
    <w:rsid w:val="009C7A2C"/>
    <w:rsid w:val="009D6DE6"/>
    <w:rsid w:val="00A233D3"/>
    <w:rsid w:val="00A54A3B"/>
    <w:rsid w:val="00A841E7"/>
    <w:rsid w:val="00A85D7C"/>
    <w:rsid w:val="00AC4221"/>
    <w:rsid w:val="00B03874"/>
    <w:rsid w:val="00B21853"/>
    <w:rsid w:val="00B25D75"/>
    <w:rsid w:val="00B4515C"/>
    <w:rsid w:val="00B657CD"/>
    <w:rsid w:val="00B77B98"/>
    <w:rsid w:val="00B967EE"/>
    <w:rsid w:val="00BD5024"/>
    <w:rsid w:val="00BE605F"/>
    <w:rsid w:val="00BE7EDD"/>
    <w:rsid w:val="00BF7FE2"/>
    <w:rsid w:val="00C25421"/>
    <w:rsid w:val="00C26FD4"/>
    <w:rsid w:val="00C93AD8"/>
    <w:rsid w:val="00CF3268"/>
    <w:rsid w:val="00D316A1"/>
    <w:rsid w:val="00D37CF2"/>
    <w:rsid w:val="00D960BD"/>
    <w:rsid w:val="00D96F80"/>
    <w:rsid w:val="00DC147C"/>
    <w:rsid w:val="00DC593A"/>
    <w:rsid w:val="00DD50B8"/>
    <w:rsid w:val="00E12549"/>
    <w:rsid w:val="00E42C9A"/>
    <w:rsid w:val="00E5365C"/>
    <w:rsid w:val="00EB15F4"/>
    <w:rsid w:val="00F04862"/>
    <w:rsid w:val="00F16F78"/>
    <w:rsid w:val="00F4167B"/>
    <w:rsid w:val="00F51292"/>
    <w:rsid w:val="00F920B3"/>
    <w:rsid w:val="00FB7360"/>
    <w:rsid w:val="00FD47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899E25-CD91-4486-9F3E-DD19EA22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10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7B010D"/>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B010D"/>
    <w:rPr>
      <w:rFonts w:ascii="Calibri" w:hAnsi="Calibri"/>
      <w:noProof/>
      <w:lang w:val="en-US"/>
    </w:rPr>
  </w:style>
  <w:style w:type="paragraph" w:customStyle="1" w:styleId="EndNoteBibliographyTitle">
    <w:name w:val="EndNote Bibliography Title"/>
    <w:basedOn w:val="Normal"/>
    <w:link w:val="EndNoteBibliographyTitleChar"/>
    <w:rsid w:val="007B010D"/>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B010D"/>
    <w:rPr>
      <w:rFonts w:ascii="Calibri" w:hAnsi="Calibri"/>
      <w:noProof/>
      <w:lang w:val="en-US"/>
    </w:rPr>
  </w:style>
  <w:style w:type="paragraph" w:styleId="BalloonText">
    <w:name w:val="Balloon Text"/>
    <w:basedOn w:val="Normal"/>
    <w:link w:val="BalloonTextChar"/>
    <w:uiPriority w:val="99"/>
    <w:semiHidden/>
    <w:unhideWhenUsed/>
    <w:rsid w:val="007B0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10D"/>
    <w:rPr>
      <w:rFonts w:ascii="Segoe UI" w:hAnsi="Segoe UI" w:cs="Segoe UI"/>
      <w:sz w:val="18"/>
      <w:szCs w:val="18"/>
      <w:lang w:val="en-US"/>
    </w:rPr>
  </w:style>
  <w:style w:type="table" w:styleId="TableGrid">
    <w:name w:val="Table Grid"/>
    <w:basedOn w:val="TableNormal"/>
    <w:uiPriority w:val="59"/>
    <w:rsid w:val="007B01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010D"/>
    <w:rPr>
      <w:color w:val="0000FF" w:themeColor="hyperlink"/>
      <w:u w:val="single"/>
    </w:rPr>
  </w:style>
  <w:style w:type="paragraph" w:styleId="Header">
    <w:name w:val="header"/>
    <w:basedOn w:val="Normal"/>
    <w:link w:val="HeaderChar"/>
    <w:uiPriority w:val="99"/>
    <w:unhideWhenUsed/>
    <w:rsid w:val="007B01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10D"/>
    <w:rPr>
      <w:lang w:val="en-US"/>
    </w:rPr>
  </w:style>
  <w:style w:type="paragraph" w:styleId="Footer">
    <w:name w:val="footer"/>
    <w:basedOn w:val="Normal"/>
    <w:link w:val="FooterChar"/>
    <w:uiPriority w:val="99"/>
    <w:unhideWhenUsed/>
    <w:rsid w:val="007B0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10D"/>
    <w:rPr>
      <w:lang w:val="en-US"/>
    </w:rPr>
  </w:style>
  <w:style w:type="paragraph" w:styleId="CommentText">
    <w:name w:val="annotation text"/>
    <w:basedOn w:val="Normal"/>
    <w:link w:val="CommentTextChar"/>
    <w:uiPriority w:val="99"/>
    <w:unhideWhenUsed/>
    <w:rsid w:val="007B010D"/>
    <w:pPr>
      <w:spacing w:line="240" w:lineRule="auto"/>
    </w:pPr>
    <w:rPr>
      <w:sz w:val="24"/>
      <w:szCs w:val="24"/>
    </w:rPr>
  </w:style>
  <w:style w:type="character" w:customStyle="1" w:styleId="CommentTextChar">
    <w:name w:val="Comment Text Char"/>
    <w:basedOn w:val="DefaultParagraphFont"/>
    <w:link w:val="CommentText"/>
    <w:uiPriority w:val="99"/>
    <w:rsid w:val="007B010D"/>
    <w:rPr>
      <w:sz w:val="24"/>
      <w:szCs w:val="24"/>
      <w:lang w:val="en-US"/>
    </w:rPr>
  </w:style>
  <w:style w:type="paragraph" w:styleId="ListParagraph">
    <w:name w:val="List Paragraph"/>
    <w:basedOn w:val="Normal"/>
    <w:uiPriority w:val="34"/>
    <w:qFormat/>
    <w:rsid w:val="007B010D"/>
    <w:pPr>
      <w:ind w:left="720"/>
      <w:contextualSpacing/>
    </w:pPr>
    <w:rPr>
      <w:lang w:val="en-AU"/>
    </w:rPr>
  </w:style>
  <w:style w:type="character" w:customStyle="1" w:styleId="xbe">
    <w:name w:val="_xbe"/>
    <w:basedOn w:val="DefaultParagraphFont"/>
    <w:rsid w:val="00F92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063059">
      <w:bodyDiv w:val="1"/>
      <w:marLeft w:val="0"/>
      <w:marRight w:val="0"/>
      <w:marTop w:val="0"/>
      <w:marBottom w:val="0"/>
      <w:divBdr>
        <w:top w:val="none" w:sz="0" w:space="0" w:color="auto"/>
        <w:left w:val="none" w:sz="0" w:space="0" w:color="auto"/>
        <w:bottom w:val="none" w:sz="0" w:space="0" w:color="auto"/>
        <w:right w:val="none" w:sz="0" w:space="0" w:color="auto"/>
      </w:divBdr>
    </w:div>
    <w:div w:id="1047025541">
      <w:bodyDiv w:val="1"/>
      <w:marLeft w:val="0"/>
      <w:marRight w:val="0"/>
      <w:marTop w:val="0"/>
      <w:marBottom w:val="0"/>
      <w:divBdr>
        <w:top w:val="none" w:sz="0" w:space="0" w:color="auto"/>
        <w:left w:val="none" w:sz="0" w:space="0" w:color="auto"/>
        <w:bottom w:val="none" w:sz="0" w:space="0" w:color="auto"/>
        <w:right w:val="none" w:sz="0" w:space="0" w:color="auto"/>
      </w:divBdr>
    </w:div>
    <w:div w:id="119950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cailes@sgul.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4562</Words>
  <Characters>26007</Characters>
  <Application>Microsoft Office Word</Application>
  <DocSecurity>4</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Jeremy13</dc:creator>
  <cp:lastModifiedBy>Isabelle Hubbard</cp:lastModifiedBy>
  <cp:revision>2</cp:revision>
  <cp:lastPrinted>2017-08-31T10:25:00Z</cp:lastPrinted>
  <dcterms:created xsi:type="dcterms:W3CDTF">2017-11-08T10:03:00Z</dcterms:created>
  <dcterms:modified xsi:type="dcterms:W3CDTF">2017-11-08T10:03:00Z</dcterms:modified>
</cp:coreProperties>
</file>