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3F" w:rsidRDefault="004E573F" w:rsidP="00C3433B">
      <w:pPr>
        <w:pStyle w:val="NormalWeb"/>
        <w:rPr>
          <w:rFonts w:ascii="Helvetica" w:hAnsi="Helvetica"/>
          <w:b/>
          <w:color w:val="000000"/>
          <w:szCs w:val="27"/>
          <w:u w:val="single"/>
        </w:rPr>
      </w:pPr>
      <w:bookmarkStart w:id="0" w:name="_GoBack"/>
      <w:bookmarkEnd w:id="0"/>
      <w:r>
        <w:rPr>
          <w:rFonts w:ascii="Helvetica" w:hAnsi="Helvetica"/>
          <w:b/>
          <w:color w:val="000000"/>
          <w:szCs w:val="27"/>
          <w:u w:val="single"/>
        </w:rPr>
        <w:t xml:space="preserve">Blood Levels of Sertraline in Patients with Treatment- Refractory Obsessive-Compulsive Disorder (OCD) </w:t>
      </w:r>
    </w:p>
    <w:p w:rsidR="00C3433B" w:rsidRPr="00720720" w:rsidRDefault="00C3433B" w:rsidP="00C3433B">
      <w:pPr>
        <w:pStyle w:val="NormalWeb"/>
        <w:rPr>
          <w:rFonts w:ascii="Helvetica" w:hAnsi="Helvetica"/>
          <w:color w:val="000000"/>
          <w:szCs w:val="27"/>
        </w:rPr>
      </w:pPr>
      <w:r w:rsidRPr="00720720">
        <w:rPr>
          <w:rFonts w:ascii="Helvetica" w:hAnsi="Helvetica"/>
          <w:color w:val="000000"/>
          <w:szCs w:val="27"/>
        </w:rPr>
        <w:t>Lynne M. Drummond</w:t>
      </w:r>
      <w:r w:rsidRPr="001F2556">
        <w:rPr>
          <w:rFonts w:ascii="Helvetica" w:hAnsi="Helvetica"/>
          <w:color w:val="000000"/>
          <w:szCs w:val="27"/>
          <w:vertAlign w:val="superscript"/>
        </w:rPr>
        <w:t>1</w:t>
      </w:r>
      <w:proofErr w:type="gramStart"/>
      <w:r w:rsidRPr="001F2556">
        <w:rPr>
          <w:rFonts w:ascii="Helvetica" w:hAnsi="Helvetica"/>
          <w:color w:val="000000"/>
          <w:szCs w:val="27"/>
          <w:vertAlign w:val="superscript"/>
        </w:rPr>
        <w:t>,2</w:t>
      </w:r>
      <w:proofErr w:type="gramEnd"/>
      <w:r w:rsidR="004E573F">
        <w:rPr>
          <w:rFonts w:ascii="Helvetica" w:hAnsi="Helvetica"/>
          <w:color w:val="000000"/>
          <w:szCs w:val="27"/>
        </w:rPr>
        <w:t xml:space="preserve"> and Robert Vaughan </w:t>
      </w:r>
      <w:r w:rsidR="004E573F" w:rsidRPr="001F2556">
        <w:rPr>
          <w:rFonts w:ascii="Helvetica" w:hAnsi="Helvetica"/>
          <w:color w:val="000000"/>
          <w:szCs w:val="27"/>
          <w:vertAlign w:val="superscript"/>
        </w:rPr>
        <w:t>1</w:t>
      </w:r>
    </w:p>
    <w:p w:rsidR="00C3433B" w:rsidRPr="00720720" w:rsidRDefault="00C3433B" w:rsidP="00C3433B">
      <w:pPr>
        <w:pStyle w:val="NormalWeb"/>
        <w:rPr>
          <w:rFonts w:ascii="Helvetica" w:hAnsi="Helvetica"/>
          <w:b/>
          <w:color w:val="000000"/>
          <w:szCs w:val="27"/>
        </w:rPr>
      </w:pPr>
      <w:r w:rsidRPr="00720720">
        <w:rPr>
          <w:rFonts w:ascii="Helvetica" w:hAnsi="Helvetica"/>
          <w:b/>
          <w:color w:val="000000"/>
          <w:szCs w:val="27"/>
        </w:rPr>
        <w:t>Affiliations:</w:t>
      </w:r>
    </w:p>
    <w:p w:rsidR="00C3433B" w:rsidRDefault="00C3433B" w:rsidP="00C3433B">
      <w:pPr>
        <w:pStyle w:val="NormalWeb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  <w:vertAlign w:val="superscript"/>
        </w:rPr>
        <w:t>1</w:t>
      </w:r>
      <w:r w:rsidRPr="001F2556">
        <w:rPr>
          <w:rFonts w:ascii="Helvetica" w:hAnsi="Helvetica"/>
          <w:color w:val="000000"/>
          <w:szCs w:val="27"/>
          <w:vertAlign w:val="superscript"/>
        </w:rPr>
        <w:t xml:space="preserve"> </w:t>
      </w:r>
      <w:r w:rsidRPr="00720720">
        <w:rPr>
          <w:rFonts w:ascii="Helvetica" w:hAnsi="Helvetica"/>
          <w:color w:val="000000"/>
          <w:szCs w:val="27"/>
        </w:rPr>
        <w:t>St. George’s, University of London, London, SW17 0RE</w:t>
      </w:r>
    </w:p>
    <w:p w:rsidR="00C3433B" w:rsidRPr="00720720" w:rsidRDefault="00C3433B" w:rsidP="00C3433B">
      <w:pPr>
        <w:pStyle w:val="NormalWeb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  <w:vertAlign w:val="superscript"/>
        </w:rPr>
        <w:t xml:space="preserve">2 </w:t>
      </w:r>
      <w:r w:rsidRPr="00720720">
        <w:rPr>
          <w:rFonts w:ascii="Helvetica" w:hAnsi="Helvetica"/>
          <w:color w:val="000000"/>
          <w:szCs w:val="27"/>
        </w:rPr>
        <w:t>National Service for OCD/BDD, South West London and St George’s Mental Health NHS Trust, Glenburnie Road, London, SW17 7DJ</w:t>
      </w:r>
    </w:p>
    <w:p w:rsidR="00C3433B" w:rsidRPr="00720720" w:rsidRDefault="00C3433B" w:rsidP="00C3433B">
      <w:pPr>
        <w:pStyle w:val="NormalWeb"/>
        <w:rPr>
          <w:rFonts w:ascii="Helvetica" w:hAnsi="Helvetica"/>
          <w:color w:val="000000"/>
          <w:szCs w:val="27"/>
        </w:rPr>
      </w:pPr>
      <w:r w:rsidRPr="00720720">
        <w:rPr>
          <w:rFonts w:ascii="Helvetica" w:hAnsi="Helvetica"/>
          <w:b/>
          <w:color w:val="000000"/>
          <w:szCs w:val="27"/>
        </w:rPr>
        <w:t>Competing Interests:</w:t>
      </w:r>
      <w:r w:rsidRPr="00720720">
        <w:rPr>
          <w:rFonts w:ascii="Helvetica" w:hAnsi="Helvetica"/>
          <w:color w:val="000000"/>
          <w:szCs w:val="27"/>
        </w:rPr>
        <w:t xml:space="preserve"> None</w:t>
      </w:r>
    </w:p>
    <w:p w:rsidR="00C3433B" w:rsidRDefault="00C3433B" w:rsidP="00C3433B">
      <w:pPr>
        <w:pStyle w:val="NormalWeb"/>
        <w:contextualSpacing/>
        <w:rPr>
          <w:rFonts w:ascii="Helvetica" w:hAnsi="Helvetica"/>
          <w:b/>
          <w:color w:val="000000"/>
          <w:szCs w:val="27"/>
          <w:u w:val="single"/>
        </w:rPr>
      </w:pPr>
      <w:r w:rsidRPr="00720720">
        <w:rPr>
          <w:rFonts w:ascii="Helvetica" w:hAnsi="Helvetica"/>
          <w:b/>
          <w:color w:val="000000"/>
          <w:szCs w:val="27"/>
          <w:u w:val="single"/>
        </w:rPr>
        <w:t>Abstract:</w:t>
      </w:r>
    </w:p>
    <w:p w:rsidR="005B6DA6" w:rsidRDefault="005B6DA6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C3433B" w:rsidRDefault="00C3433B" w:rsidP="003C046D">
      <w:pPr>
        <w:pStyle w:val="NormalWeb"/>
        <w:contextualSpacing/>
        <w:jc w:val="both"/>
        <w:rPr>
          <w:rFonts w:ascii="Helvetica" w:hAnsi="Helvetica"/>
          <w:b/>
          <w:color w:val="000000"/>
          <w:szCs w:val="27"/>
        </w:rPr>
      </w:pPr>
      <w:r>
        <w:rPr>
          <w:rFonts w:ascii="Helvetica" w:hAnsi="Helvetica"/>
          <w:b/>
          <w:color w:val="000000"/>
          <w:szCs w:val="27"/>
        </w:rPr>
        <w:t>Background:</w:t>
      </w:r>
    </w:p>
    <w:p w:rsidR="00C3433B" w:rsidRDefault="005B6DA6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 xml:space="preserve">Research has repeatedly demonstrated that patient with OCD usually require higher dosages of Serotonin Reuptake Inhibiting drugs than is necessary for the treatment of depression (reference). </w:t>
      </w:r>
      <w:r w:rsidR="00C3433B" w:rsidRPr="00C3433B">
        <w:rPr>
          <w:rFonts w:ascii="Helvetica" w:hAnsi="Helvetica"/>
          <w:color w:val="000000"/>
          <w:szCs w:val="27"/>
        </w:rPr>
        <w:t xml:space="preserve">This observation </w:t>
      </w:r>
      <w:r w:rsidR="00F20F08">
        <w:rPr>
          <w:rFonts w:ascii="Helvetica" w:hAnsi="Helvetica"/>
          <w:color w:val="000000"/>
          <w:szCs w:val="27"/>
        </w:rPr>
        <w:t>resulted in treatment- refractory patients being occasional prescribed selective SRI drugs above the normal upper limit of prescribing</w:t>
      </w:r>
      <w:r>
        <w:rPr>
          <w:rFonts w:ascii="Helvetica" w:hAnsi="Helvetica"/>
          <w:color w:val="000000"/>
          <w:szCs w:val="27"/>
        </w:rPr>
        <w:t xml:space="preserve">. </w:t>
      </w:r>
      <w:proofErr w:type="spellStart"/>
      <w:r w:rsidR="00C3433B">
        <w:rPr>
          <w:rFonts w:ascii="Helvetica" w:hAnsi="Helvetica"/>
          <w:color w:val="000000"/>
          <w:szCs w:val="27"/>
        </w:rPr>
        <w:t>Pampaloni</w:t>
      </w:r>
      <w:proofErr w:type="spellEnd"/>
      <w:r w:rsidR="00C3433B">
        <w:rPr>
          <w:rFonts w:ascii="Helvetica" w:hAnsi="Helvetica"/>
          <w:color w:val="000000"/>
          <w:szCs w:val="27"/>
        </w:rPr>
        <w:t xml:space="preserve"> et al. (2010)</w:t>
      </w:r>
      <w:r w:rsidR="00F20F08">
        <w:rPr>
          <w:rFonts w:ascii="Helvetica" w:hAnsi="Helvetica"/>
          <w:color w:val="000000"/>
          <w:szCs w:val="27"/>
        </w:rPr>
        <w:t xml:space="preserve"> conducted a study on a group of treatment refractory OCD patients and found</w:t>
      </w:r>
      <w:r w:rsidR="00C3433B">
        <w:rPr>
          <w:rFonts w:ascii="Helvetica" w:hAnsi="Helvetica"/>
          <w:color w:val="000000"/>
          <w:szCs w:val="27"/>
        </w:rPr>
        <w:t xml:space="preserve"> that these high doses were well tolerated led to clinical improvement.</w:t>
      </w:r>
    </w:p>
    <w:p w:rsidR="00C3433B" w:rsidRDefault="00C3433B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F20F08" w:rsidRDefault="00F20F08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 xml:space="preserve">We decided to investigate the blood levels of patients on dosages of sertraline that were above the normal therapeutic range. </w:t>
      </w:r>
    </w:p>
    <w:p w:rsidR="00F20F08" w:rsidRDefault="00F20F08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7A30A2" w:rsidRDefault="007A30A2" w:rsidP="003C046D">
      <w:pPr>
        <w:pStyle w:val="NormalWeb"/>
        <w:contextualSpacing/>
        <w:jc w:val="both"/>
        <w:rPr>
          <w:rFonts w:ascii="Helvetica" w:hAnsi="Helvetica"/>
          <w:b/>
          <w:color w:val="000000"/>
          <w:szCs w:val="27"/>
        </w:rPr>
      </w:pPr>
      <w:r w:rsidRPr="00720720">
        <w:rPr>
          <w:rFonts w:ascii="Helvetica" w:hAnsi="Helvetica"/>
          <w:b/>
          <w:color w:val="000000"/>
          <w:szCs w:val="27"/>
        </w:rPr>
        <w:t>Methods</w:t>
      </w:r>
    </w:p>
    <w:p w:rsidR="007A30A2" w:rsidRPr="006B1004" w:rsidRDefault="007A30A2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7A30A2" w:rsidRDefault="00F20F08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 xml:space="preserve">Successive patients treated by the </w:t>
      </w:r>
      <w:r w:rsidR="007A30A2" w:rsidRPr="00720720">
        <w:rPr>
          <w:rFonts w:ascii="Helvetica" w:hAnsi="Helvetica"/>
          <w:color w:val="000000"/>
          <w:szCs w:val="27"/>
        </w:rPr>
        <w:t>National Inpatient Service for OCD/BDD based in South West London and St George’s NHS Trust</w:t>
      </w:r>
      <w:r>
        <w:rPr>
          <w:rFonts w:ascii="Helvetica" w:hAnsi="Helvetica"/>
          <w:color w:val="000000"/>
          <w:szCs w:val="27"/>
        </w:rPr>
        <w:t xml:space="preserve"> were entered into the study if they were treatment refractory and were prescribed dosages of sertraline in excess of the normal dose of 200mg per day. </w:t>
      </w:r>
      <w:r w:rsidR="007A30A2" w:rsidRPr="00720720">
        <w:rPr>
          <w:rFonts w:ascii="Helvetica" w:hAnsi="Helvetica"/>
          <w:color w:val="000000"/>
          <w:szCs w:val="27"/>
        </w:rPr>
        <w:t>. This Unit has been described el</w:t>
      </w:r>
      <w:r w:rsidR="007A30A2">
        <w:rPr>
          <w:rFonts w:ascii="Helvetica" w:hAnsi="Helvetica"/>
          <w:color w:val="000000"/>
          <w:szCs w:val="27"/>
        </w:rPr>
        <w:t>sewhere (Drummond et al., 2012)</w:t>
      </w:r>
      <w:r w:rsidR="007A30A2" w:rsidRPr="00720720">
        <w:rPr>
          <w:rFonts w:ascii="Helvetica" w:hAnsi="Helvetica"/>
          <w:color w:val="000000"/>
          <w:szCs w:val="27"/>
        </w:rPr>
        <w:t>.</w:t>
      </w:r>
      <w:r w:rsidR="007A30A2">
        <w:rPr>
          <w:rFonts w:ascii="Helvetica" w:hAnsi="Helvetica"/>
          <w:color w:val="000000"/>
          <w:szCs w:val="27"/>
        </w:rPr>
        <w:t xml:space="preserve"> </w:t>
      </w:r>
      <w:r>
        <w:rPr>
          <w:rFonts w:ascii="Helvetica" w:hAnsi="Helvetica"/>
          <w:color w:val="000000"/>
          <w:szCs w:val="27"/>
        </w:rPr>
        <w:t xml:space="preserve">All of </w:t>
      </w:r>
      <w:r w:rsidR="007A30A2">
        <w:rPr>
          <w:rFonts w:ascii="Helvetica" w:hAnsi="Helvetica"/>
          <w:color w:val="000000"/>
          <w:szCs w:val="27"/>
        </w:rPr>
        <w:t>the</w:t>
      </w:r>
      <w:r w:rsidR="007A30A2" w:rsidRPr="00720720">
        <w:rPr>
          <w:rFonts w:ascii="Helvetica" w:hAnsi="Helvetica"/>
          <w:color w:val="000000"/>
          <w:szCs w:val="27"/>
        </w:rPr>
        <w:t xml:space="preserve"> patients had previously received at</w:t>
      </w:r>
      <w:r>
        <w:rPr>
          <w:rFonts w:ascii="Helvetica" w:hAnsi="Helvetica"/>
          <w:color w:val="000000"/>
          <w:szCs w:val="27"/>
        </w:rPr>
        <w:t xml:space="preserve"> least two trials of different </w:t>
      </w:r>
      <w:r w:rsidR="007A30A2" w:rsidRPr="00720720">
        <w:rPr>
          <w:rFonts w:ascii="Helvetica" w:hAnsi="Helvetica"/>
          <w:color w:val="000000"/>
          <w:szCs w:val="27"/>
        </w:rPr>
        <w:t>SRIs for a minimum of 3 months each without any resolution of symptoms.</w:t>
      </w:r>
      <w:r w:rsidR="007A30A2">
        <w:rPr>
          <w:rFonts w:ascii="Helvetica" w:hAnsi="Helvetica"/>
          <w:color w:val="000000"/>
          <w:szCs w:val="27"/>
        </w:rPr>
        <w:t xml:space="preserve"> </w:t>
      </w:r>
      <w:r w:rsidR="007A30A2" w:rsidRPr="00720720">
        <w:rPr>
          <w:rFonts w:ascii="Helvetica" w:hAnsi="Helvetica"/>
          <w:color w:val="000000"/>
          <w:szCs w:val="27"/>
        </w:rPr>
        <w:t xml:space="preserve"> In addition, all patients had </w:t>
      </w:r>
      <w:r w:rsidR="00E926BE">
        <w:rPr>
          <w:rFonts w:ascii="Helvetica" w:hAnsi="Helvetica"/>
          <w:color w:val="000000"/>
          <w:szCs w:val="27"/>
        </w:rPr>
        <w:t xml:space="preserve">been offered </w:t>
      </w:r>
      <w:r w:rsidR="007A30A2" w:rsidRPr="00720720">
        <w:rPr>
          <w:rFonts w:ascii="Helvetica" w:hAnsi="Helvetica"/>
          <w:color w:val="000000"/>
          <w:szCs w:val="27"/>
        </w:rPr>
        <w:t>augmentation with a dopamine blocker and also at least 2 trials of Exposure and response-prevention</w:t>
      </w:r>
      <w:r w:rsidR="007A30A2">
        <w:rPr>
          <w:rFonts w:ascii="Helvetica" w:hAnsi="Helvetica"/>
          <w:color w:val="000000"/>
          <w:szCs w:val="27"/>
        </w:rPr>
        <w:t xml:space="preserve">. </w:t>
      </w:r>
    </w:p>
    <w:p w:rsidR="007A30A2" w:rsidRDefault="00E926BE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>P</w:t>
      </w:r>
      <w:r w:rsidR="007A30A2">
        <w:rPr>
          <w:rFonts w:ascii="Helvetica" w:hAnsi="Helvetica"/>
          <w:color w:val="000000"/>
          <w:szCs w:val="27"/>
        </w:rPr>
        <w:t xml:space="preserve">atients who were initially unresponsive to 200mg Sertraline had their daily doses titrated upwards in 50mg increases every 2-4 weeks up to a maximum of 400mg (depending on efficacy and any side effects). Blood samples were taken shortly after their morning dose had been administered.  This was after the patients had </w:t>
      </w:r>
      <w:proofErr w:type="spellStart"/>
      <w:r w:rsidR="007A30A2">
        <w:rPr>
          <w:rFonts w:ascii="Helvetica" w:hAnsi="Helvetica"/>
          <w:color w:val="000000"/>
          <w:szCs w:val="27"/>
        </w:rPr>
        <w:t>stabilised</w:t>
      </w:r>
      <w:proofErr w:type="spellEnd"/>
      <w:r w:rsidR="007A30A2">
        <w:rPr>
          <w:rFonts w:ascii="Helvetica" w:hAnsi="Helvetica"/>
          <w:color w:val="000000"/>
          <w:szCs w:val="27"/>
        </w:rPr>
        <w:t xml:space="preserve"> for at least 2 weeks on the higher doses. </w:t>
      </w:r>
    </w:p>
    <w:p w:rsidR="007A30A2" w:rsidRPr="00487854" w:rsidRDefault="007A30A2" w:rsidP="003C046D">
      <w:pPr>
        <w:pStyle w:val="NormalWeb"/>
        <w:contextualSpacing/>
        <w:jc w:val="both"/>
        <w:rPr>
          <w:rFonts w:ascii="Helvetica" w:hAnsi="Helvetica"/>
          <w:b/>
          <w:color w:val="000000"/>
          <w:szCs w:val="27"/>
        </w:rPr>
      </w:pPr>
    </w:p>
    <w:p w:rsidR="007A30A2" w:rsidRDefault="007A30A2" w:rsidP="003C046D">
      <w:pPr>
        <w:pStyle w:val="NormalWeb"/>
        <w:contextualSpacing/>
        <w:jc w:val="both"/>
        <w:rPr>
          <w:rFonts w:ascii="Helvetica" w:hAnsi="Helvetica"/>
          <w:b/>
          <w:color w:val="000000"/>
          <w:szCs w:val="27"/>
        </w:rPr>
      </w:pPr>
      <w:r w:rsidRPr="00720720">
        <w:rPr>
          <w:rFonts w:ascii="Helvetica" w:hAnsi="Helvetica"/>
          <w:b/>
          <w:color w:val="000000"/>
          <w:szCs w:val="27"/>
        </w:rPr>
        <w:t>Results</w:t>
      </w:r>
    </w:p>
    <w:p w:rsidR="00E926BE" w:rsidRDefault="00E926BE" w:rsidP="00E926BE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 xml:space="preserve">Despite these treatments, all patients were admitted to the service with a Yale-Brown Obsessive Compulsive </w:t>
      </w:r>
      <w:proofErr w:type="gramStart"/>
      <w:r>
        <w:rPr>
          <w:rFonts w:ascii="Helvetica" w:hAnsi="Helvetica"/>
          <w:color w:val="000000"/>
          <w:szCs w:val="27"/>
        </w:rPr>
        <w:t>Score</w:t>
      </w:r>
      <w:r w:rsidR="0080075E">
        <w:rPr>
          <w:rFonts w:ascii="Helvetica" w:hAnsi="Helvetica"/>
          <w:color w:val="000000"/>
          <w:szCs w:val="27"/>
        </w:rPr>
        <w:t>(</w:t>
      </w:r>
      <w:proofErr w:type="gramEnd"/>
      <w:r w:rsidR="0080075E">
        <w:rPr>
          <w:rFonts w:ascii="Helvetica" w:hAnsi="Helvetica"/>
          <w:color w:val="000000"/>
          <w:szCs w:val="27"/>
        </w:rPr>
        <w:t xml:space="preserve"> YBOCS)</w:t>
      </w:r>
      <w:r>
        <w:rPr>
          <w:rFonts w:ascii="Helvetica" w:hAnsi="Helvetica"/>
          <w:color w:val="000000"/>
          <w:szCs w:val="27"/>
        </w:rPr>
        <w:t xml:space="preserve"> within the high end of the “profoundly ill” range (&gt;35/40).</w:t>
      </w:r>
    </w:p>
    <w:p w:rsidR="007A30A2" w:rsidRPr="00720720" w:rsidRDefault="007A30A2" w:rsidP="003C046D">
      <w:pPr>
        <w:pStyle w:val="NormalWeb"/>
        <w:contextualSpacing/>
        <w:jc w:val="both"/>
        <w:rPr>
          <w:rFonts w:ascii="Helvetica" w:hAnsi="Helvetica"/>
          <w:b/>
          <w:color w:val="000000"/>
          <w:szCs w:val="27"/>
        </w:rPr>
      </w:pPr>
    </w:p>
    <w:p w:rsidR="007A30A2" w:rsidRDefault="00E926BE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lastRenderedPageBreak/>
        <w:t>1</w:t>
      </w:r>
      <w:r w:rsidR="007A30A2" w:rsidRPr="00720720">
        <w:rPr>
          <w:rFonts w:ascii="Helvetica" w:hAnsi="Helvetica"/>
          <w:color w:val="000000"/>
          <w:szCs w:val="27"/>
        </w:rPr>
        <w:t>7 patients were included</w:t>
      </w:r>
      <w:r w:rsidR="007A30A2">
        <w:rPr>
          <w:rFonts w:ascii="Helvetica" w:hAnsi="Helvetica"/>
          <w:color w:val="000000"/>
          <w:szCs w:val="27"/>
        </w:rPr>
        <w:t xml:space="preserve"> in the study. Blood levels of S</w:t>
      </w:r>
      <w:r w:rsidR="007A30A2" w:rsidRPr="00720720">
        <w:rPr>
          <w:rFonts w:ascii="Helvetica" w:hAnsi="Helvetica"/>
          <w:color w:val="000000"/>
          <w:szCs w:val="27"/>
        </w:rPr>
        <w:t>ertraline were found to be in therapeutic range for all patients. In general</w:t>
      </w:r>
      <w:r w:rsidR="007A30A2">
        <w:rPr>
          <w:rFonts w:ascii="Helvetica" w:hAnsi="Helvetica"/>
          <w:color w:val="000000"/>
          <w:szCs w:val="27"/>
        </w:rPr>
        <w:t>, the blood levels remained within</w:t>
      </w:r>
      <w:r w:rsidR="007A30A2" w:rsidRPr="00720720">
        <w:rPr>
          <w:rFonts w:ascii="Helvetica" w:hAnsi="Helvetica"/>
          <w:color w:val="000000"/>
          <w:szCs w:val="27"/>
        </w:rPr>
        <w:t xml:space="preserve"> the lower </w:t>
      </w:r>
      <w:r w:rsidR="007A30A2">
        <w:rPr>
          <w:rFonts w:ascii="Helvetica" w:hAnsi="Helvetica"/>
          <w:color w:val="000000"/>
          <w:szCs w:val="27"/>
        </w:rPr>
        <w:t>half</w:t>
      </w:r>
      <w:r w:rsidR="007A30A2" w:rsidRPr="00720720">
        <w:rPr>
          <w:rFonts w:ascii="Helvetica" w:hAnsi="Helvetica"/>
          <w:color w:val="000000"/>
          <w:szCs w:val="27"/>
        </w:rPr>
        <w:t xml:space="preserve"> of normal</w:t>
      </w:r>
      <w:r w:rsidR="007A30A2">
        <w:rPr>
          <w:rFonts w:ascii="Helvetica" w:hAnsi="Helvetica"/>
          <w:color w:val="000000"/>
          <w:szCs w:val="27"/>
        </w:rPr>
        <w:t xml:space="preserve"> reference range</w:t>
      </w:r>
      <w:r w:rsidR="007A30A2" w:rsidRPr="00720720">
        <w:rPr>
          <w:rFonts w:ascii="Helvetica" w:hAnsi="Helvetica"/>
          <w:color w:val="000000"/>
          <w:szCs w:val="27"/>
        </w:rPr>
        <w:t xml:space="preserve"> despite being prescribed</w:t>
      </w:r>
      <w:r w:rsidR="007A30A2">
        <w:rPr>
          <w:rFonts w:ascii="Helvetica" w:hAnsi="Helvetica"/>
          <w:color w:val="000000"/>
          <w:szCs w:val="27"/>
        </w:rPr>
        <w:t xml:space="preserve"> supra-normal Sertraline dosages</w:t>
      </w:r>
      <w:r w:rsidR="007A30A2" w:rsidRPr="00720720">
        <w:rPr>
          <w:rFonts w:ascii="Helvetica" w:hAnsi="Helvetica"/>
          <w:color w:val="000000"/>
          <w:szCs w:val="27"/>
        </w:rPr>
        <w:t xml:space="preserve"> ranging f</w:t>
      </w:r>
      <w:r>
        <w:rPr>
          <w:rFonts w:ascii="Helvetica" w:hAnsi="Helvetica"/>
          <w:color w:val="000000"/>
          <w:szCs w:val="27"/>
        </w:rPr>
        <w:t>rom 225</w:t>
      </w:r>
      <w:r w:rsidR="007A30A2">
        <w:rPr>
          <w:rFonts w:ascii="Helvetica" w:hAnsi="Helvetica"/>
          <w:color w:val="000000"/>
          <w:szCs w:val="27"/>
        </w:rPr>
        <w:t>mg</w:t>
      </w:r>
      <w:r w:rsidR="007A30A2" w:rsidRPr="00720720">
        <w:rPr>
          <w:rFonts w:ascii="Helvetica" w:hAnsi="Helvetica"/>
          <w:color w:val="000000"/>
          <w:szCs w:val="27"/>
        </w:rPr>
        <w:t xml:space="preserve"> to 400mg per day.</w:t>
      </w:r>
    </w:p>
    <w:p w:rsidR="00E926BE" w:rsidRDefault="00E926BE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E926BE" w:rsidRDefault="00E926BE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t>Following treatment within the service, the</w:t>
      </w:r>
      <w:r w:rsidR="0080075E">
        <w:rPr>
          <w:rFonts w:ascii="Helvetica" w:hAnsi="Helvetica"/>
          <w:color w:val="000000"/>
          <w:szCs w:val="27"/>
        </w:rPr>
        <w:t>se</w:t>
      </w:r>
      <w:r>
        <w:rPr>
          <w:rFonts w:ascii="Helvetica" w:hAnsi="Helvetica"/>
          <w:color w:val="000000"/>
          <w:szCs w:val="27"/>
        </w:rPr>
        <w:t xml:space="preserve"> patients generally showed an improvement of an average of </w:t>
      </w:r>
      <w:r w:rsidR="0080075E">
        <w:rPr>
          <w:rFonts w:ascii="Helvetica" w:hAnsi="Helvetica"/>
          <w:color w:val="000000"/>
          <w:szCs w:val="27"/>
        </w:rPr>
        <w:t xml:space="preserve">improvement of 43% on the YBOCS. </w:t>
      </w:r>
    </w:p>
    <w:p w:rsidR="007A30A2" w:rsidRPr="00720720" w:rsidRDefault="007A30A2" w:rsidP="003C046D">
      <w:pPr>
        <w:pStyle w:val="NormalWeb"/>
        <w:contextualSpacing/>
        <w:jc w:val="both"/>
        <w:rPr>
          <w:rFonts w:ascii="Helvetica" w:hAnsi="Helvetica"/>
          <w:color w:val="000000"/>
          <w:szCs w:val="27"/>
        </w:rPr>
      </w:pPr>
    </w:p>
    <w:p w:rsidR="007A30A2" w:rsidRPr="003C046D" w:rsidRDefault="007A30A2" w:rsidP="007A30A2">
      <w:pPr>
        <w:pStyle w:val="NormalWeb"/>
        <w:contextualSpacing/>
        <w:rPr>
          <w:rFonts w:ascii="Helvetica" w:hAnsi="Helvetica"/>
          <w:b/>
          <w:color w:val="000000"/>
        </w:rPr>
      </w:pPr>
      <w:r w:rsidRPr="003C046D">
        <w:rPr>
          <w:rFonts w:ascii="Helvetica" w:hAnsi="Helvetica"/>
          <w:b/>
          <w:color w:val="000000"/>
        </w:rPr>
        <w:t>References:</w:t>
      </w:r>
    </w:p>
    <w:p w:rsidR="007A30A2" w:rsidRPr="003C046D" w:rsidRDefault="007A30A2" w:rsidP="007A30A2">
      <w:pPr>
        <w:jc w:val="both"/>
        <w:rPr>
          <w:rFonts w:ascii="Helvetica" w:eastAsia="Times New Roman" w:hAnsi="Helvetica" w:cs="Times New Roman"/>
          <w:sz w:val="24"/>
          <w:szCs w:val="24"/>
          <w:lang w:val="en-US"/>
        </w:rPr>
      </w:pPr>
      <w:proofErr w:type="spell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Drummond</w:t>
      </w:r>
      <w:proofErr w:type="gram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,L.M</w:t>
      </w:r>
      <w:proofErr w:type="spellEnd"/>
      <w:proofErr w:type="gramEnd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Boschen,M.J</w:t>
      </w:r>
      <w:proofErr w:type="spellEnd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Cullimore,J</w:t>
      </w:r>
      <w:proofErr w:type="spellEnd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, Khan-Hameed ,</w:t>
      </w:r>
      <w:proofErr w:type="spell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A,White,S</w:t>
      </w:r>
      <w:proofErr w:type="spellEnd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And </w:t>
      </w:r>
      <w:proofErr w:type="spell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Ion</w:t>
      </w:r>
      <w:proofErr w:type="gramStart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,R</w:t>
      </w:r>
      <w:proofErr w:type="spellEnd"/>
      <w:proofErr w:type="gramEnd"/>
      <w:r w:rsidRPr="003C046D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 (2012) Physical complications of severe, chronic obsessive-compulsive disorder: a comparison with general psychiatric inpatients General Hospital Psychiatry, 34(6):618-25</w:t>
      </w:r>
    </w:p>
    <w:p w:rsidR="007A30A2" w:rsidRPr="003C046D" w:rsidRDefault="007A30A2" w:rsidP="007A30A2">
      <w:pPr>
        <w:pStyle w:val="NormalWeb"/>
        <w:jc w:val="both"/>
        <w:rPr>
          <w:rFonts w:ascii="Helvetica" w:hAnsi="Helvetica"/>
          <w:bCs/>
          <w:color w:val="000000"/>
          <w:lang w:val="en-GB"/>
        </w:rPr>
      </w:pPr>
      <w:proofErr w:type="spellStart"/>
      <w:r w:rsidRPr="003C046D">
        <w:rPr>
          <w:rFonts w:ascii="Helvetica" w:hAnsi="Helvetica"/>
          <w:bCs/>
          <w:color w:val="000000"/>
          <w:lang w:val="en-GB"/>
        </w:rPr>
        <w:t>Pampaloni</w:t>
      </w:r>
      <w:proofErr w:type="spellEnd"/>
      <w:r w:rsidRPr="003C046D">
        <w:rPr>
          <w:rFonts w:ascii="Helvetica" w:hAnsi="Helvetica"/>
          <w:bCs/>
          <w:color w:val="000000"/>
          <w:lang w:val="en-GB"/>
        </w:rPr>
        <w:t xml:space="preserve">, I., </w:t>
      </w:r>
      <w:proofErr w:type="spellStart"/>
      <w:r w:rsidRPr="003C046D">
        <w:rPr>
          <w:rFonts w:ascii="Helvetica" w:hAnsi="Helvetica"/>
          <w:bCs/>
          <w:color w:val="000000"/>
          <w:lang w:val="en-GB"/>
        </w:rPr>
        <w:t>Sivakumaran</w:t>
      </w:r>
      <w:proofErr w:type="spellEnd"/>
      <w:r w:rsidRPr="003C046D">
        <w:rPr>
          <w:rFonts w:ascii="Helvetica" w:hAnsi="Helvetica"/>
          <w:bCs/>
          <w:color w:val="000000"/>
          <w:lang w:val="en-GB"/>
        </w:rPr>
        <w:t xml:space="preserve">, T., Hawley, C., Al </w:t>
      </w:r>
      <w:proofErr w:type="spellStart"/>
      <w:r w:rsidRPr="003C046D">
        <w:rPr>
          <w:rFonts w:ascii="Helvetica" w:hAnsi="Helvetica"/>
          <w:bCs/>
          <w:color w:val="000000"/>
          <w:lang w:val="en-GB"/>
        </w:rPr>
        <w:t>Allaq</w:t>
      </w:r>
      <w:proofErr w:type="spellEnd"/>
      <w:r w:rsidRPr="003C046D">
        <w:rPr>
          <w:rFonts w:ascii="Helvetica" w:hAnsi="Helvetica"/>
          <w:bCs/>
          <w:color w:val="000000"/>
          <w:lang w:val="en-GB"/>
        </w:rPr>
        <w:t xml:space="preserve">, A., Farrow, J., Nelson, S. and </w:t>
      </w:r>
      <w:proofErr w:type="spellStart"/>
      <w:r w:rsidRPr="003C046D">
        <w:rPr>
          <w:rFonts w:ascii="Helvetica" w:hAnsi="Helvetica"/>
          <w:bCs/>
          <w:color w:val="000000"/>
          <w:lang w:val="en-GB"/>
        </w:rPr>
        <w:t>Fineberg</w:t>
      </w:r>
      <w:proofErr w:type="spellEnd"/>
      <w:r w:rsidRPr="003C046D">
        <w:rPr>
          <w:rFonts w:ascii="Helvetica" w:hAnsi="Helvetica"/>
          <w:bCs/>
          <w:color w:val="000000"/>
          <w:lang w:val="en-GB"/>
        </w:rPr>
        <w:t>, N. (2010) 'High-dose selective serotonin reuptake inhibitors in OCD: a systematic retrospective case notes survey', Journal of Psychopharmacology, 24(10), pp. 1439-1445.</w:t>
      </w:r>
    </w:p>
    <w:p w:rsidR="00644260" w:rsidRDefault="00644260"/>
    <w:sectPr w:rsidR="00644260" w:rsidSect="00644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B"/>
    <w:rsid w:val="000D693B"/>
    <w:rsid w:val="003C046D"/>
    <w:rsid w:val="004E573F"/>
    <w:rsid w:val="005B6DA6"/>
    <w:rsid w:val="006374E4"/>
    <w:rsid w:val="00644260"/>
    <w:rsid w:val="007A30A2"/>
    <w:rsid w:val="0080075E"/>
    <w:rsid w:val="00B02E65"/>
    <w:rsid w:val="00C3433B"/>
    <w:rsid w:val="00E926BE"/>
    <w:rsid w:val="00F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3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3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 NHS Trust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Drummond, Lynne</cp:lastModifiedBy>
  <cp:revision>2</cp:revision>
  <dcterms:created xsi:type="dcterms:W3CDTF">2017-08-08T14:40:00Z</dcterms:created>
  <dcterms:modified xsi:type="dcterms:W3CDTF">2017-08-08T14:40:00Z</dcterms:modified>
</cp:coreProperties>
</file>