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8A6AD" w14:textId="04397F8D" w:rsidR="008A710D" w:rsidRPr="00CF4D47" w:rsidRDefault="008A710D" w:rsidP="00E41469">
      <w:pPr>
        <w:widowControl w:val="0"/>
        <w:autoSpaceDE w:val="0"/>
        <w:autoSpaceDN w:val="0"/>
        <w:adjustRightInd w:val="0"/>
        <w:spacing w:line="480" w:lineRule="auto"/>
        <w:rPr>
          <w:rFonts w:asciiTheme="majorHAnsi" w:hAnsiTheme="majorHAnsi" w:cs="Times New Roman"/>
          <w:b/>
          <w:color w:val="000000" w:themeColor="text1"/>
          <w:sz w:val="32"/>
          <w:szCs w:val="32"/>
          <w:lang w:val="en-US"/>
        </w:rPr>
      </w:pPr>
      <w:bookmarkStart w:id="0" w:name="_GoBack"/>
      <w:bookmarkEnd w:id="0"/>
      <w:r w:rsidRPr="00CF4D47">
        <w:rPr>
          <w:rFonts w:asciiTheme="majorHAnsi" w:hAnsiTheme="majorHAnsi" w:cs="Times New Roman"/>
          <w:b/>
          <w:color w:val="000000" w:themeColor="text1"/>
          <w:sz w:val="32"/>
          <w:szCs w:val="32"/>
          <w:lang w:val="en-US"/>
        </w:rPr>
        <w:t>CHILDHOOD DEATHS ATTRIBUTABLE TO INVASIVE PNEUMOCOCCAL DISEASE IN ENGLAND AND WALES, 2006-2014</w:t>
      </w:r>
    </w:p>
    <w:p w14:paraId="457F10CA" w14:textId="77777777" w:rsidR="008A710D" w:rsidRPr="00CF4D47" w:rsidRDefault="008A710D" w:rsidP="00E41469">
      <w:pPr>
        <w:widowControl w:val="0"/>
        <w:autoSpaceDE w:val="0"/>
        <w:autoSpaceDN w:val="0"/>
        <w:adjustRightInd w:val="0"/>
        <w:spacing w:line="480" w:lineRule="auto"/>
        <w:rPr>
          <w:rFonts w:asciiTheme="majorHAnsi" w:hAnsiTheme="majorHAnsi" w:cs="Helvetica Neue"/>
          <w:color w:val="11420D"/>
          <w:sz w:val="26"/>
          <w:szCs w:val="26"/>
          <w:lang w:val="en-US"/>
        </w:rPr>
      </w:pPr>
    </w:p>
    <w:p w14:paraId="36B3FC56" w14:textId="3C5B8F92" w:rsidR="008A710D" w:rsidRPr="00CF4D47" w:rsidRDefault="008A710D" w:rsidP="00E41469">
      <w:pPr>
        <w:widowControl w:val="0"/>
        <w:autoSpaceDE w:val="0"/>
        <w:autoSpaceDN w:val="0"/>
        <w:adjustRightInd w:val="0"/>
        <w:spacing w:line="480" w:lineRule="auto"/>
        <w:rPr>
          <w:rFonts w:asciiTheme="majorHAnsi" w:hAnsiTheme="majorHAnsi" w:cs="Cambria"/>
          <w:lang w:val="en-US"/>
        </w:rPr>
      </w:pPr>
      <w:r w:rsidRPr="00CF4D47">
        <w:rPr>
          <w:rFonts w:asciiTheme="majorHAnsi" w:hAnsiTheme="majorHAnsi" w:cs="Cambria"/>
          <w:b/>
          <w:bCs/>
          <w:lang w:val="en-US"/>
        </w:rPr>
        <w:t>Godwin Oligbu</w:t>
      </w:r>
      <w:r w:rsidRPr="00CF4D47">
        <w:rPr>
          <w:rFonts w:asciiTheme="majorHAnsi" w:hAnsiTheme="majorHAnsi" w:cs="Cambria"/>
          <w:lang w:val="en-US"/>
        </w:rPr>
        <w:t>,</w:t>
      </w:r>
      <w:r w:rsidR="0043507C" w:rsidRPr="00206A05">
        <w:rPr>
          <w:rFonts w:asciiTheme="majorHAnsi" w:hAnsiTheme="majorHAnsi" w:cs="Cambria"/>
          <w:vertAlign w:val="superscript"/>
          <w:lang w:val="en-US"/>
        </w:rPr>
        <w:t>1</w:t>
      </w:r>
      <w:r w:rsidR="0043507C">
        <w:rPr>
          <w:rFonts w:asciiTheme="majorHAnsi" w:hAnsiTheme="majorHAnsi" w:cs="Cambria"/>
          <w:lang w:val="en-US"/>
        </w:rPr>
        <w:t xml:space="preserve"> </w:t>
      </w:r>
      <w:r w:rsidRPr="00CF4D47">
        <w:rPr>
          <w:rFonts w:asciiTheme="majorHAnsi" w:hAnsiTheme="majorHAnsi" w:cs="Cambria"/>
          <w:lang w:val="en-US"/>
        </w:rPr>
        <w:t>Sarah Col</w:t>
      </w:r>
      <w:r w:rsidR="00C46C94">
        <w:rPr>
          <w:rFonts w:asciiTheme="majorHAnsi" w:hAnsiTheme="majorHAnsi" w:cs="Cambria"/>
          <w:lang w:val="en-US"/>
        </w:rPr>
        <w:t>l</w:t>
      </w:r>
      <w:r w:rsidRPr="00CF4D47">
        <w:rPr>
          <w:rFonts w:asciiTheme="majorHAnsi" w:hAnsiTheme="majorHAnsi" w:cs="Cambria"/>
          <w:lang w:val="en-US"/>
        </w:rPr>
        <w:t>ins,</w:t>
      </w:r>
      <w:r w:rsidR="0043507C" w:rsidRPr="00206A05">
        <w:rPr>
          <w:rFonts w:asciiTheme="majorHAnsi" w:hAnsiTheme="majorHAnsi" w:cs="Cambria"/>
          <w:vertAlign w:val="superscript"/>
          <w:lang w:val="en-US"/>
        </w:rPr>
        <w:t>2</w:t>
      </w:r>
      <w:r w:rsidR="0043507C">
        <w:rPr>
          <w:rFonts w:asciiTheme="majorHAnsi" w:hAnsiTheme="majorHAnsi" w:cs="Cambria"/>
          <w:lang w:val="en-US"/>
        </w:rPr>
        <w:t xml:space="preserve"> </w:t>
      </w:r>
      <w:r w:rsidRPr="00CF4D47">
        <w:rPr>
          <w:rFonts w:asciiTheme="majorHAnsi" w:hAnsiTheme="majorHAnsi" w:cs="Cambria"/>
          <w:lang w:val="en-US"/>
        </w:rPr>
        <w:t>Carmen L</w:t>
      </w:r>
      <w:r w:rsidR="00E91728">
        <w:rPr>
          <w:rFonts w:asciiTheme="majorHAnsi" w:hAnsiTheme="majorHAnsi" w:cs="Cambria"/>
          <w:lang w:val="en-US"/>
        </w:rPr>
        <w:t>.</w:t>
      </w:r>
      <w:r w:rsidRPr="00CF4D47">
        <w:rPr>
          <w:rFonts w:asciiTheme="majorHAnsi" w:hAnsiTheme="majorHAnsi" w:cs="Cambria"/>
          <w:lang w:val="en-US"/>
        </w:rPr>
        <w:t xml:space="preserve"> Shep</w:t>
      </w:r>
      <w:r w:rsidR="00B64F43">
        <w:rPr>
          <w:rFonts w:asciiTheme="majorHAnsi" w:hAnsiTheme="majorHAnsi" w:cs="Cambria"/>
          <w:lang w:val="en-US"/>
        </w:rPr>
        <w:t>pa</w:t>
      </w:r>
      <w:r w:rsidRPr="00CF4D47">
        <w:rPr>
          <w:rFonts w:asciiTheme="majorHAnsi" w:hAnsiTheme="majorHAnsi" w:cs="Cambria"/>
          <w:lang w:val="en-US"/>
        </w:rPr>
        <w:t>rd,</w:t>
      </w:r>
      <w:r w:rsidR="00787230">
        <w:rPr>
          <w:rFonts w:asciiTheme="majorHAnsi" w:hAnsiTheme="majorHAnsi" w:cs="Cambria"/>
          <w:vertAlign w:val="superscript"/>
          <w:lang w:val="en-US"/>
        </w:rPr>
        <w:t>3</w:t>
      </w:r>
      <w:r w:rsidR="0043507C">
        <w:rPr>
          <w:rFonts w:asciiTheme="majorHAnsi" w:hAnsiTheme="majorHAnsi" w:cs="Cambria"/>
          <w:lang w:val="en-US"/>
        </w:rPr>
        <w:t xml:space="preserve"> </w:t>
      </w:r>
      <w:r w:rsidR="00620386">
        <w:rPr>
          <w:rFonts w:asciiTheme="majorHAnsi" w:hAnsiTheme="majorHAnsi" w:cs="Cambria"/>
          <w:lang w:val="en-US"/>
        </w:rPr>
        <w:t>Norman</w:t>
      </w:r>
      <w:r w:rsidR="00BE6000">
        <w:t xml:space="preserve"> </w:t>
      </w:r>
      <w:r w:rsidR="00620386">
        <w:rPr>
          <w:rFonts w:asciiTheme="majorHAnsi" w:hAnsiTheme="majorHAnsi" w:cs="Cambria"/>
          <w:lang w:val="en-US"/>
        </w:rPr>
        <w:t xml:space="preserve">K. Fry, </w:t>
      </w:r>
      <w:r w:rsidR="00787230">
        <w:rPr>
          <w:rFonts w:asciiTheme="majorHAnsi" w:hAnsiTheme="majorHAnsi" w:cs="Cambria"/>
          <w:vertAlign w:val="superscript"/>
          <w:lang w:val="en-US"/>
        </w:rPr>
        <w:t>3</w:t>
      </w:r>
      <w:r w:rsidR="00620386">
        <w:rPr>
          <w:rFonts w:asciiTheme="majorHAnsi" w:hAnsiTheme="majorHAnsi" w:cs="Cambria"/>
          <w:vertAlign w:val="superscript"/>
          <w:lang w:val="en-US"/>
        </w:rPr>
        <w:t xml:space="preserve"> </w:t>
      </w:r>
      <w:r w:rsidRPr="00CF4D47">
        <w:rPr>
          <w:rFonts w:asciiTheme="majorHAnsi" w:hAnsiTheme="majorHAnsi" w:cs="Cambria"/>
          <w:lang w:val="en-US"/>
        </w:rPr>
        <w:t>Mary Slack,</w:t>
      </w:r>
      <w:r w:rsidR="00787230">
        <w:rPr>
          <w:rFonts w:asciiTheme="majorHAnsi" w:hAnsiTheme="majorHAnsi" w:cs="Cambria"/>
          <w:vertAlign w:val="superscript"/>
          <w:lang w:val="en-US"/>
        </w:rPr>
        <w:t>3,4</w:t>
      </w:r>
      <w:r w:rsidR="0043507C">
        <w:rPr>
          <w:rFonts w:asciiTheme="majorHAnsi" w:hAnsiTheme="majorHAnsi" w:cs="Cambria"/>
          <w:lang w:val="en-US"/>
        </w:rPr>
        <w:t xml:space="preserve"> </w:t>
      </w:r>
      <w:r w:rsidRPr="00CF4D47">
        <w:rPr>
          <w:rFonts w:asciiTheme="majorHAnsi" w:hAnsiTheme="majorHAnsi" w:cs="Cambria"/>
          <w:lang w:val="en-US"/>
        </w:rPr>
        <w:t>Ray Borrow,</w:t>
      </w:r>
      <w:r w:rsidR="00787230">
        <w:rPr>
          <w:rFonts w:asciiTheme="majorHAnsi" w:hAnsiTheme="majorHAnsi" w:cs="Cambria"/>
          <w:vertAlign w:val="superscript"/>
          <w:lang w:val="en-US"/>
        </w:rPr>
        <w:t>5</w:t>
      </w:r>
      <w:r w:rsidR="0083633E">
        <w:rPr>
          <w:rFonts w:asciiTheme="majorHAnsi" w:hAnsiTheme="majorHAnsi" w:cs="Cambria"/>
          <w:lang w:val="en-US"/>
        </w:rPr>
        <w:t xml:space="preserve"> </w:t>
      </w:r>
      <w:r w:rsidR="004465A4">
        <w:rPr>
          <w:rFonts w:asciiTheme="majorHAnsi" w:hAnsiTheme="majorHAnsi" w:cs="Cambria"/>
          <w:lang w:val="en-US"/>
        </w:rPr>
        <w:t>Shamez Ladhani</w:t>
      </w:r>
      <w:r w:rsidR="0043507C">
        <w:rPr>
          <w:rFonts w:asciiTheme="majorHAnsi" w:hAnsiTheme="majorHAnsi" w:cs="Cambria"/>
          <w:lang w:val="en-US"/>
        </w:rPr>
        <w:t>.</w:t>
      </w:r>
      <w:r w:rsidR="0083633E">
        <w:rPr>
          <w:rFonts w:asciiTheme="majorHAnsi" w:hAnsiTheme="majorHAnsi" w:cs="Cambria"/>
          <w:vertAlign w:val="superscript"/>
          <w:lang w:val="en-US"/>
        </w:rPr>
        <w:t>1,2</w:t>
      </w:r>
    </w:p>
    <w:p w14:paraId="31E438BF" w14:textId="77777777" w:rsidR="008A710D" w:rsidRPr="00CF4D47" w:rsidRDefault="008A710D" w:rsidP="00E41469">
      <w:pPr>
        <w:widowControl w:val="0"/>
        <w:autoSpaceDE w:val="0"/>
        <w:autoSpaceDN w:val="0"/>
        <w:adjustRightInd w:val="0"/>
        <w:spacing w:line="480" w:lineRule="auto"/>
        <w:rPr>
          <w:rFonts w:asciiTheme="majorHAnsi" w:hAnsiTheme="majorHAnsi" w:cs="Cambria"/>
          <w:sz w:val="16"/>
          <w:szCs w:val="16"/>
          <w:vertAlign w:val="superscript"/>
          <w:lang w:val="en-US"/>
        </w:rPr>
      </w:pPr>
    </w:p>
    <w:p w14:paraId="1B61D87F" w14:textId="77777777" w:rsidR="008A710D" w:rsidRPr="00CF4D47" w:rsidRDefault="008A710D" w:rsidP="00E41469">
      <w:pPr>
        <w:widowControl w:val="0"/>
        <w:autoSpaceDE w:val="0"/>
        <w:autoSpaceDN w:val="0"/>
        <w:adjustRightInd w:val="0"/>
        <w:spacing w:line="480" w:lineRule="auto"/>
        <w:rPr>
          <w:rFonts w:asciiTheme="majorHAnsi" w:hAnsiTheme="majorHAnsi" w:cs="Arial"/>
          <w:lang w:val="en-US"/>
        </w:rPr>
      </w:pPr>
      <w:r w:rsidRPr="00CF4D47">
        <w:rPr>
          <w:rFonts w:asciiTheme="majorHAnsi" w:hAnsiTheme="majorHAnsi" w:cs="Cambria"/>
          <w:sz w:val="16"/>
          <w:szCs w:val="16"/>
          <w:vertAlign w:val="superscript"/>
          <w:lang w:val="en-US"/>
        </w:rPr>
        <w:t>1</w:t>
      </w:r>
      <w:r w:rsidRPr="00CF4D47">
        <w:rPr>
          <w:rFonts w:asciiTheme="majorHAnsi" w:hAnsiTheme="majorHAnsi" w:cs="Cambria"/>
          <w:lang w:val="en-US"/>
        </w:rPr>
        <w:t xml:space="preserve"> </w:t>
      </w:r>
      <w:r w:rsidRPr="00CF4D47">
        <w:rPr>
          <w:rFonts w:asciiTheme="majorHAnsi" w:hAnsiTheme="majorHAnsi" w:cs="Arial"/>
          <w:lang w:val="en-US"/>
        </w:rPr>
        <w:t>Paediatric Infectious Diseases Research Group,</w:t>
      </w:r>
      <w:r w:rsidR="006736AF">
        <w:rPr>
          <w:rFonts w:asciiTheme="majorHAnsi" w:hAnsiTheme="majorHAnsi" w:cs="Arial"/>
          <w:lang w:val="en-US"/>
        </w:rPr>
        <w:t xml:space="preserve"> Institute for Infection and</w:t>
      </w:r>
      <w:r w:rsidRPr="00CF4D47">
        <w:rPr>
          <w:rFonts w:asciiTheme="majorHAnsi" w:hAnsiTheme="majorHAnsi" w:cs="Arial"/>
          <w:lang w:val="en-US"/>
        </w:rPr>
        <w:t xml:space="preserve"> Immunity, St. George's, University of London, UK</w:t>
      </w:r>
    </w:p>
    <w:p w14:paraId="13BB4333" w14:textId="77777777" w:rsidR="008A710D" w:rsidRPr="00CF4D47" w:rsidRDefault="008A710D" w:rsidP="00E41469">
      <w:pPr>
        <w:widowControl w:val="0"/>
        <w:autoSpaceDE w:val="0"/>
        <w:autoSpaceDN w:val="0"/>
        <w:adjustRightInd w:val="0"/>
        <w:spacing w:line="480" w:lineRule="auto"/>
        <w:rPr>
          <w:rFonts w:asciiTheme="majorHAnsi" w:hAnsiTheme="majorHAnsi" w:cs="Arial"/>
          <w:lang w:val="en-US"/>
        </w:rPr>
      </w:pPr>
      <w:r w:rsidRPr="00CF4D47">
        <w:rPr>
          <w:rFonts w:asciiTheme="majorHAnsi" w:hAnsiTheme="majorHAnsi" w:cs="Cambria"/>
          <w:sz w:val="16"/>
          <w:szCs w:val="16"/>
          <w:vertAlign w:val="superscript"/>
          <w:lang w:val="en-US"/>
        </w:rPr>
        <w:t xml:space="preserve">2 </w:t>
      </w:r>
      <w:r w:rsidRPr="00CF4D47">
        <w:rPr>
          <w:rFonts w:asciiTheme="majorHAnsi" w:hAnsiTheme="majorHAnsi" w:cs="Arial"/>
          <w:lang w:val="en-US"/>
        </w:rPr>
        <w:t>Immunisation, Hepatitis and Blood Safety Department (IHBSD), Public Health England, 61 Colindale Avenue, London NW9 5EQ, UK</w:t>
      </w:r>
    </w:p>
    <w:p w14:paraId="120DC4CF" w14:textId="77777777" w:rsidR="008A710D" w:rsidRPr="00CF4D47" w:rsidRDefault="00787230" w:rsidP="00E41469">
      <w:pPr>
        <w:widowControl w:val="0"/>
        <w:autoSpaceDE w:val="0"/>
        <w:autoSpaceDN w:val="0"/>
        <w:adjustRightInd w:val="0"/>
        <w:spacing w:line="480" w:lineRule="auto"/>
        <w:rPr>
          <w:rFonts w:asciiTheme="majorHAnsi" w:hAnsiTheme="majorHAnsi" w:cs="Arial"/>
          <w:lang w:val="en-US"/>
        </w:rPr>
      </w:pPr>
      <w:r>
        <w:rPr>
          <w:rFonts w:asciiTheme="majorHAnsi" w:hAnsiTheme="majorHAnsi" w:cs="Cambria"/>
          <w:sz w:val="16"/>
          <w:szCs w:val="16"/>
          <w:vertAlign w:val="superscript"/>
          <w:lang w:val="en-US"/>
        </w:rPr>
        <w:t>3</w:t>
      </w:r>
      <w:r w:rsidR="008A710D" w:rsidRPr="00CF4D47">
        <w:rPr>
          <w:rFonts w:asciiTheme="majorHAnsi" w:hAnsiTheme="majorHAnsi" w:cs="Cambria"/>
          <w:sz w:val="16"/>
          <w:szCs w:val="16"/>
          <w:vertAlign w:val="superscript"/>
          <w:lang w:val="en-US"/>
        </w:rPr>
        <w:t xml:space="preserve"> </w:t>
      </w:r>
      <w:r w:rsidR="008A710D" w:rsidRPr="00CF4D47">
        <w:rPr>
          <w:rFonts w:asciiTheme="majorHAnsi" w:hAnsiTheme="majorHAnsi" w:cs="Arial"/>
          <w:lang w:val="en-US"/>
        </w:rPr>
        <w:t>Respiratory and Vaccine Preventable Bacterial Reference Unit (RVPBRU), Public Health England, 61 Colindale Avenue, London NW9 5EQ, UK</w:t>
      </w:r>
      <w:r>
        <w:rPr>
          <w:rFonts w:asciiTheme="majorHAnsi" w:hAnsiTheme="majorHAnsi" w:cs="Cambria"/>
          <w:sz w:val="16"/>
          <w:szCs w:val="16"/>
          <w:vertAlign w:val="superscript"/>
          <w:lang w:val="en-US"/>
        </w:rPr>
        <w:t>4</w:t>
      </w:r>
      <w:r w:rsidR="00842B74">
        <w:rPr>
          <w:rFonts w:asciiTheme="majorHAnsi" w:hAnsiTheme="majorHAnsi" w:cs="Cambria"/>
          <w:sz w:val="16"/>
          <w:szCs w:val="16"/>
          <w:vertAlign w:val="superscript"/>
          <w:lang w:val="en-US"/>
        </w:rPr>
        <w:t>5</w:t>
      </w:r>
      <w:r w:rsidR="008A710D" w:rsidRPr="00CF4D47">
        <w:rPr>
          <w:rFonts w:asciiTheme="majorHAnsi" w:hAnsiTheme="majorHAnsi" w:cs="Cambria"/>
          <w:sz w:val="16"/>
          <w:szCs w:val="16"/>
          <w:vertAlign w:val="superscript"/>
          <w:lang w:val="en-US"/>
        </w:rPr>
        <w:t xml:space="preserve"> </w:t>
      </w:r>
      <w:r w:rsidR="008A710D" w:rsidRPr="00CF4D47">
        <w:rPr>
          <w:rFonts w:asciiTheme="majorHAnsi" w:hAnsiTheme="majorHAnsi" w:cs="Arial"/>
          <w:lang w:val="en-US"/>
        </w:rPr>
        <w:t>School of Medicine, Griffith University Gold Coast Campus, Queensland, Australia  </w:t>
      </w:r>
    </w:p>
    <w:p w14:paraId="35440567" w14:textId="77777777" w:rsidR="00990B31" w:rsidRPr="00CF4D47" w:rsidRDefault="00842B74" w:rsidP="00E41469">
      <w:pPr>
        <w:widowControl w:val="0"/>
        <w:autoSpaceDE w:val="0"/>
        <w:autoSpaceDN w:val="0"/>
        <w:adjustRightInd w:val="0"/>
        <w:spacing w:line="480" w:lineRule="auto"/>
        <w:rPr>
          <w:rFonts w:asciiTheme="majorHAnsi" w:hAnsiTheme="majorHAnsi" w:cs="Cambria"/>
          <w:lang w:val="en-US"/>
        </w:rPr>
      </w:pPr>
      <w:r>
        <w:rPr>
          <w:rFonts w:asciiTheme="majorHAnsi" w:hAnsiTheme="majorHAnsi" w:cs="Cambria"/>
          <w:sz w:val="16"/>
          <w:szCs w:val="16"/>
          <w:vertAlign w:val="superscript"/>
          <w:lang w:val="en-US"/>
        </w:rPr>
        <w:t>6</w:t>
      </w:r>
      <w:r w:rsidR="008A710D" w:rsidRPr="00CF4D47">
        <w:rPr>
          <w:rFonts w:asciiTheme="majorHAnsi" w:hAnsiTheme="majorHAnsi" w:cs="Cambria"/>
          <w:lang w:val="en-US"/>
        </w:rPr>
        <w:t xml:space="preserve">Vaccine Evaluation Unit, </w:t>
      </w:r>
      <w:r w:rsidR="00644B6A">
        <w:rPr>
          <w:rFonts w:asciiTheme="majorHAnsi" w:hAnsiTheme="majorHAnsi" w:cs="Cambria"/>
          <w:lang w:val="en-US"/>
        </w:rPr>
        <w:t>Public Health England</w:t>
      </w:r>
      <w:r w:rsidR="008A710D" w:rsidRPr="00CF4D47">
        <w:rPr>
          <w:rFonts w:asciiTheme="majorHAnsi" w:hAnsiTheme="majorHAnsi" w:cs="Cambria"/>
          <w:lang w:val="en-US"/>
        </w:rPr>
        <w:t xml:space="preserve">, Manchester Medical Microbiology Partnership, </w:t>
      </w:r>
      <w:r w:rsidR="00644B6A">
        <w:rPr>
          <w:rFonts w:asciiTheme="majorHAnsi" w:hAnsiTheme="majorHAnsi" w:cs="Cambria"/>
          <w:lang w:val="en-US"/>
        </w:rPr>
        <w:t xml:space="preserve">Manchester Royal Infirmary, Manchester, </w:t>
      </w:r>
      <w:r w:rsidR="008A710D" w:rsidRPr="00CF4D47">
        <w:rPr>
          <w:rFonts w:asciiTheme="majorHAnsi" w:hAnsiTheme="majorHAnsi" w:cs="Cambria"/>
          <w:lang w:val="en-US"/>
        </w:rPr>
        <w:t>United Kingdom</w:t>
      </w:r>
    </w:p>
    <w:p w14:paraId="0D900FD8" w14:textId="77777777" w:rsidR="008A710D" w:rsidRDefault="008A710D" w:rsidP="00E41469">
      <w:pPr>
        <w:widowControl w:val="0"/>
        <w:autoSpaceDE w:val="0"/>
        <w:autoSpaceDN w:val="0"/>
        <w:adjustRightInd w:val="0"/>
        <w:spacing w:line="480" w:lineRule="auto"/>
        <w:rPr>
          <w:rFonts w:asciiTheme="majorHAnsi" w:hAnsiTheme="majorHAnsi" w:cs="Cambria"/>
          <w:lang w:val="en-US"/>
        </w:rPr>
      </w:pPr>
    </w:p>
    <w:p w14:paraId="6ABC999F" w14:textId="77777777" w:rsidR="00566D41" w:rsidRDefault="00566D41" w:rsidP="00A3236D">
      <w:pPr>
        <w:widowControl w:val="0"/>
        <w:autoSpaceDE w:val="0"/>
        <w:autoSpaceDN w:val="0"/>
        <w:adjustRightInd w:val="0"/>
        <w:spacing w:line="480" w:lineRule="auto"/>
        <w:outlineLvl w:val="0"/>
        <w:rPr>
          <w:rFonts w:asciiTheme="majorHAnsi" w:hAnsiTheme="majorHAnsi" w:cs="Cambria"/>
          <w:lang w:val="en-US"/>
        </w:rPr>
      </w:pPr>
      <w:r w:rsidRPr="00206A05">
        <w:rPr>
          <w:rFonts w:asciiTheme="majorHAnsi" w:hAnsiTheme="majorHAnsi" w:cs="Cambria"/>
          <w:b/>
          <w:lang w:val="en-US"/>
        </w:rPr>
        <w:t>Running title</w:t>
      </w:r>
      <w:r>
        <w:rPr>
          <w:rFonts w:asciiTheme="majorHAnsi" w:hAnsiTheme="majorHAnsi" w:cs="Cambria"/>
          <w:lang w:val="en-US"/>
        </w:rPr>
        <w:t>: Fatal childhood pneumococcal infections</w:t>
      </w:r>
    </w:p>
    <w:p w14:paraId="605E65E4" w14:textId="77777777" w:rsidR="005532C0" w:rsidRDefault="005532C0" w:rsidP="00E41469">
      <w:pPr>
        <w:widowControl w:val="0"/>
        <w:autoSpaceDE w:val="0"/>
        <w:autoSpaceDN w:val="0"/>
        <w:adjustRightInd w:val="0"/>
        <w:spacing w:line="480" w:lineRule="auto"/>
        <w:rPr>
          <w:rFonts w:asciiTheme="majorHAnsi" w:hAnsiTheme="majorHAnsi" w:cs="Cambria"/>
          <w:lang w:val="en-US"/>
        </w:rPr>
      </w:pPr>
      <w:r>
        <w:rPr>
          <w:rFonts w:asciiTheme="majorHAnsi" w:hAnsiTheme="majorHAnsi" w:cs="Cambria"/>
          <w:lang w:val="en-US"/>
        </w:rPr>
        <w:t xml:space="preserve">Keywords: </w:t>
      </w:r>
      <w:r w:rsidR="00990B31">
        <w:rPr>
          <w:rFonts w:asciiTheme="majorHAnsi" w:hAnsiTheme="majorHAnsi" w:cs="Cambria"/>
          <w:lang w:val="en-US"/>
        </w:rPr>
        <w:t xml:space="preserve">pneumococcal disease, conjugate vaccines, mortality, case fatality, </w:t>
      </w:r>
    </w:p>
    <w:p w14:paraId="2077C2B5" w14:textId="77777777" w:rsidR="00081CA7" w:rsidRDefault="00081CA7" w:rsidP="00E41469">
      <w:pPr>
        <w:widowControl w:val="0"/>
        <w:autoSpaceDE w:val="0"/>
        <w:autoSpaceDN w:val="0"/>
        <w:adjustRightInd w:val="0"/>
        <w:spacing w:line="480" w:lineRule="auto"/>
        <w:rPr>
          <w:rFonts w:asciiTheme="majorHAnsi" w:hAnsiTheme="majorHAnsi" w:cs="Cambria"/>
          <w:lang w:val="en-US"/>
        </w:rPr>
      </w:pPr>
    </w:p>
    <w:p w14:paraId="2D755C4B" w14:textId="77777777" w:rsidR="005532C0" w:rsidRDefault="005532C0" w:rsidP="00A3236D">
      <w:pPr>
        <w:widowControl w:val="0"/>
        <w:autoSpaceDE w:val="0"/>
        <w:autoSpaceDN w:val="0"/>
        <w:adjustRightInd w:val="0"/>
        <w:spacing w:line="480" w:lineRule="auto"/>
        <w:outlineLvl w:val="0"/>
        <w:rPr>
          <w:rFonts w:asciiTheme="majorHAnsi" w:hAnsiTheme="majorHAnsi" w:cs="Cambria"/>
          <w:lang w:val="en-US"/>
        </w:rPr>
      </w:pPr>
      <w:r>
        <w:rPr>
          <w:rFonts w:asciiTheme="majorHAnsi" w:hAnsiTheme="majorHAnsi" w:cs="Cambria"/>
          <w:lang w:val="en-US"/>
        </w:rPr>
        <w:t>Total</w:t>
      </w:r>
      <w:r w:rsidR="00322078">
        <w:rPr>
          <w:rFonts w:asciiTheme="majorHAnsi" w:hAnsiTheme="majorHAnsi" w:cs="Cambria"/>
          <w:lang w:val="en-US"/>
        </w:rPr>
        <w:t xml:space="preserve"> w</w:t>
      </w:r>
      <w:r>
        <w:rPr>
          <w:rFonts w:asciiTheme="majorHAnsi" w:hAnsiTheme="majorHAnsi" w:cs="Cambria"/>
          <w:lang w:val="en-US"/>
        </w:rPr>
        <w:t>ord count:</w:t>
      </w:r>
      <w:r w:rsidR="00081CA7">
        <w:rPr>
          <w:rFonts w:asciiTheme="majorHAnsi" w:hAnsiTheme="majorHAnsi" w:cs="Cambria"/>
          <w:lang w:val="en-US"/>
        </w:rPr>
        <w:t xml:space="preserve"> 2,997 words</w:t>
      </w:r>
    </w:p>
    <w:p w14:paraId="0A62681D" w14:textId="77777777" w:rsidR="00990B31" w:rsidRPr="00BB3F42" w:rsidRDefault="005532C0" w:rsidP="00E41469">
      <w:pPr>
        <w:widowControl w:val="0"/>
        <w:autoSpaceDE w:val="0"/>
        <w:autoSpaceDN w:val="0"/>
        <w:adjustRightInd w:val="0"/>
        <w:spacing w:line="480" w:lineRule="auto"/>
        <w:rPr>
          <w:rFonts w:asciiTheme="majorHAnsi" w:hAnsiTheme="majorHAnsi" w:cs="Cambria"/>
          <w:lang w:val="en-US"/>
        </w:rPr>
      </w:pPr>
      <w:r w:rsidRPr="00BB3F42">
        <w:rPr>
          <w:rFonts w:asciiTheme="majorHAnsi" w:hAnsiTheme="majorHAnsi" w:cs="Cambria"/>
          <w:lang w:val="en-US"/>
        </w:rPr>
        <w:t xml:space="preserve">Abstract word count: </w:t>
      </w:r>
      <w:r w:rsidR="00BB3F42" w:rsidRPr="00BB3F42">
        <w:rPr>
          <w:rFonts w:asciiTheme="majorHAnsi" w:hAnsiTheme="majorHAnsi" w:cs="Cambria"/>
          <w:lang w:val="en-US"/>
        </w:rPr>
        <w:t>250</w:t>
      </w:r>
      <w:r w:rsidR="00081CA7">
        <w:rPr>
          <w:rFonts w:asciiTheme="majorHAnsi" w:hAnsiTheme="majorHAnsi" w:cs="Cambria"/>
          <w:lang w:val="en-US"/>
        </w:rPr>
        <w:t xml:space="preserve"> words</w:t>
      </w:r>
    </w:p>
    <w:p w14:paraId="7C40E338" w14:textId="77777777" w:rsidR="00322078" w:rsidRPr="00081CA7" w:rsidRDefault="00322078" w:rsidP="00E41469">
      <w:pPr>
        <w:widowControl w:val="0"/>
        <w:autoSpaceDE w:val="0"/>
        <w:autoSpaceDN w:val="0"/>
        <w:adjustRightInd w:val="0"/>
        <w:spacing w:line="480" w:lineRule="auto"/>
        <w:rPr>
          <w:rFonts w:asciiTheme="majorHAnsi" w:hAnsiTheme="majorHAnsi" w:cs="Cambria"/>
          <w:lang w:val="en-US"/>
        </w:rPr>
      </w:pPr>
    </w:p>
    <w:p w14:paraId="6059CE82" w14:textId="77777777" w:rsidR="005532C0" w:rsidRPr="00081CA7" w:rsidRDefault="005532C0" w:rsidP="00E41469">
      <w:pPr>
        <w:widowControl w:val="0"/>
        <w:autoSpaceDE w:val="0"/>
        <w:autoSpaceDN w:val="0"/>
        <w:adjustRightInd w:val="0"/>
        <w:spacing w:line="480" w:lineRule="auto"/>
        <w:rPr>
          <w:rFonts w:asciiTheme="majorHAnsi" w:hAnsiTheme="majorHAnsi" w:cs="Cambria"/>
          <w:lang w:val="en-US"/>
        </w:rPr>
      </w:pPr>
      <w:r w:rsidRPr="00081CA7">
        <w:rPr>
          <w:rFonts w:asciiTheme="majorHAnsi" w:hAnsiTheme="majorHAnsi" w:cs="Cambria"/>
          <w:lang w:val="en-US"/>
        </w:rPr>
        <w:t xml:space="preserve">40 Word Summary: </w:t>
      </w:r>
    </w:p>
    <w:p w14:paraId="7054321B" w14:textId="77777777" w:rsidR="00081CA7" w:rsidRPr="00081CA7" w:rsidRDefault="00081CA7" w:rsidP="00081CA7">
      <w:pPr>
        <w:widowControl w:val="0"/>
        <w:autoSpaceDE w:val="0"/>
        <w:autoSpaceDN w:val="0"/>
        <w:adjustRightInd w:val="0"/>
        <w:spacing w:line="480" w:lineRule="auto"/>
        <w:rPr>
          <w:rFonts w:asciiTheme="majorHAnsi" w:hAnsiTheme="majorHAnsi" w:cs="Cambria"/>
        </w:rPr>
      </w:pPr>
      <w:r w:rsidRPr="00081CA7">
        <w:rPr>
          <w:rFonts w:asciiTheme="majorHAnsi" w:hAnsiTheme="majorHAnsi" w:cs="Cambria"/>
        </w:rPr>
        <w:t xml:space="preserve">In England and Wales, the childhood pneumococcal conjugate vaccination programme was associated with a 69% reduction in IPD-related mortality rates in children aged &lt;5 years, with nearly all IPD-related childhood deaths now due to non-vaccine serotypes or in neonates </w:t>
      </w:r>
    </w:p>
    <w:p w14:paraId="691330B0" w14:textId="77777777" w:rsidR="00081CA7" w:rsidRDefault="00081CA7" w:rsidP="00E41469">
      <w:pPr>
        <w:widowControl w:val="0"/>
        <w:autoSpaceDE w:val="0"/>
        <w:autoSpaceDN w:val="0"/>
        <w:adjustRightInd w:val="0"/>
        <w:spacing w:line="480" w:lineRule="auto"/>
        <w:rPr>
          <w:rFonts w:asciiTheme="majorHAnsi" w:hAnsiTheme="majorHAnsi" w:cs="Cambria"/>
          <w:lang w:val="en-US"/>
        </w:rPr>
      </w:pPr>
    </w:p>
    <w:p w14:paraId="203FCBF2" w14:textId="77777777" w:rsidR="008A710D" w:rsidRPr="00566D41" w:rsidRDefault="00566D41" w:rsidP="00E41469">
      <w:pPr>
        <w:widowControl w:val="0"/>
        <w:autoSpaceDE w:val="0"/>
        <w:autoSpaceDN w:val="0"/>
        <w:adjustRightInd w:val="0"/>
        <w:spacing w:line="480" w:lineRule="auto"/>
        <w:rPr>
          <w:rFonts w:asciiTheme="majorHAnsi" w:hAnsiTheme="majorHAnsi" w:cs="Cambria"/>
          <w:i/>
          <w:iCs/>
          <w:lang w:val="en-US"/>
        </w:rPr>
      </w:pPr>
      <w:r>
        <w:rPr>
          <w:rFonts w:asciiTheme="majorHAnsi" w:hAnsiTheme="majorHAnsi" w:cs="Cambria"/>
          <w:b/>
          <w:i/>
          <w:iCs/>
          <w:lang w:val="en-US"/>
        </w:rPr>
        <w:lastRenderedPageBreak/>
        <w:t xml:space="preserve">Corresponding Author: </w:t>
      </w:r>
      <w:r w:rsidRPr="00206A05">
        <w:rPr>
          <w:rFonts w:asciiTheme="majorHAnsi" w:hAnsiTheme="majorHAnsi" w:cs="Cambria"/>
          <w:i/>
          <w:iCs/>
          <w:lang w:val="en-US"/>
        </w:rPr>
        <w:t>Dr S Ladhani, Immunisation Department, Public Health England, 61 Colindale Avenue, London NW9 5EQ, UK. E-mail: shamez.ladhani@phe.gov.uk</w:t>
      </w:r>
    </w:p>
    <w:p w14:paraId="4A7FCDFE" w14:textId="77777777" w:rsidR="008A710D" w:rsidRPr="00CF4D47" w:rsidRDefault="008A710D" w:rsidP="00E41469">
      <w:pPr>
        <w:widowControl w:val="0"/>
        <w:autoSpaceDE w:val="0"/>
        <w:autoSpaceDN w:val="0"/>
        <w:adjustRightInd w:val="0"/>
        <w:spacing w:line="480" w:lineRule="auto"/>
        <w:rPr>
          <w:rFonts w:asciiTheme="majorHAnsi" w:hAnsiTheme="majorHAnsi" w:cs="Cambria"/>
          <w:i/>
          <w:iCs/>
          <w:lang w:val="en-US"/>
        </w:rPr>
      </w:pPr>
    </w:p>
    <w:p w14:paraId="240E6344" w14:textId="77777777" w:rsidR="008A710D" w:rsidRPr="00CF4D47" w:rsidRDefault="008A710D" w:rsidP="00E41469">
      <w:pPr>
        <w:widowControl w:val="0"/>
        <w:autoSpaceDE w:val="0"/>
        <w:autoSpaceDN w:val="0"/>
        <w:adjustRightInd w:val="0"/>
        <w:spacing w:line="480" w:lineRule="auto"/>
        <w:rPr>
          <w:rFonts w:asciiTheme="majorHAnsi" w:hAnsiTheme="majorHAnsi" w:cs="Helvetica Neue"/>
          <w:sz w:val="26"/>
          <w:szCs w:val="26"/>
          <w:lang w:val="en-US"/>
        </w:rPr>
      </w:pPr>
      <w:r w:rsidRPr="00CF4D47">
        <w:rPr>
          <w:rFonts w:asciiTheme="majorHAnsi" w:hAnsiTheme="majorHAnsi" w:cs="Helvetica Neue"/>
          <w:sz w:val="26"/>
          <w:szCs w:val="26"/>
          <w:lang w:val="en-US"/>
        </w:rPr>
        <w:t> </w:t>
      </w:r>
    </w:p>
    <w:p w14:paraId="5702E0F2" w14:textId="77777777" w:rsidR="00BF395A" w:rsidRDefault="00BF395A" w:rsidP="00E41469">
      <w:pPr>
        <w:widowControl w:val="0"/>
        <w:autoSpaceDE w:val="0"/>
        <w:autoSpaceDN w:val="0"/>
        <w:adjustRightInd w:val="0"/>
        <w:spacing w:line="480" w:lineRule="auto"/>
        <w:rPr>
          <w:rFonts w:asciiTheme="majorHAnsi" w:hAnsiTheme="majorHAnsi" w:cs="Calibri"/>
          <w:b/>
          <w:bCs/>
          <w:color w:val="313131"/>
          <w:lang w:val="en-US"/>
        </w:rPr>
      </w:pPr>
    </w:p>
    <w:p w14:paraId="247C9B6D" w14:textId="77777777" w:rsidR="00BF395A" w:rsidRDefault="00BF395A">
      <w:pPr>
        <w:rPr>
          <w:rFonts w:asciiTheme="majorHAnsi" w:hAnsiTheme="majorHAnsi" w:cs="Calibri"/>
          <w:b/>
          <w:bCs/>
          <w:color w:val="313131"/>
          <w:sz w:val="32"/>
          <w:lang w:val="en-US"/>
        </w:rPr>
      </w:pPr>
      <w:r>
        <w:rPr>
          <w:rFonts w:asciiTheme="majorHAnsi" w:hAnsiTheme="majorHAnsi" w:cs="Calibri"/>
          <w:b/>
          <w:bCs/>
          <w:color w:val="313131"/>
          <w:sz w:val="32"/>
          <w:lang w:val="en-US"/>
        </w:rPr>
        <w:br w:type="page"/>
      </w:r>
    </w:p>
    <w:p w14:paraId="5B637392" w14:textId="77777777" w:rsidR="00BF395A" w:rsidRPr="00206A05" w:rsidRDefault="00BF395A" w:rsidP="00A3236D">
      <w:pPr>
        <w:widowControl w:val="0"/>
        <w:autoSpaceDE w:val="0"/>
        <w:autoSpaceDN w:val="0"/>
        <w:adjustRightInd w:val="0"/>
        <w:spacing w:line="480" w:lineRule="auto"/>
        <w:outlineLvl w:val="0"/>
        <w:rPr>
          <w:rFonts w:asciiTheme="majorHAnsi" w:hAnsiTheme="majorHAnsi" w:cs="Calibri"/>
          <w:b/>
          <w:bCs/>
          <w:color w:val="313131"/>
          <w:sz w:val="32"/>
          <w:lang w:val="en-US"/>
        </w:rPr>
      </w:pPr>
      <w:r w:rsidRPr="00206A05">
        <w:rPr>
          <w:rFonts w:asciiTheme="majorHAnsi" w:hAnsiTheme="majorHAnsi" w:cs="Calibri"/>
          <w:b/>
          <w:bCs/>
          <w:color w:val="313131"/>
          <w:sz w:val="32"/>
          <w:lang w:val="en-US"/>
        </w:rPr>
        <w:lastRenderedPageBreak/>
        <w:t>Abstract</w:t>
      </w:r>
    </w:p>
    <w:p w14:paraId="1155931D" w14:textId="77777777" w:rsidR="008A710D" w:rsidRPr="00CF4D47" w:rsidRDefault="008A710D" w:rsidP="00E41469">
      <w:pPr>
        <w:widowControl w:val="0"/>
        <w:autoSpaceDE w:val="0"/>
        <w:autoSpaceDN w:val="0"/>
        <w:adjustRightInd w:val="0"/>
        <w:spacing w:line="480" w:lineRule="auto"/>
        <w:rPr>
          <w:rFonts w:asciiTheme="majorHAnsi" w:hAnsiTheme="majorHAnsi" w:cs="Calibri"/>
          <w:color w:val="313131"/>
          <w:lang w:val="en-US"/>
        </w:rPr>
      </w:pPr>
      <w:r w:rsidRPr="00CF4D47">
        <w:rPr>
          <w:rFonts w:asciiTheme="majorHAnsi" w:hAnsiTheme="majorHAnsi" w:cs="Calibri"/>
          <w:b/>
          <w:bCs/>
          <w:color w:val="313131"/>
          <w:lang w:val="en-US"/>
        </w:rPr>
        <w:t>Background</w:t>
      </w:r>
      <w:r w:rsidR="0043285F">
        <w:rPr>
          <w:rFonts w:asciiTheme="majorHAnsi" w:hAnsiTheme="majorHAnsi" w:cs="Calibri"/>
          <w:color w:val="313131"/>
          <w:lang w:val="en-US"/>
        </w:rPr>
        <w:t xml:space="preserve">: </w:t>
      </w:r>
      <w:r w:rsidR="00192A66">
        <w:rPr>
          <w:rFonts w:asciiTheme="majorHAnsi" w:hAnsiTheme="majorHAnsi" w:cs="Calibri"/>
          <w:color w:val="313131"/>
          <w:lang w:val="en-US"/>
        </w:rPr>
        <w:t>P</w:t>
      </w:r>
      <w:r w:rsidRPr="00CF4D47">
        <w:rPr>
          <w:rFonts w:asciiTheme="majorHAnsi" w:hAnsiTheme="majorHAnsi" w:cs="Calibri"/>
          <w:color w:val="313131"/>
          <w:lang w:val="en-US"/>
        </w:rPr>
        <w:t>neumococcal conjugate vaccine</w:t>
      </w:r>
      <w:r w:rsidR="00192A66">
        <w:rPr>
          <w:rFonts w:asciiTheme="majorHAnsi" w:hAnsiTheme="majorHAnsi" w:cs="Calibri"/>
          <w:color w:val="313131"/>
          <w:lang w:val="en-US"/>
        </w:rPr>
        <w:t>s</w:t>
      </w:r>
      <w:r w:rsidRPr="00CF4D47">
        <w:rPr>
          <w:rFonts w:asciiTheme="majorHAnsi" w:hAnsiTheme="majorHAnsi" w:cs="Calibri"/>
          <w:color w:val="313131"/>
          <w:lang w:val="en-US"/>
        </w:rPr>
        <w:t xml:space="preserve"> (PCV) </w:t>
      </w:r>
      <w:r w:rsidR="00192A66">
        <w:rPr>
          <w:rFonts w:asciiTheme="majorHAnsi" w:hAnsiTheme="majorHAnsi" w:cs="Calibri"/>
          <w:color w:val="313131"/>
          <w:lang w:val="en-US"/>
        </w:rPr>
        <w:t xml:space="preserve">are </w:t>
      </w:r>
      <w:r w:rsidRPr="00CF4D47">
        <w:rPr>
          <w:rFonts w:asciiTheme="majorHAnsi" w:hAnsiTheme="majorHAnsi" w:cs="Calibri"/>
          <w:color w:val="313131"/>
          <w:lang w:val="en-US"/>
        </w:rPr>
        <w:t>highly effective in preventing invasive pneumococcal disease (IPD)</w:t>
      </w:r>
      <w:r w:rsidR="00192A66">
        <w:rPr>
          <w:rFonts w:asciiTheme="majorHAnsi" w:hAnsiTheme="majorHAnsi" w:cs="Calibri"/>
          <w:color w:val="313131"/>
          <w:lang w:val="en-US"/>
        </w:rPr>
        <w:t xml:space="preserve"> but d</w:t>
      </w:r>
      <w:r w:rsidRPr="00CF4D47">
        <w:rPr>
          <w:rFonts w:asciiTheme="majorHAnsi" w:hAnsiTheme="majorHAnsi" w:cs="Calibri"/>
          <w:color w:val="313131"/>
          <w:lang w:val="en-US"/>
        </w:rPr>
        <w:t xml:space="preserve">eaths </w:t>
      </w:r>
      <w:r w:rsidR="0043285F">
        <w:rPr>
          <w:rFonts w:asciiTheme="majorHAnsi" w:hAnsiTheme="majorHAnsi" w:cs="Calibri"/>
          <w:color w:val="313131"/>
          <w:lang w:val="en-US"/>
        </w:rPr>
        <w:t>due</w:t>
      </w:r>
      <w:r w:rsidR="0043285F" w:rsidRPr="00CF4D47">
        <w:rPr>
          <w:rFonts w:asciiTheme="majorHAnsi" w:hAnsiTheme="majorHAnsi" w:cs="Calibri"/>
          <w:color w:val="313131"/>
          <w:lang w:val="en-US"/>
        </w:rPr>
        <w:t xml:space="preserve"> </w:t>
      </w:r>
      <w:r w:rsidRPr="00CF4D47">
        <w:rPr>
          <w:rFonts w:asciiTheme="majorHAnsi" w:hAnsiTheme="majorHAnsi" w:cs="Calibri"/>
          <w:color w:val="313131"/>
          <w:lang w:val="en-US"/>
        </w:rPr>
        <w:t xml:space="preserve">to </w:t>
      </w:r>
      <w:r w:rsidR="00DB72CC">
        <w:rPr>
          <w:rFonts w:asciiTheme="majorHAnsi" w:hAnsiTheme="majorHAnsi" w:cs="Calibri"/>
          <w:color w:val="313131"/>
          <w:lang w:val="en-US"/>
        </w:rPr>
        <w:t>IPD</w:t>
      </w:r>
      <w:r w:rsidRPr="00CF4D47">
        <w:rPr>
          <w:rFonts w:asciiTheme="majorHAnsi" w:hAnsiTheme="majorHAnsi" w:cs="Calibri"/>
          <w:color w:val="313131"/>
          <w:lang w:val="en-US"/>
        </w:rPr>
        <w:t xml:space="preserve"> still occur. </w:t>
      </w:r>
      <w:r w:rsidR="0043285F">
        <w:rPr>
          <w:rFonts w:asciiTheme="majorHAnsi" w:hAnsiTheme="majorHAnsi" w:cs="Calibri"/>
          <w:color w:val="313131"/>
          <w:lang w:val="en-US"/>
        </w:rPr>
        <w:t xml:space="preserve">We </w:t>
      </w:r>
      <w:r w:rsidR="00A05B2C" w:rsidRPr="00CF4D47">
        <w:rPr>
          <w:rFonts w:asciiTheme="majorHAnsi" w:hAnsiTheme="majorHAnsi" w:cs="Calibri"/>
          <w:color w:val="313131"/>
          <w:lang w:val="en-US"/>
        </w:rPr>
        <w:t>aimed to describe</w:t>
      </w:r>
      <w:r w:rsidRPr="00CF4D47">
        <w:rPr>
          <w:rFonts w:asciiTheme="majorHAnsi" w:hAnsiTheme="majorHAnsi" w:cs="Calibri"/>
          <w:color w:val="313131"/>
          <w:lang w:val="en-US"/>
        </w:rPr>
        <w:t xml:space="preserve"> children who died of IPD since PCV introduction in England and Wales.</w:t>
      </w:r>
    </w:p>
    <w:p w14:paraId="1AF988AB" w14:textId="77777777" w:rsidR="007F410A" w:rsidRDefault="008A710D" w:rsidP="00E41469">
      <w:pPr>
        <w:widowControl w:val="0"/>
        <w:autoSpaceDE w:val="0"/>
        <w:autoSpaceDN w:val="0"/>
        <w:adjustRightInd w:val="0"/>
        <w:spacing w:line="480" w:lineRule="auto"/>
        <w:rPr>
          <w:rFonts w:asciiTheme="majorHAnsi" w:hAnsiTheme="majorHAnsi" w:cs="Calibri"/>
          <w:b/>
          <w:bCs/>
          <w:color w:val="313131"/>
          <w:lang w:val="en-US"/>
        </w:rPr>
      </w:pPr>
      <w:r w:rsidRPr="00CF4D47">
        <w:rPr>
          <w:rFonts w:asciiTheme="majorHAnsi" w:hAnsiTheme="majorHAnsi" w:cs="Calibri"/>
          <w:b/>
          <w:bCs/>
          <w:color w:val="313131"/>
          <w:lang w:val="en-US"/>
        </w:rPr>
        <w:t>Methods</w:t>
      </w:r>
      <w:r w:rsidR="0043285F">
        <w:rPr>
          <w:rFonts w:asciiTheme="majorHAnsi" w:hAnsiTheme="majorHAnsi" w:cs="Calibri"/>
          <w:color w:val="313131"/>
          <w:lang w:val="en-US"/>
        </w:rPr>
        <w:t xml:space="preserve">: </w:t>
      </w:r>
      <w:r w:rsidRPr="00CF4D47">
        <w:rPr>
          <w:rFonts w:asciiTheme="majorHAnsi" w:hAnsiTheme="majorHAnsi" w:cs="Calibri"/>
          <w:color w:val="313131"/>
          <w:lang w:val="en-US"/>
        </w:rPr>
        <w:t xml:space="preserve">Public Health England conducts enhanced IPD surveillance in England and Wales. </w:t>
      </w:r>
      <w:r w:rsidR="004B3ED5">
        <w:rPr>
          <w:rFonts w:asciiTheme="majorHAnsi" w:hAnsiTheme="majorHAnsi" w:cs="Calibri"/>
          <w:color w:val="313131"/>
          <w:lang w:val="en-US"/>
        </w:rPr>
        <w:t xml:space="preserve">IPD cases in </w:t>
      </w:r>
      <w:r w:rsidRPr="00CF4D47">
        <w:rPr>
          <w:rFonts w:asciiTheme="majorHAnsi" w:hAnsiTheme="majorHAnsi" w:cs="Calibri"/>
          <w:color w:val="313131"/>
          <w:lang w:val="en-US"/>
        </w:rPr>
        <w:t xml:space="preserve">PCV-eligible children </w:t>
      </w:r>
      <w:r w:rsidR="00DB72CC">
        <w:rPr>
          <w:rFonts w:asciiTheme="majorHAnsi" w:hAnsiTheme="majorHAnsi" w:cs="Calibri"/>
          <w:color w:val="313131"/>
          <w:lang w:val="en-US"/>
        </w:rPr>
        <w:t xml:space="preserve">aged &lt;5 years </w:t>
      </w:r>
      <w:r w:rsidR="00671655">
        <w:rPr>
          <w:rFonts w:asciiTheme="majorHAnsi" w:hAnsiTheme="majorHAnsi" w:cs="Calibri"/>
          <w:color w:val="313131"/>
          <w:lang w:val="en-US"/>
        </w:rPr>
        <w:t>(</w:t>
      </w:r>
      <w:r w:rsidR="00DB72CC">
        <w:rPr>
          <w:rFonts w:asciiTheme="majorHAnsi" w:hAnsiTheme="majorHAnsi" w:cs="Calibri"/>
          <w:color w:val="313131"/>
          <w:lang w:val="en-US"/>
        </w:rPr>
        <w:t xml:space="preserve">born since 04 September 2004 </w:t>
      </w:r>
      <w:r w:rsidR="00C46D0D">
        <w:rPr>
          <w:rFonts w:asciiTheme="majorHAnsi" w:hAnsiTheme="majorHAnsi" w:cs="Calibri"/>
          <w:color w:val="313131"/>
          <w:lang w:val="en-US"/>
        </w:rPr>
        <w:t>and</w:t>
      </w:r>
      <w:r w:rsidR="00671655">
        <w:rPr>
          <w:rFonts w:asciiTheme="majorHAnsi" w:hAnsiTheme="majorHAnsi" w:cs="Calibri"/>
          <w:color w:val="313131"/>
          <w:lang w:val="en-US"/>
        </w:rPr>
        <w:t xml:space="preserve"> diagnosed between 04 September 2006 and 03 September 2014) </w:t>
      </w:r>
      <w:r w:rsidRPr="00CF4D47">
        <w:rPr>
          <w:rFonts w:asciiTheme="majorHAnsi" w:hAnsiTheme="majorHAnsi" w:cs="Calibri"/>
          <w:color w:val="313131"/>
          <w:lang w:val="en-US"/>
        </w:rPr>
        <w:t>were actively followed-up by postal questionnaires and, for fatal cases, detailed information was requested</w:t>
      </w:r>
      <w:r w:rsidR="00D03CE8">
        <w:rPr>
          <w:rFonts w:asciiTheme="majorHAnsi" w:hAnsiTheme="majorHAnsi" w:cs="Calibri"/>
          <w:color w:val="313131"/>
          <w:lang w:val="en-US"/>
        </w:rPr>
        <w:t xml:space="preserve"> prospectively</w:t>
      </w:r>
      <w:r w:rsidRPr="00CF4D47">
        <w:rPr>
          <w:rFonts w:asciiTheme="majorHAnsi" w:hAnsiTheme="majorHAnsi" w:cs="Calibri"/>
          <w:color w:val="313131"/>
          <w:lang w:val="en-US"/>
        </w:rPr>
        <w:t xml:space="preserve"> from </w:t>
      </w:r>
      <w:r w:rsidR="00D03CE8">
        <w:rPr>
          <w:rFonts w:asciiTheme="majorHAnsi" w:hAnsiTheme="majorHAnsi" w:cs="Calibri"/>
          <w:color w:val="313131"/>
          <w:lang w:val="en-US"/>
        </w:rPr>
        <w:t>multiple sources</w:t>
      </w:r>
      <w:r w:rsidRPr="00CF4D47">
        <w:rPr>
          <w:rFonts w:asciiTheme="majorHAnsi" w:hAnsiTheme="majorHAnsi" w:cs="Calibri"/>
          <w:color w:val="313131"/>
          <w:lang w:val="en-US"/>
        </w:rPr>
        <w:t>.</w:t>
      </w:r>
    </w:p>
    <w:p w14:paraId="71FCC662" w14:textId="77777777" w:rsidR="008A710D" w:rsidRPr="00C74726" w:rsidRDefault="008A710D" w:rsidP="00E41469">
      <w:pPr>
        <w:widowControl w:val="0"/>
        <w:autoSpaceDE w:val="0"/>
        <w:autoSpaceDN w:val="0"/>
        <w:adjustRightInd w:val="0"/>
        <w:spacing w:line="480" w:lineRule="auto"/>
        <w:rPr>
          <w:rFonts w:asciiTheme="majorHAnsi" w:hAnsiTheme="majorHAnsi" w:cs="Cambria"/>
          <w:lang w:val="en-US"/>
        </w:rPr>
      </w:pPr>
      <w:r w:rsidRPr="00CF4D47">
        <w:rPr>
          <w:rFonts w:asciiTheme="majorHAnsi" w:hAnsiTheme="majorHAnsi" w:cs="Calibri"/>
          <w:b/>
          <w:bCs/>
          <w:color w:val="313131"/>
          <w:lang w:val="en-US"/>
        </w:rPr>
        <w:t>Results</w:t>
      </w:r>
      <w:r w:rsidR="0043285F">
        <w:rPr>
          <w:rFonts w:asciiTheme="majorHAnsi" w:hAnsiTheme="majorHAnsi" w:cs="Calibri"/>
          <w:color w:val="313131"/>
          <w:lang w:val="en-US"/>
        </w:rPr>
        <w:t xml:space="preserve">: </w:t>
      </w:r>
      <w:r w:rsidRPr="00CC33E7">
        <w:rPr>
          <w:rFonts w:asciiTheme="majorHAnsi" w:hAnsiTheme="majorHAnsi" w:cs="Calibri"/>
          <w:color w:val="313131"/>
          <w:lang w:val="en-US"/>
        </w:rPr>
        <w:t xml:space="preserve">During </w:t>
      </w:r>
      <w:r w:rsidR="00671655" w:rsidRPr="00CC33E7">
        <w:rPr>
          <w:rFonts w:asciiTheme="majorHAnsi" w:hAnsiTheme="majorHAnsi" w:cs="Calibri"/>
          <w:color w:val="313131"/>
          <w:lang w:val="en-US"/>
        </w:rPr>
        <w:t>the 8-year</w:t>
      </w:r>
      <w:r w:rsidR="00671655" w:rsidRPr="00C74726">
        <w:rPr>
          <w:rFonts w:asciiTheme="majorHAnsi" w:hAnsiTheme="majorHAnsi" w:cs="Calibri"/>
          <w:color w:val="313131"/>
          <w:lang w:val="en-US"/>
        </w:rPr>
        <w:t xml:space="preserve"> period</w:t>
      </w:r>
      <w:r w:rsidRPr="00C74726">
        <w:rPr>
          <w:rFonts w:asciiTheme="majorHAnsi" w:hAnsiTheme="majorHAnsi" w:cs="Calibri"/>
          <w:color w:val="313131"/>
          <w:lang w:val="en-US"/>
        </w:rPr>
        <w:t xml:space="preserve">, there were 3,146 IPD cases </w:t>
      </w:r>
      <w:r w:rsidR="00741E48" w:rsidRPr="00C74726">
        <w:rPr>
          <w:rFonts w:asciiTheme="majorHAnsi" w:hAnsiTheme="majorHAnsi" w:cs="Calibri"/>
          <w:color w:val="313131"/>
          <w:lang w:val="en-US"/>
        </w:rPr>
        <w:t xml:space="preserve">and </w:t>
      </w:r>
      <w:r w:rsidRPr="00C74726">
        <w:rPr>
          <w:rFonts w:asciiTheme="majorHAnsi" w:hAnsiTheme="majorHAnsi" w:cs="Calibri"/>
          <w:color w:val="313131"/>
          <w:lang w:val="en-US"/>
        </w:rPr>
        <w:t>150 IPD-</w:t>
      </w:r>
      <w:r w:rsidR="00741E48" w:rsidRPr="00C74726">
        <w:rPr>
          <w:rFonts w:asciiTheme="majorHAnsi" w:hAnsiTheme="majorHAnsi" w:cs="Calibri"/>
          <w:color w:val="313131"/>
          <w:lang w:val="en-US"/>
        </w:rPr>
        <w:t xml:space="preserve">related </w:t>
      </w:r>
      <w:r w:rsidRPr="00C74726">
        <w:rPr>
          <w:rFonts w:asciiTheme="majorHAnsi" w:hAnsiTheme="majorHAnsi" w:cs="Calibri"/>
          <w:color w:val="313131"/>
          <w:lang w:val="en-US"/>
        </w:rPr>
        <w:t xml:space="preserve">deaths (case </w:t>
      </w:r>
      <w:r w:rsidR="00B90860" w:rsidRPr="00C74726">
        <w:rPr>
          <w:rFonts w:asciiTheme="majorHAnsi" w:hAnsiTheme="majorHAnsi" w:cs="Calibri"/>
          <w:color w:val="313131"/>
          <w:lang w:val="en-US"/>
        </w:rPr>
        <w:t>fatality rate, 4.8</w:t>
      </w:r>
      <w:r w:rsidR="00AE7567" w:rsidRPr="00C74726">
        <w:rPr>
          <w:rFonts w:asciiTheme="majorHAnsi" w:hAnsiTheme="majorHAnsi" w:cs="Calibri"/>
          <w:color w:val="313131"/>
          <w:lang w:val="en-US"/>
        </w:rPr>
        <w:t>%)</w:t>
      </w:r>
      <w:r w:rsidR="004E0960" w:rsidRPr="00C74726">
        <w:rPr>
          <w:rFonts w:asciiTheme="majorHAnsi" w:hAnsiTheme="majorHAnsi" w:cs="Calibri"/>
          <w:color w:val="313131"/>
          <w:lang w:val="en-US"/>
        </w:rPr>
        <w:t>. Overall</w:t>
      </w:r>
      <w:r w:rsidR="004E0960" w:rsidRPr="00CC33E7">
        <w:rPr>
          <w:rFonts w:asciiTheme="majorHAnsi" w:hAnsiTheme="majorHAnsi" w:cs="Calibri"/>
          <w:color w:val="313131"/>
          <w:lang w:val="en-US"/>
        </w:rPr>
        <w:t>,</w:t>
      </w:r>
      <w:r w:rsidR="00AE7567" w:rsidRPr="00C74726">
        <w:rPr>
          <w:rFonts w:asciiTheme="majorHAnsi" w:hAnsiTheme="majorHAnsi" w:cs="Calibri"/>
          <w:color w:val="313131"/>
          <w:lang w:val="en-US"/>
        </w:rPr>
        <w:t xml:space="preserve"> 132</w:t>
      </w:r>
      <w:r w:rsidR="00DE0610" w:rsidRPr="00C74726">
        <w:rPr>
          <w:rFonts w:asciiTheme="majorHAnsi" w:hAnsiTheme="majorHAnsi" w:cs="Calibri"/>
          <w:color w:val="313131"/>
          <w:lang w:val="en-US"/>
        </w:rPr>
        <w:t xml:space="preserve"> isolates </w:t>
      </w:r>
      <w:r w:rsidR="00787230" w:rsidRPr="00C74726">
        <w:rPr>
          <w:rFonts w:asciiTheme="majorHAnsi" w:hAnsiTheme="majorHAnsi" w:cs="Calibri"/>
          <w:color w:val="313131"/>
          <w:lang w:val="en-US"/>
        </w:rPr>
        <w:t xml:space="preserve">from fatal cases </w:t>
      </w:r>
      <w:r w:rsidR="00DE0610" w:rsidRPr="00C74726">
        <w:rPr>
          <w:rFonts w:asciiTheme="majorHAnsi" w:hAnsiTheme="majorHAnsi" w:cs="Calibri"/>
          <w:color w:val="313131"/>
          <w:lang w:val="en-US"/>
        </w:rPr>
        <w:t>were serotyped</w:t>
      </w:r>
      <w:r w:rsidR="004E0960" w:rsidRPr="00CC33E7">
        <w:rPr>
          <w:rFonts w:asciiTheme="majorHAnsi" w:hAnsiTheme="majorHAnsi" w:cs="Calibri"/>
          <w:color w:val="313131"/>
          <w:lang w:val="en-US"/>
        </w:rPr>
        <w:t xml:space="preserve"> (88%)</w:t>
      </w:r>
      <w:r w:rsidR="00DB72CC" w:rsidRPr="00C74726">
        <w:rPr>
          <w:rFonts w:asciiTheme="majorHAnsi" w:hAnsiTheme="majorHAnsi" w:cs="Calibri"/>
          <w:color w:val="313131"/>
          <w:lang w:val="en-US"/>
        </w:rPr>
        <w:t xml:space="preserve"> </w:t>
      </w:r>
      <w:r w:rsidR="004E0960" w:rsidRPr="00C74726">
        <w:rPr>
          <w:rFonts w:asciiTheme="majorHAnsi" w:hAnsiTheme="majorHAnsi" w:cs="Cambria"/>
          <w:lang w:val="en-US"/>
        </w:rPr>
        <w:t xml:space="preserve">and 35 </w:t>
      </w:r>
      <w:r w:rsidR="00255186" w:rsidRPr="00C74726">
        <w:rPr>
          <w:rFonts w:asciiTheme="majorHAnsi" w:hAnsiTheme="majorHAnsi" w:cs="Cambria"/>
          <w:lang w:val="en-US"/>
        </w:rPr>
        <w:t xml:space="preserve">distinct </w:t>
      </w:r>
      <w:r w:rsidR="004E0960" w:rsidRPr="00C74726">
        <w:rPr>
          <w:rFonts w:asciiTheme="majorHAnsi" w:hAnsiTheme="majorHAnsi" w:cs="Cambria"/>
          <w:lang w:val="en-US"/>
        </w:rPr>
        <w:t>serotypes were identified, with no serotype predominance.</w:t>
      </w:r>
      <w:r w:rsidR="00266FB9" w:rsidRPr="00C74726">
        <w:rPr>
          <w:rFonts w:asciiTheme="majorHAnsi" w:hAnsiTheme="majorHAnsi" w:cs="Cambria"/>
          <w:lang w:val="en-US"/>
        </w:rPr>
        <w:t xml:space="preserve"> </w:t>
      </w:r>
      <w:r w:rsidR="00EA5639" w:rsidRPr="00C74726">
        <w:rPr>
          <w:rFonts w:asciiTheme="majorHAnsi" w:hAnsiTheme="majorHAnsi" w:cs="Cambria"/>
          <w:lang w:val="en-US"/>
        </w:rPr>
        <w:t xml:space="preserve">Most deaths </w:t>
      </w:r>
      <w:r w:rsidR="00EA5639" w:rsidRPr="00CC33E7">
        <w:rPr>
          <w:rFonts w:asciiTheme="majorHAnsi" w:hAnsiTheme="majorHAnsi" w:cs="Calibri"/>
          <w:color w:val="313131"/>
          <w:lang w:val="en-US"/>
        </w:rPr>
        <w:t>occurred in &lt;1 year-olds</w:t>
      </w:r>
      <w:r w:rsidR="00EA5639" w:rsidRPr="00C74726">
        <w:rPr>
          <w:rFonts w:asciiTheme="majorHAnsi" w:hAnsiTheme="majorHAnsi" w:cs="Calibri"/>
          <w:color w:val="313131"/>
          <w:lang w:val="en-US"/>
        </w:rPr>
        <w:t xml:space="preserve"> (88/150, 59%) and one year-olds (36/150, 24%). One-third (53/150, 35%) had a known risk factor for IPD. Clinical presentation varied with age but not </w:t>
      </w:r>
      <w:r w:rsidR="00C74726">
        <w:rPr>
          <w:rFonts w:asciiTheme="majorHAnsi" w:hAnsiTheme="majorHAnsi" w:cs="Calibri"/>
          <w:color w:val="313131"/>
          <w:lang w:val="en-US"/>
        </w:rPr>
        <w:t>by serotypes in the different conjugate vaccines</w:t>
      </w:r>
      <w:r w:rsidR="00EA5639" w:rsidRPr="00CC33E7">
        <w:rPr>
          <w:rFonts w:asciiTheme="majorHAnsi" w:hAnsiTheme="majorHAnsi" w:cs="Calibri"/>
          <w:color w:val="313131"/>
          <w:lang w:val="en-US"/>
        </w:rPr>
        <w:t xml:space="preserve">. </w:t>
      </w:r>
      <w:r w:rsidR="00EA5639" w:rsidRPr="00C74726">
        <w:rPr>
          <w:rFonts w:asciiTheme="majorHAnsi" w:hAnsiTheme="majorHAnsi" w:cs="Calibri"/>
          <w:color w:val="313131"/>
          <w:lang w:val="en-US"/>
        </w:rPr>
        <w:t xml:space="preserve">Meningitis was diagnosed in nearly half the fatal cases (71/150, 47%). </w:t>
      </w:r>
      <w:r w:rsidR="004E0960" w:rsidRPr="00C74726">
        <w:rPr>
          <w:rFonts w:asciiTheme="majorHAnsi" w:hAnsiTheme="majorHAnsi" w:cs="Cambria"/>
          <w:lang w:val="en-US"/>
        </w:rPr>
        <w:t xml:space="preserve">IPD-related </w:t>
      </w:r>
      <w:r w:rsidR="00266FB9" w:rsidRPr="00C74726">
        <w:rPr>
          <w:rFonts w:asciiTheme="majorHAnsi" w:hAnsiTheme="majorHAnsi" w:cs="Cambria"/>
          <w:lang w:val="en-US"/>
        </w:rPr>
        <w:t>mortality-</w:t>
      </w:r>
      <w:r w:rsidR="004E0960" w:rsidRPr="00C74726">
        <w:rPr>
          <w:rFonts w:asciiTheme="majorHAnsi" w:hAnsiTheme="majorHAnsi" w:cs="Cambria"/>
          <w:lang w:val="en-US"/>
        </w:rPr>
        <w:t xml:space="preserve">rate declined after PCV7 introduction from 1.25/100,000 children in 2006/07 to 0.60/100,000 in 2009/10, with a </w:t>
      </w:r>
      <w:r w:rsidR="00266FB9" w:rsidRPr="00C74726">
        <w:rPr>
          <w:rFonts w:asciiTheme="majorHAnsi" w:hAnsiTheme="majorHAnsi" w:cs="Cambria"/>
          <w:lang w:val="en-US"/>
        </w:rPr>
        <w:t xml:space="preserve">further </w:t>
      </w:r>
      <w:r w:rsidR="004E0960" w:rsidRPr="00C74726">
        <w:rPr>
          <w:rFonts w:asciiTheme="majorHAnsi" w:hAnsiTheme="majorHAnsi" w:cs="Cambria"/>
          <w:lang w:val="en-US"/>
        </w:rPr>
        <w:t xml:space="preserve">reduction </w:t>
      </w:r>
      <w:r w:rsidR="00266FB9" w:rsidRPr="00C74726">
        <w:rPr>
          <w:rFonts w:asciiTheme="majorHAnsi" w:hAnsiTheme="majorHAnsi" w:cs="Cambria"/>
          <w:lang w:val="en-US"/>
        </w:rPr>
        <w:t xml:space="preserve">following PCV13 introduction </w:t>
      </w:r>
      <w:r w:rsidR="0032558E" w:rsidRPr="00C74726">
        <w:rPr>
          <w:rFonts w:asciiTheme="majorHAnsi" w:hAnsiTheme="majorHAnsi" w:cs="Cambria"/>
          <w:lang w:val="en-US"/>
        </w:rPr>
        <w:t xml:space="preserve">from </w:t>
      </w:r>
      <w:r w:rsidR="0031302A" w:rsidRPr="00C74726">
        <w:rPr>
          <w:rFonts w:asciiTheme="majorHAnsi" w:hAnsiTheme="majorHAnsi" w:cs="Cambria"/>
          <w:lang w:val="en-US"/>
        </w:rPr>
        <w:t xml:space="preserve">April 2010 </w:t>
      </w:r>
      <w:r w:rsidR="00C46D0D" w:rsidRPr="00C74726">
        <w:rPr>
          <w:rFonts w:asciiTheme="majorHAnsi" w:hAnsiTheme="majorHAnsi" w:cs="Cambria"/>
          <w:lang w:val="en-US"/>
        </w:rPr>
        <w:t>to 0.39</w:t>
      </w:r>
      <w:r w:rsidR="004E0960" w:rsidRPr="00C74726">
        <w:rPr>
          <w:rFonts w:asciiTheme="majorHAnsi" w:hAnsiTheme="majorHAnsi" w:cs="Cambria"/>
          <w:lang w:val="en-US"/>
        </w:rPr>
        <w:t xml:space="preserve">/100,000 </w:t>
      </w:r>
      <w:r w:rsidR="00266FB9" w:rsidRPr="00C74726">
        <w:rPr>
          <w:rFonts w:asciiTheme="majorHAnsi" w:hAnsiTheme="majorHAnsi" w:cs="Cambria"/>
          <w:lang w:val="en-US"/>
        </w:rPr>
        <w:t xml:space="preserve">in </w:t>
      </w:r>
      <w:r w:rsidR="00C46D0D" w:rsidRPr="00C74726">
        <w:rPr>
          <w:rFonts w:asciiTheme="majorHAnsi" w:hAnsiTheme="majorHAnsi" w:cs="Cambria"/>
          <w:lang w:val="en-US"/>
        </w:rPr>
        <w:t>2013/14</w:t>
      </w:r>
      <w:r w:rsidR="004E0960" w:rsidRPr="00C74726">
        <w:rPr>
          <w:rFonts w:asciiTheme="majorHAnsi" w:hAnsiTheme="majorHAnsi" w:cs="Cambria"/>
          <w:lang w:val="en-US"/>
        </w:rPr>
        <w:t xml:space="preserve"> </w:t>
      </w:r>
      <w:r w:rsidR="002E1DF7" w:rsidRPr="00C74726">
        <w:rPr>
          <w:rFonts w:asciiTheme="majorHAnsi" w:hAnsiTheme="majorHAnsi" w:cs="Cambria"/>
          <w:lang w:val="en-US"/>
        </w:rPr>
        <w:t xml:space="preserve"> </w:t>
      </w:r>
      <w:r w:rsidR="004E0960" w:rsidRPr="00C74726">
        <w:rPr>
          <w:rFonts w:asciiTheme="majorHAnsi" w:hAnsiTheme="majorHAnsi" w:cs="Cambria"/>
          <w:lang w:val="en-US"/>
        </w:rPr>
        <w:t>(14 deaths</w:t>
      </w:r>
      <w:r w:rsidR="00192A66">
        <w:rPr>
          <w:rFonts w:asciiTheme="majorHAnsi" w:hAnsiTheme="majorHAnsi" w:cs="Cambria"/>
          <w:lang w:val="en-US"/>
        </w:rPr>
        <w:t xml:space="preserve">; </w:t>
      </w:r>
      <w:r w:rsidR="00A95030" w:rsidRPr="00081CA7">
        <w:rPr>
          <w:rFonts w:asciiTheme="majorHAnsi" w:hAnsiTheme="majorHAnsi" w:cs="Cambria"/>
          <w:lang w:val="en-US"/>
        </w:rPr>
        <w:t>IRR, 0.31; 95%</w:t>
      </w:r>
      <w:r w:rsidR="00192A66" w:rsidRPr="00081CA7">
        <w:rPr>
          <w:rFonts w:asciiTheme="majorHAnsi" w:hAnsiTheme="majorHAnsi" w:cs="Cambria"/>
          <w:lang w:val="en-US"/>
        </w:rPr>
        <w:t>CI, 0.16-0.61; P=0.0003</w:t>
      </w:r>
      <w:r w:rsidR="00206A03" w:rsidRPr="00081CA7">
        <w:rPr>
          <w:rFonts w:asciiTheme="majorHAnsi" w:hAnsiTheme="majorHAnsi" w:cs="Cambria"/>
          <w:lang w:val="en-US"/>
        </w:rPr>
        <w:t>)</w:t>
      </w:r>
      <w:r w:rsidR="007C4D24" w:rsidRPr="00C74726">
        <w:rPr>
          <w:rFonts w:asciiTheme="majorHAnsi" w:hAnsiTheme="majorHAnsi" w:cs="Cambria"/>
          <w:lang w:val="en-US"/>
        </w:rPr>
        <w:t xml:space="preserve">, when most deaths were </w:t>
      </w:r>
      <w:r w:rsidR="00DB72CC" w:rsidRPr="00C74726">
        <w:rPr>
          <w:rFonts w:asciiTheme="majorHAnsi" w:hAnsiTheme="majorHAnsi" w:cs="Cambria"/>
          <w:lang w:val="en-US"/>
        </w:rPr>
        <w:t xml:space="preserve">due to non-vaccine serotypes or </w:t>
      </w:r>
      <w:r w:rsidR="00366A6E" w:rsidRPr="00C74726">
        <w:rPr>
          <w:rFonts w:asciiTheme="majorHAnsi" w:hAnsiTheme="majorHAnsi" w:cs="Cambria"/>
          <w:lang w:val="en-US"/>
        </w:rPr>
        <w:t>in neonates</w:t>
      </w:r>
      <w:r w:rsidR="00A366F1" w:rsidRPr="00CC33E7">
        <w:rPr>
          <w:rFonts w:asciiTheme="majorHAnsi" w:hAnsiTheme="majorHAnsi" w:cs="Calibri"/>
          <w:color w:val="313131"/>
          <w:lang w:val="en-US"/>
        </w:rPr>
        <w:t>.</w:t>
      </w:r>
    </w:p>
    <w:p w14:paraId="09539BA2" w14:textId="77777777" w:rsidR="008A710D" w:rsidRPr="00CF4D47" w:rsidRDefault="008A710D" w:rsidP="00EA5639">
      <w:pPr>
        <w:widowControl w:val="0"/>
        <w:autoSpaceDE w:val="0"/>
        <w:autoSpaceDN w:val="0"/>
        <w:adjustRightInd w:val="0"/>
        <w:spacing w:line="480" w:lineRule="auto"/>
        <w:rPr>
          <w:rFonts w:asciiTheme="majorHAnsi" w:hAnsiTheme="majorHAnsi" w:cs="Calibri"/>
          <w:color w:val="313131"/>
          <w:lang w:val="en-US"/>
        </w:rPr>
      </w:pPr>
      <w:r w:rsidRPr="00CF4D47">
        <w:rPr>
          <w:rFonts w:asciiTheme="majorHAnsi" w:hAnsiTheme="majorHAnsi" w:cs="Calibri"/>
          <w:b/>
          <w:bCs/>
          <w:color w:val="313131"/>
          <w:lang w:val="en-US"/>
        </w:rPr>
        <w:t>Conclusions</w:t>
      </w:r>
      <w:r w:rsidR="0043285F">
        <w:rPr>
          <w:rFonts w:asciiTheme="majorHAnsi" w:hAnsiTheme="majorHAnsi" w:cs="Calibri"/>
          <w:b/>
          <w:bCs/>
          <w:color w:val="313131"/>
          <w:lang w:val="en-US"/>
        </w:rPr>
        <w:t>:</w:t>
      </w:r>
      <w:r w:rsidR="0043285F" w:rsidRPr="00206A05">
        <w:rPr>
          <w:rFonts w:asciiTheme="majorHAnsi" w:hAnsiTheme="majorHAnsi" w:cs="Calibri"/>
          <w:bCs/>
          <w:color w:val="313131"/>
          <w:lang w:val="en-US"/>
        </w:rPr>
        <w:t xml:space="preserve"> </w:t>
      </w:r>
      <w:r w:rsidR="00EA5639" w:rsidRPr="00A8141F">
        <w:rPr>
          <w:rFonts w:asciiTheme="majorHAnsi" w:hAnsiTheme="majorHAnsi" w:cs="Calibri"/>
          <w:bCs/>
          <w:color w:val="313131"/>
          <w:lang w:val="en-US"/>
        </w:rPr>
        <w:t>Most</w:t>
      </w:r>
      <w:r w:rsidRPr="00CF4D47">
        <w:rPr>
          <w:rFonts w:asciiTheme="majorHAnsi" w:hAnsiTheme="majorHAnsi" w:cs="Calibri"/>
          <w:color w:val="313131"/>
          <w:lang w:val="en-US"/>
        </w:rPr>
        <w:t xml:space="preserve"> fatal </w:t>
      </w:r>
      <w:r w:rsidR="00EA5639">
        <w:rPr>
          <w:rFonts w:asciiTheme="majorHAnsi" w:hAnsiTheme="majorHAnsi" w:cs="Calibri"/>
          <w:color w:val="313131"/>
          <w:lang w:val="en-US"/>
        </w:rPr>
        <w:t xml:space="preserve">IPD </w:t>
      </w:r>
      <w:r w:rsidRPr="00CF4D47">
        <w:rPr>
          <w:rFonts w:asciiTheme="majorHAnsi" w:hAnsiTheme="majorHAnsi" w:cs="Calibri"/>
          <w:color w:val="313131"/>
          <w:lang w:val="en-US"/>
        </w:rPr>
        <w:t>cases are currently not vaccine</w:t>
      </w:r>
      <w:r w:rsidR="00EA5639">
        <w:rPr>
          <w:rFonts w:asciiTheme="majorHAnsi" w:hAnsiTheme="majorHAnsi" w:cs="Calibri"/>
          <w:color w:val="313131"/>
          <w:lang w:val="en-US"/>
        </w:rPr>
        <w:t>-</w:t>
      </w:r>
      <w:r w:rsidRPr="00CF4D47">
        <w:rPr>
          <w:rFonts w:asciiTheme="majorHAnsi" w:hAnsiTheme="majorHAnsi" w:cs="Calibri"/>
          <w:color w:val="313131"/>
          <w:lang w:val="en-US"/>
        </w:rPr>
        <w:t>preventable. Additional strategies will be required</w:t>
      </w:r>
      <w:r w:rsidR="00DB72CC">
        <w:rPr>
          <w:rFonts w:asciiTheme="majorHAnsi" w:hAnsiTheme="majorHAnsi" w:cs="Calibri"/>
          <w:color w:val="313131"/>
          <w:lang w:val="en-US"/>
        </w:rPr>
        <w:t xml:space="preserve"> to reduce </w:t>
      </w:r>
      <w:r w:rsidRPr="00CF4D47">
        <w:rPr>
          <w:rFonts w:asciiTheme="majorHAnsi" w:hAnsiTheme="majorHAnsi" w:cs="Calibri"/>
          <w:color w:val="313131"/>
          <w:lang w:val="en-US"/>
        </w:rPr>
        <w:t>childhood pneumococcal deaths in countries with established pneumococcal vaccination programmes</w:t>
      </w:r>
      <w:r w:rsidR="00DB72CC">
        <w:rPr>
          <w:rFonts w:asciiTheme="majorHAnsi" w:hAnsiTheme="majorHAnsi" w:cs="Calibri"/>
          <w:color w:val="313131"/>
          <w:lang w:val="en-US"/>
        </w:rPr>
        <w:t>.</w:t>
      </w:r>
    </w:p>
    <w:p w14:paraId="67865D68" w14:textId="77777777" w:rsidR="008A710D" w:rsidRPr="00CF4D47" w:rsidRDefault="008A710D" w:rsidP="00E41469">
      <w:pPr>
        <w:widowControl w:val="0"/>
        <w:autoSpaceDE w:val="0"/>
        <w:autoSpaceDN w:val="0"/>
        <w:adjustRightInd w:val="0"/>
        <w:spacing w:line="480" w:lineRule="auto"/>
        <w:rPr>
          <w:rFonts w:asciiTheme="majorHAnsi" w:hAnsiTheme="majorHAnsi" w:cs="Calibri"/>
          <w:color w:val="313131"/>
          <w:lang w:val="en-US"/>
        </w:rPr>
      </w:pPr>
    </w:p>
    <w:p w14:paraId="28BA4A88" w14:textId="77777777" w:rsidR="00806B41" w:rsidRDefault="00806B41">
      <w:pPr>
        <w:rPr>
          <w:rFonts w:ascii="Cambria" w:hAnsi="Cambria" w:cs="Cambria"/>
          <w:b/>
          <w:bCs/>
          <w:sz w:val="32"/>
          <w:szCs w:val="32"/>
          <w:lang w:val="en-US"/>
        </w:rPr>
      </w:pPr>
      <w:r>
        <w:rPr>
          <w:rFonts w:ascii="Cambria" w:hAnsi="Cambria" w:cs="Cambria"/>
          <w:b/>
          <w:bCs/>
          <w:sz w:val="32"/>
          <w:szCs w:val="32"/>
          <w:lang w:val="en-US"/>
        </w:rPr>
        <w:br w:type="page"/>
      </w:r>
    </w:p>
    <w:p w14:paraId="0DC9FE87" w14:textId="77777777" w:rsidR="008A710D" w:rsidRDefault="008A710D" w:rsidP="00A3236D">
      <w:pPr>
        <w:widowControl w:val="0"/>
        <w:autoSpaceDE w:val="0"/>
        <w:autoSpaceDN w:val="0"/>
        <w:adjustRightInd w:val="0"/>
        <w:spacing w:line="480" w:lineRule="auto"/>
        <w:outlineLvl w:val="0"/>
        <w:rPr>
          <w:rFonts w:ascii="Cambria" w:hAnsi="Cambria" w:cs="Cambria"/>
          <w:b/>
          <w:bCs/>
          <w:sz w:val="32"/>
          <w:szCs w:val="32"/>
          <w:lang w:val="en-US"/>
        </w:rPr>
      </w:pPr>
      <w:r>
        <w:rPr>
          <w:rFonts w:ascii="Cambria" w:hAnsi="Cambria" w:cs="Cambria"/>
          <w:b/>
          <w:bCs/>
          <w:sz w:val="32"/>
          <w:szCs w:val="32"/>
          <w:lang w:val="en-US"/>
        </w:rPr>
        <w:lastRenderedPageBreak/>
        <w:t>Introduction</w:t>
      </w:r>
    </w:p>
    <w:p w14:paraId="19364096" w14:textId="4295ACB5" w:rsidR="008C1121" w:rsidRDefault="008A710D" w:rsidP="00E41469">
      <w:pPr>
        <w:widowControl w:val="0"/>
        <w:autoSpaceDE w:val="0"/>
        <w:autoSpaceDN w:val="0"/>
        <w:adjustRightInd w:val="0"/>
        <w:spacing w:line="480" w:lineRule="auto"/>
        <w:rPr>
          <w:rFonts w:ascii="Cambria" w:hAnsi="Cambria" w:cs="Cambria"/>
          <w:lang w:val="en-US"/>
        </w:rPr>
      </w:pPr>
      <w:r>
        <w:rPr>
          <w:rFonts w:ascii="Cambria" w:hAnsi="Cambria" w:cs="Cambria"/>
          <w:i/>
          <w:iCs/>
          <w:lang w:val="en-US"/>
        </w:rPr>
        <w:t>Streptococcus pneumoniae</w:t>
      </w:r>
      <w:r>
        <w:rPr>
          <w:rFonts w:ascii="Cambria" w:hAnsi="Cambria" w:cs="Cambria"/>
          <w:lang w:val="en-US"/>
        </w:rPr>
        <w:t xml:space="preserve"> is a major cause of </w:t>
      </w:r>
      <w:r w:rsidR="00BF2724">
        <w:rPr>
          <w:rFonts w:ascii="Cambria" w:hAnsi="Cambria" w:cs="Cambria"/>
          <w:lang w:val="en-US"/>
        </w:rPr>
        <w:t xml:space="preserve">bacterial </w:t>
      </w:r>
      <w:r>
        <w:rPr>
          <w:rFonts w:ascii="Cambria" w:hAnsi="Cambria" w:cs="Cambria"/>
          <w:lang w:val="en-US"/>
        </w:rPr>
        <w:t xml:space="preserve">meningitis, </w:t>
      </w:r>
      <w:r w:rsidR="00806B41">
        <w:rPr>
          <w:rFonts w:ascii="Cambria" w:hAnsi="Cambria" w:cs="Cambria"/>
          <w:lang w:val="en-US"/>
        </w:rPr>
        <w:t>septicemia</w:t>
      </w:r>
      <w:r w:rsidR="00BF2724">
        <w:rPr>
          <w:rFonts w:ascii="Cambria" w:hAnsi="Cambria" w:cs="Cambria"/>
          <w:lang w:val="en-US"/>
        </w:rPr>
        <w:t xml:space="preserve"> and </w:t>
      </w:r>
      <w:r>
        <w:rPr>
          <w:rFonts w:ascii="Cambria" w:hAnsi="Cambria" w:cs="Cambria"/>
          <w:lang w:val="en-US"/>
        </w:rPr>
        <w:t>pneumonia</w:t>
      </w:r>
      <w:r w:rsidR="00806B41">
        <w:rPr>
          <w:rFonts w:ascii="Cambria" w:hAnsi="Cambria" w:cs="Cambria"/>
          <w:lang w:val="en-US"/>
        </w:rPr>
        <w:t xml:space="preserve">, </w:t>
      </w:r>
      <w:r>
        <w:rPr>
          <w:rFonts w:ascii="Cambria" w:hAnsi="Cambria" w:cs="Cambria"/>
          <w:lang w:val="en-US"/>
        </w:rPr>
        <w:t xml:space="preserve">and is responsible for almost a million </w:t>
      </w:r>
      <w:r w:rsidR="00AE04D2">
        <w:rPr>
          <w:rFonts w:ascii="Cambria" w:hAnsi="Cambria" w:cs="Cambria"/>
          <w:lang w:val="en-US"/>
        </w:rPr>
        <w:t>childhood death</w:t>
      </w:r>
      <w:r w:rsidR="00246D84">
        <w:rPr>
          <w:rFonts w:ascii="Cambria" w:hAnsi="Cambria" w:cs="Cambria"/>
          <w:lang w:val="en-US"/>
        </w:rPr>
        <w:t>s worldwide,</w:t>
      </w:r>
      <w:r w:rsidR="007D18CD">
        <w:rPr>
          <w:rFonts w:ascii="Cambria" w:hAnsi="Cambria" w:cs="Cambria"/>
          <w:lang w:val="en-US"/>
        </w:rPr>
        <w:t xml:space="preserve"> with</w:t>
      </w:r>
      <w:r w:rsidR="00AE04D2">
        <w:rPr>
          <w:rFonts w:ascii="Cambria" w:hAnsi="Cambria" w:cs="Cambria"/>
          <w:lang w:val="en-US"/>
        </w:rPr>
        <w:t xml:space="preserve"> 11% </w:t>
      </w:r>
      <w:r w:rsidR="00246D84">
        <w:rPr>
          <w:rFonts w:ascii="Cambria" w:hAnsi="Cambria" w:cs="Cambria"/>
          <w:lang w:val="en-US"/>
        </w:rPr>
        <w:t xml:space="preserve">of all </w:t>
      </w:r>
      <w:r w:rsidR="00AE04D2">
        <w:rPr>
          <w:rFonts w:ascii="Cambria" w:hAnsi="Cambria" w:cs="Cambria"/>
          <w:lang w:val="en-US"/>
        </w:rPr>
        <w:t xml:space="preserve">deaths </w:t>
      </w:r>
      <w:r w:rsidR="007D18CD">
        <w:rPr>
          <w:rFonts w:ascii="Cambria" w:hAnsi="Cambria" w:cs="Cambria"/>
          <w:lang w:val="en-US"/>
        </w:rPr>
        <w:t xml:space="preserve">occurring </w:t>
      </w:r>
      <w:r w:rsidR="00AE04D2">
        <w:rPr>
          <w:rFonts w:ascii="Cambria" w:hAnsi="Cambria" w:cs="Cambria"/>
          <w:lang w:val="en-US"/>
        </w:rPr>
        <w:t xml:space="preserve">in </w:t>
      </w:r>
      <w:r w:rsidR="00601378">
        <w:rPr>
          <w:rFonts w:ascii="Cambria" w:hAnsi="Cambria" w:cs="Cambria"/>
          <w:lang w:val="en-US"/>
        </w:rPr>
        <w:t>&lt;</w:t>
      </w:r>
      <w:r w:rsidR="00AE04D2">
        <w:rPr>
          <w:rFonts w:ascii="Cambria" w:hAnsi="Cambria" w:cs="Cambria"/>
          <w:lang w:val="en-US"/>
        </w:rPr>
        <w:t>5 year</w:t>
      </w:r>
      <w:r w:rsidR="00BA3896">
        <w:rPr>
          <w:rFonts w:ascii="Cambria" w:hAnsi="Cambria" w:cs="Cambria"/>
          <w:lang w:val="en-US"/>
        </w:rPr>
        <w:t>-olds</w:t>
      </w:r>
      <w:r w:rsidR="007D18CD">
        <w:rPr>
          <w:rFonts w:ascii="Cambria" w:hAnsi="Cambria" w:cs="Cambria"/>
          <w:lang w:val="en-US"/>
        </w:rPr>
        <w:t xml:space="preserve"> </w:t>
      </w:r>
      <w:r w:rsidR="00FA5081">
        <w:rPr>
          <w:rFonts w:ascii="Cambria" w:hAnsi="Cambria" w:cs="Cambria"/>
          <w:lang w:val="en-US"/>
        </w:rPr>
        <w:fldChar w:fldCharType="begin" w:fldLock="1"/>
      </w:r>
      <w:r w:rsidR="00D07E4B">
        <w:rPr>
          <w:rFonts w:ascii="Cambria" w:hAnsi="Cambria" w:cs="Cambria"/>
          <w:lang w:val="en-US"/>
        </w:rPr>
        <w:instrText>ADDIN CSL_CITATION { "citationItems" : [ { "id" : "ITEM-1", "itemData" : { "DOI" : "10.1016/S0140-6736(09)61204-6", "ISBN" : "1474-547X (Electronic)\\n0140-6736 (Linking)", "ISSN" : "1474-547X", "PMID" : "19748398", "abstract" : "BACKGROUND: Streptococcus pneumoniae is a leading cause of bacterial pneumonia, meningitis, and sepsis in children worldwide. However, many countries lack national estimates of disease burden. Effective interventions are available, including pneumococcal conjugate vaccine and case management. To support local and global policy decisions on pneumococcal disease prevention and treatment, we estimated country-specific incidence of serious cases and deaths in children younger than 5 years.\\n\\nMETHODS: We measured the burden of pneumococcal pneumonia by applying the proportion of pneumonia cases caused by S pneumoniae derived from efficacy estimates from vaccine trials to WHO country-specific estimates of all-cause pneumonia cases and deaths. We also estimated burden of meningitis and non-pneumonia, non-meningitis invasive disease using disease incidence and case-fatality data from a systematic literature review. When high-quality data were available from a country, these were used for national estimates. Otherwise, estimates were based on data from neighbouring countries with similar child mortality. Estimates were adjusted for HIV prevalence and access to care and, when applicable, use of vaccine against Haemophilus influenzae type b.\\n\\nFINDINGS: In 2000, about 14.5 million episodes of serious pneumococcal disease (uncertainty range 11.1-18.0 million) were estimated to occur. Pneumococcal disease caused about 826,000 deaths (582,000-926,000) in children aged 1-59 months, of which 91,000 (63,000-102,000) were in HIV-positive and 735,000 (519,000-825,000) in HIV-negative children. Of the deaths in HIV-negative children, over 61% (449,000 [316,000-501,000]) occurred in ten African and Asian countries.\\n\\nINTERPRETATION: S pneumoniae causes around 11% (8-12%) of all deaths in children aged 1-59 months (excluding pneumococcal deaths in HIV-positive children). Achievement of the UN Millennium Development Goal 4 for child mortality reduction can be accelerated by prevention and treatment of pneumococcal disease, especially in regions of the world with the greatest burden.\\n\\nFUNDING: GAVI Alliance and the Vaccine Fund.", "author" : [ { "dropping-particle" : "", "family" : "O'Brien", "given" : "Katherine L", "non-dropping-particle" : "", "parse-names" : false, "suffix" : "" }, { "dropping-particle" : "", "family" : "Wolfson", "given" : "Lara J", "non-dropping-particle" : "", "parse-names" : false, "suffix" : "" }, { "dropping-particle" : "", "family" : "Watt", "given" : "James P",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"Mulholland", "given" : "Kim", "non-dropping-particle" : "", "parse-names" : false, "suffix" : "" }, { "dropping-particle" : "", "family" : "Levine", "given" : "Orin S", "non-dropping-particle" : "", "parse-names" : false, "suffix" : "" }, { "dropping-particle" : "", "family" : "Cherian", "given" : "Thomas", "non-dropping-particle" : "", "parse-names" : false, "suffix" : "" } ], "container-title" : "Lancet", "id" : "ITEM-1", "issue" : "9693", "issued" : { "date-parts" : [ [ "2009" ] ] }, "page" : "893-902", "title" : "Burden of disease caused by Streptococcus pneumoniae in children younger than 5 years: global estimates.", "type" : "article-journal", "volume" : "374" }, "uris" : [ "http://www.mendeley.com/documents/?uuid=5461524e-9a40-431f-b1e5-f2f6f69025eb" ] } ], "mendeley" : { "formattedCitation" : "(1)", "plainTextFormattedCitation" : "(1)", "previouslyFormattedCitation" : "(1)"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(1)</w:t>
      </w:r>
      <w:r w:rsidR="00FA5081">
        <w:rPr>
          <w:rFonts w:ascii="Cambria" w:hAnsi="Cambria" w:cs="Cambria"/>
          <w:lang w:val="en-US"/>
        </w:rPr>
        <w:fldChar w:fldCharType="end"/>
      </w:r>
      <w:r w:rsidR="00806B41">
        <w:rPr>
          <w:rFonts w:ascii="Cambria" w:hAnsi="Cambria" w:cs="Cambria"/>
          <w:lang w:val="en-US"/>
        </w:rPr>
        <w:t>.</w:t>
      </w:r>
      <w:r w:rsidR="007D18CD">
        <w:rPr>
          <w:rFonts w:ascii="Cambria" w:hAnsi="Cambria" w:cs="Cambria"/>
          <w:lang w:val="en-US"/>
        </w:rPr>
        <w:t xml:space="preserve"> </w:t>
      </w:r>
      <w:r w:rsidR="00BF2724">
        <w:rPr>
          <w:rFonts w:ascii="Cambria" w:hAnsi="Cambria" w:cs="Cambria"/>
          <w:lang w:val="en-US"/>
        </w:rPr>
        <w:t xml:space="preserve">In England and Wales, </w:t>
      </w:r>
      <w:r w:rsidR="00BA3896">
        <w:rPr>
          <w:rFonts w:ascii="Cambria" w:hAnsi="Cambria" w:cs="Cambria"/>
          <w:lang w:val="en-US"/>
        </w:rPr>
        <w:t xml:space="preserve">prior to routine vaccination, the </w:t>
      </w:r>
      <w:r w:rsidR="007D18CD">
        <w:rPr>
          <w:rFonts w:ascii="Cambria" w:hAnsi="Cambria" w:cs="Cambria"/>
          <w:lang w:val="en-US"/>
        </w:rPr>
        <w:t xml:space="preserve">incidence </w:t>
      </w:r>
      <w:r w:rsidR="00BA3896">
        <w:rPr>
          <w:rFonts w:ascii="Cambria" w:hAnsi="Cambria" w:cs="Cambria"/>
          <w:lang w:val="en-US"/>
        </w:rPr>
        <w:t xml:space="preserve">of invasive pneumococcal disease (IPD) was highest </w:t>
      </w:r>
      <w:r w:rsidR="00C1046D">
        <w:rPr>
          <w:rFonts w:ascii="Cambria" w:hAnsi="Cambria" w:cs="Cambria"/>
          <w:lang w:val="en-US"/>
        </w:rPr>
        <w:t xml:space="preserve">in &lt;2year-olds </w:t>
      </w:r>
      <w:r w:rsidR="00BA3896">
        <w:rPr>
          <w:rFonts w:ascii="Cambria" w:hAnsi="Cambria" w:cs="Cambria"/>
          <w:lang w:val="en-US"/>
        </w:rPr>
        <w:t>(</w:t>
      </w:r>
      <w:r w:rsidR="007D18CD">
        <w:rPr>
          <w:rFonts w:ascii="Cambria" w:hAnsi="Cambria" w:cs="Cambria"/>
          <w:lang w:val="en-US"/>
        </w:rPr>
        <w:t>36/100,000</w:t>
      </w:r>
      <w:r w:rsidR="00C1046D" w:rsidRPr="00C1046D">
        <w:rPr>
          <w:rFonts w:ascii="Cambria" w:hAnsi="Cambria" w:cs="Cambria"/>
          <w:lang w:val="en-US"/>
        </w:rPr>
        <w:t xml:space="preserve"> </w:t>
      </w:r>
      <w:r w:rsidR="000D438E">
        <w:rPr>
          <w:rFonts w:ascii="Cambria" w:hAnsi="Cambria" w:cs="Cambria"/>
          <w:lang w:val="en-US"/>
        </w:rPr>
        <w:t>in 2005</w:t>
      </w:r>
      <w:r w:rsidR="002B7DEC">
        <w:rPr>
          <w:rFonts w:ascii="Cambria" w:hAnsi="Cambria" w:cs="Cambria"/>
          <w:lang w:val="en-US"/>
        </w:rPr>
        <w:t>/6</w:t>
      </w:r>
      <w:r w:rsidR="00BA3896">
        <w:rPr>
          <w:rFonts w:ascii="Cambria" w:hAnsi="Cambria" w:cs="Cambria"/>
          <w:lang w:val="en-US"/>
        </w:rPr>
        <w:t>) and</w:t>
      </w:r>
      <w:r w:rsidR="00C74726">
        <w:rPr>
          <w:rFonts w:ascii="Cambria" w:hAnsi="Cambria" w:cs="Cambria"/>
          <w:lang w:val="en-US"/>
        </w:rPr>
        <w:t xml:space="preserve"> the serotypes included in the 7-valent pneumococcal conjugate vaccine (PCV7) were </w:t>
      </w:r>
      <w:r w:rsidR="007D18CD">
        <w:rPr>
          <w:rFonts w:ascii="Cambria" w:hAnsi="Cambria" w:cs="Cambria"/>
          <w:lang w:val="en-US"/>
        </w:rPr>
        <w:t>responsible for 73% of IPD</w:t>
      </w:r>
      <w:r w:rsidR="00AB7DB4">
        <w:rPr>
          <w:rFonts w:ascii="Cambria" w:hAnsi="Cambria" w:cs="Cambria"/>
          <w:lang w:val="en-US"/>
        </w:rPr>
        <w:t xml:space="preserve"> </w:t>
      </w:r>
      <w:r w:rsidR="00FE0096">
        <w:rPr>
          <w:rFonts w:ascii="Cambria" w:hAnsi="Cambria" w:cs="Cambria"/>
          <w:lang w:val="en-US"/>
        </w:rPr>
        <w:fldChar w:fldCharType="begin" w:fldLock="1"/>
      </w:r>
      <w:r w:rsidR="00FE0096">
        <w:rPr>
          <w:rFonts w:ascii="Cambria" w:hAnsi="Cambria" w:cs="Cambria"/>
          <w:lang w:val="en-US"/>
        </w:rPr>
        <w:instrText>ADDIN CSL_CITATION { "citationItems" : [ { "id" : "ITEM-1", "itemData" : { "DOI" : "10.1016/j.jinf.2007.07.009", "ISBN" : "1532-2742 (Electronic)\\r0163-4453 (Linking)", "ISSN" : "01634453", "PMID" : "17720251", "abstract" : "Objectives: To assess the incidence of pneumococcal meningitis, associated deaths and serotypes of causative pneumococci in England prior to the inclusion of the 7-valent conjugated pneumococcal vaccine in the routine childhood immunisation programme in 2006. Methods: Cases were identified using hospital episode statistics (HES) and voluntary reports or submission of isolates to the Health Protection Agency. Mortality data and population estimates were from the Office for National Statistics. Results: Based on HES, the annual incidence of pneumococcal meningitis was about 1 case per 100,000 population between 1998 and 2005 (an average of ~480 cases per year) with case fatality rates increasing from 5% in &lt;15 year olds to 30% in &gt;64 year olds. Enhanced surveillance comprising a combination of voluntary reporting of cases and referral of isolates gave case ascertainment rates of 50-70% compared to those derived from HES, and similar case fatality rates. The age distribution of pneumococcal meningitis was similar with both datasets, infection being reported mostly commonly in children aged less than 5 years, with the highest incidence in children aged 2-11 months. Based on the serotype distribution of isolates obtained in 2005, the serotype coverage afforded by the 7-valent conjugate vaccine is 72% for patients aged less than 2 years. Conclusions: These data provide baseline information on the incidence of pneumococcal meningitis and associated mortality, together with the serotypes of infecting strains of pneumococci, which will be critical for evaluation of the public health impact of the 7-valent conjugated pneumococcal vaccine in England. ?? 2007 The British Infection Society.", "author" : [ { "dropping-particle" : "", "family" : "Johnson", "given" : "Alan P.", "non-dropping-particle" : "", "parse-names" : false, "suffix" : "" }, { "dropping-particle" : "", "family" : "Waight", "given" : "Pauline", "non-dropping-particle" : "", "parse-names" : false, "suffix" : "" }, { "dropping-particle" : "", "family" : "Andrews", "given" : "Nick", "non-dropping-particle" : "", "parse-names" : false, "suffix" : "" }, { "dropping-particle" : "", "family" : "Pebody", "given" : "Richard", "non-dropping-particle" : "", "parse-names" : false, "suffix" : "" }, { "dropping-particle" : "", "family" : "George", "given" : "Robert C.", "non-dropping-particle" : "", "parse-names" : false, "suffix" : "" }, { "dropping-particle" : "", "family" : "Miller", "given" : "Elizabeth", "non-dropping-particle" : "", "parse-names" : false, "suffix" : "" } ], "container-title" : "Journal of Infection", "id" : "ITEM-1", "issue" : "5", "issued" : { "date-parts" : [ [ "2007" ] ] }, "page" : "394-399", "title" : "Morbidity and mortality of pneumococcal meningitis and serotypes of causative strains prior to introduction of the 7-valent conjugant pneumococcal vaccine in England", "type" : "article-journal", "volume" : "55" }, "uris" : [ "http://www.mendeley.com/documents/?uuid=b1b4f87f-459c-4e39-978a-3c52a6ef87e1" ] } ], "mendeley" : { "formattedCitation" : "(2)", "plainTextFormattedCitation" : "(2)", "previouslyFormattedCitation" : "(2)" }, "properties" : { "noteIndex" : 0 }, "schema" : "https://github.com/citation-style-language/schema/raw/master/csl-citation.json" }</w:instrText>
      </w:r>
      <w:r w:rsidR="00FE0096">
        <w:rPr>
          <w:rFonts w:ascii="Cambria" w:hAnsi="Cambria" w:cs="Cambria"/>
          <w:lang w:val="en-US"/>
        </w:rPr>
        <w:fldChar w:fldCharType="separate"/>
      </w:r>
      <w:r w:rsidR="00FE0096" w:rsidRPr="00FE0096">
        <w:rPr>
          <w:rFonts w:ascii="Cambria" w:hAnsi="Cambria" w:cs="Cambria"/>
          <w:noProof/>
          <w:lang w:val="en-US"/>
        </w:rPr>
        <w:t>(2)</w:t>
      </w:r>
      <w:r w:rsidR="00FE0096">
        <w:rPr>
          <w:rFonts w:ascii="Cambria" w:hAnsi="Cambria" w:cs="Cambria"/>
          <w:lang w:val="en-US"/>
        </w:rPr>
        <w:fldChar w:fldCharType="end"/>
      </w:r>
    </w:p>
    <w:p w14:paraId="51586F2B" w14:textId="77777777" w:rsidR="008C1121" w:rsidRDefault="008C1121" w:rsidP="00E41469">
      <w:pPr>
        <w:widowControl w:val="0"/>
        <w:autoSpaceDE w:val="0"/>
        <w:autoSpaceDN w:val="0"/>
        <w:adjustRightInd w:val="0"/>
        <w:spacing w:line="480" w:lineRule="auto"/>
        <w:rPr>
          <w:rFonts w:ascii="Cambria" w:hAnsi="Cambria" w:cs="Cambria"/>
          <w:lang w:val="en-US"/>
        </w:rPr>
      </w:pPr>
    </w:p>
    <w:p w14:paraId="48AD92B2" w14:textId="1AB1D248" w:rsidR="007D18CD" w:rsidRDefault="008A710D"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The U</w:t>
      </w:r>
      <w:r w:rsidR="007D18CD">
        <w:rPr>
          <w:rFonts w:ascii="Cambria" w:hAnsi="Cambria" w:cs="Cambria"/>
          <w:lang w:val="en-US"/>
        </w:rPr>
        <w:t xml:space="preserve">nited </w:t>
      </w:r>
      <w:r>
        <w:rPr>
          <w:rFonts w:ascii="Cambria" w:hAnsi="Cambria" w:cs="Cambria"/>
          <w:lang w:val="en-US"/>
        </w:rPr>
        <w:t>K</w:t>
      </w:r>
      <w:r w:rsidR="007D18CD">
        <w:rPr>
          <w:rFonts w:ascii="Cambria" w:hAnsi="Cambria" w:cs="Cambria"/>
          <w:lang w:val="en-US"/>
        </w:rPr>
        <w:t>ingdom</w:t>
      </w:r>
      <w:r>
        <w:rPr>
          <w:rFonts w:ascii="Cambria" w:hAnsi="Cambria" w:cs="Cambria"/>
          <w:lang w:val="en-US"/>
        </w:rPr>
        <w:t xml:space="preserve"> introduced </w:t>
      </w:r>
      <w:r w:rsidR="00C74726">
        <w:rPr>
          <w:rFonts w:ascii="Cambria" w:hAnsi="Cambria" w:cs="Cambria"/>
          <w:lang w:val="en-US"/>
        </w:rPr>
        <w:t xml:space="preserve">PCV7 </w:t>
      </w:r>
      <w:r w:rsidR="00BB759D">
        <w:rPr>
          <w:rFonts w:ascii="Cambria" w:hAnsi="Cambria" w:cs="Cambria"/>
          <w:lang w:val="en-US"/>
        </w:rPr>
        <w:t>into the routine</w:t>
      </w:r>
      <w:r>
        <w:rPr>
          <w:rFonts w:ascii="Cambria" w:hAnsi="Cambria" w:cs="Cambria"/>
          <w:lang w:val="en-US"/>
        </w:rPr>
        <w:t xml:space="preserve"> childhood </w:t>
      </w:r>
      <w:r w:rsidR="00257473">
        <w:rPr>
          <w:rFonts w:ascii="Cambria" w:hAnsi="Cambria" w:cs="Cambria"/>
          <w:lang w:val="en-US"/>
        </w:rPr>
        <w:t>immunization</w:t>
      </w:r>
      <w:r>
        <w:rPr>
          <w:rFonts w:ascii="Cambria" w:hAnsi="Cambria" w:cs="Cambria"/>
          <w:lang w:val="en-US"/>
        </w:rPr>
        <w:t xml:space="preserve"> schedule on 04 September 2006</w:t>
      </w:r>
      <w:r w:rsidR="00612EB5">
        <w:rPr>
          <w:rFonts w:ascii="Cambria" w:hAnsi="Cambria" w:cs="Cambria"/>
          <w:lang w:val="en-US"/>
        </w:rPr>
        <w:t>,</w:t>
      </w:r>
      <w:r>
        <w:rPr>
          <w:rFonts w:ascii="Cambria" w:hAnsi="Cambria" w:cs="Cambria"/>
          <w:lang w:val="en-US"/>
        </w:rPr>
        <w:t xml:space="preserve"> at 2 and 4 months, </w:t>
      </w:r>
      <w:r w:rsidR="00612EB5">
        <w:rPr>
          <w:rFonts w:ascii="Cambria" w:hAnsi="Cambria" w:cs="Cambria"/>
          <w:lang w:val="en-US"/>
        </w:rPr>
        <w:t>with</w:t>
      </w:r>
      <w:r>
        <w:rPr>
          <w:rFonts w:ascii="Cambria" w:hAnsi="Cambria" w:cs="Cambria"/>
          <w:lang w:val="en-US"/>
        </w:rPr>
        <w:t xml:space="preserve"> a booster at </w:t>
      </w:r>
      <w:r w:rsidR="00687029">
        <w:rPr>
          <w:rFonts w:ascii="Cambria" w:hAnsi="Cambria" w:cs="Cambria"/>
          <w:lang w:val="en-US"/>
        </w:rPr>
        <w:t>12-</w:t>
      </w:r>
      <w:r>
        <w:rPr>
          <w:rFonts w:ascii="Cambria" w:hAnsi="Cambria" w:cs="Cambria"/>
          <w:lang w:val="en-US"/>
        </w:rPr>
        <w:t xml:space="preserve">13 months </w:t>
      </w:r>
      <w:r w:rsidR="00FA5081">
        <w:rPr>
          <w:rFonts w:ascii="Cambria" w:hAnsi="Cambria" w:cs="Cambria"/>
          <w:lang w:val="en-US"/>
        </w:rPr>
        <w:fldChar w:fldCharType="begin" w:fldLock="1"/>
      </w:r>
      <w:r w:rsidR="00FE0096">
        <w:rPr>
          <w:rFonts w:ascii="Cambria" w:hAnsi="Cambria" w:cs="Cambria"/>
          <w:lang w:val="en-US"/>
        </w:rPr>
        <w:instrText>ADDIN CSL_CITATION { "citationItems" : [ { "id" : "ITEM-1", "itemData" : { "DOI" : "10.1016/j.jinf.2007.07.009", "ISBN" : "1532-2742 (Electronic)\\r0163-4453 (Linking)", "ISSN" : "01634453", "PMID" : "17720251", "abstract" : "Objectives: To assess the incidence of pneumococcal meningitis, associated deaths and serotypes of causative pneumococci in England prior to the inclusion of the 7-valent conjugated pneumococcal vaccine in the routine childhood immunisation programme in 2006. Methods: Cases were identified using hospital episode statistics (HES) and voluntary reports or submission of isolates to the Health Protection Agency. Mortality data and population estimates were from the Office for National Statistics. Results: Based on HES, the annual incidence of pneumococcal meningitis was about 1 case per 100,000 population between 1998 and 2005 (an average of ~480 cases per year) with case fatality rates increasing from 5% in &lt;15 year olds to 30% in &gt;64 year olds. Enhanced surveillance comprising a combination of voluntary reporting of cases and referral of isolates gave case ascertainment rates of 50-70% compared to those derived from HES, and similar case fatality rates. The age distribution of pneumococcal meningitis was similar with both datasets, infection being reported mostly commonly in children aged less than 5 years, with the highest incidence in children aged 2-11 months. Based on the serotype distribution of isolates obtained in 2005, the serotype coverage afforded by the 7-valent conjugate vaccine is 72% for patients aged less than 2 years. Conclusions: These data provide baseline information on the incidence of pneumococcal meningitis and associated mortality, together with the serotypes of infecting strains of pneumococci, which will be critical for evaluation of the public health impact of the 7-valent conjugated pneumococcal vaccine in England. ?? 2007 The British Infection Society.", "author" : [ { "dropping-particle" : "", "family" : "Johnson", "given" : "Alan P.", "non-dropping-particle" : "", "parse-names" : false, "suffix" : "" }, { "dropping-particle" : "", "family" : "Waight", "given" : "Pauline", "non-dropping-particle" : "", "parse-names" : false, "suffix" : "" }, { "dropping-particle" : "", "family" : "Andrews", "given" : "Nick", "non-dropping-particle" : "", "parse-names" : false, "suffix" : "" }, { "dropping-particle" : "", "family" : "Pebody", "given" : "Richard", "non-dropping-particle" : "", "parse-names" : false, "suffix" : "" }, { "dropping-particle" : "", "family" : "George", "given" : "Robert C.", "non-dropping-particle" : "", "parse-names" : false, "suffix" : "" }, { "dropping-particle" : "", "family" : "Miller", "given" : "Elizabeth", "non-dropping-particle" : "", "parse-names" : false, "suffix" : "" } ], "container-title" : "Journal of Infection", "id" : "ITEM-1", "issue" : "5", "issued" : { "date-parts" : [ [ "2007" ] ] }, "page" : "394-399", "title" : "Morbidity and mortality of pneumococcal meningitis and serotypes of causative strains prior to introduction of the 7-valent conjugant pneumococcal vaccine in England", "type" : "article-journal", "volume" : "55" }, "uris" : [ "http://www.mendeley.com/documents/?uuid=b1b4f87f-459c-4e39-978a-3c52a6ef87e1" ] } ], "mendeley" : { "formattedCitation" : "(2)", "plainTextFormattedCitation" : "(2)", "previouslyFormattedCitation" : "(2)" }, "properties" : { "noteIndex" : 0 }, "schema" : "https://github.com/citation-style-language/schema/raw/master/csl-citation.json" }</w:instrText>
      </w:r>
      <w:r w:rsidR="00FA5081">
        <w:rPr>
          <w:rFonts w:ascii="Cambria" w:hAnsi="Cambria" w:cs="Cambria"/>
          <w:lang w:val="en-US"/>
        </w:rPr>
        <w:fldChar w:fldCharType="separate"/>
      </w:r>
      <w:r w:rsidR="00FE0096" w:rsidRPr="00FE0096">
        <w:rPr>
          <w:rFonts w:ascii="Cambria" w:hAnsi="Cambria" w:cs="Cambria"/>
          <w:noProof/>
          <w:lang w:val="en-US"/>
        </w:rPr>
        <w:t>(2)</w:t>
      </w:r>
      <w:r w:rsidR="00FA5081">
        <w:rPr>
          <w:rFonts w:ascii="Cambria" w:hAnsi="Cambria" w:cs="Cambria"/>
          <w:lang w:val="en-US"/>
        </w:rPr>
        <w:fldChar w:fldCharType="end"/>
      </w:r>
      <w:r w:rsidR="007D18CD">
        <w:rPr>
          <w:rFonts w:ascii="Cambria" w:hAnsi="Cambria" w:cs="Cambria"/>
          <w:lang w:val="en-US"/>
        </w:rPr>
        <w:t xml:space="preserve">. </w:t>
      </w:r>
      <w:r>
        <w:rPr>
          <w:rFonts w:ascii="Cambria" w:hAnsi="Cambria" w:cs="Cambria"/>
          <w:lang w:val="en-US"/>
        </w:rPr>
        <w:t>At the same time, a 12-month catch-up campaign was initiated</w:t>
      </w:r>
      <w:r w:rsidR="00EB7D9F">
        <w:rPr>
          <w:rFonts w:ascii="Cambria" w:hAnsi="Cambria" w:cs="Cambria"/>
          <w:lang w:val="en-US"/>
        </w:rPr>
        <w:t xml:space="preserve"> for</w:t>
      </w:r>
      <w:r w:rsidR="007D18CD">
        <w:rPr>
          <w:rFonts w:ascii="Cambria" w:hAnsi="Cambria" w:cs="Cambria"/>
          <w:lang w:val="en-US"/>
        </w:rPr>
        <w:t xml:space="preserve"> </w:t>
      </w:r>
      <w:r w:rsidR="00687029">
        <w:rPr>
          <w:rFonts w:ascii="Cambria" w:hAnsi="Cambria" w:cs="Cambria"/>
          <w:lang w:val="en-US"/>
        </w:rPr>
        <w:t>children</w:t>
      </w:r>
      <w:r w:rsidR="007D18CD">
        <w:rPr>
          <w:rFonts w:ascii="Cambria" w:hAnsi="Cambria" w:cs="Cambria"/>
          <w:lang w:val="en-US"/>
        </w:rPr>
        <w:t xml:space="preserve"> up to </w:t>
      </w:r>
      <w:r>
        <w:rPr>
          <w:rFonts w:ascii="Cambria" w:hAnsi="Cambria" w:cs="Cambria"/>
          <w:lang w:val="en-US"/>
        </w:rPr>
        <w:t>24 months</w:t>
      </w:r>
      <w:r w:rsidR="007D18CD">
        <w:rPr>
          <w:rFonts w:ascii="Cambria" w:hAnsi="Cambria" w:cs="Cambria"/>
          <w:lang w:val="en-US"/>
        </w:rPr>
        <w:t xml:space="preserve"> of age</w:t>
      </w:r>
      <w:r w:rsidR="00FE0096">
        <w:rPr>
          <w:rFonts w:ascii="Cambria" w:hAnsi="Cambria" w:cs="Cambria"/>
          <w:lang w:val="en-US"/>
        </w:rPr>
        <w:t xml:space="preserve"> </w:t>
      </w:r>
      <w:r w:rsidR="00FE0096">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"10.1016/S1473-3099(11)70090-1", "ISBN" : "1474-4457 (Electronic)\\r1473-3099 (Linking)", "ISSN" : "14733099", "PMID" : "21621466", "abstract" : "Background: The seven-valent pneumococcal conjugate vaccine (PCV7) has reduced vaccine-type (VT) invasive pneumococcal disease but increases in non-vaccine-type (NVT) disease have varied between countries. We assess the effect of the PCV7 vaccination on VT and NVT disease in England and Wales. Methods: The study cohort was the population of England and Wales from July, 2000, to June, 2010. We calculated incidence rate ratios (IRRs) to compare incidences of VT and NVT disease before (2000-06) and after (2009-10) the introduction of PCV7. We used data from the national surveillance database. Cases included in our analysis were restricted to those confirmed by culture linked with isolates referred for serotyping at the national reference centre by laboratories in England and Wales. We adjusted for potential bias from missing data (serotype and age of patient) and changes in case ascertainment rates during the study period. Findings: 5809 cases of invasive pneumococcal disease were reported in 2009-10, giving an incidence of 10??6 per 100 000 population in 2009-10, which, when compared with the adjusted average annual incidence of 16??1 in 2000-06, gives an overall reduction of 34% (95% CI 28-39). VT disease decreased in all age groups, with reductions of 98% in individuals younger than 2 years and 81% in those aged 65 years or older. NVT disease increased by 68% in individuals younger than 2 years and 48% in those aged 65 years or older, giving an overall reduction in invasive pneumococcal disease of 56% in those younger than 2 years and 19% in those aged 65 years or older. After vaccine introduction, more NVT serotypes increased in frequency than decreased, which is consistent with vaccine-induced replacement. Key serotypes showing replacement were 7F, 19A, and 22F. Increases in NVT invasive pneumococcal disease were not associated with antimicrobial resistance. Interpretation: Despite much serotype replacement, a substantial reduction in invasive pneumococcal disease in young children can be achieved with PCV7 vaccination, with some indirect benefit in older age groups. Further reductions should be achievable by use of higher valency vaccines. Robust surveillance data are needed to properly assess the epidemiological effect of multivalent pneumococcal disease vaccines. Funding: Health Protection Agency. ?? 2011 Elsevier Ltd.", "author" : [ { "dropping-particle" : "", "family" : "Miller", "given" : "Elizabeth", "non-dropping-particle" : "", "parse-names" : false, "suffix" : "" }, { "dropping-particle" : "", "family" : "Andrews", "given" : "Nicholas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"George", "given" : "Robert C.", "non-dropping-particle" : "", "parse-names" : false, "suffix" : "" } ], "container-title" : "The Lancet Infectious Diseases", "id" : "ITEM-1", "issue" : "10", "issued" : { "date-parts" : [ [ "2011" ] ] }, "page" : "760-768", "title" : "Herd immunity and serotype replacement 4 years after seven-valent pneumococcal conjugate vaccination in England and Wales: An observational cohort study", "type" : "article-journal", "volume" : "11" }, "uris" : [ "http://www.mendeley.com/documents/?uuid=2250e50b-4cea-4685-a1b0-d0ebd7d872f7" ] } ], "mendeley" : { "formattedCitation" : "(3)", "plainTextFormattedCitation" : "(3)", "previouslyFormattedCitation" : "(3)" }, "properties" : { "noteIndex" : 0 }, "schema" : "https://github.com/citation-style-language/schema/raw/master/csl-citation.json" }</w:instrText>
      </w:r>
      <w:r w:rsidR="00FE0096">
        <w:rPr>
          <w:rFonts w:ascii="Cambria" w:hAnsi="Cambria" w:cs="Cambria"/>
          <w:lang w:val="en-US"/>
        </w:rPr>
        <w:fldChar w:fldCharType="separate"/>
      </w:r>
      <w:r w:rsidR="00FE0096" w:rsidRPr="00FE0096">
        <w:rPr>
          <w:rFonts w:ascii="Cambria" w:hAnsi="Cambria" w:cs="Cambria"/>
          <w:noProof/>
          <w:lang w:val="en-US"/>
        </w:rPr>
        <w:t>(3)</w:t>
      </w:r>
      <w:r w:rsidR="00FE0096">
        <w:rPr>
          <w:rFonts w:ascii="Cambria" w:hAnsi="Cambria" w:cs="Cambria"/>
          <w:lang w:val="en-US"/>
        </w:rPr>
        <w:fldChar w:fldCharType="end"/>
      </w:r>
      <w:r w:rsidR="0002762E">
        <w:rPr>
          <w:rFonts w:ascii="Cambria" w:hAnsi="Cambria" w:cs="Cambria"/>
          <w:lang w:val="en-US"/>
        </w:rPr>
        <w:t xml:space="preserve"> </w:t>
      </w:r>
      <w:r w:rsidR="009836DF">
        <w:rPr>
          <w:rFonts w:ascii="Cambria" w:hAnsi="Cambria" w:cs="Cambria"/>
          <w:lang w:val="en-US"/>
        </w:rPr>
        <w:t xml:space="preserve">From </w:t>
      </w:r>
      <w:r w:rsidR="00DF4D8C">
        <w:rPr>
          <w:rFonts w:ascii="Cambria" w:hAnsi="Cambria" w:cs="Cambria"/>
          <w:lang w:val="en-US"/>
        </w:rPr>
        <w:t xml:space="preserve">01 </w:t>
      </w:r>
      <w:r w:rsidR="007D18CD">
        <w:rPr>
          <w:rFonts w:ascii="Cambria" w:hAnsi="Cambria" w:cs="Cambria"/>
          <w:lang w:val="en-US"/>
        </w:rPr>
        <w:t>April 2010, a 13-valent vaccine (PCV13)</w:t>
      </w:r>
      <w:r w:rsidR="00B754BD">
        <w:rPr>
          <w:rFonts w:ascii="Cambria" w:hAnsi="Cambria" w:cs="Cambria"/>
          <w:lang w:val="en-US"/>
        </w:rPr>
        <w:t xml:space="preserve"> replaced PCV7</w:t>
      </w:r>
      <w:r w:rsidR="007D18CD">
        <w:rPr>
          <w:rFonts w:ascii="Cambria" w:hAnsi="Cambria" w:cs="Cambria"/>
          <w:lang w:val="en-US"/>
        </w:rPr>
        <w:t>, which aimed to protect against six additional pneumococcal serotypes</w:t>
      </w:r>
      <w:r w:rsidR="00FE0096">
        <w:rPr>
          <w:rFonts w:ascii="Cambria" w:hAnsi="Cambria" w:cs="Cambria"/>
          <w:lang w:val="en-US"/>
        </w:rPr>
        <w:t xml:space="preserve"> </w:t>
      </w:r>
      <w:r w:rsidR="00745A0A">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"plainTextFormattedCitation" : "(4)", "previouslyFormattedCitation" : "(4)" }, "properties" : { "noteIndex" : 0 }, "schema" : "https://github.com/citation-style-language/schema/raw/master/csl-citation.json" }</w:instrText>
      </w:r>
      <w:r w:rsidR="00745A0A">
        <w:rPr>
          <w:rFonts w:ascii="Cambria" w:hAnsi="Cambria" w:cs="Cambria"/>
          <w:lang w:val="en-US"/>
        </w:rPr>
        <w:fldChar w:fldCharType="separate"/>
      </w:r>
      <w:r w:rsidR="00745A0A" w:rsidRPr="00745A0A">
        <w:rPr>
          <w:rFonts w:ascii="Cambria" w:hAnsi="Cambria" w:cs="Cambria"/>
          <w:noProof/>
          <w:lang w:val="en-US"/>
        </w:rPr>
        <w:t>(4)</w:t>
      </w:r>
      <w:r w:rsidR="00745A0A">
        <w:rPr>
          <w:rFonts w:ascii="Cambria" w:hAnsi="Cambria" w:cs="Cambria"/>
          <w:lang w:val="en-US"/>
        </w:rPr>
        <w:fldChar w:fldCharType="end"/>
      </w:r>
      <w:r w:rsidR="007D18CD">
        <w:rPr>
          <w:rFonts w:ascii="Cambria" w:hAnsi="Cambria" w:cs="Cambria"/>
          <w:lang w:val="en-US"/>
        </w:rPr>
        <w:t xml:space="preserve">. </w:t>
      </w:r>
    </w:p>
    <w:p w14:paraId="45E19AD8" w14:textId="77777777" w:rsidR="007D18CD" w:rsidRDefault="007D18CD" w:rsidP="00E41469">
      <w:pPr>
        <w:widowControl w:val="0"/>
        <w:autoSpaceDE w:val="0"/>
        <w:autoSpaceDN w:val="0"/>
        <w:adjustRightInd w:val="0"/>
        <w:spacing w:line="480" w:lineRule="auto"/>
        <w:rPr>
          <w:rFonts w:ascii="Cambria" w:hAnsi="Cambria" w:cs="Cambria"/>
          <w:lang w:val="en-US"/>
        </w:rPr>
      </w:pPr>
    </w:p>
    <w:p w14:paraId="7AFE24AF" w14:textId="26C385A1" w:rsidR="008A710D" w:rsidRDefault="007D18CD"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Both vaccines have been highly effective in preventing IPD caused by the vaccine serotypes across all age</w:t>
      </w:r>
      <w:r w:rsidR="00EB7D9F">
        <w:rPr>
          <w:rFonts w:ascii="Cambria" w:hAnsi="Cambria" w:cs="Cambria"/>
          <w:lang w:val="en-US"/>
        </w:rPr>
        <w:t>-</w:t>
      </w:r>
      <w:r>
        <w:rPr>
          <w:rFonts w:ascii="Cambria" w:hAnsi="Cambria" w:cs="Cambria"/>
          <w:lang w:val="en-US"/>
        </w:rPr>
        <w:t xml:space="preserve">groups through direct and indirect (herd) protection, which was achieved by reducing </w:t>
      </w:r>
      <w:r w:rsidR="00F2084C">
        <w:rPr>
          <w:rFonts w:ascii="Cambria" w:hAnsi="Cambria" w:cs="Cambria"/>
          <w:lang w:val="en-US"/>
        </w:rPr>
        <w:t xml:space="preserve">acquisition of </w:t>
      </w:r>
      <w:r>
        <w:rPr>
          <w:rFonts w:ascii="Cambria" w:hAnsi="Cambria" w:cs="Cambria"/>
          <w:lang w:val="en-US"/>
        </w:rPr>
        <w:t xml:space="preserve">carriage in toddlers and, consequently, interrupting transmission to older children and adults </w:t>
      </w:r>
      <w:r w:rsidR="00FA5081">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"plainTextFormattedCitation" : "(4)", "previouslyFormattedCitation" : "(4)" }, "properties" : { "noteIndex" : 0 }, "schema" : "https://github.com/citation-style-language/schema/raw/master/csl-citation.json" }</w:instrText>
      </w:r>
      <w:r w:rsidR="00FA5081">
        <w:rPr>
          <w:rFonts w:ascii="Cambria" w:hAnsi="Cambria" w:cs="Cambria"/>
          <w:lang w:val="en-US"/>
        </w:rPr>
        <w:fldChar w:fldCharType="separate"/>
      </w:r>
      <w:r w:rsidR="00745A0A" w:rsidRPr="00745A0A">
        <w:rPr>
          <w:rFonts w:ascii="Cambria" w:hAnsi="Cambria" w:cs="Cambria"/>
          <w:noProof/>
          <w:lang w:val="en-US"/>
        </w:rPr>
        <w:t>(4)</w:t>
      </w:r>
      <w:r w:rsidR="00FA5081">
        <w:rPr>
          <w:rFonts w:ascii="Cambria" w:hAnsi="Cambria" w:cs="Cambria"/>
          <w:lang w:val="en-US"/>
        </w:rPr>
        <w:fldChar w:fldCharType="end"/>
      </w:r>
      <w:r>
        <w:rPr>
          <w:rFonts w:ascii="Cambria" w:hAnsi="Cambria" w:cs="Cambria"/>
          <w:lang w:val="en-US"/>
        </w:rPr>
        <w:t>. The reduction in PCV</w:t>
      </w:r>
      <w:r w:rsidR="005B6353">
        <w:rPr>
          <w:rFonts w:ascii="Cambria" w:hAnsi="Cambria" w:cs="Cambria"/>
          <w:lang w:val="en-US"/>
        </w:rPr>
        <w:t>-</w:t>
      </w:r>
      <w:r>
        <w:rPr>
          <w:rFonts w:ascii="Cambria" w:hAnsi="Cambria" w:cs="Cambria"/>
          <w:lang w:val="en-US"/>
        </w:rPr>
        <w:t xml:space="preserve">type IPD was offset by a small increase in IPD caused by non-vaccine serotypes (NVT) but, </w:t>
      </w:r>
      <w:r w:rsidR="003110FC">
        <w:rPr>
          <w:rFonts w:ascii="Cambria" w:hAnsi="Cambria" w:cs="Cambria"/>
          <w:lang w:val="en-US"/>
        </w:rPr>
        <w:t>eight</w:t>
      </w:r>
      <w:r w:rsidR="008C1121">
        <w:rPr>
          <w:rFonts w:ascii="Cambria" w:hAnsi="Cambria" w:cs="Cambria"/>
          <w:lang w:val="en-US"/>
        </w:rPr>
        <w:t xml:space="preserve"> years after PCV7 introduction</w:t>
      </w:r>
      <w:r w:rsidR="0071492E">
        <w:rPr>
          <w:rFonts w:ascii="Cambria" w:hAnsi="Cambria" w:cs="Cambria"/>
          <w:lang w:val="en-US"/>
        </w:rPr>
        <w:t xml:space="preserve">, there </w:t>
      </w:r>
      <w:r w:rsidR="00EB7D9F">
        <w:rPr>
          <w:rFonts w:ascii="Cambria" w:hAnsi="Cambria" w:cs="Cambria"/>
          <w:lang w:val="en-US"/>
        </w:rPr>
        <w:t xml:space="preserve">has been </w:t>
      </w:r>
      <w:r w:rsidR="0071492E">
        <w:rPr>
          <w:rFonts w:ascii="Cambria" w:hAnsi="Cambria" w:cs="Cambria"/>
          <w:lang w:val="en-US"/>
        </w:rPr>
        <w:t>a</w:t>
      </w:r>
      <w:r w:rsidR="00EB7D9F">
        <w:rPr>
          <w:rFonts w:ascii="Cambria" w:hAnsi="Cambria" w:cs="Cambria"/>
          <w:lang w:val="en-US"/>
        </w:rPr>
        <w:t>n</w:t>
      </w:r>
      <w:r w:rsidR="0071492E">
        <w:rPr>
          <w:rFonts w:ascii="Cambria" w:hAnsi="Cambria" w:cs="Cambria"/>
          <w:lang w:val="en-US"/>
        </w:rPr>
        <w:t xml:space="preserve"> 56% reduction in </w:t>
      </w:r>
      <w:r w:rsidR="00EB7D9F">
        <w:rPr>
          <w:rFonts w:ascii="Cambria" w:hAnsi="Cambria" w:cs="Cambria"/>
          <w:lang w:val="en-US"/>
        </w:rPr>
        <w:t xml:space="preserve">overall </w:t>
      </w:r>
      <w:r w:rsidR="0071492E">
        <w:rPr>
          <w:rFonts w:ascii="Cambria" w:hAnsi="Cambria" w:cs="Cambria"/>
          <w:lang w:val="en-US"/>
        </w:rPr>
        <w:t xml:space="preserve">IPD incidence </w:t>
      </w:r>
      <w:r w:rsidR="006736AF">
        <w:rPr>
          <w:rFonts w:ascii="Cambria" w:hAnsi="Cambria" w:cs="Cambria"/>
          <w:lang w:val="en-US"/>
        </w:rPr>
        <w:t xml:space="preserve">in England and Wales </w:t>
      </w:r>
      <w:r w:rsidR="0071492E">
        <w:rPr>
          <w:rFonts w:ascii="Cambria" w:hAnsi="Cambria" w:cs="Cambria"/>
          <w:lang w:val="en-US"/>
        </w:rPr>
        <w:t xml:space="preserve">compared to the pre-PCV7 baseline </w:t>
      </w:r>
      <w:r w:rsidR="00FA5081">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"plainTextFormattedCitation" : "(4)", "previouslyFormattedCitation" : "(4)" }, "properties" : { "noteIndex" : 0 }, "schema" : "https://github.com/citation-style-language/schema/raw/master/csl-citation.json" }</w:instrText>
      </w:r>
      <w:r w:rsidR="00FA5081">
        <w:rPr>
          <w:rFonts w:ascii="Cambria" w:hAnsi="Cambria" w:cs="Cambria"/>
          <w:lang w:val="en-US"/>
        </w:rPr>
        <w:fldChar w:fldCharType="separate"/>
      </w:r>
      <w:r w:rsidR="00745A0A" w:rsidRPr="00745A0A">
        <w:rPr>
          <w:rFonts w:ascii="Cambria" w:hAnsi="Cambria" w:cs="Cambria"/>
          <w:noProof/>
          <w:lang w:val="en-US"/>
        </w:rPr>
        <w:t>(4)</w:t>
      </w:r>
      <w:r w:rsidR="00FA5081">
        <w:rPr>
          <w:rFonts w:ascii="Cambria" w:hAnsi="Cambria" w:cs="Cambria"/>
          <w:lang w:val="en-US"/>
        </w:rPr>
        <w:fldChar w:fldCharType="end"/>
      </w:r>
      <w:r w:rsidR="008B1BD2">
        <w:rPr>
          <w:rFonts w:ascii="Cambria" w:hAnsi="Cambria" w:cs="Cambria"/>
          <w:lang w:val="en-US"/>
        </w:rPr>
        <w:t>.</w:t>
      </w:r>
    </w:p>
    <w:p w14:paraId="02D25413" w14:textId="77777777" w:rsidR="003110FC" w:rsidRDefault="003110FC" w:rsidP="00E41469">
      <w:pPr>
        <w:widowControl w:val="0"/>
        <w:autoSpaceDE w:val="0"/>
        <w:autoSpaceDN w:val="0"/>
        <w:adjustRightInd w:val="0"/>
        <w:spacing w:line="480" w:lineRule="auto"/>
        <w:rPr>
          <w:rFonts w:ascii="Cambria" w:hAnsi="Cambria" w:cs="Cambria"/>
          <w:lang w:val="en-US"/>
        </w:rPr>
      </w:pPr>
    </w:p>
    <w:p w14:paraId="59F0122D" w14:textId="58F684DE" w:rsidR="003110FC" w:rsidRDefault="007C2C96"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In industriali</w:t>
      </w:r>
      <w:r w:rsidR="00DE7AE2">
        <w:rPr>
          <w:rFonts w:ascii="Cambria" w:hAnsi="Cambria" w:cs="Cambria"/>
          <w:lang w:val="en-US"/>
        </w:rPr>
        <w:t>z</w:t>
      </w:r>
      <w:r>
        <w:rPr>
          <w:rFonts w:ascii="Cambria" w:hAnsi="Cambria" w:cs="Cambria"/>
          <w:lang w:val="en-US"/>
        </w:rPr>
        <w:t>ed countries</w:t>
      </w:r>
      <w:r w:rsidR="004F59D8">
        <w:rPr>
          <w:rFonts w:ascii="Cambria" w:hAnsi="Cambria" w:cs="Cambria"/>
          <w:lang w:val="en-US"/>
        </w:rPr>
        <w:t xml:space="preserve"> with established PCV programmes</w:t>
      </w:r>
      <w:r>
        <w:rPr>
          <w:rFonts w:ascii="Cambria" w:hAnsi="Cambria" w:cs="Cambria"/>
          <w:lang w:val="en-US"/>
        </w:rPr>
        <w:t>,</w:t>
      </w:r>
      <w:r w:rsidR="004F59D8">
        <w:rPr>
          <w:rFonts w:ascii="Cambria" w:hAnsi="Cambria" w:cs="Cambria"/>
          <w:lang w:val="en-US"/>
        </w:rPr>
        <w:t xml:space="preserve"> </w:t>
      </w:r>
      <w:r w:rsidR="00E41367">
        <w:rPr>
          <w:rFonts w:ascii="Cambria" w:hAnsi="Cambria" w:cs="Cambria"/>
          <w:lang w:val="en-US"/>
        </w:rPr>
        <w:t>IPD-related</w:t>
      </w:r>
      <w:r w:rsidR="004F59D8">
        <w:rPr>
          <w:rFonts w:ascii="Cambria" w:hAnsi="Cambria" w:cs="Cambria"/>
          <w:lang w:val="en-US"/>
        </w:rPr>
        <w:t xml:space="preserve"> </w:t>
      </w:r>
      <w:r w:rsidR="003110FC">
        <w:rPr>
          <w:rFonts w:ascii="Cambria" w:hAnsi="Cambria" w:cs="Cambria"/>
          <w:lang w:val="en-US"/>
        </w:rPr>
        <w:t>IPD</w:t>
      </w:r>
      <w:r w:rsidR="008C1121">
        <w:rPr>
          <w:rFonts w:ascii="Cambria" w:hAnsi="Cambria" w:cs="Cambria"/>
          <w:lang w:val="en-US"/>
        </w:rPr>
        <w:t xml:space="preserve"> </w:t>
      </w:r>
      <w:r w:rsidR="004F59D8">
        <w:rPr>
          <w:rFonts w:ascii="Cambria" w:hAnsi="Cambria" w:cs="Cambria"/>
          <w:lang w:val="en-US"/>
        </w:rPr>
        <w:t xml:space="preserve">in children are </w:t>
      </w:r>
      <w:r>
        <w:rPr>
          <w:rFonts w:ascii="Cambria" w:hAnsi="Cambria" w:cs="Cambria"/>
          <w:lang w:val="en-US"/>
        </w:rPr>
        <w:t>uncommon</w:t>
      </w:r>
      <w:r w:rsidR="003110FC">
        <w:rPr>
          <w:rFonts w:ascii="Cambria" w:hAnsi="Cambria" w:cs="Cambria"/>
          <w:lang w:val="en-US"/>
        </w:rPr>
        <w:t>, with reported case fatality rates (CFR) of</w:t>
      </w:r>
      <w:r>
        <w:rPr>
          <w:rFonts w:ascii="Cambria" w:hAnsi="Cambria" w:cs="Cambria"/>
          <w:lang w:val="en-US"/>
        </w:rPr>
        <w:t xml:space="preserve"> &lt;5%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"10.3201/eid2103.140634", "ISBN" : "1080-6040", "ISSN" : "10806059", "PMID" : "25693604", "abstract" : "We studied the possible association between patient age and sex, clinical presentation, Streptococcus pneumoniae serotype, antimicrobial resistance, and death in invasive pneumococcal disease cases reported by 17 European countries during 2010. The study sample comprised 2,921 patients, of whom 56.8% were men and 38.2% were &gt;65 years of age. Meningitis occurred in 18.5% of cases. Death was reported in 264 (9.0%) cases. Older age, meningitis, and nonsusceptibility to penicillin were significantly associated with death. Non-pneumococcal conjugate vaccine (PCV) serotypes among children &lt;5 years of age and 7-valent PCV serotypes among persons 5-64 years of age were associated with increased risk for death; among adults &gt;65 years of age, risk did not differ by serotype. These findings highlight differences in case-fatality rates between serotypes and age; thus, continued epidemiologic surveillance across all ages is crucial to monitor the long-term effects of PCVs.", "author" : [ { "dropping-particle" : "", "family" : "Navarro-Torn\u00e9", "given" : "Adoraci\u00f3n", "non-dropping-particle" : "", "parse-names" : false, "suffix" : "" }, { "dropping-particle" : "", "family" : "Dias", "given" : "Joana Gomes", "non-dropping-particle" : "", "parse-names" : false, "suffix" : "" }, { "dropping-particle" : "", "family" : "Hruba", "given" : "Frantiska", "non-dropping-particle" : "", "parse-names" : false, "suffix" : "" }, { "dropping-particle" : "", "family" : "Lopalco", "given" : "Pier Luigi", "non-dropping-particle" : "", "parse-names" : false, "suffix" : "" }, { "dropping-particle" : "", "family" : "Pastore-Celentano", "given" : "Lucia", "non-dropping-particle" : "", "parse-names" : false, "suffix" : "" }, { "dropping-particle" : "", "family" : "Amato Gauci", "given" : "Andrew J.", "non-dropping-particle" : "", "parse-names" : false, "suffix" : "" }, { "dropping-particle" : "", "family" : "Sabbe", "given" : "Martine", "non-dropping-particle" : "", "parse-names" : false, "suffix" : "" }, { "dropping-particle" : "", "family" : "Detcheva", "given" : "Antoaneta", "non-dropping-particle" : "", "parse-names" : false, "suffix" : "" }, { "dropping-particle" : "", "family" : "Georgieva", "given" : "Teodora", "non-dropping-particle" : "", "parse-names" : false, "suffix" : "" }, { "dropping-particle" : "", "family" : "Bagatzouni", "given" : "Despo Pieridou", "non-dropping-particle" : "", "parse-names" : false, "suffix" : "" }, { "dropping-particle" : "", "family" : "K\u0159\u00ed\u017eov\u00e1", "given" : "Pavla", "non-dropping-particle" : "", "parse-names" : false, "suffix" : "" }, { "dropping-particle" : "", "family" : "Valentiner-Branth", "given" : "Palle", "non-dropping-particle" : "", "parse-names" : false, "suffix" : "" }, { "dropping-particle" : "", "family" : "Fenoll", "given" : "Asunci\u00f3n", "non-dropping-particle" : "", "parse-names" : false, "suffix" : "" }, { "dropping-particle" : "", "family" : "Virolainen-Julkunen", "given" : "Anni", "non-dropping-particle" : "", "parse-names" : false, "suffix" : "" }, { "dropping-particle" : "", "family" : "Georgakopoulou", "given" : "Theano", "non-dropping-particle" : "", "parse-names" : false, "suffix" : "" }, { "dropping-particle" : "", "family" : "Tzanakaki", "given" : "Georgina", "non-dropping-particle" : "", "parse-names" : false, "suffix" : "" }, { "dropping-particle" : "", "family" : "Melles", "given" : "M\u00e1rta", "non-dropping-particle" : "", "parse-names" : false, "suffix" : "" }, { "dropping-particle" : "", "family" : "Vickers", "given" : "Imelda", "non-dropping-particle" : "", "parse-names" : false, "suffix" : "" }, { "dropping-particle" : "", "family" : "Cotter", "given" : "Suzanne", "non-dropping-particle" : "", "parse-names" : false, "suffix" : "" }, { "dropping-particle" : "", "family" : "Humphreys", "given" : "Hilary", "non-dropping-particle" : "", "parse-names" : false, "suffix" : "" }, { "dropping-particle" : "", "family" : "Kristinsson", "given" : "Karl G.", "non-dropping-particle" : "", "parse-names" : false, "suffix" : "" }, { "dropping-particle" : "", "family" : "Caporali", "given" : "Maria Grazia", "non-dropping-particle" : "", "parse-names" : false, "suffix" : "" }, { "dropping-particle" : "", "family" : "D\u2019Ancona", "given" : "Fortunato Paolo", "non-dropping-particle" : "", "parse-names" : false, "suffix" : "" }, { "dropping-particle" : "", "family" : "Iannazzo", "given" : "Stefania", "non-dropping-particle" : "", "parse-names" : false, "suffix" : "" }, { "dropping-particle" : "", "family" : "Pantosti", "given" : "Annalisa", "non-dropping-particle" : "", "parse-names" : false, "suffix" : "" }, { "dropping-particle" : "", "family" : "Galajeva", "given" : "Jelena", "non-dropping-particle" : "", "parse-names" : false, "suffix" : "" }, { "dropping-particle" : "", "family" : "Caruana", "given" : "Paul", "non-dropping-particle" : "", "parse-names" : false, "suffix" : "" }, { "dropping-particle" : "", "family" : "Melillo", "given" : "Jackie Maistre", "non-dropping-particle" : "", "parse-names" : false, "suffix" : "" }, { "dropping-particle" : "", "family" : "Fenech", "given" : "Tanya Melillo", "non-dropping-particle" : "", "parse-names" : false, "suffix" : "" }, { "dropping-particle" : "", "family" : "Melker", "given" : "Hester", "non-dropping-particle" : "De", "parse-names" : false, "suffix" : "" }, { "dropping-particle" : "", "family" : "Knol", "given" : "Mirjam", "non-dropping-particle" : "", "parse-names" : false, "suffix" : "" }, { "dropping-particle" : "", "family" : "Ende", "given" : "Arie", "non-dropping-particle" : "Van Der", "parse-names" : false, "suffix" : "" }, { "dropping-particle" : "", "family" : "Steinbakk", "given" : "Martin", "non-dropping-particle" : "", "parse-names" : false, "suffix" : "" }, { "dropping-particle" : "", "family" : "Vestrheim", "given" : "Didrik F.", "non-dropping-particle" : "", "parse-names" : false, "suffix" : "" }, { "dropping-particle" : "", "family" : "Hryniewicz", "given" : "Waleria", "non-dropping-particle" : "", "parse-names" : false, "suffix" : "" }, { "dropping-particle" : "", "family" : "Kuch", "given" : "Alicja", "non-dropping-particle" : "", "parse-names" : false, "suffix" : "" }, { "dropping-particle" : "", "family" : "Paradowska-Stankiewicz", "given" : "Iwona", "non-dropping-particle" : "", "parse-names" : false, "suffix" : "" }, { "dropping-particle" : "", "family" : "Skoczynska", "given" : "Anna", "non-dropping-particle" : "", "parse-names" : false, "suffix" : "" }, { "dropping-particle" : "", "family" : "Pana", "given" : "Marina", "non-dropping-particle" : "", "parse-names" : false, "suffix" : "" }, { "dropping-particle" : "", "family" : "Henriques-Normak", "given" : "Birgitta", "non-dropping-particle" : "", "parse-names" : false, "suffix" : "" }, { "dropping-particle" : "", "family" : "Kraigher", "given" : "Alenka", "non-dropping-particle" : "", "parse-names" : false, "suffix" : "" }, { "dropping-particle" : "", "family" : "So\u010dan", "given" : "Maja", "non-dropping-particle" : "", "parse-names" : false, "suffix" : "" }, { "dropping-particle" : "", "family" : "Hupkova", "given" : "Helena", "non-dropping-particle" : "", "parse-names" : false, "suffix" : "" }, { "dropping-particle" : "", "family" : "Macdonald", "given" : "Eisin", "non-dropping-particle" : "", "parse-names" : false, "suffix" : "" }, { "dropping-particle" : "", "family" : "Slack", "given" : "Mary P E", "non-dropping-particle" : "", "parse-names" : false, "suffix" : "" }, { "dropping-particle" : "", "family" : "Waight", "given" : "Pauline A.", "non-dropping-particle" : "", "parse-names" : false, "suffix" : "" } ], "container-title" : "Emerging Infectious Diseases", "id" : "ITEM-1", "issue" : "3", "issued" : { "date-parts" : [ [ "2015" ] ] }, "page" : "417-425", "title" : "Risk factors for death from invasive pneumococcal disease, europe, 2010", "type" : "article-journal", "volume" : "21" }, "uris" : [ "http://www.mendeley.com/documents/?uuid=b1412858-5556-44b3-99a5-f37756b9185c" ] } ], "mendeley" : { "formattedCitation" : "(5)", "plainTextFormattedCitation" : "(5)", "previouslyFormattedCitation" : "(5)" }, "properties" : { "noteIndex" : 0 }, "schema" : "https://github.com/citation-style-language/schema/raw/master/csl-citation.json" }</w:instrText>
      </w:r>
      <w:r w:rsidR="00FA5081">
        <w:rPr>
          <w:rFonts w:ascii="Cambria" w:hAnsi="Cambria" w:cs="Cambria"/>
          <w:lang w:val="en-US"/>
        </w:rPr>
        <w:fldChar w:fldCharType="separate"/>
      </w:r>
      <w:r w:rsidR="00745A0A" w:rsidRPr="00745A0A">
        <w:rPr>
          <w:rFonts w:ascii="Cambria" w:hAnsi="Cambria" w:cs="Cambria"/>
          <w:noProof/>
          <w:lang w:val="en-US"/>
        </w:rPr>
        <w:t>(5)</w:t>
      </w:r>
      <w:r w:rsidR="00FA5081">
        <w:rPr>
          <w:rFonts w:ascii="Cambria" w:hAnsi="Cambria" w:cs="Cambria"/>
          <w:lang w:val="en-US"/>
        </w:rPr>
        <w:fldChar w:fldCharType="end"/>
      </w:r>
      <w:r w:rsidR="005B3DD3">
        <w:rPr>
          <w:rFonts w:ascii="Cambria" w:hAnsi="Cambria" w:cs="Cambria"/>
          <w:lang w:val="en-US"/>
        </w:rPr>
        <w:t xml:space="preserve">, but increases in children with underlying diseases. </w:t>
      </w:r>
      <w:r>
        <w:rPr>
          <w:rFonts w:ascii="Cambria" w:hAnsi="Cambria" w:cs="Cambria"/>
          <w:lang w:val="en-US"/>
        </w:rPr>
        <w:t>Consequently</w:t>
      </w:r>
      <w:r w:rsidR="003110FC">
        <w:rPr>
          <w:rFonts w:ascii="Cambria" w:hAnsi="Cambria" w:cs="Cambria"/>
          <w:lang w:val="en-US"/>
        </w:rPr>
        <w:t>, little is known about</w:t>
      </w:r>
      <w:r>
        <w:rPr>
          <w:rFonts w:ascii="Cambria" w:hAnsi="Cambria" w:cs="Cambria"/>
          <w:lang w:val="en-US"/>
        </w:rPr>
        <w:t xml:space="preserve"> </w:t>
      </w:r>
      <w:r w:rsidR="00F55676">
        <w:rPr>
          <w:rFonts w:ascii="Cambria" w:hAnsi="Cambria" w:cs="Cambria"/>
          <w:lang w:val="en-US"/>
        </w:rPr>
        <w:t xml:space="preserve">the </w:t>
      </w:r>
      <w:r w:rsidR="007F09FE">
        <w:rPr>
          <w:rFonts w:ascii="Cambria" w:hAnsi="Cambria" w:cs="Cambria"/>
          <w:lang w:val="en-US"/>
        </w:rPr>
        <w:t xml:space="preserve">children </w:t>
      </w:r>
      <w:r w:rsidR="003110FC">
        <w:rPr>
          <w:rFonts w:ascii="Cambria" w:hAnsi="Cambria" w:cs="Cambria"/>
          <w:lang w:val="en-US"/>
        </w:rPr>
        <w:t>who die of IPD</w:t>
      </w:r>
      <w:r w:rsidR="00E708A6">
        <w:rPr>
          <w:rFonts w:ascii="Cambria" w:hAnsi="Cambria" w:cs="Cambria"/>
          <w:lang w:val="en-US"/>
        </w:rPr>
        <w:t xml:space="preserve"> and whether the </w:t>
      </w:r>
      <w:r w:rsidR="00FC3847">
        <w:rPr>
          <w:rFonts w:ascii="Cambria" w:hAnsi="Cambria" w:cs="Cambria"/>
          <w:lang w:val="en-US"/>
        </w:rPr>
        <w:t>pneumococcal conjugate vaccines</w:t>
      </w:r>
      <w:r w:rsidR="00E708A6">
        <w:rPr>
          <w:rFonts w:ascii="Cambria" w:hAnsi="Cambria" w:cs="Cambria"/>
          <w:lang w:val="en-US"/>
        </w:rPr>
        <w:t xml:space="preserve"> ha</w:t>
      </w:r>
      <w:r w:rsidR="00FC3847">
        <w:rPr>
          <w:rFonts w:ascii="Cambria" w:hAnsi="Cambria" w:cs="Cambria"/>
          <w:lang w:val="en-US"/>
        </w:rPr>
        <w:t>ve</w:t>
      </w:r>
      <w:r w:rsidR="00E708A6">
        <w:rPr>
          <w:rFonts w:ascii="Cambria" w:hAnsi="Cambria" w:cs="Cambria"/>
          <w:lang w:val="en-US"/>
        </w:rPr>
        <w:t xml:space="preserve"> had any impact on </w:t>
      </w:r>
      <w:r w:rsidR="00FB5802">
        <w:rPr>
          <w:rFonts w:ascii="Cambria" w:hAnsi="Cambria" w:cs="Cambria"/>
          <w:lang w:val="en-US"/>
        </w:rPr>
        <w:t>IPD-related deaths</w:t>
      </w:r>
      <w:r w:rsidR="004F59D8">
        <w:rPr>
          <w:rFonts w:ascii="Cambria" w:hAnsi="Cambria" w:cs="Cambria"/>
          <w:lang w:val="en-US"/>
        </w:rPr>
        <w:t xml:space="preserve">. This study </w:t>
      </w:r>
      <w:r w:rsidR="00FC3847">
        <w:rPr>
          <w:rFonts w:ascii="Cambria" w:hAnsi="Cambria" w:cs="Cambria"/>
          <w:lang w:val="en-US"/>
        </w:rPr>
        <w:t xml:space="preserve">aimed </w:t>
      </w:r>
      <w:r w:rsidR="004F59D8">
        <w:rPr>
          <w:rFonts w:ascii="Cambria" w:hAnsi="Cambria" w:cs="Cambria"/>
          <w:lang w:val="en-US"/>
        </w:rPr>
        <w:t xml:space="preserve">to describe </w:t>
      </w:r>
      <w:r w:rsidR="00967FF5">
        <w:rPr>
          <w:rFonts w:ascii="Cambria" w:hAnsi="Cambria" w:cs="Cambria"/>
          <w:lang w:val="en-US"/>
        </w:rPr>
        <w:t xml:space="preserve">the </w:t>
      </w:r>
      <w:r w:rsidR="00FC3847">
        <w:rPr>
          <w:rFonts w:ascii="Cambria" w:hAnsi="Cambria" w:cs="Cambria"/>
          <w:lang w:val="en-US"/>
        </w:rPr>
        <w:t xml:space="preserve">epidemiological and </w:t>
      </w:r>
      <w:r w:rsidR="00967FF5">
        <w:rPr>
          <w:rFonts w:ascii="Cambria" w:hAnsi="Cambria" w:cs="Cambria"/>
          <w:lang w:val="en-US"/>
        </w:rPr>
        <w:t xml:space="preserve">clinical characteristics </w:t>
      </w:r>
      <w:r w:rsidR="00FC3847">
        <w:rPr>
          <w:rFonts w:ascii="Cambria" w:hAnsi="Cambria" w:cs="Cambria"/>
          <w:lang w:val="en-US"/>
        </w:rPr>
        <w:t xml:space="preserve">of </w:t>
      </w:r>
      <w:r w:rsidR="00967FF5">
        <w:rPr>
          <w:rFonts w:ascii="Cambria" w:hAnsi="Cambria" w:cs="Cambria"/>
          <w:lang w:val="en-US"/>
        </w:rPr>
        <w:t xml:space="preserve">children who died of </w:t>
      </w:r>
      <w:r w:rsidR="004F59D8">
        <w:rPr>
          <w:rFonts w:ascii="Cambria" w:hAnsi="Cambria" w:cs="Cambria"/>
          <w:lang w:val="en-US"/>
        </w:rPr>
        <w:t xml:space="preserve">IPD during </w:t>
      </w:r>
      <w:r w:rsidR="006736AF">
        <w:rPr>
          <w:rFonts w:ascii="Cambria" w:hAnsi="Cambria" w:cs="Cambria"/>
          <w:lang w:val="en-US"/>
        </w:rPr>
        <w:t>the first eight</w:t>
      </w:r>
      <w:r w:rsidR="00FB5802">
        <w:rPr>
          <w:rFonts w:ascii="Cambria" w:hAnsi="Cambria" w:cs="Cambria"/>
          <w:lang w:val="en-US"/>
        </w:rPr>
        <w:t xml:space="preserve"> years after PCV int</w:t>
      </w:r>
      <w:r w:rsidR="004F59D8">
        <w:rPr>
          <w:rFonts w:ascii="Cambria" w:hAnsi="Cambria" w:cs="Cambria"/>
          <w:lang w:val="en-US"/>
        </w:rPr>
        <w:t>roduction in England and Wales.</w:t>
      </w:r>
      <w:r w:rsidR="00B452E1">
        <w:rPr>
          <w:rFonts w:ascii="Cambria" w:hAnsi="Cambria" w:cs="Cambria"/>
          <w:lang w:val="en-US"/>
        </w:rPr>
        <w:t xml:space="preserve"> </w:t>
      </w:r>
    </w:p>
    <w:p w14:paraId="69F627CE" w14:textId="77777777" w:rsidR="00F016D1" w:rsidRDefault="00F016D1" w:rsidP="00E41469">
      <w:pPr>
        <w:widowControl w:val="0"/>
        <w:autoSpaceDE w:val="0"/>
        <w:autoSpaceDN w:val="0"/>
        <w:adjustRightInd w:val="0"/>
        <w:spacing w:line="480" w:lineRule="auto"/>
        <w:rPr>
          <w:rFonts w:ascii="Cambria" w:hAnsi="Cambria" w:cs="Cambria"/>
          <w:lang w:val="en-US"/>
        </w:rPr>
      </w:pPr>
    </w:p>
    <w:p w14:paraId="23620A6A" w14:textId="77777777" w:rsidR="008A710D" w:rsidRDefault="008A710D" w:rsidP="00A3236D">
      <w:pPr>
        <w:widowControl w:val="0"/>
        <w:autoSpaceDE w:val="0"/>
        <w:autoSpaceDN w:val="0"/>
        <w:adjustRightInd w:val="0"/>
        <w:spacing w:line="480" w:lineRule="auto"/>
        <w:outlineLvl w:val="0"/>
        <w:rPr>
          <w:rFonts w:ascii="Cambria" w:hAnsi="Cambria" w:cs="Cambria"/>
          <w:b/>
          <w:bCs/>
          <w:sz w:val="32"/>
          <w:szCs w:val="32"/>
          <w:lang w:val="en-US"/>
        </w:rPr>
      </w:pPr>
      <w:r>
        <w:rPr>
          <w:rFonts w:ascii="Cambria" w:hAnsi="Cambria" w:cs="Cambria"/>
          <w:b/>
          <w:bCs/>
          <w:sz w:val="32"/>
          <w:szCs w:val="32"/>
          <w:lang w:val="en-US"/>
        </w:rPr>
        <w:lastRenderedPageBreak/>
        <w:t>Methods</w:t>
      </w:r>
    </w:p>
    <w:p w14:paraId="033652A9" w14:textId="5ECCB360" w:rsidR="008A710D" w:rsidRDefault="00927853"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Public Health England (PHE) initiated e</w:t>
      </w:r>
      <w:r w:rsidR="008A710D">
        <w:rPr>
          <w:rFonts w:ascii="Cambria" w:hAnsi="Cambria" w:cs="Cambria"/>
          <w:lang w:val="en-US"/>
        </w:rPr>
        <w:t xml:space="preserve">nhanced </w:t>
      </w:r>
      <w:r w:rsidR="00B6690E">
        <w:rPr>
          <w:rFonts w:ascii="Cambria" w:hAnsi="Cambria" w:cs="Cambria"/>
          <w:lang w:val="en-US"/>
        </w:rPr>
        <w:t xml:space="preserve">IPD </w:t>
      </w:r>
      <w:r w:rsidR="008A710D">
        <w:rPr>
          <w:rFonts w:ascii="Cambria" w:hAnsi="Cambria" w:cs="Cambria"/>
          <w:lang w:val="en-US"/>
        </w:rPr>
        <w:t xml:space="preserve">surveillance </w:t>
      </w:r>
      <w:r w:rsidR="00BB21E3">
        <w:rPr>
          <w:rFonts w:ascii="Cambria" w:hAnsi="Cambria" w:cs="Cambria"/>
          <w:lang w:val="en-US"/>
        </w:rPr>
        <w:t>in vaccine</w:t>
      </w:r>
      <w:r w:rsidR="00B6690E">
        <w:rPr>
          <w:rFonts w:ascii="Cambria" w:hAnsi="Cambria" w:cs="Cambria"/>
          <w:lang w:val="en-US"/>
        </w:rPr>
        <w:t>-</w:t>
      </w:r>
      <w:r w:rsidR="00BB21E3">
        <w:rPr>
          <w:rFonts w:ascii="Cambria" w:hAnsi="Cambria" w:cs="Cambria"/>
          <w:lang w:val="en-US"/>
        </w:rPr>
        <w:t xml:space="preserve">eligible children in England and Wales </w:t>
      </w:r>
      <w:r w:rsidR="008A710D" w:rsidRPr="00C74726">
        <w:rPr>
          <w:rFonts w:ascii="Cambria" w:hAnsi="Cambria" w:cs="Cambria"/>
          <w:lang w:val="en-US"/>
        </w:rPr>
        <w:t xml:space="preserve">following the introduction of the PCV7 </w:t>
      </w:r>
      <w:r w:rsidR="00E95C7A" w:rsidRPr="00C74726">
        <w:rPr>
          <w:rFonts w:ascii="Cambria" w:hAnsi="Cambria" w:cs="Cambria"/>
          <w:lang w:val="en-US"/>
        </w:rPr>
        <w:t>on 04</w:t>
      </w:r>
      <w:r w:rsidR="008A710D" w:rsidRPr="00C74726">
        <w:rPr>
          <w:rFonts w:ascii="Cambria" w:hAnsi="Cambria" w:cs="Cambria"/>
          <w:lang w:val="en-US"/>
        </w:rPr>
        <w:t xml:space="preserve"> September 2006</w:t>
      </w:r>
      <w:r w:rsidR="00BB21E3" w:rsidRPr="00C74726">
        <w:rPr>
          <w:rFonts w:ascii="Cambria" w:hAnsi="Cambria" w:cs="Cambria"/>
          <w:lang w:val="en-US"/>
        </w:rPr>
        <w:t xml:space="preserve">. </w:t>
      </w:r>
      <w:r w:rsidR="008A710D" w:rsidRPr="00C74726">
        <w:rPr>
          <w:rFonts w:ascii="Cambria" w:hAnsi="Cambria" w:cs="Cambria"/>
          <w:lang w:val="en-US"/>
        </w:rPr>
        <w:t>N</w:t>
      </w:r>
      <w:r w:rsidR="00FC3847" w:rsidRPr="00C74726">
        <w:rPr>
          <w:rFonts w:ascii="Cambria" w:hAnsi="Cambria" w:cs="Cambria"/>
          <w:lang w:val="en-US"/>
        </w:rPr>
        <w:t>ational Health Service (NHS)</w:t>
      </w:r>
      <w:r w:rsidR="008A710D" w:rsidRPr="00C74726">
        <w:rPr>
          <w:rFonts w:ascii="Cambria" w:hAnsi="Cambria" w:cs="Cambria"/>
          <w:lang w:val="en-US"/>
        </w:rPr>
        <w:t xml:space="preserve"> </w:t>
      </w:r>
      <w:r w:rsidR="00FC3847" w:rsidRPr="00C74726">
        <w:rPr>
          <w:rFonts w:ascii="Cambria" w:hAnsi="Cambria" w:cs="Cambria"/>
          <w:lang w:val="en-US"/>
        </w:rPr>
        <w:t>l</w:t>
      </w:r>
      <w:r w:rsidR="008A710D" w:rsidRPr="00C74726">
        <w:rPr>
          <w:rFonts w:ascii="Cambria" w:hAnsi="Cambria" w:cs="Cambria"/>
          <w:lang w:val="en-US"/>
        </w:rPr>
        <w:t xml:space="preserve">aboratories in England and Wales </w:t>
      </w:r>
      <w:r w:rsidR="00410CC7">
        <w:rPr>
          <w:rFonts w:ascii="Cambria" w:hAnsi="Cambria" w:cs="Cambria"/>
          <w:lang w:val="en-US"/>
        </w:rPr>
        <w:t>routinely</w:t>
      </w:r>
      <w:r w:rsidR="00FC7349" w:rsidRPr="00C74726">
        <w:rPr>
          <w:rFonts w:ascii="Cambria" w:hAnsi="Cambria" w:cs="Cambria"/>
          <w:lang w:val="en-US"/>
        </w:rPr>
        <w:t xml:space="preserve"> </w:t>
      </w:r>
      <w:r w:rsidR="00FC3847" w:rsidRPr="00C74726">
        <w:rPr>
          <w:rFonts w:ascii="Cambria" w:hAnsi="Cambria" w:cs="Cambria"/>
          <w:lang w:val="en-US"/>
        </w:rPr>
        <w:t xml:space="preserve">submit </w:t>
      </w:r>
      <w:r w:rsidR="00FC7349" w:rsidRPr="00C74726">
        <w:rPr>
          <w:rFonts w:ascii="Cambria" w:hAnsi="Cambria" w:cs="Cambria"/>
          <w:lang w:val="en-US"/>
        </w:rPr>
        <w:t xml:space="preserve">all </w:t>
      </w:r>
      <w:r w:rsidR="00FC3847" w:rsidRPr="00C74726">
        <w:rPr>
          <w:rFonts w:ascii="Cambria" w:hAnsi="Cambria" w:cs="Cambria"/>
          <w:lang w:val="en-US"/>
        </w:rPr>
        <w:t xml:space="preserve">invasive pneumococcal isolates to </w:t>
      </w:r>
      <w:r w:rsidR="002515FB" w:rsidRPr="00C74726">
        <w:rPr>
          <w:rFonts w:ascii="Cambria" w:hAnsi="Cambria" w:cs="Cambria"/>
          <w:lang w:val="en-US"/>
        </w:rPr>
        <w:t xml:space="preserve">the </w:t>
      </w:r>
      <w:r w:rsidR="00FC3847" w:rsidRPr="00C74726">
        <w:rPr>
          <w:rFonts w:ascii="Cambria" w:hAnsi="Cambria" w:cs="Cambria"/>
          <w:lang w:val="en-US"/>
        </w:rPr>
        <w:t xml:space="preserve">PHE </w:t>
      </w:r>
      <w:r w:rsidR="002515FB" w:rsidRPr="00C74726">
        <w:rPr>
          <w:rFonts w:ascii="Cambria" w:hAnsi="Cambria" w:cs="Cambria"/>
          <w:lang w:val="en-US"/>
        </w:rPr>
        <w:t xml:space="preserve">national reference laboratory </w:t>
      </w:r>
      <w:r w:rsidR="00753ECA" w:rsidRPr="00C74726">
        <w:rPr>
          <w:rFonts w:ascii="Cambria" w:hAnsi="Cambria" w:cs="Cambria"/>
          <w:lang w:val="en-US"/>
        </w:rPr>
        <w:t xml:space="preserve">(NRL) </w:t>
      </w:r>
      <w:r w:rsidR="00FC3847" w:rsidRPr="00C74726">
        <w:rPr>
          <w:rFonts w:ascii="Cambria" w:hAnsi="Cambria" w:cs="Cambria"/>
          <w:lang w:val="en-US"/>
        </w:rPr>
        <w:t xml:space="preserve">for </w:t>
      </w:r>
      <w:r w:rsidR="002515FB" w:rsidRPr="00C74726">
        <w:rPr>
          <w:rFonts w:ascii="Cambria" w:hAnsi="Cambria" w:cs="Cambria"/>
          <w:lang w:val="en-US"/>
        </w:rPr>
        <w:t>confirmation and serotyping</w:t>
      </w:r>
      <w:r w:rsidR="006C6732">
        <w:rPr>
          <w:rFonts w:ascii="Cambria" w:hAnsi="Cambria" w:cs="Cambria"/>
          <w:lang w:val="en-US"/>
        </w:rPr>
        <w:t>;</w:t>
      </w:r>
      <w:r w:rsidR="00CF198D" w:rsidRPr="00C74726">
        <w:rPr>
          <w:rFonts w:ascii="Cambria" w:hAnsi="Cambria" w:cs="Cambria"/>
          <w:lang w:val="en-US"/>
        </w:rPr>
        <w:t xml:space="preserve"> </w:t>
      </w:r>
      <w:r w:rsidR="00610802" w:rsidRPr="00C74726">
        <w:rPr>
          <w:rFonts w:ascii="Cambria" w:hAnsi="Cambria" w:cs="Cambria"/>
          <w:lang w:val="en-US"/>
        </w:rPr>
        <w:t>currently</w:t>
      </w:r>
      <w:r w:rsidR="00C74726">
        <w:rPr>
          <w:rFonts w:ascii="Cambria" w:hAnsi="Cambria" w:cs="Cambria"/>
          <w:lang w:val="en-US"/>
        </w:rPr>
        <w:t>,</w:t>
      </w:r>
      <w:r w:rsidR="00610802" w:rsidRPr="00C74726">
        <w:rPr>
          <w:rFonts w:ascii="Cambria" w:hAnsi="Cambria" w:cs="Cambria"/>
          <w:lang w:val="en-US"/>
        </w:rPr>
        <w:t xml:space="preserve"> </w:t>
      </w:r>
      <w:r w:rsidR="00BB21E3" w:rsidRPr="00C74726">
        <w:rPr>
          <w:rFonts w:ascii="Cambria" w:hAnsi="Cambria" w:cs="Cambria"/>
          <w:lang w:val="en-US"/>
        </w:rPr>
        <w:t xml:space="preserve">&gt;90% of invasive isolates </w:t>
      </w:r>
      <w:r w:rsidR="00EF1B38" w:rsidRPr="00C74726">
        <w:rPr>
          <w:rFonts w:ascii="Cambria" w:hAnsi="Cambria" w:cs="Cambria"/>
          <w:lang w:val="en-US"/>
        </w:rPr>
        <w:t xml:space="preserve">nationally are </w:t>
      </w:r>
      <w:r w:rsidR="00BB21E3" w:rsidRPr="00C74726">
        <w:rPr>
          <w:rFonts w:ascii="Cambria" w:hAnsi="Cambria" w:cs="Cambria"/>
          <w:lang w:val="en-US"/>
        </w:rPr>
        <w:t>serotyp</w:t>
      </w:r>
      <w:r w:rsidR="006C6732">
        <w:rPr>
          <w:rFonts w:ascii="Cambria" w:hAnsi="Cambria" w:cs="Cambria"/>
          <w:lang w:val="en-US"/>
        </w:rPr>
        <w:t>ed</w:t>
      </w:r>
      <w:r w:rsidR="00BB21E3" w:rsidRPr="00C74726">
        <w:rPr>
          <w:rFonts w:ascii="Cambria" w:hAnsi="Cambria" w:cs="Cambria"/>
          <w:lang w:val="en-US"/>
        </w:rPr>
        <w:t xml:space="preserve"> by </w:t>
      </w:r>
      <w:r w:rsidR="00EF1B38" w:rsidRPr="00C74726">
        <w:rPr>
          <w:rFonts w:ascii="Cambria" w:hAnsi="Cambria" w:cs="Cambria"/>
          <w:lang w:val="en-US"/>
        </w:rPr>
        <w:t xml:space="preserve">the </w:t>
      </w:r>
      <w:r w:rsidR="00753ECA" w:rsidRPr="00C74726">
        <w:rPr>
          <w:rFonts w:ascii="Cambria" w:hAnsi="Cambria" w:cs="Cambria"/>
          <w:lang w:val="en-US"/>
        </w:rPr>
        <w:t xml:space="preserve">NRL </w:t>
      </w:r>
      <w:r w:rsidR="00FA5081" w:rsidRPr="00C74726">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"manualFormatting" : "(5)", "plainTextFormattedCitation" : "(4)", "previouslyFormattedCitation" : "(4)" }, "properties" : { "noteIndex" : 0 }, "schema" : "https://github.com/citation-style-language/schema/raw/master/csl-citation.json" }</w:instrText>
      </w:r>
      <w:r w:rsidR="00FA5081" w:rsidRPr="00C74726">
        <w:rPr>
          <w:rFonts w:ascii="Cambria" w:hAnsi="Cambria" w:cs="Cambria"/>
          <w:lang w:val="en-US"/>
        </w:rPr>
        <w:fldChar w:fldCharType="separate"/>
      </w:r>
      <w:r w:rsidR="00CF198D" w:rsidRPr="00C74726">
        <w:rPr>
          <w:rFonts w:ascii="Cambria" w:hAnsi="Cambria" w:cs="Cambria"/>
          <w:noProof/>
          <w:lang w:val="en-US"/>
        </w:rPr>
        <w:t>(5)</w:t>
      </w:r>
      <w:r w:rsidR="00FA5081" w:rsidRPr="00C74726">
        <w:rPr>
          <w:rFonts w:ascii="Cambria" w:hAnsi="Cambria" w:cs="Cambria"/>
          <w:lang w:val="en-US"/>
        </w:rPr>
        <w:fldChar w:fldCharType="end"/>
      </w:r>
      <w:r w:rsidR="006C6732">
        <w:rPr>
          <w:rFonts w:ascii="Cambria" w:hAnsi="Cambria" w:cs="Cambria"/>
          <w:lang w:val="en-US"/>
        </w:rPr>
        <w:t xml:space="preserve">. </w:t>
      </w:r>
      <w:r w:rsidR="008A710D" w:rsidRPr="00C74726">
        <w:rPr>
          <w:rFonts w:ascii="Cambria" w:hAnsi="Cambria" w:cs="Cambria"/>
          <w:lang w:val="en-US"/>
        </w:rPr>
        <w:t>All children in the age-group targeted for</w:t>
      </w:r>
      <w:r w:rsidR="008A710D">
        <w:rPr>
          <w:rFonts w:ascii="Cambria" w:hAnsi="Cambria" w:cs="Cambria"/>
          <w:lang w:val="en-US"/>
        </w:rPr>
        <w:t xml:space="preserve"> vaccination (i.e. born </w:t>
      </w:r>
      <w:r w:rsidR="00BB21E3">
        <w:rPr>
          <w:rFonts w:ascii="Cambria" w:hAnsi="Cambria" w:cs="Cambria"/>
          <w:lang w:val="en-US"/>
        </w:rPr>
        <w:t>since</w:t>
      </w:r>
      <w:r w:rsidR="008A710D">
        <w:rPr>
          <w:rFonts w:ascii="Cambria" w:hAnsi="Cambria" w:cs="Cambria"/>
          <w:lang w:val="en-US"/>
        </w:rPr>
        <w:t xml:space="preserve"> 04 September 2004</w:t>
      </w:r>
      <w:r w:rsidR="00BB21E3">
        <w:rPr>
          <w:rFonts w:ascii="Cambria" w:hAnsi="Cambria" w:cs="Cambria"/>
          <w:lang w:val="en-US"/>
        </w:rPr>
        <w:t xml:space="preserve"> and diagnosed </w:t>
      </w:r>
      <w:r w:rsidR="00D54D6D">
        <w:rPr>
          <w:rFonts w:ascii="Cambria" w:hAnsi="Cambria" w:cs="Cambria"/>
          <w:lang w:val="en-US"/>
        </w:rPr>
        <w:t>between</w:t>
      </w:r>
      <w:r w:rsidR="00BB21E3">
        <w:rPr>
          <w:rFonts w:ascii="Cambria" w:hAnsi="Cambria" w:cs="Cambria"/>
          <w:lang w:val="en-US"/>
        </w:rPr>
        <w:t xml:space="preserve"> 04 September 2006</w:t>
      </w:r>
      <w:r w:rsidR="00D54D6D">
        <w:rPr>
          <w:rFonts w:ascii="Cambria" w:hAnsi="Cambria" w:cs="Cambria"/>
          <w:lang w:val="en-US"/>
        </w:rPr>
        <w:t xml:space="preserve"> and 03 September 2014</w:t>
      </w:r>
      <w:r w:rsidR="008A710D">
        <w:rPr>
          <w:rFonts w:ascii="Cambria" w:hAnsi="Cambria" w:cs="Cambria"/>
          <w:lang w:val="en-US"/>
        </w:rPr>
        <w:t xml:space="preserve">) </w:t>
      </w:r>
      <w:r w:rsidR="00D54D6D">
        <w:rPr>
          <w:rFonts w:ascii="Cambria" w:hAnsi="Cambria" w:cs="Cambria"/>
          <w:lang w:val="en-US"/>
        </w:rPr>
        <w:t xml:space="preserve">and aged &lt;5 years at diagnosis </w:t>
      </w:r>
      <w:r w:rsidR="00410CC7">
        <w:rPr>
          <w:rFonts w:ascii="Cambria" w:hAnsi="Cambria" w:cs="Cambria"/>
          <w:lang w:val="en-US"/>
        </w:rPr>
        <w:t>a</w:t>
      </w:r>
      <w:r w:rsidR="008A710D">
        <w:rPr>
          <w:rFonts w:ascii="Cambria" w:hAnsi="Cambria" w:cs="Cambria"/>
          <w:lang w:val="en-US"/>
        </w:rPr>
        <w:t xml:space="preserve">re actively followed-up </w:t>
      </w:r>
      <w:r w:rsidR="00410CC7">
        <w:rPr>
          <w:rFonts w:ascii="Cambria" w:hAnsi="Cambria" w:cs="Cambria"/>
          <w:lang w:val="en-US"/>
        </w:rPr>
        <w:t>using postal questionnaires to</w:t>
      </w:r>
      <w:r w:rsidR="008A710D">
        <w:rPr>
          <w:rFonts w:ascii="Cambria" w:hAnsi="Cambria" w:cs="Cambria"/>
          <w:lang w:val="en-US"/>
        </w:rPr>
        <w:t xml:space="preserve"> the child’s general practitioner </w:t>
      </w:r>
      <w:r w:rsidR="00753ECA">
        <w:rPr>
          <w:rFonts w:ascii="Cambria" w:hAnsi="Cambria" w:cs="Cambria"/>
          <w:lang w:val="en-US"/>
        </w:rPr>
        <w:t xml:space="preserve">(GP) </w:t>
      </w:r>
      <w:r w:rsidR="008A710D">
        <w:rPr>
          <w:rFonts w:ascii="Cambria" w:hAnsi="Cambria" w:cs="Cambria"/>
          <w:lang w:val="en-US"/>
        </w:rPr>
        <w:t xml:space="preserve">and hospital pediatrician, requesting </w:t>
      </w:r>
      <w:r w:rsidR="008A1BB2">
        <w:rPr>
          <w:rFonts w:ascii="Cambria" w:hAnsi="Cambria" w:cs="Cambria"/>
          <w:lang w:val="en-US"/>
        </w:rPr>
        <w:t>information about</w:t>
      </w:r>
      <w:r w:rsidR="008A710D">
        <w:rPr>
          <w:rFonts w:ascii="Cambria" w:hAnsi="Cambria" w:cs="Cambria"/>
          <w:lang w:val="en-US"/>
        </w:rPr>
        <w:t xml:space="preserve"> vaccination history, co</w:t>
      </w:r>
      <w:r w:rsidR="0013298A">
        <w:rPr>
          <w:rFonts w:ascii="Cambria" w:hAnsi="Cambria" w:cs="Cambria"/>
          <w:lang w:val="en-US"/>
        </w:rPr>
        <w:t>-</w:t>
      </w:r>
      <w:r w:rsidR="008A710D">
        <w:rPr>
          <w:rFonts w:ascii="Cambria" w:hAnsi="Cambria" w:cs="Cambria"/>
          <w:lang w:val="en-US"/>
        </w:rPr>
        <w:t>morbidities, clinical presentation and outcomes of IPD.</w:t>
      </w:r>
      <w:r w:rsidR="0013298A">
        <w:rPr>
          <w:rFonts w:ascii="Cambria" w:hAnsi="Cambria" w:cs="Cambria"/>
          <w:lang w:val="en-US"/>
        </w:rPr>
        <w:t xml:space="preserve"> </w:t>
      </w:r>
      <w:r w:rsidR="008A1AAD">
        <w:rPr>
          <w:rFonts w:ascii="Cambria" w:hAnsi="Cambria" w:cs="Cambria"/>
          <w:lang w:val="en-US"/>
        </w:rPr>
        <w:t>Case ascertainment in vaccine-eligible children has remained consistently high</w:t>
      </w:r>
      <w:r w:rsidR="00BD1738">
        <w:rPr>
          <w:rFonts w:ascii="Cambria" w:hAnsi="Cambria" w:cs="Cambria"/>
          <w:lang w:val="en-US"/>
        </w:rPr>
        <w:t xml:space="preserve"> since PCV7 introduction because</w:t>
      </w:r>
      <w:r w:rsidR="00B31C6C">
        <w:rPr>
          <w:rFonts w:ascii="Cambria" w:hAnsi="Cambria" w:cs="Cambria"/>
          <w:lang w:val="en-US"/>
        </w:rPr>
        <w:t xml:space="preserve"> </w:t>
      </w:r>
      <w:r w:rsidR="008A1AAD">
        <w:rPr>
          <w:rFonts w:ascii="Cambria" w:hAnsi="Cambria" w:cs="Cambria"/>
          <w:lang w:val="en-US"/>
        </w:rPr>
        <w:t xml:space="preserve">serotyping of invasive isolates </w:t>
      </w:r>
      <w:r w:rsidR="00410CC7">
        <w:rPr>
          <w:rFonts w:ascii="Cambria" w:hAnsi="Cambria" w:cs="Cambria"/>
          <w:lang w:val="en-US"/>
        </w:rPr>
        <w:t xml:space="preserve">has direct impact on clinical management, because of </w:t>
      </w:r>
      <w:r w:rsidR="00B85AB3">
        <w:rPr>
          <w:rFonts w:ascii="Cambria" w:hAnsi="Cambria" w:cs="Cambria"/>
          <w:lang w:val="en-US"/>
        </w:rPr>
        <w:t xml:space="preserve">its critical importance </w:t>
      </w:r>
      <w:r w:rsidR="00410CC7">
        <w:rPr>
          <w:rFonts w:ascii="Cambria" w:hAnsi="Cambria" w:cs="Cambria"/>
          <w:lang w:val="en-US"/>
        </w:rPr>
        <w:t xml:space="preserve">in </w:t>
      </w:r>
      <w:r w:rsidR="00E91F71">
        <w:rPr>
          <w:rFonts w:ascii="Cambria" w:hAnsi="Cambria" w:cs="Cambria"/>
          <w:lang w:val="en-US"/>
        </w:rPr>
        <w:t>identify</w:t>
      </w:r>
      <w:r w:rsidR="00410CC7">
        <w:rPr>
          <w:rFonts w:ascii="Cambria" w:hAnsi="Cambria" w:cs="Cambria"/>
          <w:lang w:val="en-US"/>
        </w:rPr>
        <w:t>ing</w:t>
      </w:r>
      <w:r w:rsidR="008A1AAD">
        <w:rPr>
          <w:rFonts w:ascii="Cambria" w:hAnsi="Cambria" w:cs="Cambria"/>
          <w:lang w:val="en-US"/>
        </w:rPr>
        <w:t xml:space="preserve"> vaccine failure</w:t>
      </w:r>
      <w:r w:rsidR="00E91F71">
        <w:rPr>
          <w:rFonts w:ascii="Cambria" w:hAnsi="Cambria" w:cs="Cambria"/>
          <w:lang w:val="en-US"/>
        </w:rPr>
        <w:t xml:space="preserve"> cases</w:t>
      </w:r>
      <w:r w:rsidR="008A1AAD">
        <w:rPr>
          <w:rFonts w:ascii="Cambria" w:hAnsi="Cambria" w:cs="Cambria"/>
          <w:lang w:val="en-US"/>
        </w:rPr>
        <w:t xml:space="preserve">.  </w:t>
      </w:r>
    </w:p>
    <w:p w14:paraId="560DE22D" w14:textId="77777777" w:rsidR="008A710D" w:rsidRDefault="008A710D" w:rsidP="00E41469">
      <w:pPr>
        <w:widowControl w:val="0"/>
        <w:autoSpaceDE w:val="0"/>
        <w:autoSpaceDN w:val="0"/>
        <w:adjustRightInd w:val="0"/>
        <w:spacing w:line="480" w:lineRule="auto"/>
        <w:rPr>
          <w:rFonts w:ascii="Cambria" w:hAnsi="Cambria" w:cs="Cambria"/>
          <w:lang w:val="en-US"/>
        </w:rPr>
      </w:pPr>
    </w:p>
    <w:p w14:paraId="6DAACECF" w14:textId="0B5D7676" w:rsidR="007F410A" w:rsidRDefault="00602DCA" w:rsidP="00A3236D">
      <w:pPr>
        <w:widowControl w:val="0"/>
        <w:autoSpaceDE w:val="0"/>
        <w:autoSpaceDN w:val="0"/>
        <w:adjustRightInd w:val="0"/>
        <w:spacing w:line="480" w:lineRule="auto"/>
        <w:outlineLvl w:val="0"/>
        <w:rPr>
          <w:rFonts w:ascii="Cambria" w:hAnsi="Cambria" w:cs="Cambria"/>
          <w:b/>
          <w:bCs/>
          <w:color w:val="313131"/>
          <w:sz w:val="28"/>
          <w:szCs w:val="28"/>
          <w:lang w:val="en-US"/>
        </w:rPr>
      </w:pPr>
      <w:r>
        <w:rPr>
          <w:rFonts w:ascii="Cambria" w:hAnsi="Cambria" w:cs="Cambria"/>
          <w:b/>
          <w:bCs/>
          <w:color w:val="313131"/>
          <w:sz w:val="28"/>
          <w:szCs w:val="28"/>
          <w:lang w:val="en-US"/>
        </w:rPr>
        <w:t>Fatal cases</w:t>
      </w:r>
    </w:p>
    <w:p w14:paraId="24C3752B" w14:textId="7972B395" w:rsidR="008E584E" w:rsidRDefault="00137630"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Fatal cases were identified from the GP/clinician questionnaires, the Patient Demographic Service (a national database of NHS patients, </w:t>
      </w:r>
      <w:hyperlink r:id="rId8" w:history="1">
        <w:r w:rsidRPr="006253C3">
          <w:rPr>
            <w:rStyle w:val="Hyperlink"/>
            <w:rFonts w:ascii="Cambria" w:hAnsi="Cambria" w:cs="Cambria"/>
            <w:lang w:val="en-US"/>
          </w:rPr>
          <w:t>https://digital.nhs.uk/Demographics</w:t>
        </w:r>
      </w:hyperlink>
      <w:r>
        <w:rPr>
          <w:rFonts w:ascii="Cambria" w:hAnsi="Cambria" w:cs="Cambria"/>
          <w:lang w:val="en-US"/>
        </w:rPr>
        <w:t xml:space="preserve">) and electronic death registrations records provided by the Office for National Statistics </w:t>
      </w:r>
      <w:r w:rsidR="00F232B7">
        <w:rPr>
          <w:rFonts w:ascii="Cambria" w:hAnsi="Cambria" w:cs="Cambria"/>
          <w:lang w:val="en-US"/>
        </w:rPr>
        <w:t xml:space="preserve">(ONS, </w:t>
      </w:r>
      <w:hyperlink r:id="rId9" w:history="1">
        <w:r w:rsidR="00F232B7" w:rsidRPr="006253C3">
          <w:rPr>
            <w:rStyle w:val="Hyperlink"/>
            <w:rFonts w:ascii="Cambria" w:hAnsi="Cambria" w:cs="Cambria"/>
            <w:lang w:val="en-US"/>
          </w:rPr>
          <w:t>www.statistics.gov.uk</w:t>
        </w:r>
      </w:hyperlink>
      <w:r w:rsidR="00F232B7">
        <w:rPr>
          <w:rFonts w:ascii="Cambria" w:hAnsi="Cambria" w:cs="Cambria"/>
          <w:lang w:val="en-US"/>
        </w:rPr>
        <w:t xml:space="preserve">) </w:t>
      </w:r>
      <w:r>
        <w:rPr>
          <w:rFonts w:ascii="Cambria" w:hAnsi="Cambria" w:cs="Cambria"/>
          <w:lang w:val="en-US"/>
        </w:rPr>
        <w:t xml:space="preserve">to PHE for surveillance purposes. </w:t>
      </w:r>
      <w:r w:rsidR="00B72921">
        <w:rPr>
          <w:rFonts w:ascii="Cambria" w:hAnsi="Cambria" w:cs="Cambria"/>
          <w:lang w:val="en-US"/>
        </w:rPr>
        <w:t>For all fatal cases, the final hospital discharge summary, including the ca</w:t>
      </w:r>
      <w:r w:rsidR="00847E8C">
        <w:rPr>
          <w:rFonts w:ascii="Cambria" w:hAnsi="Cambria" w:cs="Cambria"/>
          <w:lang w:val="en-US"/>
        </w:rPr>
        <w:t>u</w:t>
      </w:r>
      <w:r w:rsidR="00B72921">
        <w:rPr>
          <w:rFonts w:ascii="Cambria" w:hAnsi="Cambria" w:cs="Cambria"/>
          <w:lang w:val="en-US"/>
        </w:rPr>
        <w:t>se of death</w:t>
      </w:r>
      <w:r w:rsidR="00BA596E">
        <w:rPr>
          <w:rFonts w:ascii="Cambria" w:hAnsi="Cambria" w:cs="Cambria"/>
          <w:lang w:val="en-US"/>
        </w:rPr>
        <w:t xml:space="preserve"> as recorded on the death certificate</w:t>
      </w:r>
      <w:r w:rsidR="00B72921">
        <w:rPr>
          <w:rFonts w:ascii="Cambria" w:hAnsi="Cambria" w:cs="Cambria"/>
          <w:lang w:val="en-US"/>
        </w:rPr>
        <w:t xml:space="preserve">, was requested. </w:t>
      </w:r>
      <w:r w:rsidR="00602DCA">
        <w:rPr>
          <w:rFonts w:ascii="Cambria" w:hAnsi="Cambria" w:cs="Cambria"/>
          <w:lang w:val="en-US"/>
        </w:rPr>
        <w:t>In E</w:t>
      </w:r>
      <w:r>
        <w:rPr>
          <w:rFonts w:ascii="Cambria" w:hAnsi="Cambria" w:cs="Cambria"/>
          <w:lang w:val="en-US"/>
        </w:rPr>
        <w:t>ngland and Wales</w:t>
      </w:r>
      <w:r w:rsidR="00602DCA">
        <w:rPr>
          <w:rFonts w:ascii="Cambria" w:hAnsi="Cambria" w:cs="Cambria"/>
          <w:lang w:val="en-US"/>
        </w:rPr>
        <w:t xml:space="preserve"> all childhood deaths, including those who died outside the hospital, are referred to the coroner and su</w:t>
      </w:r>
      <w:r>
        <w:rPr>
          <w:rFonts w:ascii="Cambria" w:hAnsi="Cambria" w:cs="Cambria"/>
          <w:lang w:val="en-US"/>
        </w:rPr>
        <w:t>bjected to a post-mortem</w:t>
      </w:r>
      <w:r w:rsidR="00602DCA">
        <w:rPr>
          <w:rFonts w:ascii="Cambria" w:hAnsi="Cambria" w:cs="Cambria"/>
          <w:lang w:val="en-US"/>
        </w:rPr>
        <w:t>, unless there was an irrefutable cause of death at the time of reporting (e.g. a child with pneumococcal meningitis who died in hospital). For fatal cases undergoing post-mortem examination, the coroner was contacted for the post-mortem report, which also contained the cause of death</w:t>
      </w:r>
      <w:r>
        <w:rPr>
          <w:rFonts w:ascii="Cambria" w:hAnsi="Cambria" w:cs="Cambria"/>
          <w:lang w:val="en-US"/>
        </w:rPr>
        <w:t xml:space="preserve">. </w:t>
      </w:r>
      <w:r w:rsidR="008A710D">
        <w:rPr>
          <w:rFonts w:ascii="Cambria" w:hAnsi="Cambria" w:cs="Cambria"/>
          <w:lang w:val="en-US"/>
        </w:rPr>
        <w:t>Deaths were considered to be IPD</w:t>
      </w:r>
      <w:r w:rsidR="00491DAB">
        <w:rPr>
          <w:rFonts w:ascii="Cambria" w:hAnsi="Cambria" w:cs="Cambria"/>
          <w:lang w:val="en-US"/>
        </w:rPr>
        <w:t>-related</w:t>
      </w:r>
      <w:r w:rsidR="008A710D">
        <w:rPr>
          <w:rFonts w:ascii="Cambria" w:hAnsi="Cambria" w:cs="Cambria"/>
          <w:i/>
          <w:iCs/>
          <w:lang w:val="en-US"/>
        </w:rPr>
        <w:t xml:space="preserve"> </w:t>
      </w:r>
      <w:r w:rsidR="008A710D">
        <w:rPr>
          <w:rFonts w:ascii="Cambria" w:hAnsi="Cambria" w:cs="Cambria"/>
          <w:lang w:val="en-US"/>
        </w:rPr>
        <w:t xml:space="preserve">if a </w:t>
      </w:r>
      <w:r w:rsidR="00463D82">
        <w:rPr>
          <w:rFonts w:ascii="Cambria" w:hAnsi="Cambria" w:cs="Cambria"/>
          <w:lang w:val="en-US"/>
        </w:rPr>
        <w:t xml:space="preserve">child </w:t>
      </w:r>
      <w:r w:rsidR="0013298A">
        <w:rPr>
          <w:rFonts w:ascii="Cambria" w:hAnsi="Cambria" w:cs="Cambria"/>
          <w:lang w:val="en-US"/>
        </w:rPr>
        <w:t xml:space="preserve">had </w:t>
      </w:r>
      <w:r w:rsidR="008A710D">
        <w:rPr>
          <w:rFonts w:ascii="Cambria" w:hAnsi="Cambria" w:cs="Cambria"/>
          <w:lang w:val="en-US"/>
        </w:rPr>
        <w:t xml:space="preserve">a pure growth of </w:t>
      </w:r>
      <w:r w:rsidR="008A710D">
        <w:rPr>
          <w:rFonts w:ascii="Cambria" w:hAnsi="Cambria" w:cs="Cambria"/>
          <w:i/>
          <w:iCs/>
          <w:lang w:val="en-US"/>
        </w:rPr>
        <w:t>S. pneumoniae</w:t>
      </w:r>
      <w:r w:rsidR="008A710D">
        <w:rPr>
          <w:rFonts w:ascii="Cambria" w:hAnsi="Cambria" w:cs="Cambria"/>
          <w:lang w:val="en-US"/>
        </w:rPr>
        <w:t xml:space="preserve"> isolated </w:t>
      </w:r>
      <w:r w:rsidR="00953914">
        <w:rPr>
          <w:rFonts w:ascii="Cambria" w:hAnsi="Cambria" w:cs="Cambria"/>
          <w:lang w:val="en-US"/>
        </w:rPr>
        <w:t xml:space="preserve">within </w:t>
      </w:r>
      <w:r w:rsidR="00B31C6C">
        <w:rPr>
          <w:rFonts w:ascii="Cambria" w:hAnsi="Cambria" w:cs="Cambria"/>
          <w:lang w:val="en-US"/>
        </w:rPr>
        <w:t>30</w:t>
      </w:r>
      <w:r w:rsidR="00953914">
        <w:rPr>
          <w:rFonts w:ascii="Cambria" w:hAnsi="Cambria" w:cs="Cambria"/>
          <w:lang w:val="en-US"/>
        </w:rPr>
        <w:t xml:space="preserve"> days </w:t>
      </w:r>
      <w:r w:rsidR="008A710D">
        <w:rPr>
          <w:rFonts w:ascii="Cambria" w:hAnsi="Cambria" w:cs="Cambria"/>
          <w:lang w:val="en-US"/>
        </w:rPr>
        <w:t xml:space="preserve">from a </w:t>
      </w:r>
      <w:r w:rsidR="00753ECA">
        <w:rPr>
          <w:rFonts w:ascii="Cambria" w:hAnsi="Cambria" w:cs="Cambria"/>
          <w:lang w:val="en-US"/>
        </w:rPr>
        <w:t xml:space="preserve">normally </w:t>
      </w:r>
      <w:r w:rsidR="008A710D">
        <w:rPr>
          <w:rFonts w:ascii="Cambria" w:hAnsi="Cambria" w:cs="Cambria"/>
          <w:lang w:val="en-US"/>
        </w:rPr>
        <w:t>sterile site before or after death, with clinical, radiological and/or histo-pathological evidence of invasive bacterial infection</w:t>
      </w:r>
      <w:r w:rsidR="0013298A">
        <w:rPr>
          <w:rFonts w:ascii="Cambria" w:hAnsi="Cambria" w:cs="Cambria"/>
          <w:lang w:val="en-US"/>
        </w:rPr>
        <w:t xml:space="preserve"> and a</w:t>
      </w:r>
      <w:r w:rsidR="008A710D">
        <w:rPr>
          <w:rFonts w:ascii="Cambria" w:hAnsi="Cambria" w:cs="Cambria"/>
          <w:lang w:val="en-US"/>
        </w:rPr>
        <w:t>fter othe</w:t>
      </w:r>
      <w:r w:rsidR="0013298A">
        <w:rPr>
          <w:rFonts w:ascii="Cambria" w:hAnsi="Cambria" w:cs="Cambria"/>
          <w:lang w:val="en-US"/>
        </w:rPr>
        <w:t>r</w:t>
      </w:r>
      <w:r w:rsidR="008A710D">
        <w:rPr>
          <w:rFonts w:ascii="Cambria" w:hAnsi="Cambria" w:cs="Cambria"/>
          <w:lang w:val="en-US"/>
        </w:rPr>
        <w:t xml:space="preserve"> differential diagnoses were appropriately </w:t>
      </w:r>
      <w:r w:rsidR="008A710D">
        <w:rPr>
          <w:rFonts w:ascii="Cambria" w:hAnsi="Cambria" w:cs="Cambria"/>
          <w:lang w:val="en-US"/>
        </w:rPr>
        <w:lastRenderedPageBreak/>
        <w:t>excluded.</w:t>
      </w:r>
      <w:r w:rsidR="007D5F72">
        <w:rPr>
          <w:rFonts w:ascii="Cambria" w:hAnsi="Cambria" w:cs="Cambria"/>
          <w:lang w:val="en-US"/>
        </w:rPr>
        <w:t xml:space="preserve"> </w:t>
      </w:r>
      <w:r w:rsidR="00524934">
        <w:rPr>
          <w:rFonts w:ascii="Cambria" w:hAnsi="Cambria" w:cs="Cambria"/>
          <w:lang w:val="en-US"/>
        </w:rPr>
        <w:t>Children with IPD who survived their infection and later died of other cases were excluded from the analysis, as were s</w:t>
      </w:r>
      <w:r w:rsidR="00445970">
        <w:rPr>
          <w:rFonts w:ascii="Cambria" w:hAnsi="Cambria" w:cs="Cambria"/>
          <w:lang w:val="en-US"/>
        </w:rPr>
        <w:t xml:space="preserve">tillbirths and septic abortions. </w:t>
      </w:r>
    </w:p>
    <w:p w14:paraId="4CCCD2B6" w14:textId="6571B0BB" w:rsidR="008A710D" w:rsidRDefault="008A710D"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Meningitis was defined as </w:t>
      </w:r>
      <w:r>
        <w:rPr>
          <w:rFonts w:ascii="Cambria" w:hAnsi="Cambria" w:cs="Cambria"/>
          <w:i/>
          <w:iCs/>
          <w:lang w:val="en-US"/>
        </w:rPr>
        <w:t>S. pneumoniae</w:t>
      </w:r>
      <w:r>
        <w:rPr>
          <w:rFonts w:ascii="Cambria" w:hAnsi="Cambria" w:cs="Cambria"/>
          <w:lang w:val="en-US"/>
        </w:rPr>
        <w:t xml:space="preserve"> identified (culture/PCR) in the CSF or </w:t>
      </w:r>
      <w:r>
        <w:rPr>
          <w:rFonts w:ascii="Cambria" w:hAnsi="Cambria" w:cs="Cambria"/>
          <w:i/>
          <w:iCs/>
          <w:lang w:val="en-US"/>
        </w:rPr>
        <w:t>S. pneumoniae</w:t>
      </w:r>
      <w:r>
        <w:rPr>
          <w:rFonts w:ascii="Cambria" w:hAnsi="Cambria" w:cs="Cambria"/>
          <w:lang w:val="en-US"/>
        </w:rPr>
        <w:t xml:space="preserve"> cultured from blood with radiological and/or clinical features of meningitis.  Lower respiratory tract </w:t>
      </w:r>
      <w:r w:rsidR="00753ECA">
        <w:rPr>
          <w:rFonts w:ascii="Cambria" w:hAnsi="Cambria" w:cs="Cambria"/>
          <w:lang w:val="en-US"/>
        </w:rPr>
        <w:t xml:space="preserve">infection </w:t>
      </w:r>
      <w:r>
        <w:rPr>
          <w:rFonts w:ascii="Cambria" w:hAnsi="Cambria" w:cs="Cambria"/>
          <w:lang w:val="en-US"/>
        </w:rPr>
        <w:t xml:space="preserve">(LRTI) was defined as </w:t>
      </w:r>
      <w:r>
        <w:rPr>
          <w:rFonts w:ascii="Cambria" w:hAnsi="Cambria" w:cs="Cambria"/>
          <w:i/>
          <w:iCs/>
          <w:lang w:val="en-US"/>
        </w:rPr>
        <w:t>S. pneumoniae</w:t>
      </w:r>
      <w:r>
        <w:rPr>
          <w:rFonts w:ascii="Cambria" w:hAnsi="Cambria" w:cs="Cambria"/>
          <w:lang w:val="en-US"/>
        </w:rPr>
        <w:t xml:space="preserve"> identified in pleural/empyema fluid or in blood with a </w:t>
      </w:r>
      <w:r w:rsidRPr="00C74726">
        <w:rPr>
          <w:rFonts w:ascii="Cambria" w:hAnsi="Cambria" w:cs="Cambria"/>
          <w:lang w:val="en-US"/>
        </w:rPr>
        <w:t xml:space="preserve">radiological and/or clinical diagnosis of pneumonia. </w:t>
      </w:r>
      <w:r w:rsidR="009A17DC" w:rsidRPr="00C74726">
        <w:rPr>
          <w:rFonts w:ascii="Cambria" w:hAnsi="Cambria" w:cs="Cambria"/>
          <w:lang w:val="en-US"/>
        </w:rPr>
        <w:t>Septicemia</w:t>
      </w:r>
      <w:r w:rsidRPr="00C74726">
        <w:rPr>
          <w:rFonts w:ascii="Cambria" w:hAnsi="Cambria" w:cs="Cambria"/>
          <w:lang w:val="en-US"/>
        </w:rPr>
        <w:t xml:space="preserve"> was defined as </w:t>
      </w:r>
      <w:r w:rsidRPr="00C74726">
        <w:rPr>
          <w:rFonts w:ascii="Cambria" w:hAnsi="Cambria" w:cs="Cambria"/>
          <w:i/>
          <w:iCs/>
          <w:lang w:val="en-US"/>
        </w:rPr>
        <w:t>S. pneumoniae</w:t>
      </w:r>
      <w:r w:rsidRPr="00C74726">
        <w:rPr>
          <w:rFonts w:ascii="Cambria" w:hAnsi="Cambria" w:cs="Cambria"/>
          <w:lang w:val="en-US"/>
        </w:rPr>
        <w:t xml:space="preserve"> cultured in blood with no clear focus of infection. Co-morbidity was defined as presence of a high-risk condition as defined in the Green Book on </w:t>
      </w:r>
      <w:r w:rsidR="009A17DC" w:rsidRPr="00C74726">
        <w:rPr>
          <w:rFonts w:ascii="Cambria" w:hAnsi="Cambria" w:cs="Cambria"/>
          <w:lang w:val="en-US"/>
        </w:rPr>
        <w:t>Immunization</w:t>
      </w:r>
      <w:r w:rsidR="0013298A" w:rsidRPr="00C74726">
        <w:rPr>
          <w:rFonts w:ascii="Cambria" w:hAnsi="Cambria" w:cs="Cambria"/>
          <w:lang w:val="en-US"/>
        </w:rPr>
        <w:t xml:space="preserve"> </w:t>
      </w:r>
      <w:r w:rsidR="00FA5081" w:rsidRPr="00C74726">
        <w:rPr>
          <w:rFonts w:ascii="Cambria" w:hAnsi="Cambria" w:cs="Cambria"/>
          <w:lang w:val="en-US"/>
        </w:rPr>
        <w:fldChar w:fldCharType="begin" w:fldLock="1"/>
      </w:r>
      <w:r w:rsidR="008B52BA">
        <w:rPr>
          <w:rFonts w:ascii="Cambria" w:hAnsi="Cambria" w:cs="Cambria"/>
          <w:lang w:val="en-US"/>
        </w:rPr>
        <w:instrText>ADDIN CSL_CITATION { "citationItems" : [ { "id" : "ITEM-1", "itemData" : { "DOI" : "10.1136/bmj.297.6660.1406", "ISBN" : "9780113225286", "ISSN" : "0959-8138", "PMID" : "3146387", "abstract" : "This is the third edition of this publication which contains the latest information on vaccines and vaccination procedures for all the vaccine preventable infectious diseases that may occur in the UK or in travellers going outside of the UK, particularly those immunisations that comprise the routine immunisation programme for all children from birth to adolescence. It is divided into two sections: the first section covers principles, practices and procedures, including issues of consent, contraindications, storage, distribution and disposal of vaccines, surveillance and monitoring, and the Vaccine Damage Payment Scheme; the second section covers the range of different diseases and vaccines.", "author" : [ { "dropping-particle" : "", "family" : "Salisbury D, Ramsay M", "given" : "Noakes K", "non-dropping-particle" : "", "parse-names" : false, "suffix" : "" } ], "container-title" : "BMJ (Clinical research ed.)", "id" : "ITEM-1", "issue" : "6660", "issued" : { "date-parts" : [ [ "2013" ] ] }, "number-of-pages" : "1406", "title" : "Immunisation against infectious disease: the green book, Public Health England", "type" : "book", "volume" : "297" }, "uris" : [ "http://www.mendeley.com/documents/?uuid=32d2592b-4aa7-4ad5-ad49-995adb840b5b" ] } ], "mendeley" : { "formattedCitation" : "(6)", "plainTextFormattedCitation" : "(6)", "previouslyFormattedCitation" : "(6)" }, "properties" : { "noteIndex" : 0 }, "schema" : "https://github.com/citation-style-language/schema/raw/master/csl-citation.json" }</w:instrText>
      </w:r>
      <w:r w:rsidR="00FA5081" w:rsidRPr="00C74726">
        <w:rPr>
          <w:rFonts w:ascii="Cambria" w:hAnsi="Cambria" w:cs="Cambria"/>
          <w:lang w:val="en-US"/>
        </w:rPr>
        <w:fldChar w:fldCharType="separate"/>
      </w:r>
      <w:r w:rsidR="00745A0A" w:rsidRPr="00745A0A">
        <w:rPr>
          <w:rFonts w:ascii="Cambria" w:hAnsi="Cambria" w:cs="Cambria"/>
          <w:noProof/>
          <w:lang w:val="en-US"/>
        </w:rPr>
        <w:t>(6)</w:t>
      </w:r>
      <w:r w:rsidR="00FA5081" w:rsidRPr="00C74726">
        <w:rPr>
          <w:rFonts w:ascii="Cambria" w:hAnsi="Cambria" w:cs="Cambria"/>
          <w:lang w:val="en-US"/>
        </w:rPr>
        <w:fldChar w:fldCharType="end"/>
      </w:r>
      <w:r w:rsidR="00463D82" w:rsidRPr="00C74726">
        <w:rPr>
          <w:rFonts w:ascii="Cambria" w:hAnsi="Cambria" w:cs="Cambria"/>
          <w:lang w:val="en-US"/>
        </w:rPr>
        <w:t>.</w:t>
      </w:r>
      <w:r w:rsidR="00125B5E" w:rsidRPr="00C74726">
        <w:rPr>
          <w:rFonts w:ascii="Cambria" w:hAnsi="Cambria" w:cs="Cambria"/>
          <w:lang w:val="en-US"/>
        </w:rPr>
        <w:t xml:space="preserve"> </w:t>
      </w:r>
    </w:p>
    <w:p w14:paraId="68BC5F2A" w14:textId="77777777" w:rsidR="001A2FE4" w:rsidRDefault="001A2FE4" w:rsidP="00E41469">
      <w:pPr>
        <w:widowControl w:val="0"/>
        <w:autoSpaceDE w:val="0"/>
        <w:autoSpaceDN w:val="0"/>
        <w:adjustRightInd w:val="0"/>
        <w:spacing w:line="480" w:lineRule="auto"/>
        <w:rPr>
          <w:rFonts w:ascii="Cambria" w:hAnsi="Cambria" w:cs="Cambria"/>
          <w:lang w:val="en-US"/>
        </w:rPr>
      </w:pPr>
    </w:p>
    <w:p w14:paraId="7B2D0EFA" w14:textId="4712C153" w:rsidR="00C74726" w:rsidRDefault="00B7798F" w:rsidP="00E41469">
      <w:pPr>
        <w:widowControl w:val="0"/>
        <w:autoSpaceDE w:val="0"/>
        <w:autoSpaceDN w:val="0"/>
        <w:adjustRightInd w:val="0"/>
        <w:spacing w:line="480" w:lineRule="auto"/>
        <w:rPr>
          <w:rFonts w:ascii="Cambria" w:hAnsi="Cambria" w:cs="Cambria"/>
          <w:lang w:val="en-US"/>
        </w:rPr>
      </w:pPr>
      <w:r w:rsidRPr="00C74726">
        <w:rPr>
          <w:rFonts w:ascii="Cambria" w:hAnsi="Cambria" w:cs="Cambria"/>
          <w:lang w:val="en-US"/>
        </w:rPr>
        <w:t xml:space="preserve">Cases </w:t>
      </w:r>
      <w:r w:rsidR="008A710D" w:rsidRPr="00530395">
        <w:rPr>
          <w:rFonts w:ascii="Cambria" w:hAnsi="Cambria" w:cs="Cambria"/>
          <w:lang w:val="en-US"/>
        </w:rPr>
        <w:t xml:space="preserve">were </w:t>
      </w:r>
      <w:r w:rsidR="00602A6B" w:rsidRPr="00530395">
        <w:rPr>
          <w:rFonts w:ascii="Cambria" w:hAnsi="Cambria" w:cs="Cambria"/>
          <w:lang w:val="en-US"/>
        </w:rPr>
        <w:t xml:space="preserve">classified </w:t>
      </w:r>
      <w:r w:rsidR="008A710D" w:rsidRPr="00530395">
        <w:rPr>
          <w:rFonts w:ascii="Cambria" w:hAnsi="Cambria" w:cs="Cambria"/>
          <w:lang w:val="en-US"/>
        </w:rPr>
        <w:t>in</w:t>
      </w:r>
      <w:r w:rsidR="001A2FE4" w:rsidRPr="00530395">
        <w:rPr>
          <w:rFonts w:ascii="Cambria" w:hAnsi="Cambria" w:cs="Cambria"/>
          <w:lang w:val="en-US"/>
        </w:rPr>
        <w:t xml:space="preserve">to 4 </w:t>
      </w:r>
      <w:r w:rsidR="00901745" w:rsidRPr="00530395">
        <w:rPr>
          <w:rFonts w:ascii="Cambria" w:hAnsi="Cambria" w:cs="Cambria"/>
          <w:lang w:val="en-US"/>
        </w:rPr>
        <w:t xml:space="preserve">vaccine groups </w:t>
      </w:r>
      <w:r w:rsidRPr="00530395">
        <w:rPr>
          <w:rFonts w:ascii="Cambria" w:hAnsi="Cambria" w:cs="Cambria"/>
          <w:lang w:val="en-US"/>
        </w:rPr>
        <w:t>according to serotype</w:t>
      </w:r>
      <w:r w:rsidR="001A2FE4" w:rsidRPr="00530395">
        <w:rPr>
          <w:rFonts w:ascii="Cambria" w:hAnsi="Cambria" w:cs="Cambria"/>
          <w:lang w:val="en-US"/>
        </w:rPr>
        <w:t xml:space="preserve">: PCV7 serotypes </w:t>
      </w:r>
      <w:r w:rsidR="008A710D" w:rsidRPr="00530395">
        <w:rPr>
          <w:rFonts w:ascii="Cambria" w:hAnsi="Cambria" w:cs="Cambria"/>
          <w:lang w:val="en-US"/>
        </w:rPr>
        <w:t>(4,6B</w:t>
      </w:r>
      <w:r w:rsidR="009A17DC" w:rsidRPr="00530395">
        <w:rPr>
          <w:rFonts w:ascii="Cambria" w:hAnsi="Cambria" w:cs="Cambria"/>
          <w:lang w:val="en-US"/>
        </w:rPr>
        <w:t>, 9V,14,18C,19F,23F</w:t>
      </w:r>
      <w:r w:rsidR="00071B41" w:rsidRPr="00530395">
        <w:rPr>
          <w:rFonts w:ascii="Cambria" w:hAnsi="Cambria" w:cs="Cambria"/>
          <w:lang w:val="en-US"/>
        </w:rPr>
        <w:t xml:space="preserve">), </w:t>
      </w:r>
      <w:r w:rsidR="007D5F72" w:rsidRPr="00530395">
        <w:rPr>
          <w:rFonts w:ascii="Cambria" w:hAnsi="Cambria" w:cs="Cambria"/>
          <w:lang w:val="en-US"/>
        </w:rPr>
        <w:t xml:space="preserve">additional </w:t>
      </w:r>
      <w:r w:rsidR="00071B41" w:rsidRPr="00530395">
        <w:rPr>
          <w:rFonts w:ascii="Cambria" w:hAnsi="Cambria" w:cs="Cambria"/>
          <w:lang w:val="en-US"/>
        </w:rPr>
        <w:t>PCV13</w:t>
      </w:r>
      <w:r w:rsidR="008A710D" w:rsidRPr="00530395">
        <w:rPr>
          <w:rFonts w:ascii="Cambria" w:hAnsi="Cambria" w:cs="Cambria"/>
          <w:lang w:val="en-US"/>
        </w:rPr>
        <w:t xml:space="preserve"> serotypes (1,3,5,6A,7F,19A), non-PCV</w:t>
      </w:r>
      <w:r w:rsidR="00B4046E">
        <w:rPr>
          <w:rFonts w:ascii="Cambria" w:hAnsi="Cambria" w:cs="Cambria"/>
          <w:lang w:val="en-US"/>
        </w:rPr>
        <w:t>13</w:t>
      </w:r>
      <w:r w:rsidR="008A710D" w:rsidRPr="00530395">
        <w:rPr>
          <w:rFonts w:ascii="Cambria" w:hAnsi="Cambria" w:cs="Cambria"/>
          <w:lang w:val="en-US"/>
        </w:rPr>
        <w:t xml:space="preserve"> serotypes and </w:t>
      </w:r>
      <w:r w:rsidR="009E57CA" w:rsidRPr="00530395">
        <w:rPr>
          <w:rFonts w:ascii="Cambria" w:hAnsi="Cambria" w:cs="Cambria"/>
          <w:lang w:val="en-US"/>
        </w:rPr>
        <w:t xml:space="preserve">unknown </w:t>
      </w:r>
      <w:r w:rsidR="008A710D" w:rsidRPr="00530395">
        <w:rPr>
          <w:rFonts w:ascii="Cambria" w:hAnsi="Cambria" w:cs="Cambria"/>
          <w:lang w:val="en-US"/>
        </w:rPr>
        <w:t>serotypes</w:t>
      </w:r>
      <w:r w:rsidR="0095523B" w:rsidRPr="00530395">
        <w:rPr>
          <w:rFonts w:ascii="Cambria" w:hAnsi="Cambria" w:cs="Cambria"/>
          <w:lang w:val="en-US"/>
        </w:rPr>
        <w:t xml:space="preserve"> (</w:t>
      </w:r>
      <w:r w:rsidR="002A1ED2" w:rsidRPr="00530395">
        <w:rPr>
          <w:rFonts w:ascii="Cambria" w:hAnsi="Cambria" w:cs="Cambria"/>
          <w:lang w:val="en-US"/>
        </w:rPr>
        <w:t>typically due to non</w:t>
      </w:r>
      <w:r w:rsidR="00B31198">
        <w:rPr>
          <w:rFonts w:ascii="Cambria" w:hAnsi="Cambria" w:cs="Cambria"/>
          <w:lang w:val="en-US"/>
        </w:rPr>
        <w:t>-</w:t>
      </w:r>
      <w:r w:rsidR="002A1ED2" w:rsidRPr="00530395">
        <w:rPr>
          <w:rFonts w:ascii="Cambria" w:hAnsi="Cambria" w:cs="Cambria"/>
          <w:lang w:val="en-US"/>
        </w:rPr>
        <w:t xml:space="preserve">referral, or unsuccessful recovery after transport to the </w:t>
      </w:r>
      <w:r w:rsidR="001E35BC">
        <w:rPr>
          <w:rFonts w:ascii="Cambria" w:hAnsi="Cambria" w:cs="Cambria"/>
          <w:lang w:val="en-US"/>
        </w:rPr>
        <w:t>NRL</w:t>
      </w:r>
      <w:r w:rsidR="002A1ED2" w:rsidRPr="00530395">
        <w:rPr>
          <w:rFonts w:ascii="Cambria" w:hAnsi="Cambria" w:cs="Cambria"/>
          <w:lang w:val="en-US"/>
        </w:rPr>
        <w:t xml:space="preserve">). </w:t>
      </w:r>
    </w:p>
    <w:p w14:paraId="58D4E7FA" w14:textId="77777777" w:rsidR="0083374D" w:rsidRPr="00376499" w:rsidRDefault="0083374D" w:rsidP="00E41469">
      <w:pPr>
        <w:widowControl w:val="0"/>
        <w:autoSpaceDE w:val="0"/>
        <w:autoSpaceDN w:val="0"/>
        <w:adjustRightInd w:val="0"/>
        <w:spacing w:line="480" w:lineRule="auto"/>
        <w:rPr>
          <w:rFonts w:ascii="Cambria" w:hAnsi="Cambria" w:cs="Cambria"/>
          <w:lang w:val="en-US"/>
        </w:rPr>
      </w:pPr>
    </w:p>
    <w:p w14:paraId="0AA49831" w14:textId="77777777" w:rsidR="007F410A" w:rsidRDefault="008A710D" w:rsidP="00A3236D">
      <w:pPr>
        <w:widowControl w:val="0"/>
        <w:autoSpaceDE w:val="0"/>
        <w:autoSpaceDN w:val="0"/>
        <w:adjustRightInd w:val="0"/>
        <w:spacing w:line="480" w:lineRule="auto"/>
        <w:outlineLvl w:val="0"/>
        <w:rPr>
          <w:rFonts w:ascii="Cambria" w:hAnsi="Cambria" w:cs="Cambria"/>
          <w:b/>
          <w:bCs/>
          <w:sz w:val="28"/>
          <w:szCs w:val="28"/>
          <w:lang w:val="en-US"/>
        </w:rPr>
      </w:pPr>
      <w:r>
        <w:rPr>
          <w:rFonts w:ascii="Cambria" w:hAnsi="Cambria" w:cs="Cambria"/>
          <w:b/>
          <w:bCs/>
          <w:sz w:val="28"/>
          <w:szCs w:val="28"/>
          <w:lang w:val="en-US"/>
        </w:rPr>
        <w:t>Data Analysis</w:t>
      </w:r>
    </w:p>
    <w:p w14:paraId="736F94DD" w14:textId="2043BBC4" w:rsidR="00EC4CB5" w:rsidRDefault="00EC4CB5"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Annual IPD-related mortality rates were calculated by dividi</w:t>
      </w:r>
      <w:r w:rsidR="00B96BB9">
        <w:rPr>
          <w:rFonts w:ascii="Cambria" w:hAnsi="Cambria" w:cs="Cambria"/>
          <w:lang w:val="en-US"/>
        </w:rPr>
        <w:t xml:space="preserve">ng the </w:t>
      </w:r>
      <w:r>
        <w:rPr>
          <w:rFonts w:ascii="Cambria" w:hAnsi="Cambria" w:cs="Cambria"/>
          <w:lang w:val="en-US"/>
        </w:rPr>
        <w:t xml:space="preserve">number of IPD-related deaths </w:t>
      </w:r>
      <w:r w:rsidR="00B96BB9">
        <w:rPr>
          <w:rFonts w:ascii="Cambria" w:hAnsi="Cambria" w:cs="Cambria"/>
          <w:lang w:val="en-US"/>
        </w:rPr>
        <w:t xml:space="preserve">in the vaccine-eligible cohort for each surveillance year </w:t>
      </w:r>
      <w:r>
        <w:rPr>
          <w:rFonts w:ascii="Cambria" w:hAnsi="Cambria" w:cs="Cambria"/>
          <w:lang w:val="en-US"/>
        </w:rPr>
        <w:t>with population estimates</w:t>
      </w:r>
      <w:r w:rsidR="00B96BB9">
        <w:rPr>
          <w:rFonts w:ascii="Cambria" w:hAnsi="Cambria" w:cs="Cambria"/>
          <w:lang w:val="en-US"/>
        </w:rPr>
        <w:t xml:space="preserve"> </w:t>
      </w:r>
      <w:r>
        <w:rPr>
          <w:rFonts w:ascii="Cambria" w:hAnsi="Cambria" w:cs="Cambria"/>
          <w:lang w:val="en-US"/>
        </w:rPr>
        <w:t xml:space="preserve">for the vaccine-eligible cohort </w:t>
      </w:r>
      <w:r w:rsidR="00B96BB9">
        <w:rPr>
          <w:rFonts w:ascii="Cambria" w:hAnsi="Cambria" w:cs="Cambria"/>
          <w:lang w:val="en-US"/>
        </w:rPr>
        <w:t xml:space="preserve">in that year. Surveillance years were defined from 04 September to 03 September of the following year. Population denominators were obtained from the ONS. The vaccine-eligible cohort increased from three birth cohorts in 2006/07 to five in 2008/09 and subsequent years. </w:t>
      </w:r>
      <w:r w:rsidR="00435B62">
        <w:rPr>
          <w:rFonts w:ascii="Cambria" w:hAnsi="Cambria" w:cs="Cambria"/>
          <w:lang w:val="en-US"/>
        </w:rPr>
        <w:t xml:space="preserve">Children aged </w:t>
      </w:r>
      <m:oMath>
        <m:r>
          <w:rPr>
            <w:rFonts w:ascii="Cambria Math" w:hAnsi="Cambria Math" w:cs="Cambria"/>
            <w:lang w:val="en-US"/>
          </w:rPr>
          <m:t>≥</m:t>
        </m:r>
      </m:oMath>
      <w:r w:rsidR="00435B62">
        <w:rPr>
          <w:rFonts w:ascii="Cambria" w:hAnsi="Cambria" w:cs="Cambria"/>
          <w:lang w:val="en-US"/>
        </w:rPr>
        <w:t>5 years</w:t>
      </w:r>
      <w:r w:rsidR="0053343E">
        <w:rPr>
          <w:rFonts w:ascii="Cambria" w:hAnsi="Cambria" w:cs="Cambria"/>
          <w:lang w:val="en-US"/>
        </w:rPr>
        <w:t xml:space="preserve"> were not routinely followed-up </w:t>
      </w:r>
      <w:r w:rsidR="000F3D34">
        <w:rPr>
          <w:rFonts w:ascii="Cambria" w:hAnsi="Cambria" w:cs="Cambria"/>
          <w:lang w:val="en-US"/>
        </w:rPr>
        <w:t xml:space="preserve">with detailed questionnaires </w:t>
      </w:r>
      <w:r w:rsidR="0053343E">
        <w:rPr>
          <w:rFonts w:ascii="Cambria" w:hAnsi="Cambria" w:cs="Cambria"/>
          <w:lang w:val="en-US"/>
        </w:rPr>
        <w:t>and, therefore, not included in the analysis.</w:t>
      </w:r>
      <w:r w:rsidR="00435B62">
        <w:rPr>
          <w:rFonts w:ascii="Cambria" w:hAnsi="Cambria" w:cs="Cambria"/>
          <w:lang w:val="en-US"/>
        </w:rPr>
        <w:t xml:space="preserve"> </w:t>
      </w:r>
      <w:r w:rsidR="00B96BB9">
        <w:rPr>
          <w:rFonts w:ascii="Cambria" w:hAnsi="Cambria" w:cs="Cambria"/>
          <w:lang w:val="en-US"/>
        </w:rPr>
        <w:t>Anonym</w:t>
      </w:r>
      <w:r w:rsidR="00BA332A">
        <w:rPr>
          <w:rFonts w:ascii="Cambria" w:hAnsi="Cambria" w:cs="Cambria"/>
          <w:lang w:val="en-US"/>
        </w:rPr>
        <w:t>ize</w:t>
      </w:r>
      <w:r w:rsidR="00B96BB9">
        <w:rPr>
          <w:rFonts w:ascii="Cambria" w:hAnsi="Cambria" w:cs="Cambria"/>
          <w:lang w:val="en-US"/>
        </w:rPr>
        <w:t>d data were exported to Stata™ v.11.0 (Statcorp, Texas) for analysis, which were mainly descriptive. Categorical variables were described as percentages with binomial 95% confidence intervals (CI) and compared using the chi-squared test or Fisher Exact test. Continuous variables that did not follow a normal distribution were described as medians with interquartile ranges (IQR) and compared using the Mann-Whitney U test.</w:t>
      </w:r>
    </w:p>
    <w:p w14:paraId="319A564B" w14:textId="77777777" w:rsidR="00071B41" w:rsidRDefault="00071B41" w:rsidP="00E41469">
      <w:pPr>
        <w:widowControl w:val="0"/>
        <w:autoSpaceDE w:val="0"/>
        <w:autoSpaceDN w:val="0"/>
        <w:adjustRightInd w:val="0"/>
        <w:spacing w:line="480" w:lineRule="auto"/>
        <w:rPr>
          <w:rFonts w:ascii="Cambria" w:hAnsi="Cambria" w:cs="Cambria"/>
          <w:b/>
          <w:bCs/>
          <w:sz w:val="32"/>
          <w:szCs w:val="32"/>
          <w:lang w:val="en-US"/>
        </w:rPr>
      </w:pPr>
    </w:p>
    <w:p w14:paraId="08ED5AEF" w14:textId="77777777" w:rsidR="00393001" w:rsidRDefault="008A710D" w:rsidP="00A3236D">
      <w:pPr>
        <w:widowControl w:val="0"/>
        <w:autoSpaceDE w:val="0"/>
        <w:autoSpaceDN w:val="0"/>
        <w:adjustRightInd w:val="0"/>
        <w:spacing w:line="480" w:lineRule="auto"/>
        <w:outlineLvl w:val="0"/>
        <w:rPr>
          <w:rFonts w:ascii="Cambria" w:hAnsi="Cambria" w:cs="Cambria"/>
          <w:b/>
          <w:bCs/>
          <w:sz w:val="32"/>
          <w:szCs w:val="32"/>
          <w:lang w:val="en-US"/>
        </w:rPr>
      </w:pPr>
      <w:r>
        <w:rPr>
          <w:rFonts w:ascii="Cambria" w:hAnsi="Cambria" w:cs="Cambria"/>
          <w:b/>
          <w:bCs/>
          <w:sz w:val="32"/>
          <w:szCs w:val="32"/>
          <w:lang w:val="en-US"/>
        </w:rPr>
        <w:lastRenderedPageBreak/>
        <w:t>Results</w:t>
      </w:r>
    </w:p>
    <w:p w14:paraId="14C63494" w14:textId="61870294" w:rsidR="009F436E" w:rsidRDefault="000016D2" w:rsidP="002D2205">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During 04 September 2006 and 03 September 2014 (8 </w:t>
      </w:r>
      <w:r w:rsidR="00623D4D">
        <w:rPr>
          <w:rFonts w:ascii="Cambria" w:hAnsi="Cambria" w:cs="Cambria"/>
          <w:lang w:val="en-US"/>
        </w:rPr>
        <w:t>surveillance</w:t>
      </w:r>
      <w:r w:rsidR="003F28EE">
        <w:rPr>
          <w:rFonts w:ascii="Cambria" w:hAnsi="Cambria" w:cs="Cambria"/>
          <w:lang w:val="en-US"/>
        </w:rPr>
        <w:t xml:space="preserve"> </w:t>
      </w:r>
      <w:r>
        <w:rPr>
          <w:rFonts w:ascii="Cambria" w:hAnsi="Cambria" w:cs="Cambria"/>
          <w:lang w:val="en-US"/>
        </w:rPr>
        <w:t>years, 10 birth cohorts), t</w:t>
      </w:r>
      <w:r w:rsidR="00925E64">
        <w:rPr>
          <w:rFonts w:ascii="Cambria" w:hAnsi="Cambria" w:cs="Cambria"/>
          <w:lang w:val="en-US"/>
        </w:rPr>
        <w:t xml:space="preserve">here were </w:t>
      </w:r>
      <w:r w:rsidR="00925E64" w:rsidRPr="00B472A9">
        <w:rPr>
          <w:rFonts w:ascii="Cambria" w:hAnsi="Cambria" w:cs="Cambria"/>
          <w:lang w:val="en-US"/>
        </w:rPr>
        <w:t>3,146</w:t>
      </w:r>
      <w:r w:rsidR="00925E64">
        <w:rPr>
          <w:rFonts w:ascii="Cambria" w:hAnsi="Cambria" w:cs="Cambria"/>
          <w:lang w:val="en-US"/>
        </w:rPr>
        <w:t xml:space="preserve"> children with</w:t>
      </w:r>
      <w:r w:rsidR="004850E7">
        <w:rPr>
          <w:rFonts w:ascii="Cambria" w:hAnsi="Cambria" w:cs="Cambria"/>
          <w:lang w:val="en-US"/>
        </w:rPr>
        <w:t xml:space="preserve"> </w:t>
      </w:r>
      <w:r w:rsidR="004850E7" w:rsidRPr="00071B41">
        <w:rPr>
          <w:rFonts w:ascii="Cambria" w:hAnsi="Cambria" w:cs="Cambria"/>
          <w:i/>
          <w:lang w:val="en-US"/>
        </w:rPr>
        <w:t>S.</w:t>
      </w:r>
      <w:r w:rsidR="00925E64">
        <w:rPr>
          <w:rFonts w:ascii="Cambria" w:hAnsi="Cambria" w:cs="Cambria"/>
          <w:i/>
          <w:lang w:val="en-US"/>
        </w:rPr>
        <w:t xml:space="preserve"> p</w:t>
      </w:r>
      <w:r w:rsidR="008A710D" w:rsidRPr="00071B41">
        <w:rPr>
          <w:rFonts w:ascii="Cambria" w:hAnsi="Cambria" w:cs="Cambria"/>
          <w:i/>
          <w:lang w:val="en-US"/>
        </w:rPr>
        <w:t>neumonia</w:t>
      </w:r>
      <w:r w:rsidR="004850E7" w:rsidRPr="00071B41">
        <w:rPr>
          <w:rFonts w:ascii="Cambria" w:hAnsi="Cambria" w:cs="Cambria"/>
          <w:i/>
          <w:lang w:val="en-US"/>
        </w:rPr>
        <w:t>e</w:t>
      </w:r>
      <w:r w:rsidR="008A710D">
        <w:rPr>
          <w:rFonts w:ascii="Cambria" w:hAnsi="Cambria" w:cs="Cambria"/>
          <w:lang w:val="en-US"/>
        </w:rPr>
        <w:t xml:space="preserve"> isolated from a </w:t>
      </w:r>
      <w:r w:rsidR="002A1ED2">
        <w:rPr>
          <w:rFonts w:ascii="Cambria" w:hAnsi="Cambria" w:cs="Cambria"/>
          <w:lang w:val="en-US"/>
        </w:rPr>
        <w:t xml:space="preserve">normally </w:t>
      </w:r>
      <w:r w:rsidR="008A710D">
        <w:rPr>
          <w:rFonts w:ascii="Cambria" w:hAnsi="Cambria" w:cs="Cambria"/>
          <w:lang w:val="en-US"/>
        </w:rPr>
        <w:t>sterile site</w:t>
      </w:r>
      <w:r w:rsidR="00925E64">
        <w:rPr>
          <w:rFonts w:ascii="Cambria" w:hAnsi="Cambria" w:cs="Cambria"/>
          <w:lang w:val="en-US"/>
        </w:rPr>
        <w:t xml:space="preserve"> in England and Wales,</w:t>
      </w:r>
      <w:r w:rsidR="008A710D">
        <w:rPr>
          <w:rFonts w:ascii="Cambria" w:hAnsi="Cambria" w:cs="Cambria"/>
          <w:lang w:val="en-US"/>
        </w:rPr>
        <w:t xml:space="preserve"> </w:t>
      </w:r>
      <w:r w:rsidR="00925E64">
        <w:rPr>
          <w:rFonts w:ascii="Cambria" w:hAnsi="Cambria" w:cs="Cambria"/>
          <w:lang w:val="en-US"/>
        </w:rPr>
        <w:t>including 222 fatalities</w:t>
      </w:r>
      <w:r w:rsidR="008A710D">
        <w:rPr>
          <w:rFonts w:ascii="Cambria" w:hAnsi="Cambria" w:cs="Cambria"/>
          <w:lang w:val="en-US"/>
        </w:rPr>
        <w:t xml:space="preserve">.  </w:t>
      </w:r>
      <w:r w:rsidR="00925E64">
        <w:rPr>
          <w:rFonts w:ascii="Cambria" w:hAnsi="Cambria" w:cs="Cambria"/>
          <w:lang w:val="en-US"/>
        </w:rPr>
        <w:t>Of these, 72 deaths</w:t>
      </w:r>
      <w:r w:rsidR="008A710D">
        <w:rPr>
          <w:rFonts w:ascii="Cambria" w:hAnsi="Cambria" w:cs="Cambria"/>
          <w:lang w:val="en-US"/>
        </w:rPr>
        <w:t xml:space="preserve"> </w:t>
      </w:r>
      <w:r w:rsidR="00014EA7">
        <w:rPr>
          <w:rFonts w:ascii="Cambria" w:hAnsi="Cambria" w:cs="Cambria"/>
          <w:lang w:val="en-US"/>
        </w:rPr>
        <w:t xml:space="preserve">(32%) </w:t>
      </w:r>
      <w:r w:rsidR="008A710D">
        <w:rPr>
          <w:rFonts w:ascii="Cambria" w:hAnsi="Cambria" w:cs="Cambria"/>
          <w:lang w:val="en-US"/>
        </w:rPr>
        <w:t xml:space="preserve">were excluded </w:t>
      </w:r>
      <w:r w:rsidR="00266B43">
        <w:rPr>
          <w:rFonts w:ascii="Cambria" w:hAnsi="Cambria" w:cs="Cambria"/>
          <w:lang w:val="en-US"/>
        </w:rPr>
        <w:t>because they</w:t>
      </w:r>
      <w:r w:rsidR="00B472A9">
        <w:rPr>
          <w:rFonts w:ascii="Cambria" w:hAnsi="Cambria" w:cs="Cambria"/>
          <w:lang w:val="en-US"/>
        </w:rPr>
        <w:t xml:space="preserve"> were not IPD</w:t>
      </w:r>
      <w:r w:rsidR="0043048D">
        <w:rPr>
          <w:rFonts w:ascii="Cambria" w:hAnsi="Cambria" w:cs="Cambria"/>
          <w:lang w:val="en-US"/>
        </w:rPr>
        <w:t>-related</w:t>
      </w:r>
      <w:r w:rsidR="009D3887">
        <w:rPr>
          <w:rFonts w:ascii="Cambria" w:hAnsi="Cambria" w:cs="Cambria"/>
          <w:lang w:val="en-US"/>
        </w:rPr>
        <w:t xml:space="preserve">; </w:t>
      </w:r>
      <w:r w:rsidR="00BE1852">
        <w:rPr>
          <w:rFonts w:ascii="Cambria" w:hAnsi="Cambria" w:cs="Cambria"/>
          <w:lang w:val="en-US"/>
        </w:rPr>
        <w:t xml:space="preserve">notably, </w:t>
      </w:r>
      <w:r w:rsidR="00DC441E">
        <w:rPr>
          <w:rFonts w:ascii="Cambria" w:hAnsi="Cambria" w:cs="Cambria"/>
          <w:lang w:val="en-US"/>
        </w:rPr>
        <w:t>39 (</w:t>
      </w:r>
      <w:r w:rsidR="00BE1852">
        <w:rPr>
          <w:rFonts w:ascii="Cambria" w:hAnsi="Cambria" w:cs="Cambria"/>
          <w:lang w:val="en-US"/>
        </w:rPr>
        <w:t>54</w:t>
      </w:r>
      <w:r w:rsidR="009F436E">
        <w:rPr>
          <w:rFonts w:ascii="Cambria" w:hAnsi="Cambria" w:cs="Cambria"/>
          <w:lang w:val="en-US"/>
        </w:rPr>
        <w:t>%</w:t>
      </w:r>
      <w:r w:rsidR="006372E9">
        <w:rPr>
          <w:rFonts w:ascii="Cambria" w:hAnsi="Cambria" w:cs="Cambria"/>
          <w:lang w:val="en-US"/>
        </w:rPr>
        <w:t>)</w:t>
      </w:r>
      <w:r w:rsidR="009F436E">
        <w:rPr>
          <w:rFonts w:ascii="Cambria" w:hAnsi="Cambria" w:cs="Cambria"/>
          <w:lang w:val="en-US"/>
        </w:rPr>
        <w:t xml:space="preserve"> </w:t>
      </w:r>
      <w:r w:rsidR="00C40138">
        <w:rPr>
          <w:rFonts w:ascii="Cambria" w:hAnsi="Cambria" w:cs="Cambria"/>
          <w:lang w:val="en-US"/>
        </w:rPr>
        <w:t xml:space="preserve">had </w:t>
      </w:r>
      <w:r w:rsidR="009F436E">
        <w:rPr>
          <w:rFonts w:ascii="Cambria" w:hAnsi="Cambria" w:cs="Cambria"/>
          <w:lang w:val="en-US"/>
        </w:rPr>
        <w:t xml:space="preserve">sudden unexpected death in infancy (SUDI) </w:t>
      </w:r>
      <w:r w:rsidR="00C40138">
        <w:rPr>
          <w:rFonts w:ascii="Cambria" w:hAnsi="Cambria" w:cs="Cambria"/>
          <w:lang w:val="en-US"/>
        </w:rPr>
        <w:t xml:space="preserve">recorded on their death certificate </w:t>
      </w:r>
      <w:r w:rsidR="00B53E25">
        <w:rPr>
          <w:rFonts w:ascii="Cambria" w:hAnsi="Cambria" w:cs="Cambria"/>
          <w:lang w:val="en-US"/>
        </w:rPr>
        <w:t>after post-mortem examination</w:t>
      </w:r>
      <w:r w:rsidR="00847587">
        <w:rPr>
          <w:rFonts w:ascii="Cambria" w:hAnsi="Cambria" w:cs="Cambria"/>
          <w:lang w:val="en-US"/>
        </w:rPr>
        <w:t xml:space="preserve">  (</w:t>
      </w:r>
      <w:r w:rsidR="00847587">
        <w:rPr>
          <w:rFonts w:ascii="Cambria" w:hAnsi="Cambria" w:cs="Cambria"/>
          <w:b/>
          <w:lang w:val="en-US"/>
        </w:rPr>
        <w:t>Figure 1</w:t>
      </w:r>
      <w:r w:rsidR="00847587">
        <w:rPr>
          <w:rFonts w:ascii="Cambria" w:hAnsi="Cambria" w:cs="Cambria"/>
          <w:lang w:val="en-US"/>
        </w:rPr>
        <w:t>)</w:t>
      </w:r>
      <w:r w:rsidR="00EA12A7">
        <w:rPr>
          <w:rFonts w:ascii="Cambria" w:hAnsi="Cambria" w:cs="Cambria"/>
          <w:lang w:val="en-US"/>
        </w:rPr>
        <w:t xml:space="preserve">. </w:t>
      </w:r>
      <w:r w:rsidR="00EA12A7" w:rsidRPr="00014EA7">
        <w:rPr>
          <w:rFonts w:ascii="Cambria" w:hAnsi="Cambria" w:cs="Cambria"/>
          <w:lang w:val="en-US"/>
        </w:rPr>
        <w:t>The SUDI cases</w:t>
      </w:r>
      <w:r w:rsidR="00824FC0" w:rsidRPr="00014EA7">
        <w:rPr>
          <w:rFonts w:ascii="Cambria" w:hAnsi="Cambria" w:cs="Cambria"/>
          <w:lang w:val="en-US"/>
        </w:rPr>
        <w:t xml:space="preserve"> </w:t>
      </w:r>
      <w:r w:rsidR="00C40138" w:rsidRPr="00014EA7">
        <w:rPr>
          <w:rFonts w:ascii="Cambria" w:hAnsi="Cambria" w:cs="Cambria"/>
          <w:lang w:val="en-US"/>
        </w:rPr>
        <w:t xml:space="preserve">had a </w:t>
      </w:r>
      <w:r w:rsidR="00824FC0" w:rsidRPr="00014EA7">
        <w:rPr>
          <w:rFonts w:ascii="Cambria" w:hAnsi="Cambria" w:cs="Cambria"/>
          <w:lang w:val="en-US"/>
        </w:rPr>
        <w:t>median age of 3</w:t>
      </w:r>
      <w:r w:rsidR="00266B43" w:rsidRPr="00014EA7">
        <w:rPr>
          <w:rFonts w:ascii="Cambria" w:hAnsi="Cambria" w:cs="Cambria"/>
          <w:lang w:val="en-US"/>
        </w:rPr>
        <w:t xml:space="preserve"> months (IQR</w:t>
      </w:r>
      <w:r w:rsidR="005B75F4" w:rsidRPr="00014EA7">
        <w:rPr>
          <w:rFonts w:ascii="Cambria" w:hAnsi="Cambria" w:cs="Cambria"/>
          <w:lang w:val="en-US"/>
        </w:rPr>
        <w:t>,</w:t>
      </w:r>
      <w:r w:rsidR="00266B43" w:rsidRPr="00014EA7">
        <w:rPr>
          <w:rFonts w:ascii="Cambria" w:hAnsi="Cambria" w:cs="Cambria"/>
          <w:lang w:val="en-US"/>
        </w:rPr>
        <w:t xml:space="preserve"> 1.5-10.5</w:t>
      </w:r>
      <w:r w:rsidR="005B75F4" w:rsidRPr="00014EA7">
        <w:rPr>
          <w:rFonts w:ascii="Cambria" w:hAnsi="Cambria" w:cs="Cambria"/>
          <w:lang w:val="en-US"/>
        </w:rPr>
        <w:t xml:space="preserve"> months</w:t>
      </w:r>
      <w:r w:rsidR="00266B43" w:rsidRPr="00014EA7">
        <w:rPr>
          <w:rFonts w:ascii="Cambria" w:hAnsi="Cambria" w:cs="Cambria"/>
          <w:lang w:val="en-US"/>
        </w:rPr>
        <w:t>)</w:t>
      </w:r>
      <w:r w:rsidR="00C40138">
        <w:rPr>
          <w:rFonts w:ascii="Cambria" w:hAnsi="Cambria" w:cs="Cambria"/>
          <w:lang w:val="en-US"/>
        </w:rPr>
        <w:t xml:space="preserve"> and </w:t>
      </w:r>
      <w:r w:rsidR="00881757">
        <w:rPr>
          <w:rFonts w:ascii="Cambria" w:hAnsi="Cambria" w:cs="Cambria"/>
          <w:lang w:val="en-US"/>
        </w:rPr>
        <w:t>26% (</w:t>
      </w:r>
      <w:r w:rsidR="00FE03B9">
        <w:rPr>
          <w:rFonts w:ascii="Cambria" w:hAnsi="Cambria" w:cs="Cambria"/>
          <w:lang w:val="en-US"/>
        </w:rPr>
        <w:t>10</w:t>
      </w:r>
      <w:r w:rsidR="00881757">
        <w:rPr>
          <w:rFonts w:ascii="Cambria" w:hAnsi="Cambria" w:cs="Cambria"/>
          <w:lang w:val="en-US"/>
        </w:rPr>
        <w:t>/39)</w:t>
      </w:r>
      <w:r w:rsidR="00FE03B9">
        <w:rPr>
          <w:rFonts w:ascii="Cambria" w:hAnsi="Cambria" w:cs="Cambria"/>
          <w:lang w:val="en-US"/>
        </w:rPr>
        <w:t xml:space="preserve"> </w:t>
      </w:r>
      <w:r w:rsidR="00C40138">
        <w:rPr>
          <w:rFonts w:ascii="Cambria" w:hAnsi="Cambria" w:cs="Cambria"/>
          <w:lang w:val="en-US"/>
        </w:rPr>
        <w:t>had been</w:t>
      </w:r>
      <w:r w:rsidR="00FE03B9">
        <w:rPr>
          <w:rFonts w:ascii="Cambria" w:hAnsi="Cambria" w:cs="Cambria"/>
          <w:lang w:val="en-US"/>
        </w:rPr>
        <w:t xml:space="preserve"> born premature</w:t>
      </w:r>
      <w:r w:rsidR="00C40138">
        <w:rPr>
          <w:rFonts w:ascii="Cambria" w:hAnsi="Cambria" w:cs="Cambria"/>
          <w:lang w:val="en-US"/>
        </w:rPr>
        <w:t>ly</w:t>
      </w:r>
      <w:r w:rsidR="00881757">
        <w:rPr>
          <w:rFonts w:ascii="Cambria" w:hAnsi="Cambria" w:cs="Cambria"/>
          <w:lang w:val="en-US"/>
        </w:rPr>
        <w:t xml:space="preserve">. </w:t>
      </w:r>
      <w:r w:rsidR="00112F36">
        <w:rPr>
          <w:rFonts w:ascii="Cambria" w:hAnsi="Cambria" w:cs="Cambria"/>
          <w:lang w:val="en-US"/>
        </w:rPr>
        <w:t>Most</w:t>
      </w:r>
      <w:r w:rsidR="00DC441E">
        <w:rPr>
          <w:rFonts w:ascii="Cambria" w:hAnsi="Cambria" w:cs="Cambria"/>
          <w:lang w:val="en-US"/>
        </w:rPr>
        <w:t xml:space="preserve"> SUDI cases (34/39, 8</w:t>
      </w:r>
      <w:r w:rsidR="00E35C93">
        <w:rPr>
          <w:rFonts w:ascii="Cambria" w:hAnsi="Cambria" w:cs="Cambria"/>
          <w:lang w:val="en-US"/>
        </w:rPr>
        <w:t xml:space="preserve">7%) had </w:t>
      </w:r>
      <w:r w:rsidR="00E35C93" w:rsidRPr="00C210AD">
        <w:rPr>
          <w:rFonts w:ascii="Cambria" w:hAnsi="Cambria" w:cs="Cambria"/>
          <w:i/>
          <w:lang w:val="en-US"/>
        </w:rPr>
        <w:t>S. pneumoniae</w:t>
      </w:r>
      <w:r w:rsidR="00E35C93">
        <w:rPr>
          <w:rFonts w:ascii="Cambria" w:hAnsi="Cambria" w:cs="Cambria"/>
          <w:lang w:val="en-US"/>
        </w:rPr>
        <w:t xml:space="preserve"> isolated from a post-mortem lung swab but</w:t>
      </w:r>
      <w:r w:rsidR="00E35C93" w:rsidRPr="00E35C93">
        <w:rPr>
          <w:rFonts w:ascii="Cambria" w:hAnsi="Cambria" w:cs="Cambria"/>
          <w:lang w:val="en-US"/>
        </w:rPr>
        <w:t xml:space="preserve"> </w:t>
      </w:r>
      <w:r w:rsidR="00E35C93">
        <w:rPr>
          <w:rFonts w:ascii="Cambria" w:hAnsi="Cambria" w:cs="Cambria"/>
          <w:lang w:val="en-US"/>
        </w:rPr>
        <w:t xml:space="preserve">with no histopathological evidence of </w:t>
      </w:r>
      <w:r w:rsidR="00112F36">
        <w:rPr>
          <w:rFonts w:ascii="Cambria" w:hAnsi="Cambria" w:cs="Cambria"/>
          <w:lang w:val="en-US"/>
        </w:rPr>
        <w:t xml:space="preserve">pulmonary </w:t>
      </w:r>
      <w:r w:rsidR="00E35C93">
        <w:rPr>
          <w:rFonts w:ascii="Cambria" w:hAnsi="Cambria" w:cs="Cambria"/>
          <w:lang w:val="en-US"/>
        </w:rPr>
        <w:t>infection</w:t>
      </w:r>
      <w:r w:rsidR="00A967C8">
        <w:rPr>
          <w:rFonts w:ascii="Cambria" w:hAnsi="Cambria" w:cs="Cambria"/>
          <w:lang w:val="en-US"/>
        </w:rPr>
        <w:t>.</w:t>
      </w:r>
      <w:r w:rsidR="00A967C8">
        <w:rPr>
          <w:rFonts w:ascii="Cambria" w:hAnsi="Cambria" w:cs="Cambria"/>
          <w:highlight w:val="yellow"/>
          <w:lang w:val="en-US"/>
        </w:rPr>
        <w:t xml:space="preserve"> </w:t>
      </w:r>
      <w:r w:rsidR="009F436E">
        <w:rPr>
          <w:rFonts w:ascii="Cambria" w:hAnsi="Cambria" w:cs="Cambria"/>
          <w:lang w:val="en-US"/>
        </w:rPr>
        <w:t xml:space="preserve"> </w:t>
      </w:r>
    </w:p>
    <w:p w14:paraId="12DBDC9F" w14:textId="77777777" w:rsidR="009F436E" w:rsidRDefault="009F436E" w:rsidP="00E41469">
      <w:pPr>
        <w:widowControl w:val="0"/>
        <w:autoSpaceDE w:val="0"/>
        <w:autoSpaceDN w:val="0"/>
        <w:adjustRightInd w:val="0"/>
        <w:spacing w:line="480" w:lineRule="auto"/>
        <w:rPr>
          <w:rFonts w:ascii="Cambria" w:hAnsi="Cambria" w:cs="Cambria"/>
          <w:lang w:val="en-US"/>
        </w:rPr>
      </w:pPr>
    </w:p>
    <w:p w14:paraId="17AB84D9" w14:textId="379CAE0A" w:rsidR="000016D2" w:rsidRPr="003B2E50" w:rsidRDefault="0040294F"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There were</w:t>
      </w:r>
      <w:r w:rsidR="000016D2">
        <w:rPr>
          <w:rFonts w:ascii="Cambria" w:hAnsi="Cambria" w:cs="Cambria"/>
          <w:lang w:val="en-US"/>
        </w:rPr>
        <w:t>,</w:t>
      </w:r>
      <w:r>
        <w:rPr>
          <w:rFonts w:ascii="Cambria" w:hAnsi="Cambria" w:cs="Cambria"/>
          <w:lang w:val="en-US"/>
        </w:rPr>
        <w:t xml:space="preserve"> therefore,</w:t>
      </w:r>
      <w:r w:rsidR="008A710D">
        <w:rPr>
          <w:rFonts w:ascii="Cambria" w:hAnsi="Cambria" w:cs="Cambria"/>
          <w:lang w:val="en-US"/>
        </w:rPr>
        <w:t xml:space="preserve"> 150 </w:t>
      </w:r>
      <w:r>
        <w:rPr>
          <w:rFonts w:ascii="Cambria" w:hAnsi="Cambria" w:cs="Cambria"/>
          <w:lang w:val="en-US"/>
        </w:rPr>
        <w:t>IPD-related deaths</w:t>
      </w:r>
      <w:r w:rsidR="00027745">
        <w:rPr>
          <w:rFonts w:ascii="Cambria" w:hAnsi="Cambria" w:cs="Cambria"/>
          <w:lang w:val="en-US"/>
        </w:rPr>
        <w:t xml:space="preserve"> (CFR,</w:t>
      </w:r>
      <w:r w:rsidR="00B472A9">
        <w:rPr>
          <w:rFonts w:ascii="Cambria" w:hAnsi="Cambria" w:cs="Cambria"/>
          <w:lang w:val="en-US"/>
        </w:rPr>
        <w:t xml:space="preserve"> 4.8</w:t>
      </w:r>
      <w:r w:rsidR="006A16A5">
        <w:rPr>
          <w:rFonts w:ascii="Cambria" w:hAnsi="Cambria" w:cs="Cambria"/>
          <w:lang w:val="en-US"/>
        </w:rPr>
        <w:t>%</w:t>
      </w:r>
      <w:r w:rsidR="00027745">
        <w:rPr>
          <w:rFonts w:ascii="Cambria" w:hAnsi="Cambria" w:cs="Cambria"/>
          <w:lang w:val="en-US"/>
        </w:rPr>
        <w:t xml:space="preserve">; </w:t>
      </w:r>
      <w:r w:rsidR="000016D2">
        <w:rPr>
          <w:rFonts w:ascii="Cambria" w:hAnsi="Cambria" w:cs="Cambria"/>
          <w:lang w:val="en-US"/>
        </w:rPr>
        <w:t xml:space="preserve">95% CI, </w:t>
      </w:r>
      <w:r w:rsidR="008E76AA">
        <w:rPr>
          <w:rFonts w:ascii="Cambria" w:hAnsi="Cambria" w:cs="Cambria"/>
          <w:lang w:val="en-US"/>
        </w:rPr>
        <w:t>4.1-</w:t>
      </w:r>
      <w:r w:rsidR="00AE3803">
        <w:rPr>
          <w:rFonts w:ascii="Cambria" w:hAnsi="Cambria" w:cs="Cambria"/>
          <w:lang w:val="en-US"/>
        </w:rPr>
        <w:t>5.7%</w:t>
      </w:r>
      <w:r>
        <w:rPr>
          <w:rFonts w:ascii="Cambria" w:hAnsi="Cambria" w:cs="Cambria"/>
          <w:lang w:val="en-US"/>
        </w:rPr>
        <w:t>)</w:t>
      </w:r>
      <w:r w:rsidR="00C40B78">
        <w:rPr>
          <w:rFonts w:ascii="Cambria" w:hAnsi="Cambria" w:cs="Cambria"/>
          <w:lang w:val="en-US"/>
        </w:rPr>
        <w:t>, including 50 (33%) who underwent post-mortem examination</w:t>
      </w:r>
      <w:r>
        <w:rPr>
          <w:rFonts w:ascii="Cambria" w:hAnsi="Cambria" w:cs="Cambria"/>
          <w:lang w:val="en-US"/>
        </w:rPr>
        <w:t xml:space="preserve">. </w:t>
      </w:r>
      <w:r w:rsidR="0081173D">
        <w:rPr>
          <w:rFonts w:ascii="Cambria" w:hAnsi="Cambria" w:cs="Cambria"/>
          <w:lang w:val="en-US"/>
        </w:rPr>
        <w:t>T</w:t>
      </w:r>
      <w:r w:rsidR="00824FC0">
        <w:rPr>
          <w:rFonts w:ascii="Cambria" w:hAnsi="Cambria" w:cs="Cambria"/>
          <w:lang w:val="en-US"/>
        </w:rPr>
        <w:t>he median age at d</w:t>
      </w:r>
      <w:r w:rsidR="000B322B">
        <w:rPr>
          <w:rFonts w:ascii="Cambria" w:hAnsi="Cambria" w:cs="Cambria"/>
          <w:lang w:val="en-US"/>
        </w:rPr>
        <w:t>eath was 8 months (IQR, 1.</w:t>
      </w:r>
      <w:r w:rsidR="00027745">
        <w:rPr>
          <w:rFonts w:ascii="Cambria" w:hAnsi="Cambria" w:cs="Cambria"/>
          <w:lang w:val="en-US"/>
        </w:rPr>
        <w:t>3</w:t>
      </w:r>
      <w:r w:rsidR="000B322B">
        <w:rPr>
          <w:rFonts w:ascii="Cambria" w:hAnsi="Cambria" w:cs="Cambria"/>
          <w:lang w:val="en-US"/>
        </w:rPr>
        <w:t>-17.</w:t>
      </w:r>
      <w:r w:rsidR="00027745">
        <w:rPr>
          <w:rFonts w:ascii="Cambria" w:hAnsi="Cambria" w:cs="Cambria"/>
          <w:lang w:val="en-US"/>
        </w:rPr>
        <w:t>8</w:t>
      </w:r>
      <w:r w:rsidR="000016D2">
        <w:rPr>
          <w:rFonts w:ascii="Cambria" w:hAnsi="Cambria" w:cs="Cambria"/>
          <w:lang w:val="en-US"/>
        </w:rPr>
        <w:t xml:space="preserve"> mo</w:t>
      </w:r>
      <w:r w:rsidR="00F36A20">
        <w:rPr>
          <w:rFonts w:ascii="Cambria" w:hAnsi="Cambria" w:cs="Cambria"/>
          <w:lang w:val="en-US"/>
        </w:rPr>
        <w:t>nths)</w:t>
      </w:r>
      <w:r w:rsidR="00027745">
        <w:rPr>
          <w:rFonts w:ascii="Cambria" w:hAnsi="Cambria" w:cs="Cambria"/>
          <w:lang w:val="en-US"/>
        </w:rPr>
        <w:t xml:space="preserve"> and</w:t>
      </w:r>
      <w:r w:rsidR="00DE69B9">
        <w:rPr>
          <w:rFonts w:ascii="Cambria" w:hAnsi="Cambria" w:cs="Cambria"/>
          <w:lang w:val="en-US"/>
        </w:rPr>
        <w:t xml:space="preserve"> </w:t>
      </w:r>
      <w:r w:rsidR="00027745">
        <w:rPr>
          <w:rFonts w:ascii="Cambria" w:hAnsi="Cambria" w:cs="Cambria"/>
          <w:lang w:val="en-US"/>
        </w:rPr>
        <w:t>79 (</w:t>
      </w:r>
      <w:r w:rsidR="00DE69B9">
        <w:rPr>
          <w:rFonts w:ascii="Cambria" w:hAnsi="Cambria" w:cs="Cambria"/>
          <w:lang w:val="en-US"/>
        </w:rPr>
        <w:t>53%</w:t>
      </w:r>
      <w:r w:rsidR="00027745">
        <w:rPr>
          <w:rFonts w:ascii="Cambria" w:hAnsi="Cambria" w:cs="Cambria"/>
          <w:lang w:val="en-US"/>
        </w:rPr>
        <w:t>)</w:t>
      </w:r>
      <w:r w:rsidR="00DE69B9">
        <w:rPr>
          <w:rFonts w:ascii="Cambria" w:hAnsi="Cambria" w:cs="Cambria"/>
          <w:lang w:val="en-US"/>
        </w:rPr>
        <w:t xml:space="preserve"> </w:t>
      </w:r>
      <w:r w:rsidR="000016D2">
        <w:rPr>
          <w:rFonts w:ascii="Cambria" w:hAnsi="Cambria" w:cs="Cambria"/>
          <w:lang w:val="en-US"/>
        </w:rPr>
        <w:t>were male.</w:t>
      </w:r>
      <w:r w:rsidR="00E320C5">
        <w:rPr>
          <w:rFonts w:ascii="Cambria" w:hAnsi="Cambria" w:cs="Cambria"/>
          <w:lang w:val="en-US"/>
        </w:rPr>
        <w:t xml:space="preserve"> </w:t>
      </w:r>
      <w:r w:rsidR="000B5826">
        <w:rPr>
          <w:rFonts w:ascii="Cambria" w:hAnsi="Cambria" w:cs="Cambria"/>
          <w:lang w:val="en-US"/>
        </w:rPr>
        <w:t xml:space="preserve">IPD-related </w:t>
      </w:r>
      <w:r w:rsidR="00B27F69">
        <w:rPr>
          <w:rFonts w:ascii="Cambria" w:hAnsi="Cambria" w:cs="Cambria"/>
          <w:lang w:val="en-US"/>
        </w:rPr>
        <w:t>fatalities were more common during the winter months</w:t>
      </w:r>
      <w:r w:rsidR="00994176">
        <w:rPr>
          <w:rFonts w:ascii="Cambria" w:hAnsi="Cambria" w:cs="Cambria"/>
          <w:lang w:val="en-US"/>
        </w:rPr>
        <w:t>, with 59</w:t>
      </w:r>
      <w:r w:rsidR="00130A93">
        <w:rPr>
          <w:rFonts w:ascii="Cambria" w:hAnsi="Cambria" w:cs="Cambria"/>
          <w:lang w:val="en-US"/>
        </w:rPr>
        <w:t xml:space="preserve"> deaths (39%) occurring </w:t>
      </w:r>
      <w:r w:rsidR="00994176">
        <w:rPr>
          <w:rFonts w:ascii="Cambria" w:hAnsi="Cambria" w:cs="Cambria"/>
          <w:lang w:val="en-US"/>
        </w:rPr>
        <w:t xml:space="preserve">during </w:t>
      </w:r>
      <w:r w:rsidR="00130A93">
        <w:rPr>
          <w:rFonts w:ascii="Cambria" w:hAnsi="Cambria" w:cs="Cambria"/>
          <w:lang w:val="en-US"/>
        </w:rPr>
        <w:t>November-F</w:t>
      </w:r>
      <w:r w:rsidR="00B27F69">
        <w:rPr>
          <w:rFonts w:ascii="Cambria" w:hAnsi="Cambria" w:cs="Cambria"/>
          <w:lang w:val="en-US"/>
        </w:rPr>
        <w:t xml:space="preserve">ebruary, compared to </w:t>
      </w:r>
      <w:r w:rsidR="00130A93">
        <w:rPr>
          <w:rFonts w:ascii="Cambria" w:hAnsi="Cambria" w:cs="Cambria"/>
          <w:lang w:val="en-US"/>
        </w:rPr>
        <w:t>17 (11%) during June-August.</w:t>
      </w:r>
      <w:r w:rsidR="000B5826">
        <w:rPr>
          <w:rFonts w:ascii="Cambria" w:hAnsi="Cambria" w:cs="Cambria"/>
          <w:lang w:val="en-US"/>
        </w:rPr>
        <w:t xml:space="preserve"> </w:t>
      </w:r>
      <w:r w:rsidR="008F43D2">
        <w:rPr>
          <w:rFonts w:ascii="Cambria" w:hAnsi="Cambria" w:cs="Cambria"/>
          <w:lang w:val="en-US"/>
        </w:rPr>
        <w:t xml:space="preserve">More than half the deaths (88/150, 59%) occurred in </w:t>
      </w:r>
      <w:r w:rsidR="00AD3601">
        <w:rPr>
          <w:rFonts w:ascii="Cambria" w:hAnsi="Cambria" w:cs="Cambria"/>
          <w:lang w:val="en-US"/>
        </w:rPr>
        <w:t xml:space="preserve">&lt;1 year-olds and </w:t>
      </w:r>
      <w:r w:rsidR="008F43D2" w:rsidRPr="00530395">
        <w:rPr>
          <w:rFonts w:ascii="Cambria" w:hAnsi="Cambria" w:cs="Cambria"/>
          <w:lang w:val="en-US"/>
        </w:rPr>
        <w:t>declined with age (</w:t>
      </w:r>
      <w:r w:rsidR="00B20C54" w:rsidRPr="00530395">
        <w:rPr>
          <w:rFonts w:ascii="Cambria" w:hAnsi="Cambria" w:cs="Cambria"/>
          <w:b/>
          <w:lang w:val="en-US"/>
        </w:rPr>
        <w:t>Table 1</w:t>
      </w:r>
      <w:r w:rsidR="008F43D2" w:rsidRPr="00530395">
        <w:rPr>
          <w:rFonts w:ascii="Cambria" w:hAnsi="Cambria" w:cs="Cambria"/>
          <w:lang w:val="en-US"/>
        </w:rPr>
        <w:t xml:space="preserve">). </w:t>
      </w:r>
      <w:r w:rsidR="00E320C5" w:rsidRPr="00530395">
        <w:rPr>
          <w:rFonts w:ascii="Cambria" w:hAnsi="Cambria" w:cs="Cambria"/>
          <w:lang w:val="en-US"/>
        </w:rPr>
        <w:t xml:space="preserve">Most </w:t>
      </w:r>
      <w:r w:rsidR="008F43D2" w:rsidRPr="00530395">
        <w:rPr>
          <w:rFonts w:ascii="Cambria" w:hAnsi="Cambria" w:cs="Cambria"/>
          <w:lang w:val="en-US"/>
        </w:rPr>
        <w:t xml:space="preserve">children </w:t>
      </w:r>
      <w:r w:rsidR="00A2287C" w:rsidRPr="00530395">
        <w:rPr>
          <w:rFonts w:ascii="Cambria" w:hAnsi="Cambria" w:cs="Cambria"/>
          <w:lang w:val="en-US"/>
        </w:rPr>
        <w:t>were W</w:t>
      </w:r>
      <w:r w:rsidR="00B31D5F" w:rsidRPr="00530395">
        <w:rPr>
          <w:rFonts w:ascii="Cambria" w:hAnsi="Cambria" w:cs="Cambria"/>
          <w:lang w:val="en-US"/>
        </w:rPr>
        <w:t>hite (117/150, 78%) followed by Asian (20/150, 13</w:t>
      </w:r>
      <w:r w:rsidR="00E320C5" w:rsidRPr="00530395">
        <w:rPr>
          <w:rFonts w:ascii="Cambria" w:hAnsi="Cambria" w:cs="Cambria"/>
          <w:lang w:val="en-US"/>
        </w:rPr>
        <w:t>%) and Black Afro-Car</w:t>
      </w:r>
      <w:r w:rsidR="00B31D5F" w:rsidRPr="00530395">
        <w:rPr>
          <w:rFonts w:ascii="Cambria" w:hAnsi="Cambria" w:cs="Cambria"/>
          <w:lang w:val="en-US"/>
        </w:rPr>
        <w:t>ibbean (13/150, 9</w:t>
      </w:r>
      <w:r w:rsidR="00E320C5" w:rsidRPr="00530395">
        <w:rPr>
          <w:rFonts w:ascii="Cambria" w:hAnsi="Cambria" w:cs="Cambria"/>
          <w:lang w:val="en-US"/>
        </w:rPr>
        <w:t>%).</w:t>
      </w:r>
      <w:r w:rsidR="00695FA2" w:rsidRPr="00530395">
        <w:rPr>
          <w:rFonts w:ascii="Cambria" w:hAnsi="Cambria" w:cs="Cambria"/>
          <w:lang w:val="en-US"/>
        </w:rPr>
        <w:t xml:space="preserve"> </w:t>
      </w:r>
      <w:r w:rsidR="003B2E50">
        <w:rPr>
          <w:rFonts w:ascii="Cambria" w:hAnsi="Cambria" w:cs="Cambria"/>
          <w:lang w:val="en-US"/>
        </w:rPr>
        <w:t xml:space="preserve"> </w:t>
      </w:r>
      <w:r w:rsidR="00F927D6" w:rsidRPr="00530395">
        <w:rPr>
          <w:rFonts w:ascii="Cambria" w:hAnsi="Cambria" w:cs="Cambria"/>
          <w:bCs/>
          <w:lang w:val="en-US"/>
        </w:rPr>
        <w:t>Two-</w:t>
      </w:r>
      <w:r w:rsidR="00695FA2" w:rsidRPr="00530395">
        <w:rPr>
          <w:rFonts w:ascii="Cambria" w:hAnsi="Cambria" w:cs="Cambria"/>
          <w:bCs/>
          <w:lang w:val="en-US"/>
        </w:rPr>
        <w:t>third</w:t>
      </w:r>
      <w:r w:rsidR="00F927D6" w:rsidRPr="00530395">
        <w:rPr>
          <w:rFonts w:ascii="Cambria" w:hAnsi="Cambria" w:cs="Cambria"/>
          <w:bCs/>
          <w:lang w:val="en-US"/>
        </w:rPr>
        <w:t>s</w:t>
      </w:r>
      <w:r w:rsidR="00695FA2" w:rsidRPr="00530395">
        <w:rPr>
          <w:rFonts w:ascii="Cambria" w:hAnsi="Cambria" w:cs="Cambria"/>
          <w:bCs/>
          <w:lang w:val="en-US"/>
        </w:rPr>
        <w:t xml:space="preserve"> of </w:t>
      </w:r>
      <w:r w:rsidR="008F43D2" w:rsidRPr="00530395">
        <w:rPr>
          <w:rFonts w:ascii="Cambria" w:hAnsi="Cambria" w:cs="Cambria"/>
          <w:bCs/>
          <w:lang w:val="en-US"/>
        </w:rPr>
        <w:t>children</w:t>
      </w:r>
      <w:r w:rsidR="00A2287C" w:rsidRPr="00530395">
        <w:rPr>
          <w:rFonts w:ascii="Cambria" w:hAnsi="Cambria" w:cs="Cambria"/>
          <w:bCs/>
          <w:lang w:val="en-US"/>
        </w:rPr>
        <w:t xml:space="preserve"> </w:t>
      </w:r>
      <w:r w:rsidR="00695FA2" w:rsidRPr="00530395">
        <w:rPr>
          <w:rFonts w:ascii="Cambria" w:hAnsi="Cambria" w:cs="Cambria"/>
          <w:bCs/>
          <w:lang w:val="en-US"/>
        </w:rPr>
        <w:t>(96/150</w:t>
      </w:r>
      <w:r w:rsidR="00B31D5F" w:rsidRPr="00530395">
        <w:rPr>
          <w:rFonts w:ascii="Cambria" w:hAnsi="Cambria" w:cs="Cambria"/>
          <w:bCs/>
          <w:lang w:val="en-US"/>
        </w:rPr>
        <w:t>, 64</w:t>
      </w:r>
      <w:r w:rsidR="00695FA2" w:rsidRPr="00530395">
        <w:rPr>
          <w:rFonts w:ascii="Cambria" w:hAnsi="Cambria" w:cs="Cambria"/>
          <w:bCs/>
          <w:lang w:val="en-US"/>
        </w:rPr>
        <w:t xml:space="preserve">%) died in </w:t>
      </w:r>
      <w:r w:rsidR="008F2AA4">
        <w:rPr>
          <w:rFonts w:ascii="Cambria" w:hAnsi="Cambria" w:cs="Cambria"/>
          <w:bCs/>
          <w:lang w:val="en-US"/>
        </w:rPr>
        <w:t>the hospital</w:t>
      </w:r>
      <w:r w:rsidR="00695FA2" w:rsidRPr="00530395">
        <w:rPr>
          <w:rFonts w:ascii="Cambria" w:hAnsi="Cambria" w:cs="Cambria"/>
          <w:bCs/>
          <w:lang w:val="en-US"/>
        </w:rPr>
        <w:t>, while one died in a hospice after suffering severe complications following pne</w:t>
      </w:r>
      <w:r w:rsidR="00C86FF1" w:rsidRPr="00530395">
        <w:rPr>
          <w:rFonts w:ascii="Cambria" w:hAnsi="Cambria" w:cs="Cambria"/>
          <w:bCs/>
          <w:lang w:val="en-US"/>
        </w:rPr>
        <w:t>u</w:t>
      </w:r>
      <w:r w:rsidR="00695FA2" w:rsidRPr="00530395">
        <w:rPr>
          <w:rFonts w:ascii="Cambria" w:hAnsi="Cambria" w:cs="Cambria"/>
          <w:bCs/>
          <w:lang w:val="en-US"/>
        </w:rPr>
        <w:t xml:space="preserve">mococcal meningitis. The remaining </w:t>
      </w:r>
      <w:r w:rsidR="004F3331" w:rsidRPr="00530395">
        <w:rPr>
          <w:rFonts w:ascii="Cambria" w:hAnsi="Cambria" w:cs="Cambria"/>
          <w:bCs/>
          <w:lang w:val="en-US"/>
        </w:rPr>
        <w:t>53</w:t>
      </w:r>
      <w:r w:rsidR="00DF3FD5" w:rsidRPr="00530395">
        <w:rPr>
          <w:rFonts w:ascii="Cambria" w:hAnsi="Cambria" w:cs="Cambria"/>
          <w:bCs/>
          <w:lang w:val="en-US"/>
        </w:rPr>
        <w:t xml:space="preserve"> </w:t>
      </w:r>
      <w:r w:rsidR="00695FA2" w:rsidRPr="00530395">
        <w:rPr>
          <w:rFonts w:ascii="Cambria" w:hAnsi="Cambria" w:cs="Cambria"/>
          <w:bCs/>
          <w:lang w:val="en-US"/>
        </w:rPr>
        <w:t>died at home (n=20), on the way to the hospital (n=8) or in the Emergency Department (n=25) (</w:t>
      </w:r>
      <w:r w:rsidR="00695FA2" w:rsidRPr="00530395">
        <w:rPr>
          <w:rFonts w:ascii="Cambria" w:hAnsi="Cambria" w:cs="Cambria"/>
          <w:b/>
          <w:bCs/>
          <w:lang w:val="en-US"/>
        </w:rPr>
        <w:t>Table</w:t>
      </w:r>
      <w:r w:rsidR="004A5CD7" w:rsidRPr="00530395">
        <w:rPr>
          <w:rFonts w:ascii="Cambria" w:hAnsi="Cambria" w:cs="Cambria"/>
          <w:b/>
          <w:bCs/>
          <w:lang w:val="en-US"/>
        </w:rPr>
        <w:t>1</w:t>
      </w:r>
      <w:r w:rsidR="00695FA2" w:rsidRPr="00530395">
        <w:rPr>
          <w:rFonts w:ascii="Cambria" w:hAnsi="Cambria" w:cs="Cambria"/>
          <w:bCs/>
          <w:lang w:val="en-US"/>
        </w:rPr>
        <w:t>).</w:t>
      </w:r>
      <w:r w:rsidR="002A44DA">
        <w:rPr>
          <w:rFonts w:ascii="Cambria" w:hAnsi="Cambria" w:cs="Cambria"/>
          <w:bCs/>
          <w:lang w:val="en-US"/>
        </w:rPr>
        <w:t xml:space="preserve"> There were no significant differences </w:t>
      </w:r>
      <w:r w:rsidR="00EC10CF">
        <w:rPr>
          <w:rFonts w:ascii="Cambria" w:hAnsi="Cambria" w:cs="Cambria"/>
          <w:bCs/>
          <w:lang w:val="en-US"/>
        </w:rPr>
        <w:t xml:space="preserve">between these groups in terms of </w:t>
      </w:r>
      <w:r w:rsidR="002A44DA">
        <w:rPr>
          <w:rFonts w:ascii="Cambria" w:hAnsi="Cambria" w:cs="Cambria"/>
          <w:bCs/>
          <w:lang w:val="en-US"/>
        </w:rPr>
        <w:t>age, serotype group distribution, or comorbidity prevalence</w:t>
      </w:r>
      <w:r w:rsidR="00EC10CF">
        <w:rPr>
          <w:rFonts w:ascii="Cambria" w:hAnsi="Cambria" w:cs="Cambria"/>
          <w:bCs/>
          <w:lang w:val="en-US"/>
        </w:rPr>
        <w:t>, but meningitis was more prevalent among children who died in hospital (55/96 [57%] vs. 17/53 [32%]; P=0.003).</w:t>
      </w:r>
    </w:p>
    <w:p w14:paraId="2A143E71" w14:textId="77777777" w:rsidR="00BF6DD7" w:rsidRDefault="00BF6DD7" w:rsidP="00E41469">
      <w:pPr>
        <w:widowControl w:val="0"/>
        <w:autoSpaceDE w:val="0"/>
        <w:autoSpaceDN w:val="0"/>
        <w:adjustRightInd w:val="0"/>
        <w:spacing w:line="480" w:lineRule="auto"/>
        <w:rPr>
          <w:rFonts w:ascii="Cambria" w:hAnsi="Cambria" w:cs="Cambria"/>
          <w:lang w:val="en-US"/>
        </w:rPr>
      </w:pPr>
    </w:p>
    <w:p w14:paraId="65AC4512" w14:textId="77777777" w:rsidR="00636D7E" w:rsidRDefault="000016D2" w:rsidP="00A3236D">
      <w:pPr>
        <w:widowControl w:val="0"/>
        <w:autoSpaceDE w:val="0"/>
        <w:autoSpaceDN w:val="0"/>
        <w:adjustRightInd w:val="0"/>
        <w:spacing w:line="480" w:lineRule="auto"/>
        <w:outlineLvl w:val="0"/>
        <w:rPr>
          <w:rFonts w:ascii="Cambria" w:hAnsi="Cambria" w:cs="Cambria"/>
          <w:lang w:val="en-US"/>
        </w:rPr>
      </w:pPr>
      <w:r w:rsidRPr="00C210AD">
        <w:rPr>
          <w:rFonts w:ascii="Cambria" w:hAnsi="Cambria" w:cs="Cambria"/>
          <w:b/>
          <w:u w:val="single"/>
          <w:lang w:val="en-US"/>
        </w:rPr>
        <w:t>Serotypes</w:t>
      </w:r>
    </w:p>
    <w:p w14:paraId="1CE2C372" w14:textId="4F820E8D" w:rsidR="009D3643" w:rsidRDefault="00994176"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Of the</w:t>
      </w:r>
      <w:r w:rsidR="00D63D4C">
        <w:rPr>
          <w:rFonts w:ascii="Cambria" w:hAnsi="Cambria" w:cs="Cambria"/>
          <w:lang w:val="en-US"/>
        </w:rPr>
        <w:t xml:space="preserve"> 132</w:t>
      </w:r>
      <w:r w:rsidR="002A1ED2">
        <w:rPr>
          <w:rFonts w:ascii="Cambria" w:hAnsi="Cambria" w:cs="Cambria"/>
          <w:lang w:val="en-US"/>
        </w:rPr>
        <w:t xml:space="preserve"> </w:t>
      </w:r>
      <w:r w:rsidR="005A5278">
        <w:rPr>
          <w:rFonts w:ascii="Cambria" w:hAnsi="Cambria" w:cs="Cambria"/>
          <w:lang w:val="en-US"/>
        </w:rPr>
        <w:t>(88%)</w:t>
      </w:r>
      <w:r w:rsidR="00D63D4C">
        <w:rPr>
          <w:rFonts w:ascii="Cambria" w:hAnsi="Cambria" w:cs="Cambria"/>
          <w:lang w:val="en-US"/>
        </w:rPr>
        <w:t xml:space="preserve"> </w:t>
      </w:r>
      <w:r>
        <w:rPr>
          <w:rFonts w:ascii="Cambria" w:hAnsi="Cambria" w:cs="Cambria"/>
          <w:lang w:val="en-US"/>
        </w:rPr>
        <w:t xml:space="preserve">serotyped isolates, </w:t>
      </w:r>
      <w:r w:rsidR="00636D7E">
        <w:rPr>
          <w:rFonts w:ascii="Cambria" w:hAnsi="Cambria" w:cs="Cambria"/>
          <w:lang w:val="en-US"/>
        </w:rPr>
        <w:t xml:space="preserve">35 </w:t>
      </w:r>
      <w:r w:rsidR="0031100B">
        <w:rPr>
          <w:rFonts w:ascii="Cambria" w:hAnsi="Cambria" w:cs="Cambria"/>
          <w:lang w:val="en-US"/>
        </w:rPr>
        <w:t xml:space="preserve">distinct </w:t>
      </w:r>
      <w:r w:rsidR="00636D7E">
        <w:rPr>
          <w:rFonts w:ascii="Cambria" w:hAnsi="Cambria" w:cs="Cambria"/>
          <w:lang w:val="en-US"/>
        </w:rPr>
        <w:t xml:space="preserve">serotypes </w:t>
      </w:r>
      <w:r w:rsidR="00D63D4C">
        <w:rPr>
          <w:rFonts w:ascii="Cambria" w:hAnsi="Cambria" w:cs="Cambria"/>
          <w:lang w:val="en-US"/>
        </w:rPr>
        <w:t xml:space="preserve">were </w:t>
      </w:r>
      <w:r w:rsidR="005A5278">
        <w:rPr>
          <w:rFonts w:ascii="Cambria" w:hAnsi="Cambria" w:cs="Cambria"/>
          <w:lang w:val="en-US"/>
        </w:rPr>
        <w:t>identified</w:t>
      </w:r>
      <w:r w:rsidR="00636D7E">
        <w:rPr>
          <w:rFonts w:ascii="Cambria" w:hAnsi="Cambria" w:cs="Cambria"/>
          <w:lang w:val="en-US"/>
        </w:rPr>
        <w:t>, with no serotype predominance</w:t>
      </w:r>
      <w:r w:rsidR="00AF34C1">
        <w:rPr>
          <w:rFonts w:ascii="Cambria" w:hAnsi="Cambria" w:cs="Cambria"/>
          <w:lang w:val="en-US"/>
        </w:rPr>
        <w:t xml:space="preserve"> (</w:t>
      </w:r>
      <w:r w:rsidR="00AF34C1" w:rsidRPr="00AF34C1">
        <w:rPr>
          <w:rFonts w:ascii="Cambria" w:hAnsi="Cambria" w:cs="Cambria"/>
          <w:b/>
          <w:lang w:val="en-US"/>
        </w:rPr>
        <w:t>Supplement Table S1)</w:t>
      </w:r>
      <w:r w:rsidR="00636D7E">
        <w:rPr>
          <w:rFonts w:ascii="Cambria" w:hAnsi="Cambria" w:cs="Cambria"/>
          <w:lang w:val="en-US"/>
        </w:rPr>
        <w:t xml:space="preserve">. </w:t>
      </w:r>
      <w:r w:rsidR="007E11F9">
        <w:rPr>
          <w:rFonts w:ascii="Cambria" w:hAnsi="Cambria" w:cs="Cambria"/>
          <w:lang w:val="en-US"/>
        </w:rPr>
        <w:t>PCV7</w:t>
      </w:r>
      <w:r>
        <w:rPr>
          <w:rFonts w:ascii="Cambria" w:hAnsi="Cambria" w:cs="Cambria"/>
          <w:lang w:val="en-US"/>
        </w:rPr>
        <w:t>-</w:t>
      </w:r>
      <w:r w:rsidR="007E11F9">
        <w:rPr>
          <w:rFonts w:ascii="Cambria" w:hAnsi="Cambria" w:cs="Cambria"/>
          <w:lang w:val="en-US"/>
        </w:rPr>
        <w:t>serotypes were</w:t>
      </w:r>
      <w:r w:rsidR="00786A6E">
        <w:rPr>
          <w:rFonts w:ascii="Cambria" w:hAnsi="Cambria" w:cs="Cambria"/>
          <w:lang w:val="en-US"/>
        </w:rPr>
        <w:t xml:space="preserve"> a</w:t>
      </w:r>
      <w:r w:rsidR="007E11F9">
        <w:rPr>
          <w:rFonts w:ascii="Cambria" w:hAnsi="Cambria" w:cs="Cambria"/>
          <w:lang w:val="en-US"/>
        </w:rPr>
        <w:t>ssociated wit</w:t>
      </w:r>
      <w:r w:rsidR="00ED2781">
        <w:rPr>
          <w:rFonts w:ascii="Cambria" w:hAnsi="Cambria" w:cs="Cambria"/>
          <w:lang w:val="en-US"/>
        </w:rPr>
        <w:t xml:space="preserve">h </w:t>
      </w:r>
      <w:r>
        <w:rPr>
          <w:rFonts w:ascii="Cambria" w:hAnsi="Cambria" w:cs="Cambria"/>
          <w:lang w:val="en-US"/>
        </w:rPr>
        <w:t>23/132 (</w:t>
      </w:r>
      <w:r w:rsidR="00ED2781">
        <w:rPr>
          <w:rFonts w:ascii="Cambria" w:hAnsi="Cambria" w:cs="Cambria"/>
          <w:lang w:val="en-US"/>
        </w:rPr>
        <w:t>17</w:t>
      </w:r>
      <w:r w:rsidR="007E11F9">
        <w:rPr>
          <w:rFonts w:ascii="Cambria" w:hAnsi="Cambria" w:cs="Cambria"/>
          <w:lang w:val="en-US"/>
        </w:rPr>
        <w:t>%</w:t>
      </w:r>
      <w:r>
        <w:rPr>
          <w:rFonts w:ascii="Cambria" w:hAnsi="Cambria" w:cs="Cambria"/>
          <w:lang w:val="en-US"/>
        </w:rPr>
        <w:t xml:space="preserve">) </w:t>
      </w:r>
      <w:r w:rsidR="007E11F9">
        <w:rPr>
          <w:rFonts w:ascii="Cambria" w:hAnsi="Cambria" w:cs="Cambria"/>
          <w:lang w:val="en-US"/>
        </w:rPr>
        <w:t>deaths</w:t>
      </w:r>
      <w:r w:rsidR="00C43541">
        <w:rPr>
          <w:rFonts w:ascii="Cambria" w:hAnsi="Cambria" w:cs="Cambria"/>
          <w:lang w:val="en-US"/>
        </w:rPr>
        <w:t xml:space="preserve"> with </w:t>
      </w:r>
      <w:r w:rsidR="00C43541">
        <w:rPr>
          <w:rFonts w:ascii="Cambria" w:hAnsi="Cambria" w:cs="Cambria"/>
          <w:lang w:val="en-US"/>
        </w:rPr>
        <w:lastRenderedPageBreak/>
        <w:t>known serotype</w:t>
      </w:r>
      <w:r>
        <w:rPr>
          <w:rFonts w:ascii="Cambria" w:hAnsi="Cambria" w:cs="Cambria"/>
          <w:lang w:val="en-US"/>
        </w:rPr>
        <w:t>, of which</w:t>
      </w:r>
      <w:r w:rsidR="00ED2781">
        <w:rPr>
          <w:rFonts w:ascii="Cambria" w:hAnsi="Cambria" w:cs="Cambria"/>
          <w:lang w:val="en-US"/>
        </w:rPr>
        <w:t xml:space="preserve"> 43</w:t>
      </w:r>
      <w:r w:rsidR="007E11F9">
        <w:rPr>
          <w:rFonts w:ascii="Cambria" w:hAnsi="Cambria" w:cs="Cambria"/>
          <w:lang w:val="en-US"/>
        </w:rPr>
        <w:t>% (10/23</w:t>
      </w:r>
      <w:r w:rsidR="00ED2781">
        <w:rPr>
          <w:rFonts w:ascii="Cambria" w:hAnsi="Cambria" w:cs="Cambria"/>
          <w:lang w:val="en-US"/>
        </w:rPr>
        <w:t xml:space="preserve">) </w:t>
      </w:r>
      <w:r w:rsidR="007602A2">
        <w:rPr>
          <w:rFonts w:ascii="Cambria" w:hAnsi="Cambria" w:cs="Cambria"/>
          <w:lang w:val="en-US"/>
        </w:rPr>
        <w:t>occurr</w:t>
      </w:r>
      <w:r w:rsidR="00E45643">
        <w:rPr>
          <w:rFonts w:ascii="Cambria" w:hAnsi="Cambria" w:cs="Cambria"/>
          <w:lang w:val="en-US"/>
        </w:rPr>
        <w:t>ed</w:t>
      </w:r>
      <w:r w:rsidR="007602A2">
        <w:rPr>
          <w:rFonts w:ascii="Cambria" w:hAnsi="Cambria" w:cs="Cambria"/>
          <w:lang w:val="en-US"/>
        </w:rPr>
        <w:t xml:space="preserve"> in the first year af</w:t>
      </w:r>
      <w:r w:rsidR="00786A6E">
        <w:rPr>
          <w:rFonts w:ascii="Cambria" w:hAnsi="Cambria" w:cs="Cambria"/>
          <w:lang w:val="en-US"/>
        </w:rPr>
        <w:t>ter PCV7 introduction</w:t>
      </w:r>
      <w:r w:rsidR="005A5278">
        <w:rPr>
          <w:rFonts w:ascii="Cambria" w:hAnsi="Cambria" w:cs="Cambria"/>
          <w:lang w:val="en-US"/>
        </w:rPr>
        <w:t>. PCV7 serotypes were responsible for</w:t>
      </w:r>
      <w:r w:rsidR="00ED2781">
        <w:rPr>
          <w:rFonts w:ascii="Cambria" w:hAnsi="Cambria" w:cs="Cambria"/>
          <w:lang w:val="en-US"/>
        </w:rPr>
        <w:t xml:space="preserve"> only </w:t>
      </w:r>
      <w:r w:rsidR="0059281D">
        <w:rPr>
          <w:rFonts w:ascii="Cambria" w:hAnsi="Cambria" w:cs="Cambria"/>
          <w:lang w:val="en-US"/>
        </w:rPr>
        <w:t>3/</w:t>
      </w:r>
      <w:r w:rsidR="001F3409">
        <w:rPr>
          <w:rFonts w:ascii="Cambria" w:hAnsi="Cambria" w:cs="Cambria"/>
          <w:lang w:val="en-US"/>
        </w:rPr>
        <w:t xml:space="preserve">14 </w:t>
      </w:r>
      <w:r w:rsidR="0059281D">
        <w:rPr>
          <w:rFonts w:ascii="Cambria" w:hAnsi="Cambria" w:cs="Cambria"/>
          <w:lang w:val="en-US"/>
        </w:rPr>
        <w:t xml:space="preserve">(21%) </w:t>
      </w:r>
      <w:r w:rsidR="001F3409">
        <w:rPr>
          <w:rFonts w:ascii="Cambria" w:hAnsi="Cambria" w:cs="Cambria"/>
          <w:lang w:val="en-US"/>
        </w:rPr>
        <w:t>deaths</w:t>
      </w:r>
      <w:r w:rsidR="00ED2781">
        <w:rPr>
          <w:rFonts w:ascii="Cambria" w:hAnsi="Cambria" w:cs="Cambria"/>
          <w:lang w:val="en-US"/>
        </w:rPr>
        <w:t xml:space="preserve"> </w:t>
      </w:r>
      <w:r w:rsidR="007602A2">
        <w:rPr>
          <w:rFonts w:ascii="Cambria" w:hAnsi="Cambria" w:cs="Cambria"/>
          <w:lang w:val="en-US"/>
        </w:rPr>
        <w:t>in 2013/14</w:t>
      </w:r>
      <w:r w:rsidR="00690A1B">
        <w:rPr>
          <w:rFonts w:ascii="Cambria" w:hAnsi="Cambria" w:cs="Cambria"/>
          <w:lang w:val="en-US"/>
        </w:rPr>
        <w:t>.</w:t>
      </w:r>
    </w:p>
    <w:p w14:paraId="4270A236" w14:textId="77777777" w:rsidR="00A27AB5" w:rsidRDefault="00A27AB5" w:rsidP="00E41469">
      <w:pPr>
        <w:widowControl w:val="0"/>
        <w:autoSpaceDE w:val="0"/>
        <w:autoSpaceDN w:val="0"/>
        <w:adjustRightInd w:val="0"/>
        <w:spacing w:line="480" w:lineRule="auto"/>
        <w:rPr>
          <w:rFonts w:ascii="Cambria" w:hAnsi="Cambria" w:cs="Cambria"/>
          <w:lang w:val="en-US"/>
        </w:rPr>
      </w:pPr>
    </w:p>
    <w:p w14:paraId="760BDB7D" w14:textId="0790F2DB" w:rsidR="00706EC5" w:rsidRDefault="00C43541"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The additional six PCV13 s</w:t>
      </w:r>
      <w:r w:rsidR="00A27AB5">
        <w:rPr>
          <w:rFonts w:ascii="Cambria" w:hAnsi="Cambria" w:cs="Cambria"/>
          <w:lang w:val="en-US"/>
        </w:rPr>
        <w:t xml:space="preserve">erotypes were responsible for 45 (34%) </w:t>
      </w:r>
      <w:r>
        <w:rPr>
          <w:rFonts w:ascii="Cambria" w:hAnsi="Cambria" w:cs="Cambria"/>
          <w:lang w:val="en-US"/>
        </w:rPr>
        <w:t>deaths</w:t>
      </w:r>
      <w:r w:rsidR="004B289F">
        <w:rPr>
          <w:rFonts w:ascii="Cambria" w:hAnsi="Cambria" w:cs="Cambria"/>
          <w:lang w:val="en-US"/>
        </w:rPr>
        <w:t xml:space="preserve">, </w:t>
      </w:r>
      <w:r w:rsidR="006C5666">
        <w:rPr>
          <w:rFonts w:ascii="Cambria" w:hAnsi="Cambria" w:cs="Cambria"/>
          <w:lang w:val="en-US"/>
        </w:rPr>
        <w:t xml:space="preserve">accounting for </w:t>
      </w:r>
      <w:r w:rsidR="005D4D2F">
        <w:rPr>
          <w:rFonts w:ascii="Cambria" w:hAnsi="Cambria" w:cs="Cambria"/>
          <w:lang w:val="en-US"/>
        </w:rPr>
        <w:t>23% (</w:t>
      </w:r>
      <w:r>
        <w:rPr>
          <w:rFonts w:ascii="Cambria" w:hAnsi="Cambria" w:cs="Cambria"/>
          <w:lang w:val="en-US"/>
        </w:rPr>
        <w:t>5/22</w:t>
      </w:r>
      <w:r w:rsidR="005D4D2F">
        <w:rPr>
          <w:rFonts w:ascii="Cambria" w:hAnsi="Cambria" w:cs="Cambria"/>
          <w:lang w:val="en-US"/>
        </w:rPr>
        <w:t>)</w:t>
      </w:r>
      <w:r>
        <w:rPr>
          <w:rFonts w:ascii="Cambria" w:hAnsi="Cambria" w:cs="Cambria"/>
          <w:lang w:val="en-US"/>
        </w:rPr>
        <w:t xml:space="preserve"> </w:t>
      </w:r>
      <w:r w:rsidR="006C5666">
        <w:rPr>
          <w:rFonts w:ascii="Cambria" w:hAnsi="Cambria" w:cs="Cambria"/>
          <w:lang w:val="en-US"/>
        </w:rPr>
        <w:t xml:space="preserve">of deaths </w:t>
      </w:r>
      <w:r>
        <w:rPr>
          <w:rFonts w:ascii="Cambria" w:hAnsi="Cambria" w:cs="Cambria"/>
          <w:lang w:val="en-US"/>
        </w:rPr>
        <w:t>in 2006</w:t>
      </w:r>
      <w:r w:rsidR="00667426">
        <w:rPr>
          <w:rFonts w:ascii="Cambria" w:hAnsi="Cambria" w:cs="Cambria"/>
          <w:lang w:val="en-US"/>
        </w:rPr>
        <w:t>/</w:t>
      </w:r>
      <w:r w:rsidR="005D4D2F">
        <w:rPr>
          <w:rFonts w:ascii="Cambria" w:hAnsi="Cambria" w:cs="Cambria"/>
          <w:lang w:val="en-US"/>
        </w:rPr>
        <w:t>07, 60</w:t>
      </w:r>
      <w:r>
        <w:rPr>
          <w:rFonts w:ascii="Cambria" w:hAnsi="Cambria" w:cs="Cambria"/>
          <w:lang w:val="en-US"/>
        </w:rPr>
        <w:t>% (12/</w:t>
      </w:r>
      <w:r w:rsidR="00667426">
        <w:rPr>
          <w:rFonts w:ascii="Cambria" w:hAnsi="Cambria" w:cs="Cambria"/>
          <w:lang w:val="en-US"/>
        </w:rPr>
        <w:t xml:space="preserve">20) </w:t>
      </w:r>
      <w:r w:rsidR="006C5666">
        <w:rPr>
          <w:rFonts w:ascii="Cambria" w:hAnsi="Cambria" w:cs="Cambria"/>
          <w:lang w:val="en-US"/>
        </w:rPr>
        <w:t xml:space="preserve">in </w:t>
      </w:r>
      <w:r w:rsidR="00452757">
        <w:rPr>
          <w:rFonts w:ascii="Cambria" w:hAnsi="Cambria" w:cs="Cambria"/>
          <w:lang w:val="en-US"/>
        </w:rPr>
        <w:t xml:space="preserve">2009/10 </w:t>
      </w:r>
      <w:r w:rsidR="004B289F">
        <w:rPr>
          <w:rFonts w:ascii="Cambria" w:hAnsi="Cambria" w:cs="Cambria"/>
          <w:lang w:val="en-US"/>
        </w:rPr>
        <w:t>when</w:t>
      </w:r>
      <w:r>
        <w:rPr>
          <w:rFonts w:ascii="Cambria" w:hAnsi="Cambria" w:cs="Cambria"/>
          <w:lang w:val="en-US"/>
        </w:rPr>
        <w:t xml:space="preserve"> PCV13 was introduced</w:t>
      </w:r>
      <w:r w:rsidR="00566415">
        <w:rPr>
          <w:rFonts w:ascii="Cambria" w:hAnsi="Cambria" w:cs="Cambria"/>
          <w:lang w:val="en-US"/>
        </w:rPr>
        <w:t xml:space="preserve"> and none</w:t>
      </w:r>
      <w:r w:rsidR="00452757">
        <w:rPr>
          <w:rFonts w:ascii="Cambria" w:hAnsi="Cambria" w:cs="Cambria"/>
          <w:lang w:val="en-US"/>
        </w:rPr>
        <w:t xml:space="preserve"> in 2013/14</w:t>
      </w:r>
      <w:r w:rsidR="00667426">
        <w:rPr>
          <w:rFonts w:ascii="Cambria" w:hAnsi="Cambria" w:cs="Cambria"/>
          <w:lang w:val="en-US"/>
        </w:rPr>
        <w:t xml:space="preserve">. </w:t>
      </w:r>
      <w:r w:rsidR="009D3643">
        <w:rPr>
          <w:rFonts w:ascii="Cambria" w:hAnsi="Cambria" w:cs="Cambria"/>
          <w:lang w:val="en-US"/>
        </w:rPr>
        <w:t xml:space="preserve">The </w:t>
      </w:r>
      <w:r w:rsidR="00566415">
        <w:rPr>
          <w:rFonts w:ascii="Cambria" w:hAnsi="Cambria" w:cs="Cambria"/>
          <w:lang w:val="en-US"/>
        </w:rPr>
        <w:t xml:space="preserve">responsible </w:t>
      </w:r>
      <w:r w:rsidR="009D3643">
        <w:rPr>
          <w:rFonts w:ascii="Cambria" w:hAnsi="Cambria" w:cs="Cambria"/>
          <w:lang w:val="en-US"/>
        </w:rPr>
        <w:t xml:space="preserve">serotypes were </w:t>
      </w:r>
      <w:r w:rsidR="00756247">
        <w:rPr>
          <w:rFonts w:ascii="Cambria" w:hAnsi="Cambria" w:cs="Cambria"/>
          <w:lang w:val="en-US"/>
        </w:rPr>
        <w:t xml:space="preserve">19A </w:t>
      </w:r>
      <w:r w:rsidR="00E15983">
        <w:rPr>
          <w:rFonts w:ascii="Cambria" w:hAnsi="Cambria" w:cs="Cambria"/>
          <w:lang w:val="en-US"/>
        </w:rPr>
        <w:t>(</w:t>
      </w:r>
      <w:r w:rsidR="003F6C60">
        <w:rPr>
          <w:rFonts w:ascii="Cambria" w:hAnsi="Cambria" w:cs="Cambria"/>
          <w:lang w:val="en-US"/>
        </w:rPr>
        <w:t>n=</w:t>
      </w:r>
      <w:r w:rsidR="00E15983">
        <w:rPr>
          <w:rFonts w:ascii="Cambria" w:hAnsi="Cambria" w:cs="Cambria"/>
          <w:lang w:val="en-US"/>
        </w:rPr>
        <w:t>4), 3 (</w:t>
      </w:r>
      <w:r w:rsidR="003F6C60">
        <w:rPr>
          <w:rFonts w:ascii="Cambria" w:hAnsi="Cambria" w:cs="Cambria"/>
          <w:lang w:val="en-US"/>
        </w:rPr>
        <w:t>n=</w:t>
      </w:r>
      <w:r w:rsidR="00E15983">
        <w:rPr>
          <w:rFonts w:ascii="Cambria" w:hAnsi="Cambria" w:cs="Cambria"/>
          <w:lang w:val="en-US"/>
        </w:rPr>
        <w:t>3), 1 (</w:t>
      </w:r>
      <w:r w:rsidR="003F6C60">
        <w:rPr>
          <w:rFonts w:ascii="Cambria" w:hAnsi="Cambria" w:cs="Cambria"/>
          <w:lang w:val="en-US"/>
        </w:rPr>
        <w:t>n=</w:t>
      </w:r>
      <w:r w:rsidR="00E15983">
        <w:rPr>
          <w:rFonts w:ascii="Cambria" w:hAnsi="Cambria" w:cs="Cambria"/>
          <w:lang w:val="en-US"/>
        </w:rPr>
        <w:t>2), 7F (</w:t>
      </w:r>
      <w:r w:rsidR="003F6C60">
        <w:rPr>
          <w:rFonts w:ascii="Cambria" w:hAnsi="Cambria" w:cs="Cambria"/>
          <w:lang w:val="en-US"/>
        </w:rPr>
        <w:t>n=</w:t>
      </w:r>
      <w:r w:rsidR="00E15983">
        <w:rPr>
          <w:rFonts w:ascii="Cambria" w:hAnsi="Cambria" w:cs="Cambria"/>
          <w:lang w:val="en-US"/>
        </w:rPr>
        <w:t>2), and 6</w:t>
      </w:r>
      <w:r w:rsidR="00FA7C18">
        <w:rPr>
          <w:rFonts w:ascii="Cambria" w:hAnsi="Cambria" w:cs="Cambria"/>
          <w:lang w:val="en-US"/>
        </w:rPr>
        <w:t>A (</w:t>
      </w:r>
      <w:r w:rsidR="003F6C60">
        <w:rPr>
          <w:rFonts w:ascii="Cambria" w:hAnsi="Cambria" w:cs="Cambria"/>
          <w:lang w:val="en-US"/>
        </w:rPr>
        <w:t>n=</w:t>
      </w:r>
      <w:r w:rsidR="00FA7C18">
        <w:rPr>
          <w:rFonts w:ascii="Cambria" w:hAnsi="Cambria" w:cs="Cambria"/>
          <w:lang w:val="en-US"/>
        </w:rPr>
        <w:t>1).</w:t>
      </w:r>
      <w:r w:rsidR="00706EC5" w:rsidRPr="00706EC5">
        <w:rPr>
          <w:rFonts w:ascii="Cambria" w:hAnsi="Cambria" w:cs="Cambria"/>
          <w:lang w:val="en-US"/>
        </w:rPr>
        <w:t xml:space="preserve"> </w:t>
      </w:r>
    </w:p>
    <w:p w14:paraId="3FF03D80" w14:textId="77777777" w:rsidR="009D3643" w:rsidRDefault="009D3643" w:rsidP="00E41469">
      <w:pPr>
        <w:widowControl w:val="0"/>
        <w:autoSpaceDE w:val="0"/>
        <w:autoSpaceDN w:val="0"/>
        <w:adjustRightInd w:val="0"/>
        <w:spacing w:line="480" w:lineRule="auto"/>
        <w:rPr>
          <w:rFonts w:ascii="Cambria" w:hAnsi="Cambria" w:cs="Cambria"/>
          <w:lang w:val="en-US"/>
        </w:rPr>
      </w:pPr>
    </w:p>
    <w:p w14:paraId="7E743156" w14:textId="67FC6E16" w:rsidR="007602A2" w:rsidRDefault="009D3643"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The non-PCV</w:t>
      </w:r>
      <w:r w:rsidR="00C97013">
        <w:rPr>
          <w:rFonts w:ascii="Cambria" w:hAnsi="Cambria" w:cs="Cambria"/>
          <w:lang w:val="en-US"/>
        </w:rPr>
        <w:t>13</w:t>
      </w:r>
      <w:r>
        <w:rPr>
          <w:rFonts w:ascii="Cambria" w:hAnsi="Cambria" w:cs="Cambria"/>
          <w:lang w:val="en-US"/>
        </w:rPr>
        <w:t xml:space="preserve"> s</w:t>
      </w:r>
      <w:r w:rsidR="00756247">
        <w:rPr>
          <w:rFonts w:ascii="Cambria" w:hAnsi="Cambria" w:cs="Cambria"/>
          <w:lang w:val="en-US"/>
        </w:rPr>
        <w:t xml:space="preserve">erotypes were responsible for </w:t>
      </w:r>
      <w:r w:rsidR="00053D68">
        <w:rPr>
          <w:rFonts w:ascii="Cambria" w:hAnsi="Cambria" w:cs="Cambria"/>
          <w:lang w:val="en-US"/>
        </w:rPr>
        <w:t>49</w:t>
      </w:r>
      <w:r>
        <w:rPr>
          <w:rFonts w:ascii="Cambria" w:hAnsi="Cambria" w:cs="Cambria"/>
          <w:lang w:val="en-US"/>
        </w:rPr>
        <w:t xml:space="preserve">% (64/132) </w:t>
      </w:r>
      <w:r w:rsidR="002629EA">
        <w:rPr>
          <w:rFonts w:ascii="Cambria" w:hAnsi="Cambria" w:cs="Cambria"/>
          <w:lang w:val="en-US"/>
        </w:rPr>
        <w:t xml:space="preserve">of </w:t>
      </w:r>
      <w:r>
        <w:rPr>
          <w:rFonts w:ascii="Cambria" w:hAnsi="Cambria" w:cs="Cambria"/>
          <w:lang w:val="en-US"/>
        </w:rPr>
        <w:t>deaths overall</w:t>
      </w:r>
      <w:r w:rsidR="00604C4F">
        <w:rPr>
          <w:rFonts w:ascii="Cambria" w:hAnsi="Cambria" w:cs="Cambria"/>
          <w:lang w:val="en-US"/>
        </w:rPr>
        <w:t xml:space="preserve"> and 73-92% of all IPD-related deaths a</w:t>
      </w:r>
      <w:r>
        <w:rPr>
          <w:rFonts w:ascii="Cambria" w:hAnsi="Cambria" w:cs="Cambria"/>
          <w:lang w:val="en-US"/>
        </w:rPr>
        <w:t>fter PCV13 introduction</w:t>
      </w:r>
      <w:r w:rsidR="00706EC5">
        <w:rPr>
          <w:rFonts w:ascii="Cambria" w:hAnsi="Cambria" w:cs="Cambria"/>
          <w:lang w:val="en-US"/>
        </w:rPr>
        <w:t xml:space="preserve">. </w:t>
      </w:r>
      <w:r w:rsidR="00706EC5" w:rsidRPr="00EE6FCB">
        <w:rPr>
          <w:rFonts w:ascii="Cambria" w:hAnsi="Cambria" w:cs="Cambria"/>
          <w:lang w:val="en-US"/>
        </w:rPr>
        <w:t xml:space="preserve">The main </w:t>
      </w:r>
      <w:r w:rsidR="001D19B5">
        <w:rPr>
          <w:rFonts w:ascii="Cambria" w:hAnsi="Cambria" w:cs="Cambria"/>
          <w:lang w:val="en-US"/>
        </w:rPr>
        <w:t xml:space="preserve">serotypes </w:t>
      </w:r>
      <w:r w:rsidR="00706EC5" w:rsidRPr="00EE6FCB">
        <w:rPr>
          <w:rFonts w:ascii="Cambria" w:hAnsi="Cambria" w:cs="Cambria"/>
          <w:lang w:val="en-US"/>
        </w:rPr>
        <w:t xml:space="preserve">were </w:t>
      </w:r>
      <w:r w:rsidR="000505D5">
        <w:rPr>
          <w:rFonts w:ascii="Cambria" w:hAnsi="Cambria" w:cs="Cambria"/>
          <w:lang w:val="en-US"/>
        </w:rPr>
        <w:t>23B (</w:t>
      </w:r>
      <w:r w:rsidR="004D1AB5">
        <w:rPr>
          <w:rFonts w:ascii="Cambria" w:hAnsi="Cambria" w:cs="Cambria"/>
          <w:lang w:val="en-US"/>
        </w:rPr>
        <w:t>n=</w:t>
      </w:r>
      <w:r w:rsidR="000505D5">
        <w:rPr>
          <w:rFonts w:ascii="Cambria" w:hAnsi="Cambria" w:cs="Cambria"/>
          <w:lang w:val="en-US"/>
        </w:rPr>
        <w:t xml:space="preserve">6), </w:t>
      </w:r>
      <w:r w:rsidR="00DC7B9A">
        <w:rPr>
          <w:rFonts w:ascii="Cambria" w:hAnsi="Cambria" w:cs="Cambria"/>
          <w:lang w:val="en-US"/>
        </w:rPr>
        <w:t>22F (</w:t>
      </w:r>
      <w:r w:rsidR="004D1AB5">
        <w:rPr>
          <w:rFonts w:ascii="Cambria" w:hAnsi="Cambria" w:cs="Cambria"/>
          <w:lang w:val="en-US"/>
        </w:rPr>
        <w:t>n=</w:t>
      </w:r>
      <w:r w:rsidR="00DC7B9A">
        <w:rPr>
          <w:rFonts w:ascii="Cambria" w:hAnsi="Cambria" w:cs="Cambria"/>
          <w:lang w:val="en-US"/>
        </w:rPr>
        <w:t>5), 24F (</w:t>
      </w:r>
      <w:r w:rsidR="004D1AB5">
        <w:rPr>
          <w:rFonts w:ascii="Cambria" w:hAnsi="Cambria" w:cs="Cambria"/>
          <w:lang w:val="en-US"/>
        </w:rPr>
        <w:t>n=</w:t>
      </w:r>
      <w:r w:rsidR="00DC7B9A">
        <w:rPr>
          <w:rFonts w:ascii="Cambria" w:hAnsi="Cambria" w:cs="Cambria"/>
          <w:lang w:val="en-US"/>
        </w:rPr>
        <w:t>5), 33F (</w:t>
      </w:r>
      <w:r w:rsidR="004D1AB5">
        <w:rPr>
          <w:rFonts w:ascii="Cambria" w:hAnsi="Cambria" w:cs="Cambria"/>
          <w:lang w:val="en-US"/>
        </w:rPr>
        <w:t>n=</w:t>
      </w:r>
      <w:r w:rsidR="00DC7B9A">
        <w:rPr>
          <w:rFonts w:ascii="Cambria" w:hAnsi="Cambria" w:cs="Cambria"/>
          <w:lang w:val="en-US"/>
        </w:rPr>
        <w:t>5), 6C (</w:t>
      </w:r>
      <w:r w:rsidR="004D1AB5">
        <w:rPr>
          <w:rFonts w:ascii="Cambria" w:hAnsi="Cambria" w:cs="Cambria"/>
          <w:lang w:val="en-US"/>
        </w:rPr>
        <w:t>n=</w:t>
      </w:r>
      <w:r w:rsidR="00DC7B9A">
        <w:rPr>
          <w:rFonts w:ascii="Cambria" w:hAnsi="Cambria" w:cs="Cambria"/>
          <w:lang w:val="en-US"/>
        </w:rPr>
        <w:t>5</w:t>
      </w:r>
      <w:r w:rsidR="000505D5">
        <w:rPr>
          <w:rFonts w:ascii="Cambria" w:hAnsi="Cambria" w:cs="Cambria"/>
          <w:lang w:val="en-US"/>
        </w:rPr>
        <w:t>), 8 (</w:t>
      </w:r>
      <w:r w:rsidR="004D1AB5">
        <w:rPr>
          <w:rFonts w:ascii="Cambria" w:hAnsi="Cambria" w:cs="Cambria"/>
          <w:lang w:val="en-US"/>
        </w:rPr>
        <w:t>n=</w:t>
      </w:r>
      <w:r w:rsidR="000505D5">
        <w:rPr>
          <w:rFonts w:ascii="Cambria" w:hAnsi="Cambria" w:cs="Cambria"/>
          <w:lang w:val="en-US"/>
        </w:rPr>
        <w:t>5), 38 (</w:t>
      </w:r>
      <w:r w:rsidR="004D1AB5">
        <w:rPr>
          <w:rFonts w:ascii="Cambria" w:hAnsi="Cambria" w:cs="Cambria"/>
          <w:lang w:val="en-US"/>
        </w:rPr>
        <w:t>n=</w:t>
      </w:r>
      <w:r w:rsidR="000505D5">
        <w:rPr>
          <w:rFonts w:ascii="Cambria" w:hAnsi="Cambria" w:cs="Cambria"/>
          <w:lang w:val="en-US"/>
        </w:rPr>
        <w:t>5), 15B (</w:t>
      </w:r>
      <w:r w:rsidR="004D1AB5">
        <w:rPr>
          <w:rFonts w:ascii="Cambria" w:hAnsi="Cambria" w:cs="Cambria"/>
          <w:lang w:val="en-US"/>
        </w:rPr>
        <w:t>n=</w:t>
      </w:r>
      <w:r w:rsidR="000505D5">
        <w:rPr>
          <w:rFonts w:ascii="Cambria" w:hAnsi="Cambria" w:cs="Cambria"/>
          <w:lang w:val="en-US"/>
        </w:rPr>
        <w:t>4), 15C (</w:t>
      </w:r>
      <w:r w:rsidR="004D1AB5">
        <w:rPr>
          <w:rFonts w:ascii="Cambria" w:hAnsi="Cambria" w:cs="Cambria"/>
          <w:lang w:val="en-US"/>
        </w:rPr>
        <w:t>n=</w:t>
      </w:r>
      <w:r w:rsidR="000505D5">
        <w:rPr>
          <w:rFonts w:ascii="Cambria" w:hAnsi="Cambria" w:cs="Cambria"/>
          <w:lang w:val="en-US"/>
        </w:rPr>
        <w:t>4), 11A (</w:t>
      </w:r>
      <w:r w:rsidR="004D1AB5">
        <w:rPr>
          <w:rFonts w:ascii="Cambria" w:hAnsi="Cambria" w:cs="Cambria"/>
          <w:lang w:val="en-US"/>
        </w:rPr>
        <w:t>n=</w:t>
      </w:r>
      <w:r w:rsidR="000505D5">
        <w:rPr>
          <w:rFonts w:ascii="Cambria" w:hAnsi="Cambria" w:cs="Cambria"/>
          <w:lang w:val="en-US"/>
        </w:rPr>
        <w:t>4)</w:t>
      </w:r>
      <w:r w:rsidR="00BA0E34">
        <w:rPr>
          <w:rFonts w:ascii="Cambria" w:hAnsi="Cambria" w:cs="Cambria"/>
          <w:lang w:val="en-US"/>
        </w:rPr>
        <w:t xml:space="preserve">. </w:t>
      </w:r>
    </w:p>
    <w:p w14:paraId="4A95A847" w14:textId="77777777" w:rsidR="00E36F78" w:rsidRDefault="00E36F78" w:rsidP="00E41469">
      <w:pPr>
        <w:widowControl w:val="0"/>
        <w:autoSpaceDE w:val="0"/>
        <w:autoSpaceDN w:val="0"/>
        <w:adjustRightInd w:val="0"/>
        <w:spacing w:line="480" w:lineRule="auto"/>
        <w:rPr>
          <w:rFonts w:ascii="Cambria" w:hAnsi="Cambria" w:cs="Cambria"/>
          <w:lang w:val="en-US"/>
        </w:rPr>
      </w:pPr>
    </w:p>
    <w:p w14:paraId="739BE16B" w14:textId="3E23C660" w:rsidR="003B2E50" w:rsidRPr="00616EA3" w:rsidRDefault="003B2E50" w:rsidP="00A3236D">
      <w:pPr>
        <w:widowControl w:val="0"/>
        <w:autoSpaceDE w:val="0"/>
        <w:autoSpaceDN w:val="0"/>
        <w:adjustRightInd w:val="0"/>
        <w:spacing w:line="480" w:lineRule="auto"/>
        <w:outlineLvl w:val="0"/>
        <w:rPr>
          <w:rFonts w:ascii="Cambria" w:hAnsi="Cambria" w:cs="Cambria"/>
          <w:b/>
          <w:u w:val="single"/>
          <w:lang w:val="en-US"/>
        </w:rPr>
      </w:pPr>
      <w:r w:rsidRPr="00616EA3">
        <w:rPr>
          <w:rFonts w:ascii="Cambria" w:hAnsi="Cambria" w:cs="Cambria"/>
          <w:b/>
          <w:u w:val="single"/>
          <w:lang w:val="en-US"/>
        </w:rPr>
        <w:t>Vaccination-status</w:t>
      </w:r>
    </w:p>
    <w:p w14:paraId="6534E29B" w14:textId="5E45B081" w:rsidR="003B2E50" w:rsidRDefault="003B2E50" w:rsidP="00E41469">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Of the 112 children in the age-group eligible </w:t>
      </w:r>
      <w:r w:rsidR="00B6690E">
        <w:rPr>
          <w:rFonts w:ascii="Cambria" w:hAnsi="Cambria" w:cs="Cambria"/>
          <w:lang w:val="en-US"/>
        </w:rPr>
        <w:t xml:space="preserve">for vaccination, only </w:t>
      </w:r>
      <w:r>
        <w:rPr>
          <w:rFonts w:ascii="Cambria" w:hAnsi="Cambria" w:cs="Cambria"/>
          <w:lang w:val="en-US"/>
        </w:rPr>
        <w:t>72 (64%) had been appropriately immunized according to their age, including 5/17 (29%) PCV7-eligible children who died of PCV7-type IPD and 26/32 (81%) PCV13-eligible children who died of PCV13-type IPD.  Vaccine uptake was lowest in those eligible for the initial PCV7 catch-up for &lt;2 year-olds</w:t>
      </w:r>
      <w:r w:rsidR="00B6690E">
        <w:rPr>
          <w:rFonts w:ascii="Cambria" w:hAnsi="Cambria" w:cs="Cambria"/>
          <w:lang w:val="en-US"/>
        </w:rPr>
        <w:t xml:space="preserve"> (10/25, 40%) compared to </w:t>
      </w:r>
      <w:r w:rsidR="00B6690E" w:rsidRPr="00B6690E">
        <w:rPr>
          <w:rFonts w:ascii="Cambria" w:hAnsi="Cambria" w:cs="Cambria"/>
          <w:lang w:val="en-US"/>
        </w:rPr>
        <w:t xml:space="preserve">those eligible for routine PCV7 (32/46, 70%) and PCV13 (30/41, </w:t>
      </w:r>
      <w:r w:rsidR="00B6690E">
        <w:rPr>
          <w:rFonts w:ascii="Cambria" w:hAnsi="Cambria" w:cs="Cambria"/>
          <w:lang w:val="en-US"/>
        </w:rPr>
        <w:t>73%</w:t>
      </w:r>
      <w:r w:rsidR="00B6690E" w:rsidRPr="00B6690E">
        <w:rPr>
          <w:rFonts w:ascii="Cambria" w:hAnsi="Cambria" w:cs="Cambria"/>
          <w:lang w:val="en-US"/>
        </w:rPr>
        <w:t>)</w:t>
      </w:r>
      <w:r w:rsidR="00B6690E">
        <w:rPr>
          <w:rFonts w:ascii="Cambria" w:hAnsi="Cambria" w:cs="Cambria"/>
          <w:lang w:val="en-US"/>
        </w:rPr>
        <w:t>.</w:t>
      </w:r>
    </w:p>
    <w:p w14:paraId="31CD3E24" w14:textId="77777777" w:rsidR="00B6690E" w:rsidRDefault="00B6690E" w:rsidP="00E41469">
      <w:pPr>
        <w:widowControl w:val="0"/>
        <w:autoSpaceDE w:val="0"/>
        <w:autoSpaceDN w:val="0"/>
        <w:adjustRightInd w:val="0"/>
        <w:spacing w:line="480" w:lineRule="auto"/>
        <w:rPr>
          <w:rFonts w:ascii="Cambria" w:hAnsi="Cambria" w:cs="Cambria"/>
          <w:lang w:val="en-US"/>
        </w:rPr>
      </w:pPr>
    </w:p>
    <w:p w14:paraId="6A658554" w14:textId="77777777" w:rsidR="00FA7C18" w:rsidRPr="00C210AD" w:rsidRDefault="00FA7C18" w:rsidP="00A3236D">
      <w:pPr>
        <w:widowControl w:val="0"/>
        <w:autoSpaceDE w:val="0"/>
        <w:autoSpaceDN w:val="0"/>
        <w:adjustRightInd w:val="0"/>
        <w:spacing w:line="480" w:lineRule="auto"/>
        <w:outlineLvl w:val="0"/>
        <w:rPr>
          <w:rFonts w:ascii="Cambria" w:hAnsi="Cambria" w:cs="Cambria"/>
          <w:b/>
          <w:u w:val="single"/>
          <w:lang w:val="en-US"/>
        </w:rPr>
      </w:pPr>
      <w:r>
        <w:rPr>
          <w:rFonts w:ascii="Cambria" w:hAnsi="Cambria" w:cs="Cambria"/>
          <w:b/>
          <w:u w:val="single"/>
          <w:lang w:val="en-US"/>
        </w:rPr>
        <w:t>Mortality Rate</w:t>
      </w:r>
    </w:p>
    <w:p w14:paraId="77F76B81" w14:textId="5C010017" w:rsidR="00264C80" w:rsidRDefault="002F6F6E" w:rsidP="00176B54">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Annual </w:t>
      </w:r>
      <w:r w:rsidR="005002A2">
        <w:rPr>
          <w:rFonts w:ascii="Cambria" w:hAnsi="Cambria" w:cs="Cambria"/>
          <w:lang w:val="en-US"/>
        </w:rPr>
        <w:t>IPD</w:t>
      </w:r>
      <w:r>
        <w:rPr>
          <w:rFonts w:ascii="Cambria" w:hAnsi="Cambria" w:cs="Cambria"/>
          <w:lang w:val="en-US"/>
        </w:rPr>
        <w:t>-</w:t>
      </w:r>
      <w:r w:rsidR="005002A2">
        <w:rPr>
          <w:rFonts w:ascii="Cambria" w:hAnsi="Cambria" w:cs="Cambria"/>
          <w:lang w:val="en-US"/>
        </w:rPr>
        <w:t xml:space="preserve">related </w:t>
      </w:r>
      <w:r w:rsidR="00EE704A" w:rsidRPr="00A34B9A">
        <w:rPr>
          <w:rFonts w:ascii="Cambria" w:hAnsi="Cambria" w:cs="Cambria"/>
          <w:lang w:val="en-US"/>
        </w:rPr>
        <w:t>mortality ra</w:t>
      </w:r>
      <w:r w:rsidR="00D603F4" w:rsidRPr="00A34B9A">
        <w:rPr>
          <w:rFonts w:ascii="Cambria" w:hAnsi="Cambria" w:cs="Cambria"/>
          <w:lang w:val="en-US"/>
        </w:rPr>
        <w:t>te in PCV</w:t>
      </w:r>
      <w:r w:rsidR="00E945B8">
        <w:rPr>
          <w:rFonts w:ascii="Cambria" w:hAnsi="Cambria" w:cs="Cambria"/>
          <w:lang w:val="en-US"/>
        </w:rPr>
        <w:t xml:space="preserve"> </w:t>
      </w:r>
      <w:r w:rsidR="00D603F4" w:rsidRPr="00A34B9A">
        <w:rPr>
          <w:rFonts w:ascii="Cambria" w:hAnsi="Cambria" w:cs="Cambria"/>
          <w:lang w:val="en-US"/>
        </w:rPr>
        <w:t xml:space="preserve">eligible children </w:t>
      </w:r>
      <w:r w:rsidR="00071DFD" w:rsidRPr="00A34B9A">
        <w:rPr>
          <w:rFonts w:ascii="Cambria" w:hAnsi="Cambria" w:cs="Cambria"/>
          <w:lang w:val="en-US"/>
        </w:rPr>
        <w:t>over the 8</w:t>
      </w:r>
      <w:r>
        <w:rPr>
          <w:rFonts w:ascii="Cambria" w:hAnsi="Cambria" w:cs="Cambria"/>
          <w:lang w:val="en-US"/>
        </w:rPr>
        <w:t>-</w:t>
      </w:r>
      <w:r w:rsidR="00071DFD" w:rsidRPr="00A34B9A">
        <w:rPr>
          <w:rFonts w:ascii="Cambria" w:hAnsi="Cambria" w:cs="Cambria"/>
          <w:lang w:val="en-US"/>
        </w:rPr>
        <w:t>year period</w:t>
      </w:r>
      <w:r w:rsidR="00071DFD" w:rsidRPr="00C210AD">
        <w:rPr>
          <w:rFonts w:ascii="Cambria" w:hAnsi="Cambria" w:cs="Cambria"/>
          <w:lang w:val="en-US"/>
        </w:rPr>
        <w:t xml:space="preserve"> </w:t>
      </w:r>
      <w:r w:rsidR="00D603F4" w:rsidRPr="00C210AD">
        <w:rPr>
          <w:rFonts w:ascii="Cambria" w:hAnsi="Cambria" w:cs="Cambria"/>
          <w:lang w:val="en-US"/>
        </w:rPr>
        <w:t>was 0.58</w:t>
      </w:r>
      <w:r w:rsidR="005002A2">
        <w:rPr>
          <w:rFonts w:ascii="Cambria" w:hAnsi="Cambria" w:cs="Cambria"/>
          <w:lang w:val="en-US"/>
        </w:rPr>
        <w:t>/</w:t>
      </w:r>
      <w:r w:rsidR="00D603F4" w:rsidRPr="00C210AD">
        <w:rPr>
          <w:rFonts w:ascii="Cambria" w:hAnsi="Cambria" w:cs="Cambria"/>
          <w:lang w:val="en-US"/>
        </w:rPr>
        <w:t>100,000</w:t>
      </w:r>
      <w:r w:rsidR="005002A2">
        <w:rPr>
          <w:rFonts w:ascii="Cambria" w:hAnsi="Cambria" w:cs="Cambria"/>
          <w:lang w:val="en-US"/>
        </w:rPr>
        <w:t xml:space="preserve"> children</w:t>
      </w:r>
      <w:r w:rsidR="00D603F4" w:rsidRPr="00C210AD">
        <w:rPr>
          <w:rFonts w:ascii="Cambria" w:hAnsi="Cambria" w:cs="Cambria"/>
          <w:lang w:val="en-US"/>
        </w:rPr>
        <w:t xml:space="preserve">, </w:t>
      </w:r>
      <w:r w:rsidR="00680F6A">
        <w:rPr>
          <w:rFonts w:ascii="Cambria" w:hAnsi="Cambria" w:cs="Cambria"/>
          <w:lang w:val="en-US"/>
        </w:rPr>
        <w:t xml:space="preserve">including </w:t>
      </w:r>
      <w:r w:rsidR="00680F6A" w:rsidRPr="00C210AD">
        <w:rPr>
          <w:rFonts w:ascii="Cambria" w:hAnsi="Cambria" w:cs="Cambria"/>
          <w:lang w:val="en-US"/>
        </w:rPr>
        <w:t>0.59/100,000</w:t>
      </w:r>
      <w:r w:rsidR="00D603F4" w:rsidRPr="00C210AD">
        <w:rPr>
          <w:rFonts w:ascii="Cambria" w:hAnsi="Cambria" w:cs="Cambria"/>
          <w:lang w:val="en-US"/>
        </w:rPr>
        <w:t xml:space="preserve"> in </w:t>
      </w:r>
      <w:r w:rsidR="00680F6A">
        <w:rPr>
          <w:rFonts w:ascii="Cambria" w:hAnsi="Cambria" w:cs="Cambria"/>
          <w:lang w:val="en-US"/>
        </w:rPr>
        <w:t>boys</w:t>
      </w:r>
      <w:r w:rsidR="00D603F4" w:rsidRPr="00C210AD">
        <w:rPr>
          <w:rFonts w:ascii="Cambria" w:hAnsi="Cambria" w:cs="Cambria"/>
          <w:lang w:val="en-US"/>
        </w:rPr>
        <w:t xml:space="preserve"> and</w:t>
      </w:r>
      <w:r w:rsidR="00680F6A">
        <w:rPr>
          <w:rFonts w:ascii="Cambria" w:hAnsi="Cambria" w:cs="Cambria"/>
          <w:lang w:val="en-US"/>
        </w:rPr>
        <w:t xml:space="preserve"> </w:t>
      </w:r>
      <w:r w:rsidR="00680F6A" w:rsidRPr="00C210AD">
        <w:rPr>
          <w:rFonts w:ascii="Cambria" w:hAnsi="Cambria" w:cs="Cambria"/>
          <w:lang w:val="en-US"/>
        </w:rPr>
        <w:t>0.56/100,000</w:t>
      </w:r>
      <w:r w:rsidR="00680F6A">
        <w:rPr>
          <w:rFonts w:ascii="Cambria" w:hAnsi="Cambria" w:cs="Cambria"/>
          <w:lang w:val="en-US"/>
        </w:rPr>
        <w:t xml:space="preserve"> in girls</w:t>
      </w:r>
      <w:r w:rsidR="00D603F4" w:rsidRPr="00A34B9A">
        <w:rPr>
          <w:rFonts w:ascii="Cambria" w:hAnsi="Cambria" w:cs="Cambria"/>
          <w:lang w:val="en-US"/>
        </w:rPr>
        <w:t>.</w:t>
      </w:r>
      <w:r w:rsidR="00231E7E">
        <w:rPr>
          <w:rFonts w:ascii="Cambria" w:hAnsi="Cambria" w:cs="Cambria"/>
          <w:lang w:val="en-US"/>
        </w:rPr>
        <w:t xml:space="preserve"> </w:t>
      </w:r>
      <w:r w:rsidR="00A34B9A">
        <w:rPr>
          <w:rFonts w:ascii="Cambria" w:hAnsi="Cambria" w:cs="Cambria"/>
          <w:lang w:val="en-US"/>
        </w:rPr>
        <w:t>IP</w:t>
      </w:r>
      <w:r w:rsidR="005002A2">
        <w:rPr>
          <w:rFonts w:ascii="Cambria" w:hAnsi="Cambria" w:cs="Cambria"/>
          <w:lang w:val="en-US"/>
        </w:rPr>
        <w:t>D</w:t>
      </w:r>
      <w:r w:rsidR="00A34B9A">
        <w:rPr>
          <w:rFonts w:ascii="Cambria" w:hAnsi="Cambria" w:cs="Cambria"/>
          <w:lang w:val="en-US"/>
        </w:rPr>
        <w:t>-related mortality rate declined from 1</w:t>
      </w:r>
      <w:r w:rsidR="00741A5B">
        <w:rPr>
          <w:rFonts w:ascii="Cambria" w:hAnsi="Cambria" w:cs="Cambria"/>
          <w:lang w:val="en-US"/>
        </w:rPr>
        <w:t>.25/100,000 (2</w:t>
      </w:r>
      <w:r w:rsidR="001B0648">
        <w:rPr>
          <w:rFonts w:ascii="Cambria" w:hAnsi="Cambria" w:cs="Cambria"/>
          <w:lang w:val="en-US"/>
        </w:rPr>
        <w:t>006/07) to 0.60</w:t>
      </w:r>
      <w:r w:rsidR="00724AA1">
        <w:rPr>
          <w:rFonts w:ascii="Cambria" w:hAnsi="Cambria" w:cs="Cambria"/>
          <w:lang w:val="en-US"/>
        </w:rPr>
        <w:t>/100,000 (2009/10</w:t>
      </w:r>
      <w:r w:rsidR="00A34B9A">
        <w:rPr>
          <w:rFonts w:ascii="Cambria" w:hAnsi="Cambria" w:cs="Cambria"/>
          <w:lang w:val="en-US"/>
        </w:rPr>
        <w:t>) after PCV7 introduction</w:t>
      </w:r>
      <w:r w:rsidR="00C035D5">
        <w:rPr>
          <w:rFonts w:ascii="Cambria" w:hAnsi="Cambria" w:cs="Cambria"/>
          <w:lang w:val="en-US"/>
        </w:rPr>
        <w:t xml:space="preserve"> and</w:t>
      </w:r>
      <w:r w:rsidR="001B0648">
        <w:rPr>
          <w:rFonts w:ascii="Cambria" w:hAnsi="Cambria" w:cs="Cambria"/>
          <w:lang w:val="en-US"/>
        </w:rPr>
        <w:t xml:space="preserve"> 0.31</w:t>
      </w:r>
      <w:r w:rsidR="00A02D82">
        <w:rPr>
          <w:rFonts w:ascii="Cambria" w:hAnsi="Cambria" w:cs="Cambria"/>
          <w:lang w:val="en-US"/>
        </w:rPr>
        <w:t xml:space="preserve">/100,000 </w:t>
      </w:r>
      <w:r w:rsidR="00C035D5">
        <w:rPr>
          <w:rFonts w:ascii="Cambria" w:hAnsi="Cambria" w:cs="Cambria"/>
          <w:lang w:val="en-US"/>
        </w:rPr>
        <w:t>(</w:t>
      </w:r>
      <w:r w:rsidR="00A02D82">
        <w:rPr>
          <w:rFonts w:ascii="Cambria" w:hAnsi="Cambria" w:cs="Cambria"/>
          <w:lang w:val="en-US"/>
        </w:rPr>
        <w:t>20</w:t>
      </w:r>
      <w:r w:rsidR="001B0648">
        <w:rPr>
          <w:rFonts w:ascii="Cambria" w:hAnsi="Cambria" w:cs="Cambria"/>
          <w:lang w:val="en-US"/>
        </w:rPr>
        <w:t>12</w:t>
      </w:r>
      <w:r w:rsidR="00A02D82">
        <w:rPr>
          <w:rFonts w:ascii="Cambria" w:hAnsi="Cambria" w:cs="Cambria"/>
          <w:lang w:val="en-US"/>
        </w:rPr>
        <w:t>/</w:t>
      </w:r>
      <w:r w:rsidR="001B0648">
        <w:rPr>
          <w:rFonts w:ascii="Cambria" w:hAnsi="Cambria" w:cs="Cambria"/>
          <w:lang w:val="en-US"/>
        </w:rPr>
        <w:t>13</w:t>
      </w:r>
      <w:r w:rsidR="00C035D5">
        <w:rPr>
          <w:rFonts w:ascii="Cambria" w:hAnsi="Cambria" w:cs="Cambria"/>
          <w:lang w:val="en-US"/>
        </w:rPr>
        <w:t>)</w:t>
      </w:r>
      <w:r w:rsidR="00A02D82">
        <w:rPr>
          <w:rFonts w:ascii="Cambria" w:hAnsi="Cambria" w:cs="Cambria"/>
          <w:lang w:val="en-US"/>
        </w:rPr>
        <w:t xml:space="preserve"> following PCV13 introduction</w:t>
      </w:r>
      <w:r w:rsidR="00C035D5">
        <w:rPr>
          <w:rFonts w:ascii="Cambria" w:hAnsi="Cambria" w:cs="Cambria"/>
          <w:lang w:val="en-US"/>
        </w:rPr>
        <w:t xml:space="preserve"> (</w:t>
      </w:r>
      <w:r w:rsidR="00C035D5">
        <w:rPr>
          <w:rFonts w:ascii="Cambria" w:hAnsi="Cambria" w:cs="Cambria"/>
          <w:b/>
          <w:lang w:val="en-US"/>
        </w:rPr>
        <w:t>Figure 2</w:t>
      </w:r>
      <w:r w:rsidR="00C035D5">
        <w:rPr>
          <w:rFonts w:ascii="Cambria" w:hAnsi="Cambria" w:cs="Cambria"/>
          <w:lang w:val="en-US"/>
        </w:rPr>
        <w:t>)</w:t>
      </w:r>
      <w:r w:rsidR="00A02D82">
        <w:rPr>
          <w:rFonts w:ascii="Cambria" w:hAnsi="Cambria" w:cs="Cambria"/>
          <w:lang w:val="en-US"/>
        </w:rPr>
        <w:t>. In 2013/14, the I</w:t>
      </w:r>
      <w:r w:rsidR="00081A03">
        <w:rPr>
          <w:rFonts w:ascii="Cambria" w:hAnsi="Cambria" w:cs="Cambria"/>
          <w:lang w:val="en-US"/>
        </w:rPr>
        <w:t>PD</w:t>
      </w:r>
      <w:r w:rsidR="00C035D5">
        <w:rPr>
          <w:rFonts w:ascii="Cambria" w:hAnsi="Cambria" w:cs="Cambria"/>
          <w:lang w:val="en-US"/>
        </w:rPr>
        <w:t>-</w:t>
      </w:r>
      <w:r w:rsidR="00081A03">
        <w:rPr>
          <w:rFonts w:ascii="Cambria" w:hAnsi="Cambria" w:cs="Cambria"/>
          <w:lang w:val="en-US"/>
        </w:rPr>
        <w:t xml:space="preserve">related mortality rate </w:t>
      </w:r>
      <w:r w:rsidR="00C035D5">
        <w:rPr>
          <w:rFonts w:ascii="Cambria" w:hAnsi="Cambria" w:cs="Cambria"/>
          <w:lang w:val="en-US"/>
        </w:rPr>
        <w:t xml:space="preserve">in &lt;5 year olds </w:t>
      </w:r>
      <w:r w:rsidR="00081A03">
        <w:rPr>
          <w:rFonts w:ascii="Cambria" w:hAnsi="Cambria" w:cs="Cambria"/>
          <w:lang w:val="en-US"/>
        </w:rPr>
        <w:t>was 0.39</w:t>
      </w:r>
      <w:r w:rsidR="00A02D82">
        <w:rPr>
          <w:rFonts w:ascii="Cambria" w:hAnsi="Cambria" w:cs="Cambria"/>
          <w:lang w:val="en-US"/>
        </w:rPr>
        <w:t>/100,000</w:t>
      </w:r>
      <w:r w:rsidR="000E49C1">
        <w:rPr>
          <w:rFonts w:ascii="Cambria" w:hAnsi="Cambria" w:cs="Cambria"/>
          <w:lang w:val="en-US"/>
        </w:rPr>
        <w:t xml:space="preserve"> (</w:t>
      </w:r>
      <w:r w:rsidR="00C035D5">
        <w:rPr>
          <w:rFonts w:ascii="Cambria" w:hAnsi="Cambria" w:cs="Cambria"/>
          <w:lang w:val="en-US"/>
        </w:rPr>
        <w:t>n=</w:t>
      </w:r>
      <w:r w:rsidR="000E49C1">
        <w:rPr>
          <w:rFonts w:ascii="Cambria" w:hAnsi="Cambria" w:cs="Cambria"/>
          <w:lang w:val="en-US"/>
        </w:rPr>
        <w:t>14</w:t>
      </w:r>
      <w:r w:rsidR="00192A66">
        <w:rPr>
          <w:rFonts w:ascii="Cambria" w:hAnsi="Cambria" w:cs="Cambria"/>
          <w:lang w:val="en-US"/>
        </w:rPr>
        <w:t>; incidence r</w:t>
      </w:r>
      <w:r w:rsidR="00C405BC">
        <w:rPr>
          <w:rFonts w:ascii="Cambria" w:hAnsi="Cambria" w:cs="Cambria"/>
          <w:lang w:val="en-US"/>
        </w:rPr>
        <w:t>ate</w:t>
      </w:r>
      <w:r w:rsidR="00192A66">
        <w:rPr>
          <w:rFonts w:ascii="Cambria" w:hAnsi="Cambria" w:cs="Cambria"/>
          <w:lang w:val="en-US"/>
        </w:rPr>
        <w:t xml:space="preserve"> ratio</w:t>
      </w:r>
      <w:r w:rsidR="00C035D5">
        <w:rPr>
          <w:rFonts w:ascii="Cambria" w:hAnsi="Cambria" w:cs="Cambria"/>
          <w:lang w:val="en-US"/>
        </w:rPr>
        <w:t xml:space="preserve"> compared to 2006/7</w:t>
      </w:r>
      <w:r w:rsidR="00192A66">
        <w:rPr>
          <w:rFonts w:ascii="Cambria" w:hAnsi="Cambria" w:cs="Cambria"/>
          <w:lang w:val="en-US"/>
        </w:rPr>
        <w:t>, 0.31; 95% CI, 0.16-0.61; P=0.0003</w:t>
      </w:r>
      <w:r w:rsidR="000E49C1">
        <w:rPr>
          <w:rFonts w:ascii="Cambria" w:hAnsi="Cambria" w:cs="Cambria"/>
          <w:lang w:val="en-US"/>
        </w:rPr>
        <w:t>)</w:t>
      </w:r>
      <w:r w:rsidR="004C0282">
        <w:rPr>
          <w:rFonts w:ascii="Cambria" w:hAnsi="Cambria" w:cs="Cambria"/>
          <w:b/>
          <w:bCs/>
          <w:sz w:val="28"/>
          <w:szCs w:val="28"/>
          <w:lang w:val="en-US"/>
        </w:rPr>
        <w:t>.</w:t>
      </w:r>
      <w:r w:rsidR="00C83D65">
        <w:rPr>
          <w:rFonts w:ascii="Cambria" w:hAnsi="Cambria" w:cs="Cambria"/>
          <w:lang w:val="en-US"/>
        </w:rPr>
        <w:t xml:space="preserve"> </w:t>
      </w:r>
      <w:r w:rsidR="00264C80">
        <w:rPr>
          <w:rFonts w:ascii="Cambria" w:hAnsi="Cambria" w:cs="Cambria"/>
          <w:lang w:val="en-US"/>
        </w:rPr>
        <w:t>Three deaths were due to PCV7 serotypes, including two infants with serotype 19F IPD who were too young to be immun</w:t>
      </w:r>
      <w:r w:rsidR="00BA332A">
        <w:rPr>
          <w:rFonts w:ascii="Cambria" w:hAnsi="Cambria" w:cs="Cambria"/>
          <w:lang w:val="en-US"/>
        </w:rPr>
        <w:t>ize</w:t>
      </w:r>
      <w:r w:rsidR="00264C80">
        <w:rPr>
          <w:rFonts w:ascii="Cambria" w:hAnsi="Cambria" w:cs="Cambria"/>
          <w:lang w:val="en-US"/>
        </w:rPr>
        <w:t>d and one fully immun</w:t>
      </w:r>
      <w:r w:rsidR="00BA332A">
        <w:rPr>
          <w:rFonts w:ascii="Cambria" w:hAnsi="Cambria" w:cs="Cambria"/>
          <w:lang w:val="en-US"/>
        </w:rPr>
        <w:t>ize</w:t>
      </w:r>
      <w:r w:rsidR="00264C80">
        <w:rPr>
          <w:rFonts w:ascii="Cambria" w:hAnsi="Cambria" w:cs="Cambria"/>
          <w:lang w:val="en-US"/>
        </w:rPr>
        <w:t xml:space="preserve">d toddler </w:t>
      </w:r>
      <w:r w:rsidR="00C83D65">
        <w:rPr>
          <w:rFonts w:ascii="Cambria" w:hAnsi="Cambria" w:cs="Cambria"/>
          <w:lang w:val="en-US"/>
        </w:rPr>
        <w:t xml:space="preserve">with serotype 14 IPD an </w:t>
      </w:r>
      <w:r w:rsidR="00264C80">
        <w:rPr>
          <w:rFonts w:ascii="Cambria" w:hAnsi="Cambria" w:cs="Cambria"/>
          <w:lang w:val="en-US"/>
        </w:rPr>
        <w:t>asple</w:t>
      </w:r>
      <w:r w:rsidR="00264C80">
        <w:rPr>
          <w:rFonts w:ascii="Cambria" w:hAnsi="Cambria" w:cs="Cambria"/>
          <w:lang w:val="en-US"/>
        </w:rPr>
        <w:lastRenderedPageBreak/>
        <w:t xml:space="preserve">nia </w:t>
      </w:r>
      <w:r w:rsidR="00C83D65">
        <w:rPr>
          <w:rFonts w:ascii="Cambria" w:hAnsi="Cambria" w:cs="Cambria"/>
          <w:lang w:val="en-US"/>
        </w:rPr>
        <w:t xml:space="preserve">diagnosed at </w:t>
      </w:r>
      <w:r w:rsidR="00264C80">
        <w:rPr>
          <w:rFonts w:ascii="Cambria" w:hAnsi="Cambria" w:cs="Cambria"/>
          <w:lang w:val="en-US"/>
        </w:rPr>
        <w:t xml:space="preserve">post-mortem. Eight other deaths </w:t>
      </w:r>
      <w:r w:rsidR="00C83D65">
        <w:rPr>
          <w:rFonts w:ascii="Cambria" w:hAnsi="Cambria" w:cs="Cambria"/>
          <w:lang w:val="en-US"/>
        </w:rPr>
        <w:t xml:space="preserve">(two neonates, </w:t>
      </w:r>
      <w:r w:rsidR="00E544F3">
        <w:rPr>
          <w:rFonts w:ascii="Cambria" w:hAnsi="Cambria" w:cs="Cambria"/>
          <w:lang w:val="en-US"/>
        </w:rPr>
        <w:t xml:space="preserve">aged 1-11 months and </w:t>
      </w:r>
      <w:r w:rsidR="00490176">
        <w:rPr>
          <w:rFonts w:ascii="Cambria" w:hAnsi="Cambria" w:cs="Cambria"/>
          <w:lang w:val="en-US"/>
        </w:rPr>
        <w:t xml:space="preserve">3 older children) </w:t>
      </w:r>
      <w:r w:rsidR="00264C80">
        <w:rPr>
          <w:rFonts w:ascii="Cambria" w:hAnsi="Cambria" w:cs="Cambria"/>
          <w:lang w:val="en-US"/>
        </w:rPr>
        <w:t>were due to NVT</w:t>
      </w:r>
      <w:r w:rsidR="00964CC1">
        <w:rPr>
          <w:rFonts w:ascii="Cambria" w:hAnsi="Cambria" w:cs="Cambria"/>
          <w:lang w:val="en-US"/>
        </w:rPr>
        <w:t>, with no serotype predominance,</w:t>
      </w:r>
      <w:r w:rsidR="00371092">
        <w:rPr>
          <w:rFonts w:ascii="Cambria" w:hAnsi="Cambria" w:cs="Cambria"/>
          <w:lang w:val="en-US"/>
        </w:rPr>
        <w:t xml:space="preserve"> and four </w:t>
      </w:r>
      <w:r w:rsidR="00264C80">
        <w:rPr>
          <w:rFonts w:ascii="Cambria" w:hAnsi="Cambria" w:cs="Cambria"/>
          <w:lang w:val="en-US"/>
        </w:rPr>
        <w:t>(50%) had underlying comorbidities.</w:t>
      </w:r>
    </w:p>
    <w:p w14:paraId="69E426F3" w14:textId="77777777" w:rsidR="00264C80" w:rsidRDefault="00264C80" w:rsidP="00E41469">
      <w:pPr>
        <w:widowControl w:val="0"/>
        <w:autoSpaceDE w:val="0"/>
        <w:autoSpaceDN w:val="0"/>
        <w:adjustRightInd w:val="0"/>
        <w:spacing w:line="480" w:lineRule="auto"/>
        <w:rPr>
          <w:rFonts w:ascii="Cambria" w:hAnsi="Cambria" w:cs="Cambria"/>
          <w:b/>
          <w:bCs/>
          <w:sz w:val="28"/>
          <w:szCs w:val="28"/>
          <w:lang w:val="en-US"/>
        </w:rPr>
      </w:pPr>
    </w:p>
    <w:p w14:paraId="70B7387A" w14:textId="77777777" w:rsidR="00A21996" w:rsidRDefault="008A710D" w:rsidP="00A3236D">
      <w:pPr>
        <w:widowControl w:val="0"/>
        <w:autoSpaceDE w:val="0"/>
        <w:autoSpaceDN w:val="0"/>
        <w:adjustRightInd w:val="0"/>
        <w:spacing w:line="480" w:lineRule="auto"/>
        <w:outlineLvl w:val="0"/>
        <w:rPr>
          <w:rFonts w:ascii="Cambria" w:hAnsi="Cambria" w:cs="Cambria"/>
          <w:lang w:val="en-US"/>
        </w:rPr>
      </w:pPr>
      <w:r>
        <w:rPr>
          <w:rFonts w:ascii="Cambria" w:hAnsi="Cambria" w:cs="Cambria"/>
          <w:b/>
          <w:bCs/>
          <w:sz w:val="28"/>
          <w:szCs w:val="28"/>
          <w:lang w:val="en-US"/>
        </w:rPr>
        <w:t>Clinical Presentation</w:t>
      </w:r>
    </w:p>
    <w:p w14:paraId="3FFE985B" w14:textId="2AF7C1B7" w:rsidR="0003567B" w:rsidRDefault="00BC62B9" w:rsidP="00E41469">
      <w:pPr>
        <w:widowControl w:val="0"/>
        <w:autoSpaceDE w:val="0"/>
        <w:autoSpaceDN w:val="0"/>
        <w:adjustRightInd w:val="0"/>
        <w:spacing w:line="480" w:lineRule="auto"/>
        <w:rPr>
          <w:rFonts w:ascii="Cambria" w:hAnsi="Cambria" w:cs="Cambria"/>
          <w:lang w:val="en-US"/>
        </w:rPr>
      </w:pPr>
      <w:r w:rsidRPr="00530395">
        <w:rPr>
          <w:rFonts w:ascii="Cambria" w:hAnsi="Cambria" w:cs="Cambria"/>
          <w:lang w:val="en-US"/>
        </w:rPr>
        <w:t xml:space="preserve">Of </w:t>
      </w:r>
      <w:r w:rsidR="008A710D" w:rsidRPr="00530395">
        <w:rPr>
          <w:rFonts w:ascii="Cambria" w:hAnsi="Cambria" w:cs="Cambria"/>
          <w:lang w:val="en-US"/>
        </w:rPr>
        <w:t>the 150 IPD-</w:t>
      </w:r>
      <w:r w:rsidR="00E22D8A">
        <w:rPr>
          <w:rFonts w:ascii="Cambria" w:hAnsi="Cambria" w:cs="Cambria"/>
          <w:lang w:val="en-US"/>
        </w:rPr>
        <w:t>related</w:t>
      </w:r>
      <w:r w:rsidR="00E22D8A" w:rsidRPr="00530395">
        <w:rPr>
          <w:rFonts w:ascii="Cambria" w:hAnsi="Cambria" w:cs="Cambria"/>
          <w:lang w:val="en-US"/>
        </w:rPr>
        <w:t xml:space="preserve"> </w:t>
      </w:r>
      <w:r w:rsidR="008A710D" w:rsidRPr="00530395">
        <w:rPr>
          <w:rFonts w:ascii="Cambria" w:hAnsi="Cambria" w:cs="Cambria"/>
          <w:lang w:val="en-US"/>
        </w:rPr>
        <w:t>deaths, meningitis was the most co</w:t>
      </w:r>
      <w:r w:rsidR="000B7511" w:rsidRPr="00530395">
        <w:rPr>
          <w:rFonts w:ascii="Cambria" w:hAnsi="Cambria" w:cs="Cambria"/>
          <w:lang w:val="en-US"/>
        </w:rPr>
        <w:t>mmon clinical presentation (n=71, 47</w:t>
      </w:r>
      <w:r w:rsidR="008A710D" w:rsidRPr="00530395">
        <w:rPr>
          <w:rFonts w:ascii="Cambria" w:hAnsi="Cambria" w:cs="Cambria"/>
          <w:lang w:val="en-US"/>
        </w:rPr>
        <w:t>%), foll</w:t>
      </w:r>
      <w:r w:rsidR="00A377F3" w:rsidRPr="00530395">
        <w:rPr>
          <w:rFonts w:ascii="Cambria" w:hAnsi="Cambria" w:cs="Cambria"/>
          <w:lang w:val="en-US"/>
        </w:rPr>
        <w:t xml:space="preserve">owed by </w:t>
      </w:r>
      <w:r w:rsidRPr="00530395">
        <w:rPr>
          <w:rFonts w:ascii="Cambria" w:hAnsi="Cambria" w:cs="Cambria"/>
          <w:lang w:val="en-US"/>
        </w:rPr>
        <w:t xml:space="preserve">bacteremic </w:t>
      </w:r>
      <w:r w:rsidR="00A377F3" w:rsidRPr="00530395">
        <w:rPr>
          <w:rFonts w:ascii="Cambria" w:hAnsi="Cambria" w:cs="Cambria"/>
          <w:lang w:val="en-US"/>
        </w:rPr>
        <w:t>pneum</w:t>
      </w:r>
      <w:r w:rsidR="000C4CCD" w:rsidRPr="00530395">
        <w:rPr>
          <w:rFonts w:ascii="Cambria" w:hAnsi="Cambria" w:cs="Cambria"/>
          <w:lang w:val="en-US"/>
        </w:rPr>
        <w:t>onia (n=43, 2</w:t>
      </w:r>
      <w:r w:rsidR="000C2653" w:rsidRPr="00530395">
        <w:rPr>
          <w:rFonts w:ascii="Cambria" w:hAnsi="Cambria" w:cs="Cambria"/>
          <w:lang w:val="en-US"/>
        </w:rPr>
        <w:t>9</w:t>
      </w:r>
      <w:r w:rsidR="000C4CCD" w:rsidRPr="00530395">
        <w:rPr>
          <w:rFonts w:ascii="Cambria" w:hAnsi="Cambria" w:cs="Cambria"/>
          <w:lang w:val="en-US"/>
        </w:rPr>
        <w:t xml:space="preserve">%) and </w:t>
      </w:r>
      <w:r w:rsidR="005F48A2" w:rsidRPr="00530395">
        <w:rPr>
          <w:rFonts w:ascii="Cambria" w:hAnsi="Cambria" w:cs="Cambria"/>
          <w:lang w:val="en-US"/>
        </w:rPr>
        <w:t>septicemia</w:t>
      </w:r>
      <w:r w:rsidR="00A377F3" w:rsidRPr="00530395">
        <w:rPr>
          <w:rFonts w:ascii="Cambria" w:hAnsi="Cambria" w:cs="Cambria"/>
          <w:lang w:val="en-US"/>
        </w:rPr>
        <w:t xml:space="preserve"> (n=36</w:t>
      </w:r>
      <w:r w:rsidR="000B7511" w:rsidRPr="00530395">
        <w:rPr>
          <w:rFonts w:ascii="Cambria" w:hAnsi="Cambria" w:cs="Cambria"/>
          <w:lang w:val="en-US"/>
        </w:rPr>
        <w:t>, 24</w:t>
      </w:r>
      <w:r w:rsidR="008A710D" w:rsidRPr="00530395">
        <w:rPr>
          <w:rFonts w:ascii="Cambria" w:hAnsi="Cambria" w:cs="Cambria"/>
          <w:lang w:val="en-US"/>
        </w:rPr>
        <w:t>%) (</w:t>
      </w:r>
      <w:r w:rsidR="00A6704D" w:rsidRPr="00530395">
        <w:rPr>
          <w:rFonts w:ascii="Cambria" w:hAnsi="Cambria" w:cs="Cambria"/>
          <w:b/>
          <w:bCs/>
          <w:lang w:val="en-US"/>
        </w:rPr>
        <w:t>Table</w:t>
      </w:r>
      <w:r w:rsidR="008A710D" w:rsidRPr="00530395">
        <w:rPr>
          <w:rFonts w:ascii="Cambria" w:hAnsi="Cambria" w:cs="Cambria"/>
          <w:b/>
          <w:bCs/>
          <w:lang w:val="en-US"/>
        </w:rPr>
        <w:t>1</w:t>
      </w:r>
      <w:r w:rsidR="008A710D" w:rsidRPr="00530395">
        <w:rPr>
          <w:rFonts w:ascii="Cambria" w:hAnsi="Cambria" w:cs="Cambria"/>
          <w:lang w:val="en-US"/>
        </w:rPr>
        <w:t xml:space="preserve">). </w:t>
      </w:r>
      <w:r w:rsidR="00706EC5" w:rsidRPr="00530395">
        <w:rPr>
          <w:rFonts w:ascii="Cambria" w:hAnsi="Cambria" w:cs="Cambria"/>
          <w:lang w:val="en-US"/>
        </w:rPr>
        <w:t xml:space="preserve">Notably, the clinical presentation did not vary by </w:t>
      </w:r>
      <w:r w:rsidR="004673D0" w:rsidRPr="00530395">
        <w:rPr>
          <w:rFonts w:ascii="Cambria" w:hAnsi="Cambria" w:cs="Cambria"/>
          <w:lang w:val="en-US"/>
        </w:rPr>
        <w:t xml:space="preserve">vaccine </w:t>
      </w:r>
      <w:r w:rsidR="00FA5081" w:rsidRPr="00530395">
        <w:rPr>
          <w:rFonts w:ascii="Cambria" w:hAnsi="Cambria" w:cs="Cambria"/>
          <w:lang w:val="en-US"/>
        </w:rPr>
        <w:t>group</w:t>
      </w:r>
      <w:r w:rsidR="0003567B" w:rsidRPr="00530395">
        <w:rPr>
          <w:rFonts w:ascii="Cambria" w:hAnsi="Cambria" w:cs="Cambria"/>
          <w:lang w:val="en-US"/>
        </w:rPr>
        <w:t xml:space="preserve"> (</w:t>
      </w:r>
      <w:r w:rsidR="00D27E63" w:rsidRPr="00530395">
        <w:rPr>
          <w:rFonts w:ascii="Cambria" w:hAnsi="Cambria" w:cs="Cambria"/>
          <w:b/>
          <w:lang w:val="en-US"/>
        </w:rPr>
        <w:t xml:space="preserve">Figure </w:t>
      </w:r>
      <w:r w:rsidR="00B20C54" w:rsidRPr="00530395">
        <w:rPr>
          <w:rFonts w:ascii="Cambria" w:hAnsi="Cambria" w:cs="Cambria"/>
          <w:b/>
          <w:lang w:val="en-US"/>
        </w:rPr>
        <w:t>3</w:t>
      </w:r>
      <w:r w:rsidR="0003567B" w:rsidRPr="00530395">
        <w:rPr>
          <w:rFonts w:ascii="Cambria" w:hAnsi="Cambria" w:cs="Cambria"/>
          <w:lang w:val="en-US"/>
        </w:rPr>
        <w:t>)</w:t>
      </w:r>
      <w:r w:rsidR="000A3F58" w:rsidRPr="00530395">
        <w:rPr>
          <w:rFonts w:ascii="Cambria" w:hAnsi="Cambria" w:cs="Cambria"/>
          <w:lang w:val="en-US"/>
        </w:rPr>
        <w:t>.</w:t>
      </w:r>
      <w:r w:rsidR="00751D0C" w:rsidRPr="00530395">
        <w:rPr>
          <w:rFonts w:ascii="Cambria" w:hAnsi="Cambria" w:cs="Cambria"/>
          <w:lang w:val="en-US"/>
        </w:rPr>
        <w:t xml:space="preserve"> </w:t>
      </w:r>
    </w:p>
    <w:p w14:paraId="2527B49A" w14:textId="77777777" w:rsidR="0003567B" w:rsidRDefault="0003567B" w:rsidP="00E41469">
      <w:pPr>
        <w:widowControl w:val="0"/>
        <w:autoSpaceDE w:val="0"/>
        <w:autoSpaceDN w:val="0"/>
        <w:adjustRightInd w:val="0"/>
        <w:spacing w:line="480" w:lineRule="auto"/>
        <w:rPr>
          <w:rFonts w:ascii="Cambria" w:hAnsi="Cambria" w:cs="Cambria"/>
          <w:lang w:val="en-US"/>
        </w:rPr>
      </w:pPr>
    </w:p>
    <w:p w14:paraId="7F482DBE" w14:textId="77777777" w:rsidR="0035085D" w:rsidRDefault="0003567B" w:rsidP="00A3236D">
      <w:pPr>
        <w:widowControl w:val="0"/>
        <w:autoSpaceDE w:val="0"/>
        <w:autoSpaceDN w:val="0"/>
        <w:adjustRightInd w:val="0"/>
        <w:spacing w:line="480" w:lineRule="auto"/>
        <w:outlineLvl w:val="0"/>
        <w:rPr>
          <w:rFonts w:ascii="Cambria" w:hAnsi="Cambria" w:cs="Cambria"/>
          <w:b/>
          <w:bCs/>
          <w:sz w:val="28"/>
          <w:szCs w:val="28"/>
          <w:lang w:val="en-US"/>
        </w:rPr>
      </w:pPr>
      <w:r>
        <w:rPr>
          <w:rFonts w:ascii="Cambria" w:hAnsi="Cambria" w:cs="Cambria"/>
          <w:b/>
          <w:bCs/>
          <w:sz w:val="28"/>
          <w:szCs w:val="28"/>
          <w:lang w:val="en-US"/>
        </w:rPr>
        <w:t>Co-morbidities</w:t>
      </w:r>
    </w:p>
    <w:p w14:paraId="0F0FBBE7" w14:textId="77777777" w:rsidR="0036255D" w:rsidRDefault="00D30686" w:rsidP="00E41469">
      <w:pPr>
        <w:widowControl w:val="0"/>
        <w:autoSpaceDE w:val="0"/>
        <w:autoSpaceDN w:val="0"/>
        <w:adjustRightInd w:val="0"/>
        <w:spacing w:line="480" w:lineRule="auto"/>
        <w:rPr>
          <w:rFonts w:ascii="Cambria" w:hAnsi="Cambria" w:cs="Cambria"/>
          <w:iCs/>
          <w:lang w:val="en-US"/>
        </w:rPr>
      </w:pPr>
      <w:r>
        <w:rPr>
          <w:rFonts w:ascii="Cambria" w:hAnsi="Cambria" w:cs="Cambria"/>
          <w:lang w:val="en-US"/>
        </w:rPr>
        <w:t>A</w:t>
      </w:r>
      <w:r w:rsidR="0003567B">
        <w:rPr>
          <w:rFonts w:ascii="Cambria" w:hAnsi="Cambria" w:cs="Cambria"/>
          <w:lang w:val="en-US"/>
        </w:rPr>
        <w:t xml:space="preserve"> third </w:t>
      </w:r>
      <w:r w:rsidR="00751D0C">
        <w:rPr>
          <w:rFonts w:ascii="Cambria" w:hAnsi="Cambria" w:cs="Cambria"/>
          <w:lang w:val="en-US"/>
        </w:rPr>
        <w:t>(</w:t>
      </w:r>
      <w:r w:rsidR="0003567B">
        <w:rPr>
          <w:rFonts w:ascii="Cambria" w:hAnsi="Cambria" w:cs="Cambria"/>
          <w:lang w:val="en-US"/>
        </w:rPr>
        <w:t>53/150</w:t>
      </w:r>
      <w:r w:rsidR="00751D0C">
        <w:rPr>
          <w:rFonts w:ascii="Cambria" w:hAnsi="Cambria" w:cs="Cambria"/>
          <w:lang w:val="en-US"/>
        </w:rPr>
        <w:t>, 35%</w:t>
      </w:r>
      <w:r w:rsidR="0003567B">
        <w:rPr>
          <w:rFonts w:ascii="Cambria" w:hAnsi="Cambria" w:cs="Cambria"/>
          <w:lang w:val="en-US"/>
        </w:rPr>
        <w:t xml:space="preserve">) of children had </w:t>
      </w:r>
      <w:r w:rsidR="00751D0C">
        <w:rPr>
          <w:rFonts w:ascii="Cambria" w:hAnsi="Cambria" w:cs="Cambria"/>
          <w:lang w:val="en-US"/>
        </w:rPr>
        <w:t xml:space="preserve">an </w:t>
      </w:r>
      <w:r w:rsidR="0003567B">
        <w:rPr>
          <w:rFonts w:ascii="Cambria" w:hAnsi="Cambria" w:cs="Cambria"/>
          <w:lang w:val="en-US"/>
        </w:rPr>
        <w:t>underlying co</w:t>
      </w:r>
      <w:r>
        <w:rPr>
          <w:rFonts w:ascii="Cambria" w:hAnsi="Cambria" w:cs="Cambria"/>
          <w:lang w:val="en-US"/>
        </w:rPr>
        <w:t>-</w:t>
      </w:r>
      <w:r w:rsidR="0003567B">
        <w:rPr>
          <w:rFonts w:ascii="Cambria" w:hAnsi="Cambria" w:cs="Cambria"/>
          <w:lang w:val="en-US"/>
        </w:rPr>
        <w:t>morbidity</w:t>
      </w:r>
      <w:r>
        <w:rPr>
          <w:rFonts w:ascii="Cambria" w:hAnsi="Cambria" w:cs="Cambria"/>
          <w:lang w:val="en-US"/>
        </w:rPr>
        <w:t xml:space="preserve">, which </w:t>
      </w:r>
      <w:r w:rsidR="0036255D">
        <w:rPr>
          <w:rFonts w:ascii="Cambria" w:hAnsi="Cambria" w:cs="Cambria"/>
          <w:lang w:val="en-US"/>
        </w:rPr>
        <w:t xml:space="preserve">did not vary with age (range, 30-50%). The main comorbidities included </w:t>
      </w:r>
      <w:r w:rsidR="00751D0C" w:rsidRPr="00751D0C">
        <w:rPr>
          <w:rFonts w:ascii="Cambria" w:hAnsi="Cambria" w:cs="Cambria"/>
          <w:lang w:val="en-US"/>
        </w:rPr>
        <w:t>premature birth</w:t>
      </w:r>
      <w:r>
        <w:rPr>
          <w:rFonts w:ascii="Cambria" w:hAnsi="Cambria" w:cs="Cambria"/>
          <w:lang w:val="en-US"/>
        </w:rPr>
        <w:t xml:space="preserve">, </w:t>
      </w:r>
      <w:r w:rsidR="0003567B" w:rsidRPr="00751D0C">
        <w:rPr>
          <w:rFonts w:ascii="Cambria" w:hAnsi="Cambria" w:cs="Cambria"/>
          <w:lang w:val="en-US"/>
        </w:rPr>
        <w:t>(</w:t>
      </w:r>
      <w:r w:rsidR="00751D0C" w:rsidRPr="00751D0C">
        <w:rPr>
          <w:rFonts w:ascii="Cambria" w:hAnsi="Cambria" w:cs="Cambria"/>
          <w:lang w:val="en-US"/>
        </w:rPr>
        <w:t xml:space="preserve">n=18, </w:t>
      </w:r>
      <w:r w:rsidR="0003567B" w:rsidRPr="00751D0C">
        <w:rPr>
          <w:rFonts w:ascii="Cambria" w:hAnsi="Cambria" w:cs="Cambria"/>
          <w:lang w:val="en-US"/>
        </w:rPr>
        <w:t>12%</w:t>
      </w:r>
      <w:r w:rsidR="00751D0C" w:rsidRPr="00751D0C">
        <w:rPr>
          <w:rFonts w:ascii="Cambria" w:hAnsi="Cambria" w:cs="Cambria"/>
          <w:lang w:val="en-US"/>
        </w:rPr>
        <w:t xml:space="preserve">; including </w:t>
      </w:r>
      <w:r w:rsidR="0003567B" w:rsidRPr="00C210AD">
        <w:rPr>
          <w:rFonts w:ascii="Cambria" w:hAnsi="Cambria" w:cs="Cambria"/>
          <w:iCs/>
          <w:lang w:val="en-US"/>
        </w:rPr>
        <w:t xml:space="preserve">5/18 [28%] </w:t>
      </w:r>
      <w:r w:rsidR="00751D0C" w:rsidRPr="00C210AD">
        <w:rPr>
          <w:rFonts w:ascii="Cambria" w:hAnsi="Cambria" w:cs="Cambria"/>
          <w:iCs/>
          <w:lang w:val="en-US"/>
        </w:rPr>
        <w:t xml:space="preserve">who had been born at </w:t>
      </w:r>
      <w:r w:rsidR="0003567B" w:rsidRPr="00C210AD">
        <w:rPr>
          <w:rFonts w:ascii="Cambria" w:hAnsi="Cambria" w:cs="Cambria"/>
          <w:iCs/>
          <w:lang w:val="en-US"/>
        </w:rPr>
        <w:t>&lt;32 weeks gestation</w:t>
      </w:r>
      <w:r w:rsidR="00751D0C" w:rsidRPr="00C210AD">
        <w:rPr>
          <w:rFonts w:ascii="Cambria" w:hAnsi="Cambria" w:cs="Cambria"/>
          <w:iCs/>
          <w:lang w:val="en-US"/>
        </w:rPr>
        <w:t>)</w:t>
      </w:r>
      <w:r>
        <w:rPr>
          <w:rFonts w:ascii="Cambria" w:hAnsi="Cambria" w:cs="Cambria"/>
          <w:iCs/>
          <w:lang w:val="en-US"/>
        </w:rPr>
        <w:t>, especially in children who developed IPD in the first year of life,</w:t>
      </w:r>
      <w:r w:rsidR="00751D0C" w:rsidRPr="00C210AD">
        <w:rPr>
          <w:rFonts w:ascii="Cambria" w:hAnsi="Cambria" w:cs="Cambria"/>
          <w:iCs/>
          <w:lang w:val="en-US"/>
        </w:rPr>
        <w:t xml:space="preserve"> </w:t>
      </w:r>
      <w:r w:rsidR="0003567B">
        <w:rPr>
          <w:rFonts w:ascii="Cambria" w:hAnsi="Cambria" w:cs="Cambria"/>
          <w:lang w:val="en-US"/>
        </w:rPr>
        <w:t>and conge</w:t>
      </w:r>
      <w:r w:rsidR="0083633E">
        <w:rPr>
          <w:rFonts w:ascii="Cambria" w:hAnsi="Cambria" w:cs="Cambria"/>
          <w:lang w:val="en-US"/>
        </w:rPr>
        <w:t>nital heart disease (9%, n=13).</w:t>
      </w:r>
      <w:r>
        <w:rPr>
          <w:rFonts w:ascii="Cambria" w:hAnsi="Cambria" w:cs="Cambria"/>
          <w:iCs/>
          <w:lang w:val="en-US"/>
        </w:rPr>
        <w:t xml:space="preserve"> </w:t>
      </w:r>
      <w:r w:rsidR="00B37132">
        <w:rPr>
          <w:rFonts w:ascii="Cambria" w:hAnsi="Cambria" w:cs="Cambria"/>
          <w:iCs/>
          <w:lang w:val="en-US"/>
        </w:rPr>
        <w:t>The range of different co-morbidit</w:t>
      </w:r>
      <w:r w:rsidR="00A21996">
        <w:rPr>
          <w:rFonts w:ascii="Cambria" w:hAnsi="Cambria" w:cs="Cambria"/>
          <w:iCs/>
          <w:lang w:val="en-US"/>
        </w:rPr>
        <w:t>ies increased with age (</w:t>
      </w:r>
      <w:r w:rsidR="00A21996" w:rsidRPr="00A21996">
        <w:rPr>
          <w:rFonts w:ascii="Cambria" w:hAnsi="Cambria" w:cs="Cambria"/>
          <w:b/>
          <w:iCs/>
          <w:lang w:val="en-US"/>
        </w:rPr>
        <w:t>Table 1</w:t>
      </w:r>
      <w:r w:rsidR="00B37132">
        <w:rPr>
          <w:rFonts w:ascii="Cambria" w:hAnsi="Cambria" w:cs="Cambria"/>
          <w:iCs/>
          <w:lang w:val="en-US"/>
        </w:rPr>
        <w:t>)</w:t>
      </w:r>
      <w:r w:rsidR="0031100B">
        <w:rPr>
          <w:rFonts w:ascii="Cambria" w:hAnsi="Cambria" w:cs="Cambria"/>
          <w:iCs/>
          <w:lang w:val="en-US"/>
        </w:rPr>
        <w:t>.</w:t>
      </w:r>
    </w:p>
    <w:p w14:paraId="69A8335B" w14:textId="77777777" w:rsidR="0036255D" w:rsidRDefault="0036255D" w:rsidP="00E41469">
      <w:pPr>
        <w:widowControl w:val="0"/>
        <w:autoSpaceDE w:val="0"/>
        <w:autoSpaceDN w:val="0"/>
        <w:adjustRightInd w:val="0"/>
        <w:spacing w:line="480" w:lineRule="auto"/>
        <w:rPr>
          <w:rFonts w:ascii="Cambria" w:hAnsi="Cambria" w:cs="Cambria"/>
          <w:lang w:val="en-US"/>
        </w:rPr>
      </w:pPr>
    </w:p>
    <w:p w14:paraId="74C70ADD" w14:textId="4A61F92A" w:rsidR="0036255D" w:rsidRDefault="0003567B" w:rsidP="00E41469">
      <w:pPr>
        <w:widowControl w:val="0"/>
        <w:autoSpaceDE w:val="0"/>
        <w:autoSpaceDN w:val="0"/>
        <w:adjustRightInd w:val="0"/>
        <w:spacing w:line="480" w:lineRule="auto"/>
        <w:rPr>
          <w:rFonts w:ascii="Cambria" w:hAnsi="Cambria" w:cs="Cambria"/>
          <w:i/>
          <w:iCs/>
          <w:lang w:val="en-US"/>
        </w:rPr>
      </w:pPr>
      <w:r>
        <w:rPr>
          <w:rFonts w:ascii="Cambria" w:hAnsi="Cambria" w:cs="Cambria"/>
          <w:lang w:val="en-US"/>
        </w:rPr>
        <w:t xml:space="preserve">Comorbidity prevalence </w:t>
      </w:r>
      <w:r w:rsidR="00601C85">
        <w:rPr>
          <w:rFonts w:ascii="Cambria" w:hAnsi="Cambria" w:cs="Cambria"/>
          <w:lang w:val="en-US"/>
        </w:rPr>
        <w:t xml:space="preserve">was </w:t>
      </w:r>
      <w:r>
        <w:rPr>
          <w:rFonts w:ascii="Cambria" w:hAnsi="Cambria" w:cs="Cambria"/>
          <w:lang w:val="en-US"/>
        </w:rPr>
        <w:t xml:space="preserve">lower for PCV7 (4/24, 17%) and additional PCV13 (12/45, 27%) </w:t>
      </w:r>
      <w:r w:rsidR="0036255D">
        <w:rPr>
          <w:rFonts w:ascii="Cambria" w:hAnsi="Cambria" w:cs="Cambria"/>
          <w:lang w:val="en-US"/>
        </w:rPr>
        <w:t xml:space="preserve">serotypes </w:t>
      </w:r>
      <w:r>
        <w:rPr>
          <w:rFonts w:ascii="Cambria" w:hAnsi="Cambria" w:cs="Cambria"/>
          <w:lang w:val="en-US"/>
        </w:rPr>
        <w:t>compared to other (29/64, 45%) and unknown serotypes (8/18, 44%</w:t>
      </w:r>
      <w:r w:rsidR="00DC7E15">
        <w:rPr>
          <w:rFonts w:ascii="Cambria" w:hAnsi="Cambria" w:cs="Cambria"/>
          <w:lang w:val="en-US"/>
        </w:rPr>
        <w:t>;</w:t>
      </w:r>
      <w:r>
        <w:rPr>
          <w:rFonts w:ascii="Cambria" w:hAnsi="Cambria" w:cs="Cambria"/>
          <w:lang w:val="en-US"/>
        </w:rPr>
        <w:t xml:space="preserve"> </w:t>
      </w:r>
      <w:r>
        <w:rPr>
          <w:rFonts w:ascii="Cambria" w:hAnsi="Cambria" w:cs="Cambria"/>
          <w:i/>
          <w:iCs/>
          <w:lang w:val="en-US"/>
        </w:rPr>
        <w:t>P=0.035)</w:t>
      </w:r>
      <w:r w:rsidR="00601C85">
        <w:rPr>
          <w:rFonts w:ascii="Cambria" w:hAnsi="Cambria" w:cs="Cambria"/>
          <w:iCs/>
          <w:lang w:val="en-US"/>
        </w:rPr>
        <w:t xml:space="preserve">, </w:t>
      </w:r>
      <w:r w:rsidR="00220F47">
        <w:rPr>
          <w:rFonts w:ascii="Cambria" w:hAnsi="Cambria" w:cs="Cambria"/>
          <w:iCs/>
          <w:lang w:val="en-US"/>
        </w:rPr>
        <w:t>but</w:t>
      </w:r>
      <w:r w:rsidR="00DC7E15">
        <w:rPr>
          <w:rFonts w:ascii="Cambria" w:hAnsi="Cambria" w:cs="Cambria"/>
          <w:iCs/>
          <w:lang w:val="en-US"/>
        </w:rPr>
        <w:t xml:space="preserve"> </w:t>
      </w:r>
      <w:r w:rsidR="00601C85">
        <w:rPr>
          <w:rFonts w:ascii="Cambria" w:hAnsi="Cambria" w:cs="Cambria"/>
          <w:iCs/>
          <w:lang w:val="en-US"/>
        </w:rPr>
        <w:t xml:space="preserve">was not </w:t>
      </w:r>
      <w:r>
        <w:rPr>
          <w:rFonts w:ascii="Cambria" w:hAnsi="Cambria" w:cs="Cambria"/>
          <w:lang w:val="en-US"/>
        </w:rPr>
        <w:t>significantly different by diagnosis: meningitis (21/71, 30%), pneumonia (17/43, 40%) or septic</w:t>
      </w:r>
      <w:r w:rsidR="00A3236D">
        <w:rPr>
          <w:rFonts w:ascii="Cambria" w:hAnsi="Cambria" w:cs="Cambria"/>
          <w:lang w:val="en-US"/>
        </w:rPr>
        <w:t>e</w:t>
      </w:r>
      <w:r>
        <w:rPr>
          <w:rFonts w:ascii="Cambria" w:hAnsi="Cambria" w:cs="Cambria"/>
          <w:lang w:val="en-US"/>
        </w:rPr>
        <w:t>mia (15/37, 41%</w:t>
      </w:r>
      <w:r w:rsidR="00DC7E15">
        <w:rPr>
          <w:rFonts w:ascii="Cambria" w:hAnsi="Cambria" w:cs="Cambria"/>
          <w:lang w:val="en-US"/>
        </w:rPr>
        <w:t>;</w:t>
      </w:r>
      <w:r>
        <w:rPr>
          <w:rFonts w:ascii="Cambria" w:hAnsi="Cambria" w:cs="Cambria"/>
          <w:lang w:val="en-US"/>
        </w:rPr>
        <w:t xml:space="preserve"> </w:t>
      </w:r>
      <w:r>
        <w:rPr>
          <w:rFonts w:ascii="Cambria" w:hAnsi="Cambria" w:cs="Cambria"/>
          <w:i/>
          <w:iCs/>
          <w:lang w:val="en-US"/>
        </w:rPr>
        <w:t xml:space="preserve">P=0.41). </w:t>
      </w:r>
    </w:p>
    <w:p w14:paraId="12F8B434" w14:textId="77777777" w:rsidR="00445D15" w:rsidRDefault="00445D15" w:rsidP="00E41469">
      <w:pPr>
        <w:widowControl w:val="0"/>
        <w:autoSpaceDE w:val="0"/>
        <w:autoSpaceDN w:val="0"/>
        <w:adjustRightInd w:val="0"/>
        <w:spacing w:line="480" w:lineRule="auto"/>
        <w:rPr>
          <w:rFonts w:ascii="Cambria" w:hAnsi="Cambria" w:cs="Cambria"/>
          <w:iCs/>
          <w:lang w:val="en-US"/>
        </w:rPr>
      </w:pPr>
    </w:p>
    <w:p w14:paraId="6A25E25D" w14:textId="1CBCFBF2" w:rsidR="006707FB" w:rsidRDefault="006707FB" w:rsidP="002B0096">
      <w:pPr>
        <w:widowControl w:val="0"/>
        <w:autoSpaceDE w:val="0"/>
        <w:autoSpaceDN w:val="0"/>
        <w:adjustRightInd w:val="0"/>
        <w:spacing w:line="480" w:lineRule="auto"/>
        <w:rPr>
          <w:rFonts w:ascii="Cambria" w:hAnsi="Cambria" w:cs="Cambria"/>
          <w:lang w:val="en-US"/>
        </w:rPr>
      </w:pPr>
      <w:r>
        <w:rPr>
          <w:rFonts w:ascii="Cambria" w:hAnsi="Cambria" w:cs="Cambria"/>
          <w:lang w:val="en-US"/>
        </w:rPr>
        <w:t>In infants</w:t>
      </w:r>
      <w:r w:rsidR="008F43D2">
        <w:rPr>
          <w:rFonts w:ascii="Cambria" w:hAnsi="Cambria" w:cs="Cambria"/>
          <w:lang w:val="en-US"/>
        </w:rPr>
        <w:t xml:space="preserve"> (&lt;1 year-olds)</w:t>
      </w:r>
      <w:r>
        <w:rPr>
          <w:rFonts w:ascii="Cambria" w:hAnsi="Cambria" w:cs="Cambria"/>
          <w:lang w:val="en-US"/>
        </w:rPr>
        <w:t xml:space="preserve">, </w:t>
      </w:r>
      <w:r w:rsidR="004F3331">
        <w:rPr>
          <w:rFonts w:ascii="Cambria" w:hAnsi="Cambria" w:cs="Cambria"/>
          <w:lang w:val="en-US"/>
        </w:rPr>
        <w:t xml:space="preserve">nearly half the </w:t>
      </w:r>
      <w:r>
        <w:rPr>
          <w:rFonts w:ascii="Cambria" w:hAnsi="Cambria" w:cs="Cambria"/>
          <w:lang w:val="en-US"/>
        </w:rPr>
        <w:t>deaths (42/88</w:t>
      </w:r>
      <w:r w:rsidR="004F3331">
        <w:rPr>
          <w:rFonts w:ascii="Cambria" w:hAnsi="Cambria" w:cs="Cambria"/>
          <w:lang w:val="en-US"/>
        </w:rPr>
        <w:t>, 48</w:t>
      </w:r>
      <w:r>
        <w:rPr>
          <w:rFonts w:ascii="Cambria" w:hAnsi="Cambria" w:cs="Cambria"/>
          <w:lang w:val="en-US"/>
        </w:rPr>
        <w:t>%) occurred in &lt;3 month</w:t>
      </w:r>
      <w:r w:rsidR="00093945">
        <w:rPr>
          <w:rFonts w:ascii="Cambria" w:hAnsi="Cambria" w:cs="Cambria"/>
          <w:lang w:val="en-US"/>
        </w:rPr>
        <w:t>-</w:t>
      </w:r>
      <w:r>
        <w:rPr>
          <w:rFonts w:ascii="Cambria" w:hAnsi="Cambria" w:cs="Cambria"/>
          <w:lang w:val="en-US"/>
        </w:rPr>
        <w:t>olds, including 20 with early</w:t>
      </w:r>
      <w:r w:rsidR="00E945B8">
        <w:rPr>
          <w:rFonts w:ascii="Cambria" w:hAnsi="Cambria" w:cs="Cambria"/>
          <w:lang w:val="en-US"/>
        </w:rPr>
        <w:t xml:space="preserve"> </w:t>
      </w:r>
      <w:r>
        <w:rPr>
          <w:rFonts w:ascii="Cambria" w:hAnsi="Cambria" w:cs="Cambria"/>
          <w:lang w:val="en-US"/>
        </w:rPr>
        <w:t>onset (EO) disease (</w:t>
      </w:r>
      <w:r w:rsidR="004F3331">
        <w:rPr>
          <w:rFonts w:ascii="Cambria" w:hAnsi="Cambria" w:cs="Cambria"/>
          <w:lang w:val="en-US"/>
        </w:rPr>
        <w:t>0-6</w:t>
      </w:r>
      <w:r>
        <w:rPr>
          <w:rFonts w:ascii="Cambria" w:hAnsi="Cambria" w:cs="Cambria"/>
          <w:lang w:val="en-US"/>
        </w:rPr>
        <w:t xml:space="preserve"> days old). Five infants with EO</w:t>
      </w:r>
      <w:r w:rsidR="00093945">
        <w:rPr>
          <w:rFonts w:ascii="Cambria" w:hAnsi="Cambria" w:cs="Cambria"/>
          <w:lang w:val="en-US"/>
        </w:rPr>
        <w:t>-</w:t>
      </w:r>
      <w:r>
        <w:rPr>
          <w:rFonts w:ascii="Cambria" w:hAnsi="Cambria" w:cs="Cambria"/>
          <w:lang w:val="en-US"/>
        </w:rPr>
        <w:t xml:space="preserve">disease (25%) had been born prematurely with no other significant co-morbidities, while eight infants with </w:t>
      </w:r>
      <w:r w:rsidR="00CB7D0A">
        <w:rPr>
          <w:rFonts w:ascii="Cambria" w:hAnsi="Cambria" w:cs="Cambria"/>
          <w:lang w:val="en-US"/>
        </w:rPr>
        <w:t>late-onset (LO, age 7-89 days)</w:t>
      </w:r>
      <w:r w:rsidR="00FD3F84">
        <w:rPr>
          <w:rFonts w:ascii="Cambria" w:hAnsi="Cambria" w:cs="Cambria"/>
          <w:lang w:val="en-US"/>
        </w:rPr>
        <w:t xml:space="preserve"> disease </w:t>
      </w:r>
      <w:r>
        <w:rPr>
          <w:rFonts w:ascii="Cambria" w:hAnsi="Cambria" w:cs="Cambria"/>
          <w:lang w:val="en-US"/>
        </w:rPr>
        <w:t>had co-morbidities</w:t>
      </w:r>
      <w:r w:rsidR="004F3331">
        <w:rPr>
          <w:rFonts w:ascii="Cambria" w:hAnsi="Cambria" w:cs="Cambria"/>
          <w:lang w:val="en-US"/>
        </w:rPr>
        <w:t xml:space="preserve"> (8/22, 36%)</w:t>
      </w:r>
      <w:r>
        <w:rPr>
          <w:rFonts w:ascii="Cambria" w:hAnsi="Cambria" w:cs="Cambria"/>
          <w:lang w:val="en-US"/>
        </w:rPr>
        <w:t>, including prem</w:t>
      </w:r>
      <w:r w:rsidR="003E2610">
        <w:rPr>
          <w:rFonts w:ascii="Cambria" w:hAnsi="Cambria" w:cs="Cambria"/>
          <w:lang w:val="en-US"/>
        </w:rPr>
        <w:t xml:space="preserve">ature birth </w:t>
      </w:r>
      <w:r w:rsidR="004F3331">
        <w:rPr>
          <w:rFonts w:ascii="Cambria" w:hAnsi="Cambria" w:cs="Cambria"/>
          <w:lang w:val="en-US"/>
        </w:rPr>
        <w:t>only</w:t>
      </w:r>
      <w:r w:rsidR="003E2610">
        <w:rPr>
          <w:rFonts w:ascii="Cambria" w:hAnsi="Cambria" w:cs="Cambria"/>
          <w:lang w:val="en-US"/>
        </w:rPr>
        <w:t xml:space="preserve"> (n=6</w:t>
      </w:r>
      <w:r>
        <w:rPr>
          <w:rFonts w:ascii="Cambria" w:hAnsi="Cambria" w:cs="Cambria"/>
          <w:lang w:val="en-US"/>
        </w:rPr>
        <w:t>)</w:t>
      </w:r>
      <w:r w:rsidR="003E2610">
        <w:rPr>
          <w:rFonts w:ascii="Cambria" w:hAnsi="Cambria" w:cs="Cambria"/>
          <w:lang w:val="en-US"/>
        </w:rPr>
        <w:t>,</w:t>
      </w:r>
      <w:r>
        <w:rPr>
          <w:rFonts w:ascii="Cambria" w:hAnsi="Cambria" w:cs="Cambria"/>
          <w:lang w:val="en-US"/>
        </w:rPr>
        <w:t xml:space="preserve"> chromosomal disorder (</w:t>
      </w:r>
      <w:r w:rsidR="00CB7D0A">
        <w:rPr>
          <w:rFonts w:ascii="Cambria" w:hAnsi="Cambria" w:cs="Cambria"/>
          <w:lang w:val="en-US"/>
        </w:rPr>
        <w:t>n=1</w:t>
      </w:r>
      <w:r>
        <w:rPr>
          <w:rFonts w:ascii="Cambria" w:hAnsi="Cambria" w:cs="Cambria"/>
          <w:lang w:val="en-US"/>
        </w:rPr>
        <w:t>)</w:t>
      </w:r>
      <w:r w:rsidR="00CB7D0A">
        <w:rPr>
          <w:rFonts w:ascii="Cambria" w:hAnsi="Cambria" w:cs="Cambria"/>
          <w:lang w:val="en-US"/>
        </w:rPr>
        <w:t xml:space="preserve"> and chronic respiratory </w:t>
      </w:r>
      <w:r w:rsidR="00CB7D0A" w:rsidRPr="00A83635">
        <w:rPr>
          <w:rFonts w:ascii="Cambria" w:hAnsi="Cambria" w:cs="Cambria"/>
          <w:lang w:val="en-US"/>
        </w:rPr>
        <w:t>disease (n=1)</w:t>
      </w:r>
      <w:r w:rsidR="00CB7D0A" w:rsidRPr="005355F4">
        <w:rPr>
          <w:rFonts w:ascii="Cambria" w:hAnsi="Cambria" w:cs="Cambria"/>
          <w:lang w:val="en-US"/>
        </w:rPr>
        <w:t>.</w:t>
      </w:r>
      <w:r w:rsidR="00CB7D0A" w:rsidRPr="00C210AD">
        <w:rPr>
          <w:rFonts w:ascii="Cambria" w:hAnsi="Cambria" w:cs="Cambria"/>
          <w:lang w:val="en-US"/>
        </w:rPr>
        <w:t xml:space="preserve"> Clinical presentation also did not vary </w:t>
      </w:r>
      <w:r w:rsidR="004F3331">
        <w:rPr>
          <w:rFonts w:ascii="Cambria" w:hAnsi="Cambria" w:cs="Cambria"/>
          <w:lang w:val="en-US"/>
        </w:rPr>
        <w:t xml:space="preserve">significantly </w:t>
      </w:r>
      <w:r w:rsidR="00CB7D0A" w:rsidRPr="00C210AD">
        <w:rPr>
          <w:rFonts w:ascii="Cambria" w:hAnsi="Cambria" w:cs="Cambria"/>
          <w:lang w:val="en-US"/>
        </w:rPr>
        <w:t>be</w:t>
      </w:r>
      <w:r w:rsidR="00CB7D0A" w:rsidRPr="00C210AD">
        <w:rPr>
          <w:rFonts w:ascii="Cambria" w:hAnsi="Cambria" w:cs="Cambria"/>
          <w:lang w:val="en-US"/>
        </w:rPr>
        <w:lastRenderedPageBreak/>
        <w:t xml:space="preserve">tween EO </w:t>
      </w:r>
      <w:r w:rsidR="0035085D" w:rsidRPr="00C210AD">
        <w:rPr>
          <w:rFonts w:ascii="Cambria" w:hAnsi="Cambria" w:cs="Cambria"/>
          <w:lang w:val="en-US"/>
        </w:rPr>
        <w:t>and LO</w:t>
      </w:r>
      <w:r w:rsidR="00CB7D0A" w:rsidRPr="00C210AD">
        <w:rPr>
          <w:rFonts w:ascii="Cambria" w:hAnsi="Cambria" w:cs="Cambria"/>
          <w:lang w:val="en-US"/>
        </w:rPr>
        <w:t xml:space="preserve"> </w:t>
      </w:r>
      <w:r w:rsidR="00B13C79">
        <w:rPr>
          <w:rFonts w:ascii="Cambria" w:hAnsi="Cambria" w:cs="Cambria"/>
          <w:lang w:val="en-US"/>
        </w:rPr>
        <w:t>deaths</w:t>
      </w:r>
      <w:r w:rsidR="00CB7D0A" w:rsidRPr="00C210AD">
        <w:rPr>
          <w:rFonts w:ascii="Cambria" w:hAnsi="Cambria" w:cs="Cambria"/>
          <w:lang w:val="en-US"/>
        </w:rPr>
        <w:t xml:space="preserve"> for menin</w:t>
      </w:r>
      <w:r w:rsidR="00A83635" w:rsidRPr="00C210AD">
        <w:rPr>
          <w:rFonts w:ascii="Cambria" w:hAnsi="Cambria" w:cs="Cambria"/>
          <w:lang w:val="en-US"/>
        </w:rPr>
        <w:t>gitis (40% vs. 55%), septic</w:t>
      </w:r>
      <w:r w:rsidR="00A3236D">
        <w:rPr>
          <w:rFonts w:ascii="Cambria" w:hAnsi="Cambria" w:cs="Cambria"/>
          <w:lang w:val="en-US"/>
        </w:rPr>
        <w:t>e</w:t>
      </w:r>
      <w:r w:rsidR="00A83635" w:rsidRPr="00C210AD">
        <w:rPr>
          <w:rFonts w:ascii="Cambria" w:hAnsi="Cambria" w:cs="Cambria"/>
          <w:lang w:val="en-US"/>
        </w:rPr>
        <w:t>mia</w:t>
      </w:r>
      <w:r w:rsidR="00CB7D0A" w:rsidRPr="00C210AD">
        <w:rPr>
          <w:rFonts w:ascii="Cambria" w:hAnsi="Cambria" w:cs="Cambria"/>
          <w:lang w:val="en-US"/>
        </w:rPr>
        <w:t xml:space="preserve"> (25% vs. 18%) or bacter</w:t>
      </w:r>
      <w:r w:rsidR="00A3236D">
        <w:rPr>
          <w:rFonts w:ascii="Cambria" w:hAnsi="Cambria" w:cs="Cambria"/>
          <w:lang w:val="en-US"/>
        </w:rPr>
        <w:t>e</w:t>
      </w:r>
      <w:r w:rsidR="00CB7D0A" w:rsidRPr="00C210AD">
        <w:rPr>
          <w:rFonts w:ascii="Cambria" w:hAnsi="Cambria" w:cs="Cambria"/>
          <w:lang w:val="en-US"/>
        </w:rPr>
        <w:t xml:space="preserve">mic pneumonia (35% vs. 27%). </w:t>
      </w:r>
      <w:r w:rsidR="00A83635" w:rsidRPr="00C210AD">
        <w:rPr>
          <w:rFonts w:ascii="Cambria" w:hAnsi="Cambria" w:cs="Cambria"/>
          <w:lang w:val="en-US"/>
        </w:rPr>
        <w:t>The serotype</w:t>
      </w:r>
      <w:r w:rsidR="005A64EA">
        <w:rPr>
          <w:rFonts w:ascii="Cambria" w:hAnsi="Cambria" w:cs="Cambria"/>
          <w:lang w:val="en-US"/>
        </w:rPr>
        <w:t xml:space="preserve"> distribution </w:t>
      </w:r>
      <w:r w:rsidR="00B13C79">
        <w:rPr>
          <w:rFonts w:ascii="Cambria" w:hAnsi="Cambria" w:cs="Cambria"/>
          <w:lang w:val="en-US"/>
        </w:rPr>
        <w:t>was</w:t>
      </w:r>
      <w:r w:rsidR="005A64EA">
        <w:rPr>
          <w:rFonts w:ascii="Cambria" w:hAnsi="Cambria" w:cs="Cambria"/>
          <w:lang w:val="en-US"/>
        </w:rPr>
        <w:t xml:space="preserve"> also unremarkable</w:t>
      </w:r>
      <w:r w:rsidR="002B0096">
        <w:rPr>
          <w:rFonts w:ascii="Cambria" w:hAnsi="Cambria" w:cs="Cambria"/>
          <w:lang w:val="en-US"/>
        </w:rPr>
        <w:t>; in 2013/14</w:t>
      </w:r>
      <w:r w:rsidR="005A64EA">
        <w:rPr>
          <w:rFonts w:ascii="Cambria" w:hAnsi="Cambria" w:cs="Cambria"/>
          <w:lang w:val="en-US"/>
        </w:rPr>
        <w:t>,</w:t>
      </w:r>
      <w:r w:rsidR="002B0096">
        <w:rPr>
          <w:rFonts w:ascii="Cambria" w:hAnsi="Cambria" w:cs="Cambria"/>
          <w:lang w:val="en-US"/>
        </w:rPr>
        <w:t xml:space="preserve"> of the three EO and two LO fatalities, one each (both 19F)</w:t>
      </w:r>
      <w:r w:rsidR="00EE59BA">
        <w:rPr>
          <w:rFonts w:ascii="Cambria" w:hAnsi="Cambria" w:cs="Cambria"/>
          <w:lang w:val="en-US"/>
        </w:rPr>
        <w:t xml:space="preserve"> </w:t>
      </w:r>
      <w:r w:rsidR="002B0096">
        <w:rPr>
          <w:rFonts w:ascii="Cambria" w:hAnsi="Cambria" w:cs="Cambria"/>
          <w:lang w:val="en-US"/>
        </w:rPr>
        <w:t>was due to a PCV serotype</w:t>
      </w:r>
      <w:r w:rsidR="00EE59BA">
        <w:rPr>
          <w:rFonts w:ascii="Cambria" w:hAnsi="Cambria" w:cs="Cambria"/>
          <w:lang w:val="en-US"/>
        </w:rPr>
        <w:t>.</w:t>
      </w:r>
      <w:r w:rsidR="002B0096">
        <w:rPr>
          <w:rFonts w:ascii="Cambria" w:hAnsi="Cambria" w:cs="Cambria"/>
          <w:lang w:val="en-US"/>
        </w:rPr>
        <w:t xml:space="preserve">  </w:t>
      </w:r>
    </w:p>
    <w:p w14:paraId="5215EF70" w14:textId="77777777" w:rsidR="00BD24CC" w:rsidRDefault="00BD24CC" w:rsidP="001A2FE4">
      <w:pPr>
        <w:widowControl w:val="0"/>
        <w:tabs>
          <w:tab w:val="left" w:pos="220"/>
          <w:tab w:val="left" w:pos="720"/>
        </w:tabs>
        <w:autoSpaceDE w:val="0"/>
        <w:autoSpaceDN w:val="0"/>
        <w:adjustRightInd w:val="0"/>
        <w:spacing w:line="480" w:lineRule="auto"/>
        <w:rPr>
          <w:rFonts w:ascii="Cambria" w:hAnsi="Cambria" w:cs="Cambria"/>
          <w:lang w:val="en-US"/>
        </w:rPr>
      </w:pPr>
    </w:p>
    <w:p w14:paraId="0B621CF7" w14:textId="77777777" w:rsidR="00166423" w:rsidRPr="001A2FE4" w:rsidRDefault="00166423" w:rsidP="001A2FE4">
      <w:pPr>
        <w:widowControl w:val="0"/>
        <w:tabs>
          <w:tab w:val="left" w:pos="220"/>
          <w:tab w:val="left" w:pos="720"/>
        </w:tabs>
        <w:autoSpaceDE w:val="0"/>
        <w:autoSpaceDN w:val="0"/>
        <w:adjustRightInd w:val="0"/>
        <w:spacing w:line="480" w:lineRule="auto"/>
        <w:rPr>
          <w:rFonts w:ascii="Cambria" w:hAnsi="Cambria" w:cs="Cambria"/>
          <w:lang w:val="en-US"/>
        </w:rPr>
      </w:pPr>
    </w:p>
    <w:p w14:paraId="2E8F8E1B" w14:textId="77777777" w:rsidR="00F016D1" w:rsidRDefault="00F016D1" w:rsidP="00A3236D">
      <w:pPr>
        <w:widowControl w:val="0"/>
        <w:autoSpaceDE w:val="0"/>
        <w:autoSpaceDN w:val="0"/>
        <w:adjustRightInd w:val="0"/>
        <w:spacing w:line="480" w:lineRule="auto"/>
        <w:outlineLvl w:val="0"/>
        <w:rPr>
          <w:rFonts w:ascii="Cambria" w:hAnsi="Cambria" w:cs="Cambria"/>
          <w:b/>
          <w:bCs/>
          <w:sz w:val="32"/>
          <w:szCs w:val="32"/>
          <w:lang w:val="en-US"/>
        </w:rPr>
      </w:pPr>
      <w:r>
        <w:rPr>
          <w:rFonts w:ascii="Cambria" w:hAnsi="Cambria" w:cs="Cambria"/>
          <w:b/>
          <w:bCs/>
          <w:sz w:val="32"/>
          <w:szCs w:val="32"/>
          <w:lang w:val="en-US"/>
        </w:rPr>
        <w:t>Discussion</w:t>
      </w:r>
    </w:p>
    <w:p w14:paraId="544B634C" w14:textId="07E0F950" w:rsidR="00F016D1" w:rsidRPr="00396B25" w:rsidRDefault="00F016D1" w:rsidP="00E41469">
      <w:pPr>
        <w:widowControl w:val="0"/>
        <w:autoSpaceDE w:val="0"/>
        <w:autoSpaceDN w:val="0"/>
        <w:adjustRightInd w:val="0"/>
        <w:spacing w:line="480" w:lineRule="auto"/>
        <w:rPr>
          <w:rFonts w:ascii="Cambria" w:hAnsi="Cambria" w:cs="Arial"/>
          <w:color w:val="313131"/>
          <w:lang w:val="en-US"/>
        </w:rPr>
      </w:pPr>
      <w:r w:rsidRPr="00396B25">
        <w:rPr>
          <w:rFonts w:ascii="Cambria" w:hAnsi="Cambria" w:cs="Arial"/>
        </w:rPr>
        <w:t xml:space="preserve">In England and Wales, </w:t>
      </w:r>
      <w:r w:rsidR="00666BFC">
        <w:rPr>
          <w:rFonts w:ascii="Cambria" w:hAnsi="Cambria" w:cs="Arial"/>
        </w:rPr>
        <w:t>IPD</w:t>
      </w:r>
      <w:r w:rsidRPr="00396B25">
        <w:rPr>
          <w:rFonts w:ascii="Cambria" w:hAnsi="Cambria" w:cs="Arial"/>
        </w:rPr>
        <w:t xml:space="preserve"> in </w:t>
      </w:r>
      <w:r w:rsidR="00290384">
        <w:rPr>
          <w:rFonts w:ascii="Cambria" w:hAnsi="Cambria" w:cs="Arial"/>
        </w:rPr>
        <w:t xml:space="preserve">young </w:t>
      </w:r>
      <w:r w:rsidRPr="00396B25">
        <w:rPr>
          <w:rFonts w:ascii="Cambria" w:hAnsi="Cambria" w:cs="Arial"/>
        </w:rPr>
        <w:t xml:space="preserve">children </w:t>
      </w:r>
      <w:r w:rsidR="00CF4D47">
        <w:rPr>
          <w:rFonts w:ascii="Cambria" w:hAnsi="Cambria" w:cs="Arial"/>
        </w:rPr>
        <w:t>is rarely associated with a fatal outcome</w:t>
      </w:r>
      <w:r w:rsidRPr="00396B25">
        <w:rPr>
          <w:rFonts w:ascii="Cambria" w:hAnsi="Cambria" w:cs="Arial"/>
        </w:rPr>
        <w:t xml:space="preserve">, with only 150 </w:t>
      </w:r>
      <w:r w:rsidR="00E945B8">
        <w:rPr>
          <w:rFonts w:ascii="Cambria" w:hAnsi="Cambria" w:cs="Arial"/>
        </w:rPr>
        <w:t xml:space="preserve">reported </w:t>
      </w:r>
      <w:r w:rsidRPr="00396B25">
        <w:rPr>
          <w:rFonts w:ascii="Cambria" w:hAnsi="Cambria" w:cs="Arial"/>
        </w:rPr>
        <w:t xml:space="preserve">deaths in ten birth cohorts over eight </w:t>
      </w:r>
      <w:r w:rsidR="006B777B">
        <w:rPr>
          <w:rFonts w:ascii="Cambria" w:hAnsi="Cambria" w:cs="Arial"/>
        </w:rPr>
        <w:t xml:space="preserve">surveillance </w:t>
      </w:r>
      <w:r w:rsidRPr="00396B25">
        <w:rPr>
          <w:rFonts w:ascii="Cambria" w:hAnsi="Cambria" w:cs="Arial"/>
        </w:rPr>
        <w:t>years</w:t>
      </w:r>
      <w:r w:rsidR="00666BFC">
        <w:rPr>
          <w:rFonts w:ascii="Cambria" w:hAnsi="Cambria" w:cs="Arial"/>
        </w:rPr>
        <w:t xml:space="preserve">. The overall CFR was </w:t>
      </w:r>
      <w:r w:rsidRPr="00E343B1">
        <w:rPr>
          <w:rFonts w:ascii="Cambria" w:hAnsi="Cambria" w:cs="Arial"/>
        </w:rPr>
        <w:t>4.8%</w:t>
      </w:r>
      <w:r w:rsidR="002D2205">
        <w:rPr>
          <w:rFonts w:ascii="Cambria" w:hAnsi="Cambria" w:cs="Arial"/>
        </w:rPr>
        <w:t xml:space="preserve">, with </w:t>
      </w:r>
      <w:r w:rsidR="00666BFC">
        <w:rPr>
          <w:rFonts w:ascii="Cambria" w:hAnsi="Cambria" w:cs="Arial"/>
          <w:color w:val="313131"/>
          <w:lang w:val="en-US"/>
        </w:rPr>
        <w:t>59%</w:t>
      </w:r>
      <w:r w:rsidR="006B777B">
        <w:rPr>
          <w:rFonts w:ascii="Cambria" w:hAnsi="Cambria" w:cs="Arial"/>
          <w:color w:val="313131"/>
          <w:lang w:val="en-US"/>
        </w:rPr>
        <w:t xml:space="preserve"> of </w:t>
      </w:r>
      <w:r w:rsidR="005F48A2">
        <w:rPr>
          <w:rFonts w:ascii="Cambria" w:hAnsi="Cambria" w:cs="Arial"/>
          <w:color w:val="313131"/>
          <w:lang w:val="en-US"/>
        </w:rPr>
        <w:t>deaths</w:t>
      </w:r>
      <w:r w:rsidR="00666BFC">
        <w:rPr>
          <w:rFonts w:ascii="Cambria" w:hAnsi="Cambria" w:cs="Arial"/>
          <w:color w:val="313131"/>
          <w:lang w:val="en-US"/>
        </w:rPr>
        <w:t xml:space="preserve"> </w:t>
      </w:r>
      <w:r w:rsidRPr="00396B25">
        <w:rPr>
          <w:rFonts w:ascii="Cambria" w:hAnsi="Cambria" w:cs="Arial"/>
          <w:color w:val="313131"/>
          <w:lang w:val="en-US"/>
        </w:rPr>
        <w:t>occurr</w:t>
      </w:r>
      <w:r w:rsidR="002D2205">
        <w:rPr>
          <w:rFonts w:ascii="Cambria" w:hAnsi="Cambria" w:cs="Arial"/>
          <w:color w:val="313131"/>
          <w:lang w:val="en-US"/>
        </w:rPr>
        <w:t>ing</w:t>
      </w:r>
      <w:r w:rsidRPr="00396B25">
        <w:rPr>
          <w:rFonts w:ascii="Cambria" w:hAnsi="Cambria" w:cs="Arial"/>
          <w:color w:val="313131"/>
          <w:lang w:val="en-US"/>
        </w:rPr>
        <w:t xml:space="preserve"> in infants</w:t>
      </w:r>
      <w:r w:rsidR="006B777B">
        <w:rPr>
          <w:rFonts w:ascii="Cambria" w:hAnsi="Cambria" w:cs="Arial"/>
          <w:color w:val="313131"/>
          <w:lang w:val="en-US"/>
        </w:rPr>
        <w:t>, mainly</w:t>
      </w:r>
      <w:r>
        <w:rPr>
          <w:rFonts w:ascii="Cambria" w:hAnsi="Cambria" w:cs="Arial"/>
          <w:color w:val="313131"/>
          <w:lang w:val="en-US"/>
        </w:rPr>
        <w:t xml:space="preserve"> &lt;3 </w:t>
      </w:r>
      <w:r w:rsidR="005F48A2">
        <w:rPr>
          <w:rFonts w:ascii="Cambria" w:hAnsi="Cambria" w:cs="Arial"/>
          <w:color w:val="313131"/>
          <w:lang w:val="en-US"/>
        </w:rPr>
        <w:t>month olds</w:t>
      </w:r>
      <w:r w:rsidR="006B777B">
        <w:rPr>
          <w:rFonts w:ascii="Cambria" w:hAnsi="Cambria" w:cs="Arial"/>
          <w:color w:val="313131"/>
          <w:lang w:val="en-US"/>
        </w:rPr>
        <w:t xml:space="preserve"> (28%)</w:t>
      </w:r>
      <w:r>
        <w:rPr>
          <w:rFonts w:ascii="Cambria" w:hAnsi="Cambria" w:cs="Arial"/>
          <w:color w:val="313131"/>
          <w:lang w:val="en-US"/>
        </w:rPr>
        <w:t xml:space="preserve">, who </w:t>
      </w:r>
      <w:r w:rsidR="006B777B">
        <w:rPr>
          <w:rFonts w:ascii="Cambria" w:hAnsi="Cambria" w:cs="Arial"/>
          <w:color w:val="313131"/>
          <w:lang w:val="en-US"/>
        </w:rPr>
        <w:t>were</w:t>
      </w:r>
      <w:r w:rsidR="00666BFC">
        <w:rPr>
          <w:rFonts w:ascii="Cambria" w:hAnsi="Cambria" w:cs="Arial"/>
          <w:color w:val="313131"/>
          <w:lang w:val="en-US"/>
        </w:rPr>
        <w:t xml:space="preserve"> </w:t>
      </w:r>
      <w:r>
        <w:rPr>
          <w:rFonts w:ascii="Cambria" w:hAnsi="Cambria" w:cs="Arial"/>
          <w:color w:val="313131"/>
          <w:lang w:val="en-US"/>
        </w:rPr>
        <w:t>too young to benefit from the infant immuni</w:t>
      </w:r>
      <w:r w:rsidR="00A56FB5">
        <w:rPr>
          <w:rFonts w:ascii="Cambria" w:hAnsi="Cambria" w:cs="Arial"/>
          <w:color w:val="313131"/>
          <w:lang w:val="en-US"/>
        </w:rPr>
        <w:t>z</w:t>
      </w:r>
      <w:r>
        <w:rPr>
          <w:rFonts w:ascii="Cambria" w:hAnsi="Cambria" w:cs="Arial"/>
          <w:color w:val="313131"/>
          <w:lang w:val="en-US"/>
        </w:rPr>
        <w:t xml:space="preserve">ation programme. Overall, </w:t>
      </w:r>
      <w:r w:rsidRPr="00396B25">
        <w:rPr>
          <w:rFonts w:ascii="Cambria" w:hAnsi="Cambria" w:cs="Arial"/>
          <w:color w:val="313131"/>
          <w:lang w:val="en-US"/>
        </w:rPr>
        <w:t>35%</w:t>
      </w:r>
      <w:r>
        <w:rPr>
          <w:rFonts w:ascii="Cambria" w:hAnsi="Cambria" w:cs="Arial"/>
          <w:color w:val="313131"/>
          <w:lang w:val="en-US"/>
        </w:rPr>
        <w:t xml:space="preserve"> had an underlying risk factor for IPD, mainly premature birth</w:t>
      </w:r>
      <w:r w:rsidRPr="00396B25">
        <w:rPr>
          <w:rFonts w:ascii="Cambria" w:hAnsi="Cambria" w:cs="Arial"/>
          <w:lang w:val="en-US"/>
        </w:rPr>
        <w:t xml:space="preserve"> (12%) and</w:t>
      </w:r>
      <w:r>
        <w:rPr>
          <w:rFonts w:ascii="Cambria" w:hAnsi="Cambria" w:cs="Arial"/>
          <w:lang w:val="en-US"/>
        </w:rPr>
        <w:t xml:space="preserve"> </w:t>
      </w:r>
      <w:r w:rsidRPr="00396B25">
        <w:rPr>
          <w:rFonts w:ascii="Cambria" w:hAnsi="Cambria" w:cs="Arial"/>
          <w:lang w:val="en-US"/>
        </w:rPr>
        <w:t xml:space="preserve">congenital heart disease (9%). </w:t>
      </w:r>
      <w:r>
        <w:rPr>
          <w:rFonts w:ascii="Cambria" w:hAnsi="Cambria" w:cs="Arial"/>
          <w:lang w:val="en-US"/>
        </w:rPr>
        <w:t>Meningitis was responsible for 47% of IPD</w:t>
      </w:r>
      <w:r w:rsidR="006B777B">
        <w:rPr>
          <w:rFonts w:ascii="Cambria" w:hAnsi="Cambria" w:cs="Arial"/>
          <w:lang w:val="en-US"/>
        </w:rPr>
        <w:t>-</w:t>
      </w:r>
      <w:r>
        <w:rPr>
          <w:rFonts w:ascii="Cambria" w:hAnsi="Cambria" w:cs="Arial"/>
          <w:lang w:val="en-US"/>
        </w:rPr>
        <w:t>related fatalities and, remarkably, c</w:t>
      </w:r>
      <w:r w:rsidRPr="00396B25">
        <w:rPr>
          <w:rFonts w:ascii="Cambria" w:hAnsi="Cambria" w:cs="Arial"/>
          <w:color w:val="313131"/>
          <w:lang w:val="en-US"/>
        </w:rPr>
        <w:t xml:space="preserve">linical presentation </w:t>
      </w:r>
      <w:r>
        <w:rPr>
          <w:rFonts w:ascii="Cambria" w:hAnsi="Cambria" w:cs="Arial"/>
          <w:color w:val="313131"/>
          <w:lang w:val="en-US"/>
        </w:rPr>
        <w:t xml:space="preserve">did not vary by </w:t>
      </w:r>
      <w:r w:rsidR="00E945B8" w:rsidRPr="00BB3F42">
        <w:rPr>
          <w:rFonts w:ascii="Cambria" w:hAnsi="Cambria" w:cs="Arial"/>
          <w:color w:val="313131"/>
          <w:lang w:val="en-US"/>
        </w:rPr>
        <w:t>vaccine group</w:t>
      </w:r>
      <w:r w:rsidRPr="00BB3F42">
        <w:rPr>
          <w:rFonts w:ascii="Cambria" w:hAnsi="Cambria" w:cs="Arial"/>
          <w:color w:val="313131"/>
          <w:lang w:val="en-US"/>
        </w:rPr>
        <w:t>. PCV</w:t>
      </w:r>
      <w:r w:rsidR="00B50074">
        <w:rPr>
          <w:rFonts w:ascii="Cambria" w:hAnsi="Cambria" w:cs="Arial"/>
          <w:color w:val="313131"/>
          <w:lang w:val="en-US"/>
        </w:rPr>
        <w:t xml:space="preserve"> </w:t>
      </w:r>
      <w:r w:rsidR="00A56FB5">
        <w:rPr>
          <w:rFonts w:ascii="Cambria" w:hAnsi="Cambria" w:cs="Arial"/>
          <w:color w:val="313131"/>
          <w:lang w:val="en-US"/>
        </w:rPr>
        <w:t xml:space="preserve">introduction was associated with a 69% reduction in IPD-related mortality in children aged &lt;5 years since the first year of the </w:t>
      </w:r>
      <w:r w:rsidR="0022287A">
        <w:rPr>
          <w:rFonts w:ascii="Cambria" w:hAnsi="Cambria" w:cs="Arial"/>
          <w:color w:val="313131"/>
          <w:lang w:val="en-US"/>
        </w:rPr>
        <w:t>imm</w:t>
      </w:r>
      <w:r w:rsidR="002358DC">
        <w:rPr>
          <w:rFonts w:ascii="Cambria" w:hAnsi="Cambria" w:cs="Arial"/>
          <w:color w:val="313131"/>
          <w:lang w:val="en-US"/>
        </w:rPr>
        <w:t>uniza</w:t>
      </w:r>
      <w:r w:rsidR="0022287A">
        <w:rPr>
          <w:rFonts w:ascii="Cambria" w:hAnsi="Cambria" w:cs="Arial"/>
          <w:color w:val="313131"/>
          <w:lang w:val="en-US"/>
        </w:rPr>
        <w:t xml:space="preserve">tion </w:t>
      </w:r>
      <w:r w:rsidR="00A56FB5">
        <w:rPr>
          <w:rFonts w:ascii="Cambria" w:hAnsi="Cambria" w:cs="Arial"/>
          <w:color w:val="313131"/>
          <w:lang w:val="en-US"/>
        </w:rPr>
        <w:t xml:space="preserve">programme. </w:t>
      </w:r>
      <w:r w:rsidR="000B01FE">
        <w:rPr>
          <w:rFonts w:ascii="Cambria" w:hAnsi="Cambria" w:cs="Arial"/>
          <w:color w:val="313131"/>
          <w:lang w:val="en-US"/>
        </w:rPr>
        <w:t xml:space="preserve">The actual reduction is likely to be </w:t>
      </w:r>
      <w:r w:rsidR="00AF7A68">
        <w:rPr>
          <w:rFonts w:ascii="Cambria" w:hAnsi="Cambria" w:cs="Arial"/>
          <w:color w:val="313131"/>
          <w:lang w:val="en-US"/>
        </w:rPr>
        <w:t xml:space="preserve">greater </w:t>
      </w:r>
      <w:r w:rsidR="000B01FE">
        <w:rPr>
          <w:rFonts w:ascii="Cambria" w:hAnsi="Cambria" w:cs="Arial"/>
          <w:color w:val="313131"/>
          <w:lang w:val="en-US"/>
        </w:rPr>
        <w:t xml:space="preserve">if we had been able to compare with pre-PCV7 rates. </w:t>
      </w:r>
      <w:r>
        <w:rPr>
          <w:rFonts w:ascii="Cambria" w:hAnsi="Cambria" w:cs="Arial"/>
          <w:color w:val="313131"/>
          <w:lang w:val="en-US"/>
        </w:rPr>
        <w:t xml:space="preserve">Currently, nearly all deaths are due to serotypes that are not included in the licensed </w:t>
      </w:r>
      <w:r w:rsidR="003D23E2">
        <w:rPr>
          <w:rFonts w:ascii="Cambria" w:hAnsi="Cambria" w:cs="Arial"/>
          <w:color w:val="313131"/>
          <w:lang w:val="en-US"/>
        </w:rPr>
        <w:t>PCVs</w:t>
      </w:r>
      <w:r>
        <w:rPr>
          <w:rFonts w:ascii="Cambria" w:hAnsi="Cambria" w:cs="Arial"/>
          <w:color w:val="313131"/>
          <w:lang w:val="en-US"/>
        </w:rPr>
        <w:t xml:space="preserve">. </w:t>
      </w:r>
    </w:p>
    <w:p w14:paraId="6B2D2B01" w14:textId="77777777" w:rsidR="00F016D1" w:rsidRDefault="00F016D1" w:rsidP="00E41469">
      <w:pPr>
        <w:widowControl w:val="0"/>
        <w:autoSpaceDE w:val="0"/>
        <w:autoSpaceDN w:val="0"/>
        <w:adjustRightInd w:val="0"/>
        <w:spacing w:line="480" w:lineRule="auto"/>
        <w:rPr>
          <w:rFonts w:ascii="Cambria" w:hAnsi="Cambria" w:cs="Arial"/>
          <w:color w:val="313131"/>
          <w:lang w:val="en-US"/>
        </w:rPr>
      </w:pPr>
    </w:p>
    <w:p w14:paraId="3ED7C1BF" w14:textId="6D8F3BC5" w:rsidR="00CF4D47" w:rsidRDefault="00B25AD6" w:rsidP="00E41469">
      <w:pPr>
        <w:widowControl w:val="0"/>
        <w:autoSpaceDE w:val="0"/>
        <w:autoSpaceDN w:val="0"/>
        <w:adjustRightInd w:val="0"/>
        <w:spacing w:line="480" w:lineRule="auto"/>
        <w:rPr>
          <w:rFonts w:ascii="Cambria" w:hAnsi="Cambria" w:cs="Arial"/>
          <w:color w:val="313131"/>
          <w:lang w:val="en-US"/>
        </w:rPr>
      </w:pPr>
      <w:r>
        <w:rPr>
          <w:rFonts w:ascii="Cambria" w:hAnsi="Cambria" w:cs="Arial"/>
          <w:color w:val="313131"/>
          <w:lang w:val="en-US"/>
        </w:rPr>
        <w:t>Population</w:t>
      </w:r>
      <w:r w:rsidR="00E945B8">
        <w:rPr>
          <w:rFonts w:ascii="Cambria" w:hAnsi="Cambria" w:cs="Arial"/>
          <w:color w:val="313131"/>
          <w:lang w:val="en-US"/>
        </w:rPr>
        <w:t xml:space="preserve"> </w:t>
      </w:r>
      <w:r>
        <w:rPr>
          <w:rFonts w:ascii="Cambria" w:hAnsi="Cambria" w:cs="Arial"/>
          <w:color w:val="313131"/>
          <w:lang w:val="en-US"/>
        </w:rPr>
        <w:t xml:space="preserve">based studies have </w:t>
      </w:r>
      <w:r w:rsidR="00CF4D47">
        <w:rPr>
          <w:rFonts w:ascii="Cambria" w:hAnsi="Cambria" w:cs="Arial"/>
          <w:color w:val="313131"/>
          <w:lang w:val="en-US"/>
        </w:rPr>
        <w:t xml:space="preserve">consistently </w:t>
      </w:r>
      <w:r>
        <w:rPr>
          <w:rFonts w:ascii="Cambria" w:hAnsi="Cambria" w:cs="Arial"/>
          <w:color w:val="313131"/>
          <w:lang w:val="en-US"/>
        </w:rPr>
        <w:t>reported significant reductions in vaccine</w:t>
      </w:r>
      <w:r w:rsidR="000F102A">
        <w:rPr>
          <w:rFonts w:ascii="Cambria" w:hAnsi="Cambria" w:cs="Arial"/>
          <w:color w:val="313131"/>
          <w:lang w:val="en-US"/>
        </w:rPr>
        <w:t>-</w:t>
      </w:r>
      <w:r>
        <w:rPr>
          <w:rFonts w:ascii="Cambria" w:hAnsi="Cambria" w:cs="Arial"/>
          <w:color w:val="313131"/>
          <w:lang w:val="en-US"/>
        </w:rPr>
        <w:t xml:space="preserve">type IPD </w:t>
      </w:r>
      <w:r w:rsidR="000F102A">
        <w:rPr>
          <w:rFonts w:ascii="Cambria" w:hAnsi="Cambria" w:cs="Arial"/>
          <w:color w:val="313131"/>
          <w:lang w:val="en-US"/>
        </w:rPr>
        <w:t>after</w:t>
      </w:r>
      <w:r>
        <w:rPr>
          <w:rFonts w:ascii="Cambria" w:hAnsi="Cambria" w:cs="Arial"/>
          <w:color w:val="313131"/>
          <w:lang w:val="en-US"/>
        </w:rPr>
        <w:t xml:space="preserve"> PCV7</w:t>
      </w:r>
      <w:r w:rsidR="00986CE6">
        <w:rPr>
          <w:rFonts w:ascii="Cambria" w:hAnsi="Cambria" w:cs="Arial"/>
          <w:color w:val="313131"/>
          <w:lang w:val="en-US"/>
        </w:rPr>
        <w:t>,</w:t>
      </w:r>
      <w:r>
        <w:rPr>
          <w:rFonts w:ascii="Cambria" w:hAnsi="Cambria" w:cs="Arial"/>
          <w:color w:val="313131"/>
          <w:lang w:val="en-US"/>
        </w:rPr>
        <w:t xml:space="preserve"> </w:t>
      </w:r>
      <w:r w:rsidR="00986CE6">
        <w:rPr>
          <w:rFonts w:ascii="Cambria" w:hAnsi="Cambria" w:cs="Arial"/>
          <w:color w:val="313131"/>
          <w:lang w:val="en-US"/>
        </w:rPr>
        <w:t xml:space="preserve">PCV10 </w:t>
      </w:r>
      <w:r w:rsidR="00350155">
        <w:rPr>
          <w:rFonts w:ascii="Cambria" w:hAnsi="Cambria" w:cs="Arial"/>
          <w:color w:val="313131"/>
          <w:lang w:val="en-US"/>
        </w:rPr>
        <w:t>or</w:t>
      </w:r>
      <w:r>
        <w:rPr>
          <w:rFonts w:ascii="Cambria" w:hAnsi="Cambria" w:cs="Arial"/>
          <w:color w:val="313131"/>
          <w:lang w:val="en-US"/>
        </w:rPr>
        <w:t xml:space="preserve"> PCV13</w:t>
      </w:r>
      <w:r w:rsidR="000F102A">
        <w:rPr>
          <w:rFonts w:ascii="Cambria" w:hAnsi="Cambria" w:cs="Arial"/>
          <w:color w:val="313131"/>
          <w:lang w:val="en-US"/>
        </w:rPr>
        <w:t xml:space="preserve"> introduction</w:t>
      </w:r>
      <w:r>
        <w:rPr>
          <w:rFonts w:ascii="Cambria" w:hAnsi="Cambria" w:cs="Arial"/>
          <w:color w:val="313131"/>
          <w:lang w:val="en-US"/>
        </w:rPr>
        <w:t xml:space="preserve"> </w:t>
      </w:r>
      <w:r w:rsidR="00FA5081">
        <w:rPr>
          <w:rFonts w:ascii="Cambria" w:hAnsi="Cambria" w:cs="Arial"/>
          <w:color w:val="313131"/>
          <w:lang w:val="en-US"/>
        </w:rPr>
        <w:fldChar w:fldCharType="begin" w:fldLock="1"/>
      </w:r>
      <w:r w:rsidR="008B52BA">
        <w:rPr>
          <w:rFonts w:ascii="Cambria" w:hAnsi="Cambria" w:cs="Arial"/>
          <w:color w:val="313131"/>
          <w:lang w:val="en-US"/>
        </w:rPr>
        <w:instrText>ADDIN CSL_CITATION { "citationItems" : [ { "id" : "ITEM-1", "itemData" : { "DOI" : "10.1080/21645515.2015.1118593", "ISSN" : "2164554X", "PMID" : "26905681", "abstract" : "Streptococcus pneumoniae has more than 95 serotypes, each of which presumably can cause sepsis, meningitis, pneumonia, and acute otitis media. Pneumococcal conjugate vaccines (PCV) targeted against a limited number of serotypes have nonetheless revealed an impressive impact on each manifestation of pneumococcal disease. At the same time, growing evidence of significant non-vaccine type (NVT) replacement disease following implementation of infant PCV programs has raised questions about the long-term viability of PCV immunization strategies and how to optimize PCV formulations. We discuss here theoretical and practical considerations regarding serotype replacement, and provide a snapshot of the most important NVT types seen to date after implementation of the 2 higher-valent PCVs.", "author" : [ { "dropping-particle" : "", "family" : "Hausdorff", "given" : "William P.", "non-dropping-particle" : "", "parse-names" : false, "suffix" : "" }, { "dropping-particle" : "", "family" : "Hanage", "given" : "William P.", "non-dropping-particle" : "", "parse-names" : false, "suffix" : "" } ], "container-title" : "Human Vaccines and Immunotherapeutics", "id" : "ITEM-1", "issue" : "2", "issued" : { "date-parts" : [ [ "2016" ] ] }, "page" : "358-374", "title" : "Interim results of an ecological experiment \u2014 Conjugate vaccination against the pneumococcus and serotype replacement", "type" : "article", "volume" : "12" }, "uris" : [ "http://www.mendeley.com/documents/?uuid=12cb624c-8631-4537-8d7f-16c441443e26" ] } ], "mendeley" : { "formattedCitation" : "(7)", "plainTextFormattedCitation" : "(7)", "previouslyFormattedCitation" : "(7)" }, "properties" : { "noteIndex" : 0 }, "schema" : "https://github.com/citation-style-language/schema/raw/master/csl-citation.json" }</w:instrText>
      </w:r>
      <w:r w:rsidR="00FA5081">
        <w:rPr>
          <w:rFonts w:ascii="Cambria" w:hAnsi="Cambria" w:cs="Arial"/>
          <w:color w:val="313131"/>
          <w:lang w:val="en-US"/>
        </w:rPr>
        <w:fldChar w:fldCharType="separate"/>
      </w:r>
      <w:r w:rsidR="00745A0A" w:rsidRPr="00745A0A">
        <w:rPr>
          <w:rFonts w:ascii="Cambria" w:hAnsi="Cambria" w:cs="Arial"/>
          <w:noProof/>
          <w:color w:val="313131"/>
          <w:lang w:val="en-US"/>
        </w:rPr>
        <w:t>(7)</w:t>
      </w:r>
      <w:r w:rsidR="00FA5081">
        <w:rPr>
          <w:rFonts w:ascii="Cambria" w:hAnsi="Cambria" w:cs="Arial"/>
          <w:color w:val="313131"/>
          <w:lang w:val="en-US"/>
        </w:rPr>
        <w:fldChar w:fldCharType="end"/>
      </w:r>
      <w:r w:rsidR="00802EBB">
        <w:rPr>
          <w:rFonts w:ascii="Cambria" w:hAnsi="Cambria" w:cs="Arial"/>
          <w:color w:val="313131"/>
          <w:lang w:val="en-US"/>
        </w:rPr>
        <w:t>. Replacement disease with non</w:t>
      </w:r>
      <w:r w:rsidR="00350155">
        <w:rPr>
          <w:rFonts w:ascii="Cambria" w:hAnsi="Cambria" w:cs="Arial"/>
          <w:color w:val="313131"/>
          <w:lang w:val="en-US"/>
        </w:rPr>
        <w:t>-</w:t>
      </w:r>
      <w:r w:rsidR="00802EBB">
        <w:rPr>
          <w:rFonts w:ascii="Cambria" w:hAnsi="Cambria" w:cs="Arial"/>
          <w:color w:val="313131"/>
          <w:lang w:val="en-US"/>
        </w:rPr>
        <w:t xml:space="preserve">vaccine serotypes </w:t>
      </w:r>
      <w:r w:rsidR="00350155">
        <w:rPr>
          <w:rFonts w:ascii="Cambria" w:hAnsi="Cambria" w:cs="Arial"/>
          <w:color w:val="313131"/>
          <w:lang w:val="en-US"/>
        </w:rPr>
        <w:t>occurs</w:t>
      </w:r>
      <w:r w:rsidR="00802EBB">
        <w:rPr>
          <w:rFonts w:ascii="Cambria" w:hAnsi="Cambria" w:cs="Arial"/>
          <w:color w:val="313131"/>
          <w:lang w:val="en-US"/>
        </w:rPr>
        <w:t xml:space="preserve">, but </w:t>
      </w:r>
      <w:r w:rsidR="00FB2427">
        <w:rPr>
          <w:rFonts w:ascii="Cambria" w:hAnsi="Cambria" w:cs="Arial"/>
          <w:color w:val="313131"/>
          <w:lang w:val="en-US"/>
        </w:rPr>
        <w:t xml:space="preserve">the </w:t>
      </w:r>
      <w:r w:rsidR="00C02FC3">
        <w:rPr>
          <w:rFonts w:ascii="Cambria" w:hAnsi="Cambria" w:cs="Arial"/>
          <w:color w:val="313131"/>
          <w:lang w:val="en-US"/>
        </w:rPr>
        <w:t xml:space="preserve">reduction in </w:t>
      </w:r>
      <w:r w:rsidR="00350155">
        <w:rPr>
          <w:rFonts w:ascii="Cambria" w:hAnsi="Cambria" w:cs="Arial"/>
          <w:color w:val="313131"/>
          <w:lang w:val="en-US"/>
        </w:rPr>
        <w:t xml:space="preserve">overall </w:t>
      </w:r>
      <w:r w:rsidR="00C02FC3">
        <w:rPr>
          <w:rFonts w:ascii="Cambria" w:hAnsi="Cambria" w:cs="Arial"/>
          <w:color w:val="313131"/>
          <w:lang w:val="en-US"/>
        </w:rPr>
        <w:t xml:space="preserve">IPD </w:t>
      </w:r>
      <w:r w:rsidR="00350155">
        <w:rPr>
          <w:rFonts w:ascii="Cambria" w:hAnsi="Cambria" w:cs="Arial"/>
          <w:color w:val="313131"/>
          <w:lang w:val="en-US"/>
        </w:rPr>
        <w:t>rates</w:t>
      </w:r>
      <w:r w:rsidR="00FB2427">
        <w:rPr>
          <w:rFonts w:ascii="Cambria" w:hAnsi="Cambria" w:cs="Arial"/>
          <w:color w:val="313131"/>
          <w:lang w:val="en-US"/>
        </w:rPr>
        <w:t xml:space="preserve"> remains positive </w:t>
      </w:r>
      <w:r w:rsidR="00FA5081">
        <w:rPr>
          <w:rFonts w:ascii="Cambria" w:hAnsi="Cambria" w:cs="Arial"/>
          <w:color w:val="313131"/>
          <w:lang w:val="en-US"/>
        </w:rPr>
        <w:fldChar w:fldCharType="begin" w:fldLock="1"/>
      </w:r>
      <w:r w:rsidR="008B52BA">
        <w:rPr>
          <w:rFonts w:ascii="Cambria" w:hAnsi="Cambria" w:cs="Arial"/>
          <w:color w:val="313131"/>
          <w:lang w:val="en-US"/>
        </w:rPr>
        <w:instrText>ADDIN CSL_CITATION { "citationItems" : [ { "id" : "ITEM-1", "itemData" : { "DOI" : "10.1080/21645515.2015.1118593", "ISSN" : "2164554X", "PMID" : "26905681", "abstract" : "Streptococcus pneumoniae has more than 95 serotypes, each of which presumably can cause sepsis, meningitis, pneumonia, and acute otitis media. Pneumococcal conjugate vaccines (PCV) targeted against a limited number of serotypes have nonetheless revealed an impressive impact on each manifestation of pneumococcal disease. At the same time, growing evidence of significant non-vaccine type (NVT) replacement disease following implementation of infant PCV programs has raised questions about the long-term viability of PCV immunization strategies and how to optimize PCV formulations. We discuss here theoretical and practical considerations regarding serotype replacement, and provide a snapshot of the most important NVT types seen to date after implementation of the 2 higher-valent PCVs.", "author" : [ { "dropping-particle" : "", "family" : "Hausdorff", "given" : "William P.", "non-dropping-particle" : "", "parse-names" : false, "suffix" : "" }, { "dropping-particle" : "", "family" : "Hanage", "given" : "William P.", "non-dropping-particle" : "", "parse-names" : false, "suffix" : "" } ], "container-title" : "Human Vaccines and Immunotherapeutics", "id" : "ITEM-1", "issue" : "2", "issued" : { "date-parts" : [ [ "2016" ] ] }, "page" : "358-374", "title" : "Interim results of an ecological experiment \u2014 Conjugate vaccination against the pneumococcus and serotype replacement", "type" : "article", "volume" : "12" }, "uris" : [ "http://www.mendeley.com/documents/?uuid=12cb624c-8631-4537-8d7f-16c441443e26" ] } ], "mendeley" : { "formattedCitation" : "(7)", "plainTextFormattedCitation" : "(7)", "previouslyFormattedCitation" : "(7)" }, "properties" : { "noteIndex" : 0 }, "schema" : "https://github.com/citation-style-language/schema/raw/master/csl-citation.json" }</w:instrText>
      </w:r>
      <w:r w:rsidR="00FA5081">
        <w:rPr>
          <w:rFonts w:ascii="Cambria" w:hAnsi="Cambria" w:cs="Arial"/>
          <w:color w:val="313131"/>
          <w:lang w:val="en-US"/>
        </w:rPr>
        <w:fldChar w:fldCharType="separate"/>
      </w:r>
      <w:r w:rsidR="00745A0A" w:rsidRPr="00745A0A">
        <w:rPr>
          <w:rFonts w:ascii="Cambria" w:hAnsi="Cambria" w:cs="Arial"/>
          <w:noProof/>
          <w:color w:val="313131"/>
          <w:lang w:val="en-US"/>
        </w:rPr>
        <w:t>(7)</w:t>
      </w:r>
      <w:r w:rsidR="00FA5081">
        <w:rPr>
          <w:rFonts w:ascii="Cambria" w:hAnsi="Cambria" w:cs="Arial"/>
          <w:color w:val="313131"/>
          <w:lang w:val="en-US"/>
        </w:rPr>
        <w:fldChar w:fldCharType="end"/>
      </w:r>
      <w:r w:rsidR="00FB2427">
        <w:rPr>
          <w:rFonts w:ascii="Cambria" w:hAnsi="Cambria" w:cs="Arial"/>
          <w:color w:val="313131"/>
          <w:lang w:val="en-US"/>
        </w:rPr>
        <w:t xml:space="preserve">. </w:t>
      </w:r>
    </w:p>
    <w:p w14:paraId="763083F1" w14:textId="77777777" w:rsidR="00802EBB" w:rsidRDefault="00802EBB" w:rsidP="00E41469">
      <w:pPr>
        <w:widowControl w:val="0"/>
        <w:autoSpaceDE w:val="0"/>
        <w:autoSpaceDN w:val="0"/>
        <w:adjustRightInd w:val="0"/>
        <w:spacing w:line="480" w:lineRule="auto"/>
        <w:rPr>
          <w:rFonts w:ascii="Cambria" w:hAnsi="Cambria" w:cs="Arial"/>
          <w:color w:val="313131"/>
          <w:lang w:val="en-US"/>
        </w:rPr>
      </w:pPr>
    </w:p>
    <w:p w14:paraId="3E42A04C" w14:textId="327790D2" w:rsidR="00AB10F7" w:rsidRDefault="00C02FC3" w:rsidP="002E1DF7">
      <w:pPr>
        <w:widowControl w:val="0"/>
        <w:autoSpaceDE w:val="0"/>
        <w:autoSpaceDN w:val="0"/>
        <w:adjustRightInd w:val="0"/>
        <w:spacing w:line="480" w:lineRule="auto"/>
        <w:rPr>
          <w:rFonts w:ascii="Cambria" w:hAnsi="Cambria" w:cs="Cambria"/>
          <w:lang w:val="en-US"/>
        </w:rPr>
      </w:pPr>
      <w:r>
        <w:rPr>
          <w:rFonts w:ascii="Cambria" w:hAnsi="Cambria" w:cs="Cambria"/>
          <w:lang w:val="en-US"/>
        </w:rPr>
        <w:t xml:space="preserve">There are </w:t>
      </w:r>
      <w:r w:rsidR="00BB3F42">
        <w:rPr>
          <w:rFonts w:ascii="Cambria" w:hAnsi="Cambria" w:cs="Cambria"/>
          <w:lang w:val="en-US"/>
        </w:rPr>
        <w:t>nearly 100</w:t>
      </w:r>
      <w:r w:rsidR="002E1DF7" w:rsidRPr="002E1DF7">
        <w:t xml:space="preserve"> </w:t>
      </w:r>
      <w:r w:rsidR="002E1DF7" w:rsidRPr="002E1DF7">
        <w:rPr>
          <w:rFonts w:ascii="Cambria" w:hAnsi="Cambria" w:cs="Cambria"/>
          <w:lang w:val="en-US"/>
        </w:rPr>
        <w:t>sero</w:t>
      </w:r>
      <w:r w:rsidR="002E1DF7">
        <w:rPr>
          <w:rFonts w:ascii="Cambria" w:hAnsi="Cambria" w:cs="Cambria"/>
          <w:lang w:val="en-US"/>
        </w:rPr>
        <w:t>logically distinct pneumococcal serotypes</w:t>
      </w:r>
      <w:r w:rsidR="00851D79">
        <w:rPr>
          <w:rFonts w:ascii="Cambria" w:hAnsi="Cambria" w:cs="Cambria"/>
          <w:lang w:val="en-US"/>
        </w:rPr>
        <w:t>,</w:t>
      </w:r>
      <w:r w:rsidR="00F016D1">
        <w:rPr>
          <w:rFonts w:ascii="Cambria" w:hAnsi="Cambria" w:cs="Cambria"/>
          <w:lang w:val="en-US"/>
        </w:rPr>
        <w:t xml:space="preserve"> </w:t>
      </w:r>
      <w:r w:rsidR="00E91298">
        <w:rPr>
          <w:rFonts w:ascii="Cambria" w:hAnsi="Cambria" w:cs="Cambria"/>
          <w:lang w:val="en-US"/>
        </w:rPr>
        <w:t xml:space="preserve">each </w:t>
      </w:r>
      <w:r w:rsidR="00F016D1">
        <w:rPr>
          <w:rFonts w:ascii="Cambria" w:hAnsi="Cambria" w:cs="Cambria"/>
          <w:lang w:val="en-US"/>
        </w:rPr>
        <w:t xml:space="preserve">with </w:t>
      </w:r>
      <w:r w:rsidR="00CF4D47">
        <w:rPr>
          <w:rFonts w:ascii="Cambria" w:hAnsi="Cambria" w:cs="Cambria"/>
          <w:lang w:val="en-US"/>
        </w:rPr>
        <w:t xml:space="preserve">different </w:t>
      </w:r>
      <w:r w:rsidR="00F016D1">
        <w:rPr>
          <w:rFonts w:ascii="Cambria" w:hAnsi="Cambria" w:cs="Cambria"/>
          <w:lang w:val="en-US"/>
        </w:rPr>
        <w:t>prop</w:t>
      </w:r>
      <w:r>
        <w:rPr>
          <w:rFonts w:ascii="Cambria" w:hAnsi="Cambria" w:cs="Cambria"/>
          <w:lang w:val="en-US"/>
        </w:rPr>
        <w:t xml:space="preserve">ensities for carriage, </w:t>
      </w:r>
      <w:r w:rsidR="00F016D1">
        <w:rPr>
          <w:rFonts w:ascii="Cambria" w:hAnsi="Cambria" w:cs="Cambria"/>
          <w:lang w:val="en-US"/>
        </w:rPr>
        <w:t>disease, clinical presentation</w:t>
      </w:r>
      <w:r w:rsidR="00C818C9">
        <w:rPr>
          <w:rFonts w:ascii="Cambria" w:hAnsi="Cambria" w:cs="Cambria"/>
          <w:lang w:val="en-US"/>
        </w:rPr>
        <w:t xml:space="preserve">, disease severity </w:t>
      </w:r>
      <w:r w:rsidR="00F016D1">
        <w:rPr>
          <w:rFonts w:ascii="Cambria" w:hAnsi="Cambria" w:cs="Cambria"/>
          <w:lang w:val="en-US"/>
        </w:rPr>
        <w:t xml:space="preserve">and </w:t>
      </w:r>
      <w:r w:rsidR="00C818C9">
        <w:rPr>
          <w:rFonts w:ascii="Cambria" w:hAnsi="Cambria" w:cs="Cambria"/>
          <w:lang w:val="en-US"/>
        </w:rPr>
        <w:t xml:space="preserve">death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"10.1186/1471-2334-4-21", "ISBN" : "1471-2334 (Electronic)\\r1471-2334 (Linking)", "ISSN" : "1471-2334", "PMID" : "15228629", "abstract" : "BACKGROUND: Invasive infection with Streptococcus pneumoniae (pneumococci) causes significant morbidity and mortality. Case series and experimental data have shown that the capsular serotype is involved in the pathogenesis and a determinant of disease outcome. METHODS: Retrospective review of 464 cases of invasive disease among adults diagnosed between 1990 and 2001. Multivariate Cox proportional hazard analysis. RESULTS: After adjustment for other markers of disease severity, we found that infection with serotype 3 was associated with an increased relative risk (RR) of death of 2.54 (95% confidence interval (CI): 1.22-5.27), whereas infection with serotype 1 was associated with a decreased risk of death (RR 0.23 (95% CI, 0.06-0.97)). Additionally, older age, relative leucopenia and relative hypothermia were independent predictors of mortality. CONCLUSION: Our study shows that capsular serotypes independently influenced the outcome from invasive pneumococcal disease. The limitations of the current polysaccharide pneumococcal vaccine warrant the development of alternative vaccines. We suggest that the virulence of pneumococcal serotypes should be considered in the design of novel vaccines.", "author" : [ { "dropping-particle" : "", "family" : "Martens", "given" : "Pernille", "non-dropping-particle" : "", "parse-names" : false, "suffix" : "" }, { "dropping-particle" : "", "family" : "Worm", "given" : "Signe Westring", "non-dropping-particle" : "", "parse-names" : false, "suffix" : "" }, { "dropping-particle" : "", "family" : "Lundgren", "given" : "Bettina", "non-dropping-particle" : "", "parse-names" : false, "suffix" : "" }, { "dropping-particle" : "", "family" : "Konradsen", "given" : "Helle Bossen", "non-dropping-particle" : "", "parse-names" : false, "suffix" : "" }, { "dropping-particle" : "", "family" : "Benfield", "given" : "Thomas", "non-dropping-particle" : "", "parse-names" : false, "suffix" : "" } ], "container-title" : "BMC infectious diseases", "id" : "ITEM-1", "issued" : { "date-parts" : [ [ "2004" ] ] }, "page" : "21", "title" : "Serotype-specific mortality from invasive Streptococcus pneumoniae disease revisited.", "type" : "article-journal", "volume" : "4" }, "uris" : [ "http://www.mendeley.com/documents/?uuid=bbdfebbf-781b-4426-aea4-5b2a6611354b" ] } ], "mendeley" : { "formattedCitation" : "(8)", "manualFormatting" : "(7", "plainTextFormattedCitation" : "(8)", "previouslyFormattedCitation" : "(8)"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(7</w:t>
      </w:r>
      <w:r w:rsidR="00FA5081">
        <w:rPr>
          <w:rFonts w:ascii="Cambria" w:hAnsi="Cambria" w:cs="Cambria"/>
          <w:lang w:val="en-US"/>
        </w:rPr>
        <w:fldChar w:fldCharType="end"/>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"10.1371/journal.pmed.1001017", "ISBN" : "1549-1676 (Electronic)\\r1549-1277 (Linking)", "ISSN" : "15491277", "PMID" : "21483718", "abstract" : "BACKGROUND: We investigated the effect of the 7-valent pneumococcal conjugate vaccine (PCV7) programme in England on serotype-specific carriage and invasive disease to help understand its role in serotype replacement and predict the impact of higher valency vaccines.\\n\\nMETHODS AND FINDINGS: Nasopharyngeal swabs were taken from children &lt;5 y old and family members (n=400) 2 y after introduction of PCV7 into routine immunization programs. Proportions carrying Streptococcus pneumoniae and serotype distribution among carried isolates were compared with a similar population prior to PCV7 introduction. Serotype-specific case carrier ratios (CCRs) were estimated using national data on invasive disease. In vaccinated children and their contacts vaccine-type (VT) carriage decreased, but was offset by an increase in non-VT carriage, with no significant overall change in carriage prevalence, odds ratio 1.06 (95% confidence interval 0.76-1.49). The lower CCRs of the replacing serotypes resulted in a net reduction in invasive disease in children. The additional serotypes covered by higher valency vaccines had low carriage but high disease prevalence. Serotype 11C emerged as predominant in carriage but caused no invasive disease whereas 8, 12F, and 22F emerged in disease but had very low carriage prevalence.\\n\\nCONCLUSION: Because the additional serotypes included in PCV10/13 have high CCRs but low carriage prevalence, vaccinating against them is likely to significantly reduce invasive disease with less risk of serotype replacement. However, a few serotypes with high CCRs could mitigate the benefits of higher valency vaccines. Assessment of the effect of PCV on carriage as well as invasive disease should be part of enhanced surveillance activities for PCVs. Please see later in the article for the Editors' Summary.", "author" : [ { "dropping-particle" : "", "family" : "Flasche", "given" : "Stefan", "non-dropping-particle" : "", "parse-names" : false, "suffix" : "" }, { "dropping-particle" : "", "family" : "Hoek", "given" : "Albert Jan", "non-dropping-particle" : "van", "parse-names" : false, "suffix" : "" }, { "dropping-particle" : "", "family" : "Sheasby", "given" : "Elizabeth", "non-dropping-particle" : "", "parse-names" : false, "suffix" : "" }, { "dropping-particle" : "", "family" : "Waight", "given" : "Pauline", "non-dropping-particle" : "", "parse-names" : false, "suffix" : "" }, { "dropping-particle" : "", "family" : "Andrews", "given" : "Nick", "non-dropping-particle" : "", "parse-names" : false, "suffix" : "" }, { "dropping-particle" : "", "family" : "Sheppard", "given" : "Carmen", "non-dropping-particle" : "", "parse-names" : false, "suffix" : "" }, { "dropping-particle" : "", "family" : "George", "given" : "Robert", "non-dropping-particle" : "", "parse-names" : false, "suffix" : "" }, { "dropping-particle" : "", "family" : "Miller", "given" : "Elizabeth", "non-dropping-particle" : "", "parse-names" : false, "suffix" : "" } ], "container-title" : "PLoS Medicine", "id" : "ITEM-1", "issue" : "4", "issued" : { "date-parts" : [ [ "2011" ] ] }, "page" : "14", "title" : "Effect of pneumococcal conjugate vaccination on serotype-specific carriage and invasive disease in England: A cross-sectional study", "type" : "article-journal", "volume" : "8" }, "uris" : [ "http://www.mendeley.com/documents/?uuid=b21a114c-4fee-4d75-9350-4820d20850a9" ] } ], "mendeley" : { "formattedCitation" : "(9)", "manualFormatting" : ", 8", "plainTextFormattedCitation" : "(9)", "previouslyFormattedCitation" : "(9)" }, "properties" : { "noteIndex" : 0 }, "schema" : "https://github.com/citation-style-language/schema/raw/master/csl-citation.json" }</w:instrText>
      </w:r>
      <w:r w:rsidR="00FA5081">
        <w:rPr>
          <w:rFonts w:ascii="Cambria" w:hAnsi="Cambria" w:cs="Cambria"/>
          <w:lang w:val="en-US"/>
        </w:rPr>
        <w:fldChar w:fldCharType="separate"/>
      </w:r>
      <w:r w:rsidR="00497C64">
        <w:rPr>
          <w:rFonts w:ascii="Cambria" w:hAnsi="Cambria" w:cs="Cambria"/>
          <w:noProof/>
          <w:lang w:val="en-US"/>
        </w:rPr>
        <w:t xml:space="preserve">, </w:t>
      </w:r>
      <w:r w:rsidR="002D1F2C" w:rsidRPr="002D1F2C">
        <w:rPr>
          <w:rFonts w:ascii="Cambria" w:hAnsi="Cambria" w:cs="Cambria"/>
          <w:noProof/>
          <w:lang w:val="en-US"/>
        </w:rPr>
        <w:t>8</w:t>
      </w:r>
      <w:r w:rsidR="00FA5081">
        <w:rPr>
          <w:rFonts w:ascii="Cambria" w:hAnsi="Cambria" w:cs="Cambria"/>
          <w:lang w:val="en-US"/>
        </w:rPr>
        <w:fldChar w:fldCharType="end"/>
      </w:r>
      <w:r w:rsidR="00497C64">
        <w:rPr>
          <w:rFonts w:ascii="Cambria" w:hAnsi="Cambria" w:cs="Cambria"/>
          <w:lang w:val="en-US"/>
        </w:rPr>
        <w:t>,</w:t>
      </w:r>
      <w:r w:rsidR="00C818C9" w:rsidRPr="00C818C9">
        <w:rPr>
          <w:rFonts w:ascii="Cambria" w:hAnsi="Cambria" w:cs="Cambria"/>
          <w:lang w:val="en-US"/>
        </w:rPr>
        <w:t xml:space="preserve">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"10.1128/JCM.01917-12", "ISBN" : "0095-1137", "ISSN" : "00951137", "PMID" : "23269742", "abstract" : "The introduction of the 7-valent pneumococcal conjugate vaccine (PCV7) in September 2006 has markedly reduced the burden of invasive pneumococcal disease (IPD) including meningitis in England and Wales. This study examined changes in the molecular epidemiology of pneumococcal isolates causing meningitis from July 2004 to June 2009. The Health Protection Agency conducts enhanced pneumococcal surveillance in England and Wales. In addition to serotyping, pneumococcal isolates causing meningitis were genotyped by multilocus sequence typing (MLST). A total of 1,030 isolates were both serotyped and genotyped over the 5-year period. Fifty-two serotypes, 238 sequence types (STs), and 87 clonal complexes were identified, with no significant difference in the yearly Simpson's diversity index values (range, 0.974 to 0.984). STs commonly associated with PCV7 serotypes declined following PCV implementation, with a proportionally greater decline in ST124 (commonly associated with serotype 14). No other ST showed significant changes in distribution, even within individual serotypes. Replacement disease following PCV7 introduction was mainly due to serotypes 1, 3, 7F, 19A, 22F, and 33F through clonal expansion. A single instance of possible capsule switching was identified where one ST4327 clone expressed a serotype 14 capsule in 2005 and a serotype 28A capsule in 2009. In 2008 to 2009, ST191 (7F) became the most prevalent clone causing meningitis (10.3%). Case fatality (145 fatalities/1,030 cases; 14.1%) was high across all age groups and serotype groups. Thus, the introduction of PCV7 resulted in an increase in non-PCV7 serotypes, including some not covered by the 13-valent vaccine, such as serotypes 22F and 33F, emphasizing the importance of long-term epidemiological and molecular surveillance.", "author" : [ { "dropping-particle" : "", "family" : "Pichon", "given" : "Bruno", "non-dropping-particle" : "", "parse-names" : false, "suffix" : "" }, { "dropping-particle" : "", "family" : "Ladhani", "given" : "Shamez N.", "non-dropping-particle" : "", "parse-names" : false, "suffix" : "" }, { "dropping-particle" : "", "family" : "Slack", "given" : "Mary P E", "non-dropping-particle" : "", "parse-names" : false, "suffix" : "" }, { "dropping-particle" : "", "family" : "Segonds-Pichon", "given" : "Anne",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"Miller", "given" : "Elizabeth", "non-dropping-particle" : "", "parse-names" : false, "suffix" : "" }, { "dropping-particle" : "", "family" : "George", "given" : "Robert", "non-dropping-particle" : "", "parse-names" : false, "suffix" : "" } ], "container-title" : "Journal of Clinical Microbiology", "id" : "ITEM-1", "issue" : "3", "issued" : { "date-parts" : [ [ "2013" ] ] }, "page" : "820-827", "title" : "Changes in molecular epidemiology of Streptococcus Pneumoniae causing meningitis following introduction of pneumococcal conjugate vaccination in England and Wales", "type" : "article-journal", "volume" : "51" }, "uris" : [ "http://www.mendeley.com/documents/?uuid=c1abe546-d97e-4ec4-8a24-54e3595a8471" ] } ], "mendeley" : { "formattedCitation" : "(10)", "manualFormatting" : "9", "plainTextFormattedCitation" : "(10)", "previouslyFormattedCitation" : "(10)"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9</w:t>
      </w:r>
      <w:r w:rsidR="00FA5081">
        <w:rPr>
          <w:rFonts w:ascii="Cambria" w:hAnsi="Cambria" w:cs="Cambria"/>
          <w:lang w:val="en-US"/>
        </w:rPr>
        <w:fldChar w:fldCharType="end"/>
      </w:r>
      <w:r w:rsidR="00497C64">
        <w:rPr>
          <w:rFonts w:ascii="Cambria" w:hAnsi="Cambria" w:cs="Cambria"/>
          <w:lang w:val="en-US"/>
        </w:rPr>
        <w:t xml:space="preserve">,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"10.1086/518538", "ISBN" : "1537-6591 (Electronic)\\r1058-4838 (Linking)", "ISSN" : "1537-6591", "PMID" : "17554699", "abstract" : "BACKGROUND: The introduction of conjugate pneumococcal vaccination for children has reduced the burden of invasive disease due to pneumococcal conjugate vaccine (PCV) types (i.e., serotypes 9V, 14, 6B, 18C, 23F, 19F, and 4) in adults. As nonvaccine serotypes become predominant causes of invasive disease among adults, it is necessary to evaluate the disease severity and mortality associated with infection due to nonvaccine serotypes, compared with PCV serotypes, in adults. METHODS: The association of pneumococcal serotype and host-related variables with disease severity and mortality was statistically examined (with multivariable analysis) in 796 prospectively enrolled, hospitalized adult patients with bacteremia due to Streptococcus pneumoniae. RESULTS: In multivariate analyses of risk in patients with invasive pneumococcal disease, older age (age, &gt; or = 65 years; P = .004), underlying chronic disease (P = .025), immunosuppression (P = .035), and severity of disease (P &lt; .001) were significantly associated with mortality; no association was found between nosocomial infection with invasive serotypes 1, 5, and 7 and mortality. The risk factors meningitis (P = .001), suppurative lung complications (P &lt; or = .001), and preexisting lung disease (P = .051) were significantly associated with disease severity, independent of infecting serotype. No differences were seen in disease severity or associated mortality among patients infected with PCV serotypes, compared with patients infected with nonvaccine serotypes. CONCLUSIONS: Our data support the notion that host factors are more important than isolate serotype in determining the severity and outcome of invasive pneumococcal disease and that these outcomes are unlikely to change in association with nonvaccine serotype infection in the post-conjugate vaccine era.", "author" : [ { "dropping-particle" : "", "family" : "Alanee", "given" : "S R J", "non-dropping-particle" : "", "parse-names" : false, "suffix" : "" }, { "dropping-particle" : "", "family" : "McGee", "given" : "L", "non-dropping-particle" : "", "parse-names" : false, "suffix" : "" }, { "dropping-particle" : "", "family" : "Jackson", "given" : "D", "non-dropping-particle" : "", "parse-names" : false, "suffix" : "" }, { "dropping-particle" : "", "family" : "Chiou", "given" : "C C", "non-dropping-particle" : "", "parse-names" : false, "suffix" : "" }, { "dropping-particle" : "", "family" : "Feldman", "given" : "C", "non-dropping-particle" : "", "parse-names" : false, "suffix" : "" }, { "dropping-particle" : "", "family" : "Morris", "given" : "a J", "non-dropping-particle" : "", "parse-names" : false, "suffix" : "" }, { "dropping-particle" : "", "family" : "Ortqvist", "given" : "a", "non-dropping-particle" : "", "parse-names" : false, "suffix" : "" }, { "dropping-particle" : "", "family" : "Rello", "given" : "J", "non-dropping-particle" : "", "parse-names" : false, "suffix" : "" }, { "dropping-particle" : "", "family" : "Luna", "given" : "C M", "non-dropping-particle" : "", "parse-names" : false, "suffix" : "" }, { "dropping-particle" : "", "family" : "Baddour", "given" : "L M", "non-dropping-particle" : "", "parse-names" : false, "suffix" : "" }, { "dropping-particle" : "", "family" : "Ip", "given" : "M", "non-dropping-particle" : "", "parse-names" : false, "suffix" : "" }, { "dropping-particle" : "", "family" : "Yu", "given" : "V L", "non-dropping-particle" : "", "parse-names" : false, "suffix" : "" }, { "dropping-particle" : "", "family" : "Klugman", "given" : "K P", "non-dropping-particle" : "", "parse-names" : false, "suffix" : "" } ], "container-title" : "Clinical infectious diseases : an official publication of the Infectious Diseases Society of America", "id" : "ITEM-1", "issued" : { "date-parts" : [ [ "2007" ] ] }, "page" : "46-51", "title" : "Association of serotypes of Streptococcus pneumoniae with disease severity and outcome in adults: an international study.", "type" : "article-journal", "volume" : "45" }, "uris" : [ "http://www.mendeley.com/documents/?uuid=ab2c782b-7f30-4da2-9005-20eaf1871cbc" ] } ], "mendeley" : { "formattedCitation" : "(11)", "manualFormatting" : "10", "plainTextFormattedCitation" : "(11)", "previouslyFormattedCitation" : "(11)"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10</w:t>
      </w:r>
      <w:r w:rsidR="00FA5081">
        <w:rPr>
          <w:rFonts w:ascii="Cambria" w:hAnsi="Cambria" w:cs="Cambria"/>
          <w:lang w:val="en-US"/>
        </w:rPr>
        <w:fldChar w:fldCharType="end"/>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"abstract" : "BACKGROUND: Pneumococcal disease is a leading cause of morbidity and mortality worldwide. The aim of this study was to investigate the association between specific pneumococcal serotypes and mortality from invasive pneumococcal disease (IPD). METHODS AND FINDINGS: In a nationwide population-based cohort study of IPD in Denmark during 1977-2007, 30-d mortality associated with pneumococcal serotypes was examined by multivariate logistic regression analysis after controlling for potential confounders. A total of 18,858 IPD patients were included. Overall 30-d mortality was 18%, and 3% in children younger than age 5 y. Age, male sex, meningitis, high comorbidity level, alcoholism, and early decade of diagnosis were significantly associated with mortality. Among individuals aged 5 y and older, serotypes 31, 11A, 35F, 17F, 3, 16F, 19F, 15B, and 10A were associated with highly increased mortality as compared with serotype 1 (all: adjusted odds ratio &gt;or=3, p&lt;0.001). In children younger than 5 y, associations between serotypes and mortality were different than in adults but statistical precision was limited because of low overall childhood-related mortality. CONCLUSIONS: Specific pneumococcal serotypes strongly and independently affect IPD associated mortality.", "author" : [ { "dropping-particle" : "", "family" : "ZB", "given" : "Harboe", "non-dropping-particle" : "", "parse-names" : false, "suffix" : "" }, { "dropping-particle" : "", "family" : "RW", "given" : "Thomsen", "non-dropping-particle" : "", "parse-names" : false, "suffix" : "" }, { "dropping-particle" : "", "family" : "Riis", "given" : "A", "non-dropping-particle" : "", "parse-names" : false, "suffix" : "" }, { "dropping-particle" : "", "family" : "Valentiner-Branth", "given" : "P", "non-dropping-particle" : "", "parse-names" : false, "suffix" : "" }, { "dropping-particle" : "", "family" : "JJ", "given" : "Christensen", "non-dropping-particle" : "", "parse-names" : false, "suffix" : "" }, { "dropping-particle" : "", "family" : "Lambertsen", "given" : "L", "non-dropping-particle" : "", "parse-names" : false, "suffix" : "" }, { "dropping-particle" : "", "family" : "KA", "given" : "Krogfelt", "non-dropping-particle" : "", "parse-names" : false, "suffix" : "" }, { "dropping-particle" : "", "family" : "HB", "given" : "Konradsen", "non-dropping-particle" : "", "parse-names" : false, "suffix" : "" }, { "dropping-particle" : "", "family" : "TL", "given" : "Benfield", "non-dropping-particle" : "", "parse-names" : false, "suffix" : "" } ], "container-title" : "PLoS Med", "id" : "ITEM-1", "issue" : "5", "issued" : { "date-parts" : [ [ "2009" ] ] }, "page" : "e1000081-e1000081", "title" : "Pneumococcal serotypes and mortality following invasive pneumococcal disease: a population-based cohort study.", "type" : "article-journal", "volume" : "6" }, "uris" : [ "http://www.mendeley.com/documents/?uuid=688853d2-f7fd-4236-8375-258f30adc25e" ] } ], "mendeley" : { "formattedCitation" : "(12)", "manualFormatting" : ", 11)", "plainTextFormattedCitation" : "(12)", "previouslyFormattedCitation" : "(12)" }, "properties" : { "noteIndex" : 0 }, "schema" : "https://github.com/citation-style-language/schema/raw/master/csl-citation.json" }</w:instrText>
      </w:r>
      <w:r w:rsidR="00FA5081">
        <w:rPr>
          <w:rFonts w:ascii="Cambria" w:hAnsi="Cambria" w:cs="Cambria"/>
          <w:lang w:val="en-US"/>
        </w:rPr>
        <w:fldChar w:fldCharType="separate"/>
      </w:r>
      <w:r w:rsidR="00497C64">
        <w:rPr>
          <w:rFonts w:ascii="Cambria" w:hAnsi="Cambria" w:cs="Cambria"/>
          <w:noProof/>
          <w:lang w:val="en-US"/>
        </w:rPr>
        <w:t xml:space="preserve">, </w:t>
      </w:r>
      <w:r w:rsidR="00D07E4B" w:rsidRPr="00D07E4B">
        <w:rPr>
          <w:rFonts w:ascii="Cambria" w:hAnsi="Cambria" w:cs="Cambria"/>
          <w:noProof/>
          <w:lang w:val="en-US"/>
        </w:rPr>
        <w:t>11)</w:t>
      </w:r>
      <w:r w:rsidR="00FA5081">
        <w:rPr>
          <w:rFonts w:ascii="Cambria" w:hAnsi="Cambria" w:cs="Cambria"/>
          <w:lang w:val="en-US"/>
        </w:rPr>
        <w:fldChar w:fldCharType="end"/>
      </w:r>
      <w:r w:rsidR="00191D3D">
        <w:rPr>
          <w:rFonts w:ascii="Cambria" w:hAnsi="Cambria" w:cs="Cambria"/>
          <w:lang w:val="en-US"/>
        </w:rPr>
        <w:t xml:space="preserve">. </w:t>
      </w:r>
      <w:r w:rsidR="00690E71">
        <w:rPr>
          <w:rFonts w:ascii="Cambria" w:hAnsi="Cambria" w:cs="Cambria"/>
          <w:lang w:val="en-US"/>
        </w:rPr>
        <w:t xml:space="preserve">In older children and adults at least, </w:t>
      </w:r>
      <w:r w:rsidR="00497C64">
        <w:rPr>
          <w:rFonts w:ascii="Cambria" w:hAnsi="Cambria" w:cs="Cambria"/>
          <w:lang w:val="en-US"/>
        </w:rPr>
        <w:t>several vaccine</w:t>
      </w:r>
      <w:r w:rsidR="00CF4D47">
        <w:rPr>
          <w:rFonts w:ascii="Cambria" w:hAnsi="Cambria" w:cs="Cambria"/>
          <w:lang w:val="en-US"/>
        </w:rPr>
        <w:t xml:space="preserve"> and non-vaccine </w:t>
      </w:r>
      <w:r w:rsidR="00690E71">
        <w:rPr>
          <w:rFonts w:ascii="Cambria" w:hAnsi="Cambria" w:cs="Cambria"/>
          <w:lang w:val="en-US"/>
        </w:rPr>
        <w:t xml:space="preserve">serotypes have been associated with more severe disease and </w:t>
      </w:r>
      <w:r w:rsidR="00192063">
        <w:rPr>
          <w:rFonts w:ascii="Cambria" w:hAnsi="Cambria" w:cs="Cambria"/>
          <w:lang w:val="en-US"/>
        </w:rPr>
        <w:t>death</w:t>
      </w:r>
      <w:r w:rsidR="00C30E96">
        <w:rPr>
          <w:rFonts w:ascii="Cambria" w:hAnsi="Cambria" w:cs="Cambria"/>
          <w:lang w:val="en-US"/>
        </w:rPr>
        <w:t xml:space="preserve"> </w:t>
      </w:r>
      <w:r w:rsidR="00C30E96">
        <w:rPr>
          <w:rFonts w:ascii="Cambria" w:hAnsi="Cambria" w:cs="Cambria"/>
          <w:lang w:val="en-US"/>
        </w:rPr>
        <w:fldChar w:fldCharType="begin" w:fldLock="1"/>
      </w:r>
      <w:r w:rsidR="00923023">
        <w:rPr>
          <w:rFonts w:ascii="Cambria" w:hAnsi="Cambria" w:cs="Cambria"/>
          <w:lang w:val="en-US"/>
        </w:rPr>
        <w:instrText>ADDIN CSL_CITATION { "citationItems" : [ { "id" : "ITEM-1", "itemData" : { "abstract" : "BACKGROUND: Pneumococcal disease is a leading cause of morbidity and mortality worldwide. The aim of this study was to investigate the association between specific pneumococcal serotypes and mortality from invasive pneumococcal disease (IPD). METHODS AND FINDINGS: In a nationwide population-based cohort study of IPD in Denmark during 1977-2007, 30-d mortality associated with pneumococcal serotypes was examined by multivariate logistic regression analysis after controlling for potential confounders. A total of 18,858 IPD patients were included. Overall 30-d mortality was 18%, and 3% in children younger than age 5 y. Age, male sex, meningitis, high comorbidity level, alcoholism, and early decade of diagnosis were significantly associated with mortality. Among individuals aged 5 y and older, serotypes 31, 11A, 35F, 17F, 3, 16F, 19F, 15B, and 10A were associated with highly increased mortality as compared with serotype 1 (all: adjusted odds ratio &gt;or=3, p&lt;0.001). In children younger than 5 y, associations between serotypes and mortality were different than in adults but statistical precision was limited because of low overall childhood-related mortality. CONCLUSIONS: Specific pneumococcal serotypes strongly and independently affect IPD associated mortality.", "author" : [ { "dropping-particle" : "", "family" : "ZB", "given" : "Harboe", "non-dropping-particle" : "", "parse-names" : false, "suffix" : "" }, { "dropping-particle" : "", "family" : "RW", "given" : "Thomsen", "non-dropping-particle" : "", "parse-names" : false, "suffix" : "" }, { "dropping-particle" : "", "family" : "Riis", "given" : "A", "non-dropping-particle" : "", "parse-names" : false, "suffix" : "" }, { "dropping-particle" : "", "family" : "Valentiner-Branth", "given" : "P", "non-dropping-particle" : "", "parse-names" : false, "suffix" : "" }, { "dropping-particle" : "", "family" : "JJ", "given" : "Christensen", "non-dropping-particle" : "", "parse-names" : false, "suffix" : "" }, { "dropping-particle" : "", "family" : "Lambertsen", "given" : "L", "non-dropping-particle" : "", "parse-names" : false, "suffix" : "" }, { "dropping-particle" : "", "family" : "KA", "given" : "Krogfelt", "non-dropping-particle" : "", "parse-names" : false, "suffix" : "" }, { "dropping-particle" : "", "family" : "HB", "given" : "Konradsen", "non-dropping-particle" : "", "parse-names" : false, "suffix" : "" }, { "dropping-particle" : "", "family" : "TL", "given" : "Benfield", "non-dropping-particle" : "", "parse-names" : false, "suffix" : "" } ], "container-title" : "PLoS Med", "id" : "ITEM-1", "issue" : "5", "issued" : { "date-parts" : [ [ "2009" ] ] }, "page" : "e1000081-e1000081", "title" : "Pneumococcal serotypes and mortality following invasive pneumococcal disease: a population-based cohort study.", "type" : "article-journal", "volume" : "6" }, "uris" : [ "http://www.mendeley.com/documents/?uuid=688853d2-f7fd-4236-8375-258f30adc25e" ] } ], "mendeley" : { "formattedCitation" : "(12)", "plainTextFormattedCitation" : "(12)", "previouslyFormattedCitation" : "(12)" }, "properties" : { "noteIndex" : 0 }, "schema" : "https://github.com/citation-style-language/schema/raw/master/csl-citation.json" }</w:instrText>
      </w:r>
      <w:r w:rsidR="00C30E96">
        <w:rPr>
          <w:rFonts w:ascii="Cambria" w:hAnsi="Cambria" w:cs="Cambria"/>
          <w:lang w:val="en-US"/>
        </w:rPr>
        <w:fldChar w:fldCharType="separate"/>
      </w:r>
      <w:r w:rsidR="00C30E96" w:rsidRPr="00C30E96">
        <w:rPr>
          <w:rFonts w:ascii="Cambria" w:hAnsi="Cambria" w:cs="Cambria"/>
          <w:noProof/>
          <w:lang w:val="en-US"/>
        </w:rPr>
        <w:t>(12</w:t>
      </w:r>
      <w:r w:rsidR="00912E10">
        <w:rPr>
          <w:rFonts w:ascii="Cambria" w:hAnsi="Cambria" w:cs="Cambria"/>
          <w:noProof/>
          <w:lang w:val="en-US"/>
        </w:rPr>
        <w:t xml:space="preserve">, </w:t>
      </w:r>
      <w:r w:rsidR="00C30E96">
        <w:rPr>
          <w:rFonts w:ascii="Cambria" w:hAnsi="Cambria" w:cs="Cambria"/>
          <w:lang w:val="en-US"/>
        </w:rPr>
        <w:fldChar w:fldCharType="end"/>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"10.1086/655828", "ISBN" : "1537-6591 (Electronic)\\r1058-4838 (Linking)", "ISSN" : "1537-6591", "PMID" : "20715907", "abstract" : "BACKGROUND: The 92 capsular serotypes of Streptococcus pneumoniae differ greatly in nasopharyngeal carriage prevalence, invasiveness, and disease incidence. There has been some debate, though, regarding whether serotype independently affects the outcome of invasive pneumococcal disease (IPD). Published studies have shown variable results with regard to case-fatality ratios for specific serotypes and the role of host factors in affecting these relationships. We evaluated whether risk of death due to IPD is a stable serotype-associated property across studies and then compared the pooled effect estimates with epidemiologic and biological correlates.\\n\\nMETHODS: We performed a systematic review and meta-analysis of serotype-specific disease outcomes for patients with pneumonia and meningitis. Study-specific estimates of risk of death (risk ratio [RR]) were pooled from 9 studies that provided serotype-specific data on pneumonia and meningitis using a random-effects method with serotype 14 as the reference. Pooled RRs were compared with RRs from adults with low comorbidity scores to evaluate potential confounding by host factors.\\n\\nRESULTS: Significant differences were found in the RR estimates among serotypes in patients with bacteremic pneumonia. Overall, serotypes 1, 7F, and 8 were associated with decreased RRs, and serotypes 3, 6A, 6B, 9N, and 19F were associated with increased RRs. Outcomes among meningitis patients did not differ significantly among serotypes. Serotypes with increased RRs had a high carriage prevalence, had low invasiveness, and were more heavily encapsulated in vitro.\\n\\nCONCLUSIONS: These results suggest that IPD outcome, like other epidemiologic measures, is a stable serotype-associated property.", "author" : [ { "dropping-particle" : "", "family" : "Weinberger", "given" : "Daniel M", "non-dropping-particle" : "", "parse-names" : false, "suffix" : "" }, { "dropping-particle" : "", "family" : "Harboe", "given" : "Zitta B", "non-dropping-particle" : "", "parse-names" : false, "suffix" : "" }, { "dropping-particle" : "", "family" : "Sanders", "given" : "Elisabeth A M", "non-dropping-particle" : "", "parse-names" : false, "suffix" : "" }, { "dropping-particle" : "", "family" : "Ndiritu", "given" : "Moses", "non-dropping-particle" : "", "parse-names" : false, "suffix" : "" }, { "dropping-particle" : "", "family" : "Klugman", "given" : "Keith P", "non-dropping-particle" : "", "parse-names" : false, "suffix" : "" }, { "dropping-particle" : "", "family" : "R\u00fcckinger", "given" : "Simon", "non-dropping-particle" : "", "parse-names" : false, "suffix" : "" }, { "dropping-particle" : "", "family" : "Dagan", "given" : "Ron", "non-dropping-particle" : "", "parse-names" : false, "suffix" : "" }, { "dropping-particle" : "", "family" : "Adegbola", "given" : "Richard", "non-dropping-particle" : "", "parse-names" : false, "suffix" : "" }, { "dropping-particle" : "", "family" : "Cutts", "given" : "Felicity", "non-dropping-particle" : "", "parse-names" : false, "suffix" : "" }, { "dropping-particle" : "", "family" : "Johnson", "given" : "Hope L", "non-dropping-particle" : "", "parse-names" : false, "suffix" : "" }, { "dropping-particle" : "", "family" : "O'Brien", "given" : "Katherine L", "non-dropping-particle" : "", "parse-names" : false, "suffix" : "" }, { "dropping-particle" : "", "family" : "Scott", "given" : "J Anthony", "non-dropping-particle" : "", "parse-names" : false, "suffix" : "" }, { "dropping-particle" : "", "family" : "Lipsitch", "given" : "Marc", "non-dropping-particle" : "", "parse-names" : false, "suffix" : "" } ], "container-title" : "Clinical infectious diseases : an official publication of the Infectious Diseases Society of America", "id" : "ITEM-1", "issue" : "6", "issued" : { "date-parts" : [ [ "2010" ] ] }, "page" : "692-9", "title" : "Association of serotype with risk of death due to pneumococcal pneumonia: a meta-analysis.", "type" : "article-journal", "volume" : "51" }, "uris" : [ "http://www.mendeley.com/documents/?uuid=9087fc4e-84c6-4ff2-a14f-ea295e408037" ] } ], "mendeley" : { "formattedCitation" : "(13)", "manualFormatting" : "13)", "plainTextFormattedCitation" : "(13)", "previouslyFormattedCitation" : "(13)"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13)</w:t>
      </w:r>
      <w:r w:rsidR="00FA5081">
        <w:rPr>
          <w:rFonts w:ascii="Cambria" w:hAnsi="Cambria" w:cs="Cambria"/>
          <w:lang w:val="en-US"/>
        </w:rPr>
        <w:fldChar w:fldCharType="end"/>
      </w:r>
      <w:r w:rsidR="00690E71">
        <w:rPr>
          <w:rFonts w:ascii="Cambria" w:hAnsi="Cambria" w:cs="Cambria"/>
          <w:lang w:val="en-US"/>
        </w:rPr>
        <w:t xml:space="preserve">. </w:t>
      </w:r>
      <w:r w:rsidR="00497C64">
        <w:rPr>
          <w:rFonts w:ascii="Cambria" w:hAnsi="Cambria" w:cs="Cambria"/>
          <w:lang w:val="en-US"/>
        </w:rPr>
        <w:t>It is</w:t>
      </w:r>
      <w:r>
        <w:rPr>
          <w:rFonts w:ascii="Cambria" w:hAnsi="Cambria" w:cs="Cambria"/>
          <w:lang w:val="en-US"/>
        </w:rPr>
        <w:t>,</w:t>
      </w:r>
      <w:r w:rsidR="004A725B">
        <w:rPr>
          <w:rFonts w:ascii="Cambria" w:hAnsi="Cambria" w:cs="Cambria"/>
          <w:lang w:val="en-US"/>
        </w:rPr>
        <w:t xml:space="preserve"> therefore, not surprising that the changes in serotypes causing IPD following the introduction of two highly immunogenic PCVs </w:t>
      </w:r>
      <w:r w:rsidR="001F7ACA">
        <w:rPr>
          <w:rFonts w:ascii="Cambria" w:hAnsi="Cambria" w:cs="Cambria"/>
          <w:lang w:val="en-US"/>
        </w:rPr>
        <w:t>would affect disease characteristics and outcomes.</w:t>
      </w:r>
      <w:r w:rsidR="006F2379">
        <w:rPr>
          <w:rFonts w:ascii="Cambria" w:hAnsi="Cambria" w:cs="Cambria"/>
          <w:lang w:val="en-US"/>
        </w:rPr>
        <w:t xml:space="preserve"> </w:t>
      </w:r>
      <w:r w:rsidR="00E91298">
        <w:rPr>
          <w:rFonts w:ascii="Cambria" w:hAnsi="Cambria" w:cs="Cambria"/>
          <w:lang w:val="en-US"/>
        </w:rPr>
        <w:t>PCVs</w:t>
      </w:r>
      <w:r w:rsidR="00554ADE">
        <w:rPr>
          <w:rFonts w:ascii="Cambria" w:hAnsi="Cambria" w:cs="Cambria"/>
          <w:lang w:val="en-US"/>
        </w:rPr>
        <w:t xml:space="preserve"> were developed to protect against the most virulent serotypes and it was hoped that any </w:t>
      </w:r>
      <w:r w:rsidR="00554ADE">
        <w:rPr>
          <w:rFonts w:ascii="Cambria" w:hAnsi="Cambria" w:cs="Cambria"/>
          <w:lang w:val="en-US"/>
        </w:rPr>
        <w:lastRenderedPageBreak/>
        <w:t>replacing serotypes would have lower invasive potential. This</w:t>
      </w:r>
      <w:r>
        <w:rPr>
          <w:rFonts w:ascii="Cambria" w:hAnsi="Cambria" w:cs="Cambria"/>
          <w:lang w:val="en-US"/>
        </w:rPr>
        <w:t xml:space="preserve"> assertion is partly true in that</w:t>
      </w:r>
      <w:r w:rsidR="00554ADE">
        <w:rPr>
          <w:rFonts w:ascii="Cambria" w:hAnsi="Cambria" w:cs="Cambria"/>
          <w:lang w:val="en-US"/>
        </w:rPr>
        <w:t xml:space="preserve"> non-vaccine serotypes have only partly replaced the large </w:t>
      </w:r>
      <w:r w:rsidR="00E91298">
        <w:rPr>
          <w:rFonts w:ascii="Cambria" w:hAnsi="Cambria" w:cs="Cambria"/>
          <w:lang w:val="en-US"/>
        </w:rPr>
        <w:t>niche left by the</w:t>
      </w:r>
      <w:r w:rsidR="00554ADE">
        <w:rPr>
          <w:rFonts w:ascii="Cambria" w:hAnsi="Cambria" w:cs="Cambria"/>
          <w:lang w:val="en-US"/>
        </w:rPr>
        <w:t xml:space="preserve"> PCV serotypes </w:t>
      </w:r>
      <w:r w:rsidR="00FA5081">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"plainTextFormattedCitation" : "(4)", "previouslyFormattedCitation" : "(4)" }, "properties" : { "noteIndex" : 0 }, "schema" : "https://github.com/citation-style-language/schema/raw/master/csl-citation.json" }</w:instrText>
      </w:r>
      <w:r w:rsidR="00FA5081">
        <w:rPr>
          <w:rFonts w:ascii="Cambria" w:hAnsi="Cambria" w:cs="Cambria"/>
          <w:lang w:val="en-US"/>
        </w:rPr>
        <w:fldChar w:fldCharType="separate"/>
      </w:r>
      <w:r w:rsidR="00745A0A" w:rsidRPr="00745A0A">
        <w:rPr>
          <w:rFonts w:ascii="Cambria" w:hAnsi="Cambria" w:cs="Cambria"/>
          <w:noProof/>
          <w:lang w:val="en-US"/>
        </w:rPr>
        <w:t>(4)</w:t>
      </w:r>
      <w:r w:rsidR="00FA5081">
        <w:rPr>
          <w:rFonts w:ascii="Cambria" w:hAnsi="Cambria" w:cs="Cambria"/>
          <w:lang w:val="en-US"/>
        </w:rPr>
        <w:fldChar w:fldCharType="end"/>
      </w:r>
      <w:r w:rsidR="00554ADE">
        <w:rPr>
          <w:rFonts w:ascii="Cambria" w:hAnsi="Cambria" w:cs="Cambria"/>
          <w:lang w:val="en-US"/>
        </w:rPr>
        <w:t xml:space="preserve">. In Spain, </w:t>
      </w:r>
      <w:r w:rsidR="006F2379">
        <w:rPr>
          <w:rFonts w:ascii="Cambria" w:hAnsi="Cambria" w:cs="Cambria"/>
          <w:lang w:val="en-US"/>
        </w:rPr>
        <w:t xml:space="preserve">significant declines in IPD-related mortality rates have been </w:t>
      </w:r>
      <w:r w:rsidR="00E91298">
        <w:rPr>
          <w:rFonts w:ascii="Cambria" w:hAnsi="Cambria" w:cs="Cambria"/>
          <w:lang w:val="en-US"/>
        </w:rPr>
        <w:t xml:space="preserve">reported </w:t>
      </w:r>
      <w:r w:rsidR="006F2379">
        <w:rPr>
          <w:rFonts w:ascii="Cambria" w:hAnsi="Cambria" w:cs="Cambria"/>
          <w:lang w:val="en-US"/>
        </w:rPr>
        <w:t xml:space="preserve">in adults following </w:t>
      </w:r>
      <w:r w:rsidR="00554ADE">
        <w:rPr>
          <w:rFonts w:ascii="Cambria" w:hAnsi="Cambria" w:cs="Cambria"/>
          <w:lang w:val="en-US"/>
        </w:rPr>
        <w:t xml:space="preserve">both </w:t>
      </w:r>
      <w:r w:rsidR="006F2379">
        <w:rPr>
          <w:rFonts w:ascii="Cambria" w:hAnsi="Cambria" w:cs="Cambria"/>
          <w:lang w:val="en-US"/>
        </w:rPr>
        <w:t xml:space="preserve">PCV7 and PCV13 </w:t>
      </w:r>
      <w:r w:rsidR="00554ADE">
        <w:rPr>
          <w:rFonts w:ascii="Cambria" w:hAnsi="Cambria" w:cs="Cambria"/>
          <w:lang w:val="en-US"/>
        </w:rPr>
        <w:t xml:space="preserve">introduction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"10.1016/j.jinf.2016.01.011", "ISBN" : "0163-4453", "ISSN" : "15322742", "PMID" : "26868606", "abstract" : "Objective: To determine changes in mortality among adults with invasive pneumococcal disease (IPD) after introducing pneumococcal conjugate vaccines (PCVs) in children. Methods: An active surveillance of adults with culture-proven IPD in Barcelona. Serotype-specific mortality and rates of disease and death were analysed in three periods: baseline (1994-2001), PCV7 (2002-2009) and PCV13 (2010-2013). Results: Overall, IPD caused by PCV7 serotypes was associated with increased case fatality rate (24 percent).In patients 18-64 years (baseline vs. PCV7 vs. PCV13 periods), case fatality rate from IPD decreased (22 vs.14 vs. 12 percent), and it was associated with a decline in PCV7 serotypes (3.56 vs. 2.80 vs. 1.49 cases/105 person-years) and in PCV7 serotypes-specific death (0.74 vs. 0.53 vs. 0.09 deaths/105 person-years).In patients \u226565 years, case fatality rate did not change (24 vs. 22 vs. 24 percent); however, there was a decline in PCV7 serotypes-specific death (4.94 vs. 3.58 vs. 2.45 deaths/105 person-years), and an increase in non-PCV serotypes-specific death (2.55 vs. 3.70 vs. 4.09 deaths/105 person-years). Conclusions: The use of PCVs for children was associated with a reduction of mortality from IPD in adults 18-64 years, through the indirect effect of herd protection. In older adults, age-related factors could play a role in IPD mortality.", "author" : [ { "dropping-particle" : "", "family" : "Grau", "given" : "Imma", "non-dropping-particle" : "", "parse-names" : false, "suffix" : "" }, { "dropping-particle" : "", "family" : "Ardanuy", "given" : "Carmen", "non-dropping-particle" : "", "parse-names" : false, "suffix" : "" }, { "dropping-particle" : "", "family" : "Cubero", "given" : "Meritxell", "non-dropping-particle" : "", "parse-names" : false, "suffix" : "" }, { "dropping-particle" : "", "family" : "Benitez", "given" : "Miguel A.", "non-dropping-particle" : "", "parse-names" : false, "suffix" : "" }, { "dropping-particle" : "", "family" : "Li\u00f1ares", "given" : "Josefina", "non-dropping-particle" : "", "parse-names" : false, "suffix" : "" }, { "dropping-particle" : "", "family" : "Pallares", "given" : "Roman", "non-dropping-particle" : "", "parse-names" : false, "suffix" : "" } ], "container-title" : "Journal of Infection", "id" : "ITEM-1", "issue" : "4", "issued" : { "date-parts" : [ [ "2016" ] ] }, "page" : "439-449", "title" : "Declining mortality from adult pneumococcal infections linked to children's vaccination", "type" : "article-journal", "volume" : "72" }, "uris" : [ "http://www.mendeley.com/documents/?uuid=337ed16f-df44-4645-96da-17c48218d340" ] } ], "mendeley" : { "formattedCitation" : "(14)", "plainTextFormattedCitation" : "(14)", "previouslyFormattedCitation" : "(14)" }, "properties" : { "noteIndex" : 0 }, "schema" : "https://github.com/citation-style-language/schema/raw/master/csl-citation.json" }</w:instrText>
      </w:r>
      <w:r w:rsidR="00FA5081">
        <w:rPr>
          <w:rFonts w:ascii="Cambria" w:hAnsi="Cambria" w:cs="Cambria"/>
          <w:lang w:val="en-US"/>
        </w:rPr>
        <w:fldChar w:fldCharType="separate"/>
      </w:r>
      <w:r w:rsidR="008B52BA" w:rsidRPr="008B52BA">
        <w:rPr>
          <w:rFonts w:ascii="Cambria" w:hAnsi="Cambria" w:cs="Cambria"/>
          <w:noProof/>
          <w:lang w:val="en-US"/>
        </w:rPr>
        <w:t>(14)</w:t>
      </w:r>
      <w:r w:rsidR="00FA5081">
        <w:rPr>
          <w:rFonts w:ascii="Cambria" w:hAnsi="Cambria" w:cs="Cambria"/>
          <w:lang w:val="en-US"/>
        </w:rPr>
        <w:fldChar w:fldCharType="end"/>
      </w:r>
      <w:r w:rsidR="00AB10F7">
        <w:rPr>
          <w:rFonts w:ascii="Cambria" w:hAnsi="Cambria" w:cs="Cambria"/>
          <w:lang w:val="en-US"/>
        </w:rPr>
        <w:t>.</w:t>
      </w:r>
      <w:r w:rsidR="001F7ACA">
        <w:rPr>
          <w:rFonts w:ascii="Cambria" w:hAnsi="Cambria" w:cs="Cambria"/>
          <w:lang w:val="en-US"/>
        </w:rPr>
        <w:t xml:space="preserve"> </w:t>
      </w:r>
      <w:r w:rsidR="00AB10F7" w:rsidRPr="00625E17">
        <w:rPr>
          <w:rFonts w:ascii="Cambria" w:hAnsi="Cambria" w:cs="Cambria"/>
          <w:lang w:val="en-US"/>
        </w:rPr>
        <w:t>In</w:t>
      </w:r>
      <w:r w:rsidR="00477388">
        <w:rPr>
          <w:rFonts w:ascii="Cambria" w:hAnsi="Cambria" w:cs="Cambria"/>
          <w:lang w:val="en-US"/>
        </w:rPr>
        <w:t xml:space="preserve"> </w:t>
      </w:r>
      <w:r w:rsidR="00AB10F7" w:rsidRPr="00625E17">
        <w:rPr>
          <w:rFonts w:ascii="Cambria" w:hAnsi="Cambria" w:cs="Cambria"/>
          <w:lang w:val="en-US"/>
        </w:rPr>
        <w:t xml:space="preserve">children, </w:t>
      </w:r>
      <w:r w:rsidR="006456E2">
        <w:rPr>
          <w:rFonts w:ascii="Cambria" w:hAnsi="Cambria" w:cs="Cambria"/>
          <w:lang w:val="en-US"/>
        </w:rPr>
        <w:t xml:space="preserve">such impact </w:t>
      </w:r>
      <w:r w:rsidR="00AB10F7" w:rsidRPr="00625E17">
        <w:rPr>
          <w:rFonts w:ascii="Cambria" w:hAnsi="Cambria" w:cs="Cambria"/>
          <w:lang w:val="en-US"/>
        </w:rPr>
        <w:t>has</w:t>
      </w:r>
      <w:r w:rsidR="00AB10F7">
        <w:rPr>
          <w:rFonts w:ascii="Cambria" w:hAnsi="Cambria" w:cs="Cambria"/>
          <w:lang w:val="en-US"/>
        </w:rPr>
        <w:t xml:space="preserve"> been more difficult to </w:t>
      </w:r>
      <w:r w:rsidR="00152AC3">
        <w:rPr>
          <w:rFonts w:ascii="Cambria" w:hAnsi="Cambria" w:cs="Cambria"/>
          <w:lang w:val="en-US"/>
        </w:rPr>
        <w:t xml:space="preserve">demonstrate </w:t>
      </w:r>
      <w:r w:rsidR="00AB10F7">
        <w:rPr>
          <w:rFonts w:ascii="Cambria" w:hAnsi="Cambria" w:cs="Cambria"/>
          <w:lang w:val="en-US"/>
        </w:rPr>
        <w:t xml:space="preserve">because of </w:t>
      </w:r>
      <w:r w:rsidR="00152AC3">
        <w:rPr>
          <w:rFonts w:ascii="Cambria" w:hAnsi="Cambria" w:cs="Cambria"/>
          <w:lang w:val="en-US"/>
        </w:rPr>
        <w:t xml:space="preserve">the </w:t>
      </w:r>
      <w:r w:rsidR="00AB10F7">
        <w:rPr>
          <w:rFonts w:ascii="Cambria" w:hAnsi="Cambria" w:cs="Cambria"/>
          <w:lang w:val="en-US"/>
        </w:rPr>
        <w:t xml:space="preserve">small number of </w:t>
      </w:r>
      <w:r w:rsidR="00152AC3">
        <w:rPr>
          <w:rFonts w:ascii="Cambria" w:hAnsi="Cambria" w:cs="Cambria"/>
          <w:lang w:val="en-US"/>
        </w:rPr>
        <w:t xml:space="preserve">childhood </w:t>
      </w:r>
      <w:r w:rsidR="00AB10F7">
        <w:rPr>
          <w:rFonts w:ascii="Cambria" w:hAnsi="Cambria" w:cs="Cambria"/>
          <w:lang w:val="en-US"/>
        </w:rPr>
        <w:t xml:space="preserve">cases and deaths. </w:t>
      </w:r>
      <w:r w:rsidR="003F544C">
        <w:rPr>
          <w:rFonts w:ascii="Cambria" w:hAnsi="Cambria" w:cs="Cambria"/>
          <w:lang w:val="en-US"/>
        </w:rPr>
        <w:t xml:space="preserve">Whilst confirming the low CFR in children with IPD, we also found </w:t>
      </w:r>
      <w:r w:rsidR="00AB10F7">
        <w:rPr>
          <w:rFonts w:ascii="Cambria" w:hAnsi="Cambria" w:cs="Cambria"/>
          <w:lang w:val="en-US"/>
        </w:rPr>
        <w:t xml:space="preserve">a measurable decline in </w:t>
      </w:r>
      <w:r w:rsidR="003F544C">
        <w:rPr>
          <w:rFonts w:ascii="Cambria" w:hAnsi="Cambria" w:cs="Cambria"/>
          <w:lang w:val="en-US"/>
        </w:rPr>
        <w:t xml:space="preserve">IPD-related childhood </w:t>
      </w:r>
      <w:r w:rsidR="00AB10F7">
        <w:rPr>
          <w:rFonts w:ascii="Cambria" w:hAnsi="Cambria" w:cs="Cambria"/>
          <w:lang w:val="en-US"/>
        </w:rPr>
        <w:t>mortality</w:t>
      </w:r>
      <w:r w:rsidR="00477388">
        <w:rPr>
          <w:rFonts w:ascii="Cambria" w:hAnsi="Cambria" w:cs="Cambria"/>
          <w:lang w:val="en-US"/>
        </w:rPr>
        <w:t xml:space="preserve"> </w:t>
      </w:r>
      <w:r w:rsidR="006456E2">
        <w:rPr>
          <w:rFonts w:ascii="Cambria" w:hAnsi="Cambria" w:cs="Cambria"/>
          <w:lang w:val="en-US"/>
        </w:rPr>
        <w:t xml:space="preserve">after both </w:t>
      </w:r>
      <w:r w:rsidR="00AB10F7">
        <w:rPr>
          <w:rFonts w:ascii="Cambria" w:hAnsi="Cambria" w:cs="Cambria"/>
          <w:lang w:val="en-US"/>
        </w:rPr>
        <w:t xml:space="preserve">PCV7 and </w:t>
      </w:r>
      <w:r w:rsidR="00FA0AFF">
        <w:rPr>
          <w:rFonts w:ascii="Cambria" w:hAnsi="Cambria" w:cs="Cambria"/>
          <w:lang w:val="en-US"/>
        </w:rPr>
        <w:t>PCV13</w:t>
      </w:r>
      <w:r w:rsidR="006456E2">
        <w:rPr>
          <w:rFonts w:ascii="Cambria" w:hAnsi="Cambria" w:cs="Cambria"/>
          <w:lang w:val="en-US"/>
        </w:rPr>
        <w:t xml:space="preserve"> introduction</w:t>
      </w:r>
      <w:r w:rsidR="00FA0AFF">
        <w:rPr>
          <w:rFonts w:ascii="Cambria" w:hAnsi="Cambria" w:cs="Cambria"/>
          <w:lang w:val="en-US"/>
        </w:rPr>
        <w:t xml:space="preserve">. </w:t>
      </w:r>
    </w:p>
    <w:p w14:paraId="1D0C653E" w14:textId="77777777" w:rsidR="00AB10F7" w:rsidRDefault="00AB10F7" w:rsidP="00E41469">
      <w:pPr>
        <w:widowControl w:val="0"/>
        <w:autoSpaceDE w:val="0"/>
        <w:autoSpaceDN w:val="0"/>
        <w:adjustRightInd w:val="0"/>
        <w:spacing w:line="480" w:lineRule="auto"/>
        <w:rPr>
          <w:rFonts w:ascii="Cambria" w:hAnsi="Cambria" w:cs="Cambria"/>
          <w:lang w:val="en-US"/>
        </w:rPr>
      </w:pPr>
    </w:p>
    <w:p w14:paraId="51367C02" w14:textId="4062FEC2" w:rsidR="00DE13AB" w:rsidRDefault="00AB10F7" w:rsidP="00E41469">
      <w:pPr>
        <w:widowControl w:val="0"/>
        <w:autoSpaceDE w:val="0"/>
        <w:autoSpaceDN w:val="0"/>
        <w:adjustRightInd w:val="0"/>
        <w:spacing w:line="480" w:lineRule="auto"/>
        <w:rPr>
          <w:rFonts w:ascii="Cambria" w:hAnsi="Cambria" w:cs="Cambria"/>
        </w:rPr>
      </w:pPr>
      <w:r>
        <w:rPr>
          <w:rFonts w:ascii="Cambria" w:hAnsi="Cambria" w:cs="Cambria"/>
          <w:lang w:val="en-US"/>
        </w:rPr>
        <w:t xml:space="preserve">A remarkable finding in our study was the consistency of clinical presentations with </w:t>
      </w:r>
      <w:r w:rsidRPr="00BB3F42">
        <w:rPr>
          <w:rFonts w:ascii="Cambria" w:hAnsi="Cambria" w:cs="Cambria"/>
          <w:lang w:val="en-US"/>
        </w:rPr>
        <w:t xml:space="preserve">the different </w:t>
      </w:r>
      <w:r w:rsidR="004673D0" w:rsidRPr="00BB3F42">
        <w:rPr>
          <w:rFonts w:ascii="Cambria" w:hAnsi="Cambria" w:cs="Cambria"/>
          <w:lang w:val="en-US"/>
        </w:rPr>
        <w:t>vaccine</w:t>
      </w:r>
      <w:r w:rsidR="00901745" w:rsidRPr="00BB3F42">
        <w:rPr>
          <w:rFonts w:ascii="Cambria" w:hAnsi="Cambria" w:cs="Cambria"/>
          <w:lang w:val="en-US"/>
        </w:rPr>
        <w:t xml:space="preserve"> </w:t>
      </w:r>
      <w:r w:rsidR="00FA5081" w:rsidRPr="00BB3F42">
        <w:rPr>
          <w:rFonts w:ascii="Cambria" w:hAnsi="Cambria" w:cs="Cambria"/>
          <w:lang w:val="en-US"/>
        </w:rPr>
        <w:t>groups</w:t>
      </w:r>
      <w:r w:rsidRPr="00BB3F42">
        <w:rPr>
          <w:rFonts w:ascii="Cambria" w:hAnsi="Cambria" w:cs="Cambria"/>
          <w:lang w:val="en-US"/>
        </w:rPr>
        <w:t xml:space="preserve"> among fatal cases. </w:t>
      </w:r>
      <w:r w:rsidR="00AE6BAF">
        <w:rPr>
          <w:rFonts w:ascii="Cambria" w:hAnsi="Cambria" w:cs="Cambria"/>
          <w:lang w:val="en-US"/>
        </w:rPr>
        <w:t>After</w:t>
      </w:r>
      <w:r w:rsidR="00AE6BAF" w:rsidRPr="00BB3F42">
        <w:rPr>
          <w:rFonts w:ascii="Cambria" w:hAnsi="Cambria" w:cs="Cambria"/>
          <w:lang w:val="en-US"/>
        </w:rPr>
        <w:t xml:space="preserve"> </w:t>
      </w:r>
      <w:r w:rsidRPr="00BB3F42">
        <w:rPr>
          <w:rFonts w:ascii="Cambria" w:hAnsi="Cambria" w:cs="Cambria"/>
          <w:lang w:val="en-US"/>
        </w:rPr>
        <w:t>PCV7</w:t>
      </w:r>
      <w:r>
        <w:rPr>
          <w:rFonts w:ascii="Cambria" w:hAnsi="Cambria" w:cs="Cambria"/>
          <w:lang w:val="en-US"/>
        </w:rPr>
        <w:t xml:space="preserve"> introduction in England</w:t>
      </w:r>
      <w:r w:rsidR="00A1568A">
        <w:rPr>
          <w:rFonts w:ascii="Cambria" w:hAnsi="Cambria" w:cs="Cambria"/>
          <w:lang w:val="en-US"/>
        </w:rPr>
        <w:t xml:space="preserve"> and Wales</w:t>
      </w:r>
      <w:r>
        <w:rPr>
          <w:rFonts w:ascii="Cambria" w:hAnsi="Cambria" w:cs="Cambria"/>
          <w:lang w:val="en-US"/>
        </w:rPr>
        <w:t xml:space="preserve">, </w:t>
      </w:r>
      <w:r w:rsidR="00EE74CA">
        <w:rPr>
          <w:rFonts w:ascii="Cambria" w:hAnsi="Cambria" w:cs="Cambria"/>
          <w:lang w:val="en-US"/>
        </w:rPr>
        <w:t xml:space="preserve">an increase in the additional PCV13 </w:t>
      </w:r>
      <w:r w:rsidR="00733E9F">
        <w:rPr>
          <w:rFonts w:ascii="Cambria" w:hAnsi="Cambria" w:cs="Cambria"/>
          <w:lang w:val="en-US"/>
        </w:rPr>
        <w:t xml:space="preserve">and other serotypes </w:t>
      </w:r>
      <w:r w:rsidR="00EE74CA">
        <w:rPr>
          <w:rFonts w:ascii="Cambria" w:hAnsi="Cambria" w:cs="Cambria"/>
          <w:lang w:val="en-US"/>
        </w:rPr>
        <w:t xml:space="preserve">was observed </w:t>
      </w:r>
      <w:r w:rsidR="00FA5081">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"10.1016/S1473-3099(11)70090-1", "ISBN" : "1474-4457 (Electronic)\\r1473-3099 (Linking)", "ISSN" : "14733099", "PMID" : "21621466", "abstract" : "Background: The seven-valent pneumococcal conjugate vaccine (PCV7) has reduced vaccine-type (VT) invasive pneumococcal disease but increases in non-vaccine-type (NVT) disease have varied between countries. We assess the effect of the PCV7 vaccination on VT and NVT disease in England and Wales. Methods: The study cohort was the population of England and Wales from July, 2000, to June, 2010. We calculated incidence rate ratios (IRRs) to compare incidences of VT and NVT disease before (2000-06) and after (2009-10) the introduction of PCV7. We used data from the national surveillance database. Cases included in our analysis were restricted to those confirmed by culture linked with isolates referred for serotyping at the national reference centre by laboratories in England and Wales. We adjusted for potential bias from missing data (serotype and age of patient) and changes in case ascertainment rates during the study period. Findings: 5809 cases of invasive pneumococcal disease were reported in 2009-10, giving an incidence of 10??6 per 100 000 population in 2009-10, which, when compared with the adjusted average annual incidence of 16??1 in 2000-06, gives an overall reduction of 34% (95% CI 28-39). VT disease decreased in all age groups, with reductions of 98% in individuals younger than 2 years and 81% in those aged 65 years or older. NVT disease increased by 68% in individuals younger than 2 years and 48% in those aged 65 years or older, giving an overall reduction in invasive pneumococcal disease of 56% in those younger than 2 years and 19% in those aged 65 years or older. After vaccine introduction, more NVT serotypes increased in frequency than decreased, which is consistent with vaccine-induced replacement. Key serotypes showing replacement were 7F, 19A, and 22F. Increases in NVT invasive pneumococcal disease were not associated with antimicrobial resistance. Interpretation: Despite much serotype replacement, a substantial reduction in invasive pneumococcal disease in young children can be achieved with PCV7 vaccination, with some indirect benefit in older age groups. Further reductions should be achievable by use of higher valency vaccines. Robust surveillance data are needed to properly assess the epidemiological effect of multivalent pneumococcal disease vaccines. Funding: Health Protection Agency. ?? 2011 Elsevier Ltd.", "author" : [ { "dropping-particle" : "", "family" : "Miller", "given" : "Elizabeth", "non-dropping-particle" : "", "parse-names" : false, "suffix" : "" }, { "dropping-particle" : "", "family" : "Andrews", "given" : "Nicholas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"George", "given" : "Robert C.", "non-dropping-particle" : "", "parse-names" : false, "suffix" : "" } ], "container-title" : "The Lancet Infectious Diseases", "id" : "ITEM-1", "issue" : "10", "issued" : { "date-parts" : [ [ "2011" ] ] }, "page" : "760-768", "title" : "Herd immunity and serotype replacement 4 years after seven-valent pneumococcal conjugate vaccination in England and Wales: An observational cohort study", "type" : "article-journal", "volume" : "11" }, "uris" : [ "http://www.mendeley.com/documents/?uuid=2250e50b-4cea-4685-a1b0-d0ebd7d872f7" ] } ], "mendeley" : { "formattedCitation" : "(3)", "plainTextFormattedCitation" : "(3)", "previouslyFormattedCitation" : "(3)" }, "properties" : { "noteIndex" : 0 }, "schema" : "https://github.com/citation-style-language/schema/raw/master/csl-citation.json" }</w:instrText>
      </w:r>
      <w:r w:rsidR="00FA5081">
        <w:rPr>
          <w:rFonts w:ascii="Cambria" w:hAnsi="Cambria" w:cs="Cambria"/>
          <w:lang w:val="en-US"/>
        </w:rPr>
        <w:fldChar w:fldCharType="separate"/>
      </w:r>
      <w:r w:rsidR="00FE0096" w:rsidRPr="00FE0096">
        <w:rPr>
          <w:rFonts w:ascii="Cambria" w:hAnsi="Cambria" w:cs="Cambria"/>
          <w:noProof/>
          <w:lang w:val="en-US"/>
        </w:rPr>
        <w:t>(3)</w:t>
      </w:r>
      <w:r w:rsidR="00FA5081">
        <w:rPr>
          <w:rFonts w:ascii="Cambria" w:hAnsi="Cambria" w:cs="Cambria"/>
          <w:lang w:val="en-US"/>
        </w:rPr>
        <w:fldChar w:fldCharType="end"/>
      </w:r>
      <w:r w:rsidR="00AE6BAF">
        <w:rPr>
          <w:rFonts w:ascii="Cambria" w:hAnsi="Cambria" w:cs="Cambria"/>
          <w:lang w:val="en-US"/>
        </w:rPr>
        <w:t xml:space="preserve">, along with an increase in LRTI presentations and a decrease in the other presentations </w:t>
      </w:r>
      <w:r w:rsidR="00FA5081">
        <w:rPr>
          <w:rFonts w:ascii="Cambria" w:hAnsi="Cambria" w:cs="Cambria"/>
          <w:lang w:val="en-US"/>
        </w:rPr>
        <w:fldChar w:fldCharType="begin" w:fldLock="1"/>
      </w:r>
      <w:r w:rsidR="00C30E96">
        <w:rPr>
          <w:rFonts w:ascii="Cambria" w:hAnsi="Cambria" w:cs="Cambria"/>
          <w:lang w:val="en-US"/>
        </w:rPr>
        <w:instrText>ADDIN CSL_CITATION { "citationItems" : [ { "id" : "ITEM-1", "itemData" : { "DOI" : "10.3201/eid1901.120741", "ISBN" : "1080-6040", "ISSN" : "10806040", "PMID" : "23259937", "abstract" : "We assessed known risk factors, clinical presentation, and outcome of invasive pneumococcal disease (IPD) in children 3-59 months of age after introduction of the 7-valent pneumococcal conjugate vaccine (PCV7) in England and Wales. During September 2006-March 2010, a total of 1,342 IPD episodes occurred in 1,332 children; 14.9% (198/1,332) had comorbidities. Compared with IPD caused by PCV7 serotypes (44/248; 17.7%), comorbidities were less common for the extra 3 serotypes in the 10-valent vaccine (15/299; 5.0%) but similar to the 3 additional PCV13 serotypes (45/336; 13.4%) and increased for the 11 extra serotypes in 23-valent polysaccharide vaccine (PPV23) (39/186; 21.0%) and non-PPV23 serotypes (38/138; 27.5%). Fifty-two (3.9%) cases resulted from PCV7 failure; 9 (0.7%) case-patients had recurrent IPD. Case-fatality rate was 4.4% (58/1,332) but higher for meningitis (11.0%) and children with comorbidities (9.1%). Thus, comorbidities were more prevalent in children with IPD caused by non-PCV13 serotypes and were associated with increased case fatality.", "author" : [ { "dropping-particle" : "", "family" : "Ladhani", "given" : "Shamez N.", "non-dropping-particle" : "", "parse-names" : false, "suffix" : "" }, { "dropping-particle" : "", "family" : "Slack", "given" : "Mary P E",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"Borrow", "given" : "Ray", "non-dropping-particle" : "", "parse-names" : false, "suffix" : "" }, { "dropping-particle" : "", "family" : "Miller", "given" : "Elizabeth", "non-dropping-particle" : "", "parse-names" : false, "suffix" : "" } ], "container-title" : "Emerging Infectious Diseases", "id" : "ITEM-1", "issue" : "1", "issued" : { "date-parts" : [ [ "2013" ] ] }, "page" : "61-68", "title" : "Invasive pneumococcal disease after routine pneumococcal conjugate vaccination in children, England and Wales", "type" : "article-journal", "volume" : "19" }, "uris" : [ "http://www.mendeley.com/documents/?uuid=a6238525-1d23-493c-bb62-7542e00375af" ] } ], "mendeley" : { "formattedCitation" : "(15)", "plainTextFormattedCitation" : "(15)", "previouslyFormattedCitation" : "(15)" }, "properties" : { "noteIndex" : 0 }, "schema" : "https://github.com/citation-style-language/schema/raw/master/csl-citation.json" }</w:instrText>
      </w:r>
      <w:r w:rsidR="00FA5081">
        <w:rPr>
          <w:rFonts w:ascii="Cambria" w:hAnsi="Cambria" w:cs="Cambria"/>
          <w:lang w:val="en-US"/>
        </w:rPr>
        <w:fldChar w:fldCharType="separate"/>
      </w:r>
      <w:r w:rsidR="00CC411A" w:rsidRPr="00CC411A">
        <w:rPr>
          <w:rFonts w:ascii="Cambria" w:hAnsi="Cambria" w:cs="Cambria"/>
          <w:noProof/>
          <w:lang w:val="en-US"/>
        </w:rPr>
        <w:t>(15)</w:t>
      </w:r>
      <w:r w:rsidR="00FA5081">
        <w:rPr>
          <w:rFonts w:ascii="Cambria" w:hAnsi="Cambria" w:cs="Cambria"/>
          <w:lang w:val="en-US"/>
        </w:rPr>
        <w:fldChar w:fldCharType="end"/>
      </w:r>
      <w:r w:rsidR="00AE6BAF">
        <w:rPr>
          <w:rFonts w:ascii="Cambria" w:hAnsi="Cambria" w:cs="Cambria"/>
          <w:lang w:val="en-US"/>
        </w:rPr>
        <w:t xml:space="preserve">, yet </w:t>
      </w:r>
      <w:r w:rsidR="00D94A35">
        <w:rPr>
          <w:rFonts w:ascii="Cambria" w:hAnsi="Cambria" w:cs="Cambria"/>
          <w:lang w:val="en-US"/>
        </w:rPr>
        <w:t>nearly half the IPD</w:t>
      </w:r>
      <w:r w:rsidR="00AE6BAF">
        <w:rPr>
          <w:rFonts w:ascii="Cambria" w:hAnsi="Cambria" w:cs="Cambria"/>
          <w:lang w:val="en-US"/>
        </w:rPr>
        <w:t>-</w:t>
      </w:r>
      <w:r w:rsidR="00D94A35">
        <w:rPr>
          <w:rFonts w:ascii="Cambria" w:hAnsi="Cambria" w:cs="Cambria"/>
          <w:lang w:val="en-US"/>
        </w:rPr>
        <w:t xml:space="preserve">related deaths </w:t>
      </w:r>
      <w:r w:rsidR="00201328">
        <w:rPr>
          <w:rFonts w:ascii="Cambria" w:hAnsi="Cambria" w:cs="Cambria"/>
          <w:lang w:val="en-US"/>
        </w:rPr>
        <w:t xml:space="preserve">remained </w:t>
      </w:r>
      <w:r w:rsidR="00D94A35">
        <w:rPr>
          <w:rFonts w:ascii="Cambria" w:hAnsi="Cambria" w:cs="Cambria"/>
          <w:lang w:val="en-US"/>
        </w:rPr>
        <w:t>due to meningitis</w:t>
      </w:r>
      <w:r w:rsidR="00B94E1B">
        <w:rPr>
          <w:rFonts w:ascii="Cambria" w:hAnsi="Cambria" w:cs="Cambria"/>
          <w:lang w:val="en-US"/>
        </w:rPr>
        <w:t xml:space="preserve">, irrespective of </w:t>
      </w:r>
      <w:r w:rsidR="00B94E1B" w:rsidRPr="00BB3F42">
        <w:rPr>
          <w:rFonts w:ascii="Cambria" w:hAnsi="Cambria" w:cs="Cambria"/>
          <w:lang w:val="en-US"/>
        </w:rPr>
        <w:t xml:space="preserve">the </w:t>
      </w:r>
      <w:r w:rsidR="004673D0" w:rsidRPr="00C405BC">
        <w:rPr>
          <w:rFonts w:ascii="Cambria" w:hAnsi="Cambria" w:cs="Cambria"/>
          <w:lang w:val="en-US"/>
        </w:rPr>
        <w:t xml:space="preserve">vaccine </w:t>
      </w:r>
      <w:r w:rsidR="00FA5081" w:rsidRPr="00C405BC">
        <w:rPr>
          <w:rFonts w:ascii="Cambria" w:hAnsi="Cambria" w:cs="Cambria"/>
          <w:lang w:val="en-US"/>
        </w:rPr>
        <w:t>group</w:t>
      </w:r>
      <w:r w:rsidR="00B94E1B" w:rsidRPr="00BB3F42">
        <w:rPr>
          <w:rFonts w:ascii="Cambria" w:hAnsi="Cambria" w:cs="Cambria"/>
          <w:lang w:val="en-US"/>
        </w:rPr>
        <w:t xml:space="preserve"> responsible</w:t>
      </w:r>
      <w:r w:rsidR="00D94A35" w:rsidRPr="00BB3F42">
        <w:rPr>
          <w:rFonts w:ascii="Cambria" w:hAnsi="Cambria" w:cs="Cambria"/>
          <w:lang w:val="en-US"/>
        </w:rPr>
        <w:t>.</w:t>
      </w:r>
      <w:r w:rsidR="00CF4D47">
        <w:rPr>
          <w:rFonts w:ascii="Cambria" w:hAnsi="Cambria" w:cs="Cambria"/>
          <w:lang w:val="en-US"/>
        </w:rPr>
        <w:t xml:space="preserve"> </w:t>
      </w:r>
      <w:r w:rsidR="00152AC3">
        <w:rPr>
          <w:rFonts w:ascii="Cambria" w:hAnsi="Cambria" w:cs="Cambria"/>
          <w:lang w:val="en-US"/>
        </w:rPr>
        <w:t>P</w:t>
      </w:r>
      <w:r w:rsidR="00CF4D47">
        <w:rPr>
          <w:rFonts w:ascii="Cambria" w:hAnsi="Cambria" w:cs="Cambria"/>
          <w:lang w:val="en-US"/>
        </w:rPr>
        <w:t xml:space="preserve">opulation-based studies have </w:t>
      </w:r>
      <w:r w:rsidR="00B26BF9">
        <w:rPr>
          <w:rFonts w:ascii="Cambria" w:hAnsi="Cambria" w:cs="Cambria"/>
          <w:lang w:val="en-US"/>
        </w:rPr>
        <w:t xml:space="preserve">identified significant associations between </w:t>
      </w:r>
      <w:r w:rsidR="00E47F3B">
        <w:rPr>
          <w:rFonts w:ascii="Cambria" w:hAnsi="Cambria" w:cs="Cambria"/>
          <w:lang w:val="en-US"/>
        </w:rPr>
        <w:t xml:space="preserve">pneumococcal </w:t>
      </w:r>
      <w:r w:rsidR="00B26BF9">
        <w:rPr>
          <w:rFonts w:ascii="Cambria" w:hAnsi="Cambria" w:cs="Cambria"/>
          <w:lang w:val="en-US"/>
        </w:rPr>
        <w:t>serotypes and death among patients presenting with septic</w:t>
      </w:r>
      <w:r w:rsidR="00A3236D">
        <w:rPr>
          <w:rFonts w:ascii="Cambria" w:hAnsi="Cambria" w:cs="Cambria"/>
          <w:lang w:val="en-US"/>
        </w:rPr>
        <w:t>e</w:t>
      </w:r>
      <w:r w:rsidR="00B26BF9">
        <w:rPr>
          <w:rFonts w:ascii="Cambria" w:hAnsi="Cambria" w:cs="Cambria"/>
          <w:lang w:val="en-US"/>
        </w:rPr>
        <w:t>mia</w:t>
      </w:r>
      <w:r w:rsidR="00923023">
        <w:rPr>
          <w:rFonts w:ascii="Cambria" w:hAnsi="Cambria" w:cs="Cambria"/>
          <w:lang w:val="en-US"/>
        </w:rPr>
        <w:t xml:space="preserve"> </w:t>
      </w:r>
      <w:r w:rsidR="00923023">
        <w:rPr>
          <w:rFonts w:ascii="Cambria" w:hAnsi="Cambria" w:cs="Cambria"/>
          <w:lang w:val="en-US"/>
        </w:rPr>
        <w:fldChar w:fldCharType="begin" w:fldLock="1"/>
      </w:r>
      <w:r w:rsidR="00E671E5">
        <w:rPr>
          <w:rFonts w:ascii="Cambria" w:hAnsi="Cambria" w:cs="Cambria"/>
          <w:lang w:val="en-US"/>
        </w:rPr>
        <w:instrText>ADDIN CSL_CITATION { "citationItems" : [ { "id" : "ITEM-1", "itemData" : { "abstract" : "BACKGROUND: Pneumococcal disease is a leading cause of morbidity and mortality worldwide. The aim of this study was to investigate the association between specific pneumococcal serotypes and mortality from invasive pneumococcal disease (IPD). METHODS AND FINDINGS: In a nationwide population-based cohort study of IPD in Denmark during 1977-2007, 30-d mortality associated with pneumococcal serotypes was examined by multivariate logistic regression analysis after controlling for potential confounders. A total of 18,858 IPD patients were included. Overall 30-d mortality was 18%, and 3% in children younger than age 5 y. Age, male sex, meningitis, high comorbidity level, alcoholism, and early decade of diagnosis were significantly associated with mortality. Among individuals aged 5 y and older, serotypes 31, 11A, 35F, 17F, 3, 16F, 19F, 15B, and 10A were associated with highly increased mortality as compared with serotype 1 (all: adjusted odds ratio &gt;or=3, p&lt;0.001). In children younger than 5 y, associations between serotypes and mortality were different than in adults but statistical precision was limited because of low overall childhood-related mortality. CONCLUSIONS: Specific pneumococcal serotypes strongly and independently affect IPD associated mortality.", "author" : [ { "dropping-particle" : "", "family" : "ZB", "given" : "Harboe", "non-dropping-particle" : "", "parse-names" : false, "suffix" : "" }, { "dropping-particle" : "", "family" : "RW", "given" : "Thomsen", "non-dropping-particle" : "", "parse-names" : false, "suffix" : "" }, { "dropping-particle" : "", "family" : "Riis", "given" : "A", "non-dropping-particle" : "", "parse-names" : false, "suffix" : "" }, { "dropping-particle" : "", "family" : "Valentiner-Branth", "given" : "P", "non-dropping-particle" : "", "parse-names" : false, "suffix" : "" }, { "dropping-particle" : "", "family" : "JJ", "given" : "Christensen", "non-dropping-particle" : "", "parse-names" : false, "suffix" : "" }, { "dropping-particle" : "", "family" : "Lambertsen", "given" : "L", "non-dropping-particle" : "", "parse-names" : false, "suffix" : "" }, { "dropping-particle" : "", "family" : "KA", "given" : "Krogfelt", "non-dropping-particle" : "", "parse-names" : false, "suffix" : "" }, { "dropping-particle" : "", "family" : "HB", "given" : "Konradsen", "non-dropping-particle" : "", "parse-names" : false, "suffix" : "" }, { "dropping-particle" : "", "family" : "TL", "given" : "Benfield", "non-dropping-particle" : "", "parse-names" : false, "suffix" : "" } ], "container-title" : "PLoS Med", "id" : "ITEM-1", "issue" : "5", "issued" : { "date-parts" : [ [ "2009" ] ] }, "page" : "e1000081-e1000081", "title" : "Pneumococcal serotypes and mortality following invasive pneumococcal disease: a population-based cohort study.", "type" : "article-journal", "volume" : "6" }, "uris" : [ "http://www.mendeley.com/documents/?uuid=688853d2-f7fd-4236-8375-258f30adc25e" ] } ], "mendeley" : { "formattedCitation" : "(12)", "plainTextFormattedCitation" : "(12)", "previouslyFormattedCitation" : "(12)" }, "properties" : { "noteIndex" : 0 }, "schema" : "https://github.com/citation-style-language/schema/raw/master/csl-citation.json" }</w:instrText>
      </w:r>
      <w:r w:rsidR="00923023">
        <w:rPr>
          <w:rFonts w:ascii="Cambria" w:hAnsi="Cambria" w:cs="Cambria"/>
          <w:lang w:val="en-US"/>
        </w:rPr>
        <w:fldChar w:fldCharType="separate"/>
      </w:r>
      <w:r w:rsidR="00923023" w:rsidRPr="00923023">
        <w:rPr>
          <w:rFonts w:ascii="Cambria" w:hAnsi="Cambria" w:cs="Cambria"/>
          <w:noProof/>
          <w:lang w:val="en-US"/>
        </w:rPr>
        <w:t>(12)</w:t>
      </w:r>
      <w:r w:rsidR="00923023">
        <w:rPr>
          <w:rFonts w:ascii="Cambria" w:hAnsi="Cambria" w:cs="Cambria"/>
          <w:lang w:val="en-US"/>
        </w:rPr>
        <w:fldChar w:fldCharType="end"/>
      </w:r>
      <w:r w:rsidR="00DE0545">
        <w:rPr>
          <w:rFonts w:ascii="Cambria" w:hAnsi="Cambria" w:cs="Cambria"/>
          <w:lang w:val="en-US"/>
        </w:rPr>
        <w:t xml:space="preserve">and </w:t>
      </w:r>
      <w:r w:rsidR="00B94E1B">
        <w:rPr>
          <w:rFonts w:ascii="Cambria" w:hAnsi="Cambria" w:cs="Cambria"/>
          <w:lang w:val="en-US"/>
        </w:rPr>
        <w:t xml:space="preserve">pneumonia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"10.1086/655828", "ISBN" : "1537-6591 (Electronic)\\r1058-4838 (Linking)", "ISSN" : "1537-6591", "PMID" : "20715907", "abstract" : "BACKGROUND: The 92 capsular serotypes of Streptococcus pneumoniae differ greatly in nasopharyngeal carriage prevalence, invasiveness, and disease incidence. There has been some debate, though, regarding whether serotype independently affects the outcome of invasive pneumococcal disease (IPD). Published studies have shown variable results with regard to case-fatality ratios for specific serotypes and the role of host factors in affecting these relationships. We evaluated whether risk of death due to IPD is a stable serotype-associated property across studies and then compared the pooled effect estimates with epidemiologic and biological correlates.\\n\\nMETHODS: We performed a systematic review and meta-analysis of serotype-specific disease outcomes for patients with pneumonia and meningitis. Study-specific estimates of risk of death (risk ratio [RR]) were pooled from 9 studies that provided serotype-specific data on pneumonia and meningitis using a random-effects method with serotype 14 as the reference. Pooled RRs were compared with RRs from adults with low comorbidity scores to evaluate potential confounding by host factors.\\n\\nRESULTS: Significant differences were found in the RR estimates among serotypes in patients with bacteremic pneumonia. Overall, serotypes 1, 7F, and 8 were associated with decreased RRs, and serotypes 3, 6A, 6B, 9N, and 19F were associated with increased RRs. Outcomes among meningitis patients did not differ significantly among serotypes. Serotypes with increased RRs had a high carriage prevalence, had low invasiveness, and were more heavily encapsulated in vitro.\\n\\nCONCLUSIONS: These results suggest that IPD outcome, like other epidemiologic measures, is a stable serotype-associated property.", "author" : [ { "dropping-particle" : "", "family" : "Weinberger", "given" : "Daniel M", "non-dropping-particle" : "", "parse-names" : false, "suffix" : "" }, { "dropping-particle" : "", "family" : "Harboe", "given" : "Zitta B", "non-dropping-particle" : "", "parse-names" : false, "suffix" : "" }, { "dropping-particle" : "", "family" : "Sanders", "given" : "Elisabeth A M", "non-dropping-particle" : "", "parse-names" : false, "suffix" : "" }, { "dropping-particle" : "", "family" : "Ndiritu", "given" : "Moses", "non-dropping-particle" : "", "parse-names" : false, "suffix" : "" }, { "dropping-particle" : "", "family" : "Klugman", "given" : "Keith P", "non-dropping-particle" : "", "parse-names" : false, "suffix" : "" }, { "dropping-particle" : "", "family" : "R\u00fcckinger", "given" : "Simon", "non-dropping-particle" : "", "parse-names" : false, "suffix" : "" }, { "dropping-particle" : "", "family" : "Dagan", "given" : "Ron", "non-dropping-particle" : "", "parse-names" : false, "suffix" : "" }, { "dropping-particle" : "", "family" : "Adegbola", "given" : "Richard", "non-dropping-particle" : "", "parse-names" : false, "suffix" : "" }, { "dropping-particle" : "", "family" : "Cutts", "given" : "Felicity", "non-dropping-particle" : "", "parse-names" : false, "suffix" : "" }, { "dropping-particle" : "", "family" : "Johnson", "given" : "Hope L", "non-dropping-particle" : "", "parse-names" : false, "suffix" : "" }, { "dropping-particle" : "", "family" : "O'Brien", "given" : "Katherine L", "non-dropping-particle" : "", "parse-names" : false, "suffix" : "" }, { "dropping-particle" : "", "family" : "Scott", "given" : "J Anthony", "non-dropping-particle" : "", "parse-names" : false, "suffix" : "" }, { "dropping-particle" : "", "family" : "Lipsitch", "given" : "Marc", "non-dropping-particle" : "", "parse-names" : false, "suffix" : "" } ], "container-title" : "Clinical infectious diseases : an official publication of the Infectious Diseases Society of America", "id" : "ITEM-1", "issue" : "6", "issued" : { "date-parts" : [ [ "2010" ] ] }, "page" : "692-9", "title" : "Association of serotype with risk of death due to pneumococcal pneumonia: a meta-analysis.", "type" : "article-journal", "volume" : "51" }, "uris" : [ "http://www.mendeley.com/documents/?uuid=9087fc4e-84c6-4ff2-a14f-ea295e408037" ] } ], "mendeley" : { "formattedCitation" : "(13)", "plainTextFormattedCitation" : "(13)", "previouslyFormattedCitation" : "(13)" }, "properties" : { "noteIndex" : 0 }, "schema" : "https://github.com/citation-style-language/schema/raw/master/csl-citation.json" }</w:instrText>
      </w:r>
      <w:r w:rsidR="00FA5081">
        <w:rPr>
          <w:rFonts w:ascii="Cambria" w:hAnsi="Cambria" w:cs="Cambria"/>
          <w:lang w:val="en-US"/>
        </w:rPr>
        <w:fldChar w:fldCharType="separate"/>
      </w:r>
      <w:r w:rsidR="008B52BA" w:rsidRPr="008B52BA">
        <w:rPr>
          <w:rFonts w:ascii="Cambria" w:hAnsi="Cambria" w:cs="Cambria"/>
          <w:noProof/>
          <w:lang w:val="en-US"/>
        </w:rPr>
        <w:t>(13)</w:t>
      </w:r>
      <w:r w:rsidR="00FA5081">
        <w:rPr>
          <w:rFonts w:ascii="Cambria" w:hAnsi="Cambria" w:cs="Cambria"/>
          <w:lang w:val="en-US"/>
        </w:rPr>
        <w:fldChar w:fldCharType="end"/>
      </w:r>
      <w:r w:rsidR="00B94E1B">
        <w:rPr>
          <w:rFonts w:ascii="Cambria" w:hAnsi="Cambria" w:cs="Cambria"/>
          <w:lang w:val="en-US"/>
        </w:rPr>
        <w:t xml:space="preserve"> but not with meningitis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"abstract" : "BACKGROUND: Pneumococcal disease is a leading cause of morbidity and mortality worldwide. The aim of this study was to investigate the association between specific pneumococcal serotypes and mortality from invasive pneumococcal disease (IPD). METHODS AND FINDINGS: In a nationwide population-based cohort study of IPD in Denmark during 1977-2007, 30-d mortality associated with pneumococcal serotypes was examined by multivariate logistic regression analysis after controlling for potential confounders. A total of 18,858 IPD patients were included. Overall 30-d mortality was 18%, and 3% in children younger than age 5 y. Age, male sex, meningitis, high comorbidity level, alcoholism, and early decade of diagnosis were significantly associated with mortality. Among individuals aged 5 y and older, serotypes 31, 11A, 35F, 17F, 3, 16F, 19F, 15B, and 10A were associated with highly increased mortality as compared with serotype 1 (all: adjusted odds ratio &gt;or=3, p&lt;0.001). In children younger than 5 y, associations between serotypes and mortality were different than in adults but statistical precision was limited because of low overall childhood-related mortality. CONCLUSIONS: Specific pneumococcal serotypes strongly and independently affect IPD associated mortality.", "author" : [ { "dropping-particle" : "", "family" : "ZB", "given" : "Harboe", "non-dropping-particle" : "", "parse-names" : false, "suffix" : "" }, { "dropping-particle" : "", "family" : "RW", "given" : "Thomsen", "non-dropping-particle" : "", "parse-names" : false, "suffix" : "" }, { "dropping-particle" : "", "family" : "Riis", "given" : "A", "non-dropping-particle" : "", "parse-names" : false, "suffix" : "" }, { "dropping-particle" : "", "family" : "Valentiner-Branth", "given" : "P", "non-dropping-particle" : "", "parse-names" : false, "suffix" : "" }, { "dropping-particle" : "", "family" : "JJ", "given" : "Christensen", "non-dropping-particle" : "", "parse-names" : false, "suffix" : "" }, { "dropping-particle" : "", "family" : "Lambertsen", "given" : "L", "non-dropping-particle" : "", "parse-names" : false, "suffix" : "" }, { "dropping-particle" : "", "family" : "KA", "given" : "Krogfelt", "non-dropping-particle" : "", "parse-names" : false, "suffix" : "" }, { "dropping-particle" : "", "family" : "HB", "given" : "Konradsen", "non-dropping-particle" : "", "parse-names" : false, "suffix" : "" }, { "dropping-particle" : "", "family" : "TL", "given" : "Benfield", "non-dropping-particle" : "", "parse-names" : false, "suffix" : "" } ], "container-title" : "PLoS Med", "id" : "ITEM-1", "issue" : "5", "issued" : { "date-parts" : [ [ "2009" ] ] }, "page" : "e1000081-e1000081", "title" : "Pneumococcal serotypes and mortality following invasive pneumococcal disease: a population-based cohort study.", "type" : "article-journal", "volume" : "6" }, "uris" : [ "http://www.mendeley.com/documents/?uuid=688853d2-f7fd-4236-8375-258f30adc25e" ] } ], "mendeley" : { "formattedCitation" : "(12)", "manualFormatting" : "(11", "plainTextFormattedCitation" : "(12)", "previouslyFormattedCitation" : "(12)"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(11</w:t>
      </w:r>
      <w:r w:rsidR="00FA5081">
        <w:rPr>
          <w:rFonts w:ascii="Cambria" w:hAnsi="Cambria" w:cs="Cambria"/>
          <w:lang w:val="en-US"/>
        </w:rPr>
        <w:fldChar w:fldCharType="end"/>
      </w:r>
      <w:r w:rsidR="00DE13AB">
        <w:rPr>
          <w:rFonts w:ascii="Cambria" w:hAnsi="Cambria" w:cs="Cambria"/>
          <w:lang w:val="en-US"/>
        </w:rPr>
        <w:t xml:space="preserve">, </w:t>
      </w:r>
      <w:r w:rsidR="00FA5081">
        <w:rPr>
          <w:rFonts w:ascii="Cambria" w:hAnsi="Cambria" w:cs="Cambria"/>
          <w:lang w:val="en-US"/>
        </w:rPr>
        <w:fldChar w:fldCharType="begin" w:fldLock="1"/>
      </w:r>
      <w:r w:rsidR="008B52BA">
        <w:rPr>
          <w:rFonts w:ascii="Cambria" w:hAnsi="Cambria" w:cs="Cambria"/>
          <w:lang w:val="en-US"/>
        </w:rPr>
        <w:instrText>ADDIN CSL_CITATION { "citationItems" : [ { "id" : "ITEM-1", "itemData" : { "DOI" : "10.1086/655828", "ISBN" : "1537-6591 (Electronic)\\r1058-4838 (Linking)", "ISSN" : "1537-6591", "PMID" : "20715907", "abstract" : "BACKGROUND: The 92 capsular serotypes of Streptococcus pneumoniae differ greatly in nasopharyngeal carriage prevalence, invasiveness, and disease incidence. There has been some debate, though, regarding whether serotype independently affects the outcome of invasive pneumococcal disease (IPD). Published studies have shown variable results with regard to case-fatality ratios for specific serotypes and the role of host factors in affecting these relationships. We evaluated whether risk of death due to IPD is a stable serotype-associated property across studies and then compared the pooled effect estimates with epidemiologic and biological correlates.\\n\\nMETHODS: We performed a systematic review and meta-analysis of serotype-specific disease outcomes for patients with pneumonia and meningitis. Study-specific estimates of risk of death (risk ratio [RR]) were pooled from 9 studies that provided serotype-specific data on pneumonia and meningitis using a random-effects method with serotype 14 as the reference. Pooled RRs were compared with RRs from adults with low comorbidity scores to evaluate potential confounding by host factors.\\n\\nRESULTS: Significant differences were found in the RR estimates among serotypes in patients with bacteremic pneumonia. Overall, serotypes 1, 7F, and 8 were associated with decreased RRs, and serotypes 3, 6A, 6B, 9N, and 19F were associated with increased RRs. Outcomes among meningitis patients did not differ significantly among serotypes. Serotypes with increased RRs had a high carriage prevalence, had low invasiveness, and were more heavily encapsulated in vitro.\\n\\nCONCLUSIONS: These results suggest that IPD outcome, like other epidemiologic measures, is a stable serotype-associated property.", "author" : [ { "dropping-particle" : "", "family" : "Weinberger", "given" : "Daniel M", "non-dropping-particle" : "", "parse-names" : false, "suffix" : "" }, { "dropping-particle" : "", "family" : "Harboe", "given" : "Zitta B", "non-dropping-particle" : "", "parse-names" : false, "suffix" : "" }, { "dropping-particle" : "", "family" : "Sanders", "given" : "Elisabeth A M", "non-dropping-particle" : "", "parse-names" : false, "suffix" : "" }, { "dropping-particle" : "", "family" : "Ndiritu", "given" : "Moses", "non-dropping-particle" : "", "parse-names" : false, "suffix" : "" }, { "dropping-particle" : "", "family" : "Klugman", "given" : "Keith P", "non-dropping-particle" : "", "parse-names" : false, "suffix" : "" }, { "dropping-particle" : "", "family" : "R\u00fcckinger", "given" : "Simon", "non-dropping-particle" : "", "parse-names" : false, "suffix" : "" }, { "dropping-particle" : "", "family" : "Dagan", "given" : "Ron", "non-dropping-particle" : "", "parse-names" : false, "suffix" : "" }, { "dropping-particle" : "", "family" : "Adegbola", "given" : "Richard", "non-dropping-particle" : "", "parse-names" : false, "suffix" : "" }, { "dropping-particle" : "", "family" : "Cutts", "given" : "Felicity", "non-dropping-particle" : "", "parse-names" : false, "suffix" : "" }, { "dropping-particle" : "", "family" : "Johnson", "given" : "Hope L", "non-dropping-particle" : "", "parse-names" : false, "suffix" : "" }, { "dropping-particle" : "", "family" : "O'Brien", "given" : "Katherine L", "non-dropping-particle" : "", "parse-names" : false, "suffix" : "" }, { "dropping-particle" : "", "family" : "Scott", "given" : "J Anthony", "non-dropping-particle" : "", "parse-names" : false, "suffix" : "" }, { "dropping-particle" : "", "family" : "Lipsitch", "given" : "Marc", "non-dropping-particle" : "", "parse-names" : false, "suffix" : "" } ], "container-title" : "Clinical infectious diseases : an official publication of the Infectious Diseases Society of America", "id" : "ITEM-1", "issue" : "6", "issued" : { "date-parts" : [ [ "2010" ] ] }, "page" : "692-9", "title" : "Association of serotype with risk of death due to pneumococcal pneumonia: a meta-analysis.", "type" : "article-journal", "volume" : "51" }, "uris" : [ "http://www.mendeley.com/documents/?uuid=9087fc4e-84c6-4ff2-a14f-ea295e408037" ] } ], "mendeley" : { "formattedCitation" : "(13)", "manualFormatting" : "13)", "plainTextFormattedCitation" : "(13)", "previouslyFormattedCitation" : "(13)" }, "properties" : { "noteIndex" : 0 }, "schema" : "https://github.com/citation-style-language/schema/raw/master/csl-citation.json" }</w:instrText>
      </w:r>
      <w:r w:rsidR="00FA5081">
        <w:rPr>
          <w:rFonts w:ascii="Cambria" w:hAnsi="Cambria" w:cs="Cambria"/>
          <w:lang w:val="en-US"/>
        </w:rPr>
        <w:fldChar w:fldCharType="separate"/>
      </w:r>
      <w:r w:rsidR="002D1F2C" w:rsidRPr="002D1F2C">
        <w:rPr>
          <w:rFonts w:ascii="Cambria" w:hAnsi="Cambria" w:cs="Cambria"/>
          <w:noProof/>
          <w:lang w:val="en-US"/>
        </w:rPr>
        <w:t>13)</w:t>
      </w:r>
      <w:r w:rsidR="00FA5081">
        <w:rPr>
          <w:rFonts w:ascii="Cambria" w:hAnsi="Cambria" w:cs="Cambria"/>
          <w:lang w:val="en-US"/>
        </w:rPr>
        <w:fldChar w:fldCharType="end"/>
      </w:r>
      <w:r w:rsidR="00B94E1B">
        <w:rPr>
          <w:rFonts w:ascii="Cambria" w:hAnsi="Cambria" w:cs="Cambria"/>
          <w:lang w:val="en-US"/>
        </w:rPr>
        <w:t>.</w:t>
      </w:r>
      <w:r w:rsidR="008F5EB8">
        <w:rPr>
          <w:rFonts w:ascii="Cambria" w:hAnsi="Cambria" w:cs="Cambria"/>
          <w:lang w:val="en-US"/>
        </w:rPr>
        <w:t xml:space="preserve"> This contrasts with </w:t>
      </w:r>
      <w:r w:rsidR="00136E6B">
        <w:rPr>
          <w:rFonts w:ascii="Cambria" w:hAnsi="Cambria" w:cs="Cambria"/>
          <w:lang w:val="en-US"/>
        </w:rPr>
        <w:t xml:space="preserve">experimental </w:t>
      </w:r>
      <w:r w:rsidR="008F5EB8">
        <w:rPr>
          <w:rFonts w:ascii="Cambria" w:hAnsi="Cambria" w:cs="Cambria"/>
          <w:lang w:val="en-US"/>
        </w:rPr>
        <w:t xml:space="preserve">animal </w:t>
      </w:r>
      <w:r w:rsidR="00E47F3B">
        <w:rPr>
          <w:rFonts w:ascii="Cambria" w:hAnsi="Cambria" w:cs="Cambria"/>
          <w:lang w:val="en-US"/>
        </w:rPr>
        <w:t xml:space="preserve">models of </w:t>
      </w:r>
      <w:r w:rsidR="00136E6B">
        <w:rPr>
          <w:rFonts w:ascii="Cambria" w:hAnsi="Cambria" w:cs="Cambria"/>
          <w:lang w:val="en-US"/>
        </w:rPr>
        <w:t>meningitis</w:t>
      </w:r>
      <w:r w:rsidR="00E47F3B">
        <w:rPr>
          <w:rFonts w:ascii="Cambria" w:hAnsi="Cambria" w:cs="Cambria"/>
          <w:lang w:val="en-US"/>
        </w:rPr>
        <w:t>,</w:t>
      </w:r>
      <w:r w:rsidR="00136E6B">
        <w:rPr>
          <w:rFonts w:ascii="Cambria" w:hAnsi="Cambria" w:cs="Cambria"/>
          <w:lang w:val="en-US"/>
        </w:rPr>
        <w:t xml:space="preserve"> </w:t>
      </w:r>
      <w:r w:rsidR="008F5EB8">
        <w:rPr>
          <w:rFonts w:ascii="Cambria" w:hAnsi="Cambria" w:cs="Cambria"/>
          <w:lang w:val="en-US"/>
        </w:rPr>
        <w:t xml:space="preserve">where serotype-specific differences in survival, brain damage and inflammatory responses </w:t>
      </w:r>
      <w:r w:rsidR="00E857EB">
        <w:rPr>
          <w:rFonts w:ascii="Cambria" w:hAnsi="Cambria" w:cs="Cambria"/>
          <w:lang w:val="en-US"/>
        </w:rPr>
        <w:t xml:space="preserve">have been </w:t>
      </w:r>
      <w:r w:rsidR="00912E10">
        <w:rPr>
          <w:rFonts w:ascii="Cambria" w:hAnsi="Cambria" w:cs="Cambria"/>
          <w:lang w:val="en-US"/>
        </w:rPr>
        <w:t xml:space="preserve">observed </w:t>
      </w:r>
      <w:r w:rsidR="00E671E5">
        <w:rPr>
          <w:rFonts w:ascii="Cambria" w:hAnsi="Cambria" w:cs="Cambria"/>
          <w:lang w:val="en-US"/>
        </w:rPr>
        <w:fldChar w:fldCharType="begin" w:fldLock="1"/>
      </w:r>
      <w:r w:rsidR="00E671E5">
        <w:rPr>
          <w:rFonts w:ascii="Cambria" w:hAnsi="Cambria" w:cs="Cambria"/>
          <w:lang w:val="en-US"/>
        </w:rPr>
        <w:instrText>ADDIN CSL_CITATION { "citationItems" : [ { "id" : "ITEM-1", "itemData" : { "DOI" : "10.1086/423852", "ISBN" : "0022-1899 (Print)\\r0022-1899 (Linking)", "ISSN" : "0022-1899", "PMID" : "15346330", "abstract" : "BACKGROUND: Experimental meningitis with Streptococcus pneumoniae serotypes 1, 3, and 9 has resulted in pronounced differences in disease severity, but clinical meningitis studies addressing serotype-related differences in case-fatality rates are lacking. METHODS: Study subjects were Danish patients with pneumococcal meningitis due to serotype 1 (n=38), 3 (n=69), or 9V (n=59) during 1990-2002 for whom clinical information was available. The 3 serotypes were tested for brain damage and cerebrospinal fluid (CSF) inflammatory kinetics in 2 experimental models of meningitis. RESULTS: Patients with serotype 1 had a significantly lower case-fatality rate (3%), compared with patients with serotypes 3 (23%) and 9V (32%) (P=.0047, log-rank test). Age and serotype were independent prognostic factors for fatal outcome. In experimental meningitis, the median number of areas per brain slide with brain damage was significantly lower in rats infected with serotype 1 than in rats infected with serotypes 3 and 9V. Three distinct patterns of brain damage were observed: serotype 1, cortical hemorrhage; serotype 3, cortical necrosis and abscess formation; and serotype 9V, subcortical (callosal) abscess formation. Serotype 1 caused the poorest bacterial growth and lowest CSF levels of white blood cells, tumor necrosis factor- alpha, and interleukin-8 (P&lt;.05). CONCLUSION: Case-fatality rates of patients with pneumococcal meningitis, the degree and pattern of brain damage, and CSF cytochemical alterations in experimental pneumococcal meningitis differ according to serotype.", "author" : [ { "dropping-particle" : "", "family" : "\u00d8stergaard", "given" : "Christian", "non-dropping-particle" : "", "parse-names" : false, "suffix" : "" }, { "dropping-particle" : "", "family" : "Brandt", "given" : "Christian", "non-dropping-particle" : "", "parse-names" : false, "suffix" : "" }, { "dropping-particle" : "", "family" : "Konradsen", "given" : "Helle Bossen", "non-dropping-particle" : "", "parse-names" : false, "suffix" : "" }, { "dropping-particle" : "", "family" : "Samuelsson", "given" : "Susanne", "non-dropping-particle" : "", "parse-names" : false, "suffix" : "" } ], "container-title" : "The Journal of infectious diseases", "id" : "ITEM-1", "issue" : "7", "issued" : { "date-parts" : [ [ "2004" ] ] }, "page" : "1212-1220", "title" : "Differences in survival, brain damage, and cerebrospinal fluid cytokine kinetics due to meningitis caused by 3 different Streptococcus pneumoniae serotypes: evaluation in humans and in 2 experimental models.", "type" : "article-journal", "volume" : "190" }, "uris" : [ "http://www.mendeley.com/documents/?uuid=71afe998-c2c6-4f18-971d-6b51682b7bef" ] } ], "mendeley" : { "formattedCitation" : "(16)", "plainTextFormattedCitation" : "(16)", "previouslyFormattedCitation" : "(16)" }, "properties" : { "noteIndex" : 0 }, "schema" : "https://github.com/citation-style-language/schema/raw/master/csl-citation.json" }</w:instrText>
      </w:r>
      <w:r w:rsidR="00E671E5">
        <w:rPr>
          <w:rFonts w:ascii="Cambria" w:hAnsi="Cambria" w:cs="Cambria"/>
          <w:lang w:val="en-US"/>
        </w:rPr>
        <w:fldChar w:fldCharType="separate"/>
      </w:r>
      <w:r w:rsidR="00E671E5" w:rsidRPr="00E671E5">
        <w:rPr>
          <w:rFonts w:ascii="Cambria" w:hAnsi="Cambria" w:cs="Cambria"/>
          <w:noProof/>
          <w:lang w:val="en-US"/>
        </w:rPr>
        <w:t>(16</w:t>
      </w:r>
      <w:r w:rsidR="00912E10">
        <w:rPr>
          <w:rFonts w:ascii="Cambria" w:hAnsi="Cambria" w:cs="Cambria"/>
          <w:noProof/>
          <w:lang w:val="en-US"/>
        </w:rPr>
        <w:t xml:space="preserve">, </w:t>
      </w:r>
      <w:r w:rsidR="00E671E5">
        <w:rPr>
          <w:rFonts w:ascii="Cambria" w:hAnsi="Cambria" w:cs="Cambria"/>
          <w:lang w:val="en-US"/>
        </w:rPr>
        <w:fldChar w:fldCharType="end"/>
      </w:r>
      <w:r w:rsidR="00E671E5">
        <w:rPr>
          <w:rFonts w:ascii="Cambria" w:hAnsi="Cambria" w:cs="Cambria"/>
          <w:lang w:val="en-US"/>
        </w:rPr>
        <w:fldChar w:fldCharType="begin" w:fldLock="1"/>
      </w:r>
      <w:r w:rsidR="00E671E5">
        <w:rPr>
          <w:rFonts w:ascii="Cambria" w:hAnsi="Cambria" w:cs="Cambria"/>
          <w:lang w:val="en-US"/>
        </w:rPr>
        <w:instrText>ADDIN CSL_CITATION { "citationItems" : [ { "id" : "ITEM-1", "itemData" : { "ISBN" : "0022-1899 (Print)\\r0022-1899", "ISSN" : "0022-1899", "PMID" : "9086164", "abstract" : "It has been suggested that serotype influences severity of experimental pneumococcal meningitis. This hypothesis was tested with strains of serotypes 1, 5, 6B, 7F, 14, and 23F, prevalent in Israel, in an experimental rabbit model. Cerebrospinal fluid (CSF) bacterial titers, leukocyte densities, concentrations of lactate, protein, and glucose, tumor necrosis factor-alpha levels, brain water content, and cerebral blood flow were measured 18 h after inoculation of pneumococci. Serotypes 5 and 7F exhibited mild inflammatory responses (leukocytosis &lt;1000/mm3, lactate &lt;4 mmol/L); types 6B, 14, and 23F showed severe inflammatory responses (leukocytosis &gt;5000/mm3, lactate &gt;10 mmol/L); serotype 1 had intermediate inflammatory responses but exceptionally high CSF bacterial titers. Leukocyte count correlated with all other variables; lactate with all except brain water content. On the basis of 6 Streptococcus pneumoniae serotypes, three discrete levels of inflammatory responses could be delineated in experimental pneumococcal meningitis.", "author" : [ { "dropping-particle" : "", "family" : "Engelhard", "given" : "D", "non-dropping-particle" : "", "parse-names" : false, "suffix" : "" }, { "dropping-particle" : "", "family" : "Pomeranz", "given" : "S", "non-dropping-particle" : "", "parse-names" : false, "suffix" : "" }, { "dropping-particle" : "", "family" : "Gallily", "given" : "R", "non-dropping-particle" : "", "parse-names" : false, "suffix" : "" }, { "dropping-particle" : "", "family" : "Strauss", "given" : "N", "non-dropping-particle" : "", "parse-names" : false, "suffix" : "" }, { "dropping-particle" : "", "family" : "Tuomanen", "given" : "E", "non-dropping-particle" : "", "parse-names" : false, "suffix" : "" } ], "container-title" : "The Journal of infectious diseases", "id" : "ITEM-1", "issue" : "4", "issued" : { "date-parts" : [ [ "1997" ] ] }, "page" : "979-982", "title" : "Serotype-related differences in inflammatory response to Streptococcus pneumoniae in experimental meningitis.", "type" : "article-journal", "volume" : "175" }, "uris" : [ "http://www.mendeley.com/documents/?uuid=4424a341-8a90-4be5-8a99-a5c6eceade39" ] } ], "mendeley" : { "formattedCitation" : "(17)", "plainTextFormattedCitation" : "(17)", "previouslyFormattedCitation" : "(17)" }, "properties" : { "noteIndex" : 0 }, "schema" : "https://github.com/citation-style-language/schema/raw/master/csl-citation.json" }</w:instrText>
      </w:r>
      <w:r w:rsidR="00E671E5">
        <w:rPr>
          <w:rFonts w:ascii="Cambria" w:hAnsi="Cambria" w:cs="Cambria"/>
          <w:lang w:val="en-US"/>
        </w:rPr>
        <w:fldChar w:fldCharType="separate"/>
      </w:r>
      <w:r w:rsidR="00E671E5" w:rsidRPr="00E671E5">
        <w:rPr>
          <w:rFonts w:ascii="Cambria" w:hAnsi="Cambria" w:cs="Cambria"/>
          <w:noProof/>
          <w:lang w:val="en-US"/>
        </w:rPr>
        <w:t>17)</w:t>
      </w:r>
      <w:r w:rsidR="00E671E5">
        <w:rPr>
          <w:rFonts w:ascii="Cambria" w:hAnsi="Cambria" w:cs="Cambria"/>
          <w:lang w:val="en-US"/>
        </w:rPr>
        <w:fldChar w:fldCharType="end"/>
      </w:r>
      <w:r w:rsidR="00E857EB">
        <w:rPr>
          <w:rFonts w:ascii="Cambria" w:hAnsi="Cambria" w:cs="Cambria"/>
          <w:lang w:val="en-US"/>
        </w:rPr>
        <w:t xml:space="preserve">. </w:t>
      </w:r>
      <w:r w:rsidR="00136E6B">
        <w:rPr>
          <w:rFonts w:ascii="Cambria" w:hAnsi="Cambria" w:cs="Cambria"/>
          <w:lang w:val="en-US"/>
        </w:rPr>
        <w:t>In the US, a recent study found that the number of children with pneumococcal meningitis did not change after PCV</w:t>
      </w:r>
      <w:r w:rsidR="00152AC3">
        <w:rPr>
          <w:rFonts w:ascii="Cambria" w:hAnsi="Cambria" w:cs="Cambria"/>
          <w:lang w:val="en-US"/>
        </w:rPr>
        <w:t>13</w:t>
      </w:r>
      <w:r w:rsidR="00136E6B">
        <w:rPr>
          <w:rFonts w:ascii="Cambria" w:hAnsi="Cambria" w:cs="Cambria"/>
          <w:lang w:val="en-US"/>
        </w:rPr>
        <w:t xml:space="preserve"> replace</w:t>
      </w:r>
      <w:r w:rsidR="00152AC3">
        <w:rPr>
          <w:rFonts w:ascii="Cambria" w:hAnsi="Cambria" w:cs="Cambria"/>
          <w:lang w:val="en-US"/>
        </w:rPr>
        <w:t>d</w:t>
      </w:r>
      <w:r w:rsidR="00136E6B">
        <w:rPr>
          <w:rFonts w:ascii="Cambria" w:hAnsi="Cambria" w:cs="Cambria"/>
          <w:lang w:val="en-US"/>
        </w:rPr>
        <w:t xml:space="preserve"> PCV</w:t>
      </w:r>
      <w:r w:rsidR="00152AC3">
        <w:rPr>
          <w:rFonts w:ascii="Cambria" w:hAnsi="Cambria" w:cs="Cambria"/>
          <w:lang w:val="en-US"/>
        </w:rPr>
        <w:t>7, and</w:t>
      </w:r>
      <w:r w:rsidR="00136E6B">
        <w:rPr>
          <w:rFonts w:ascii="Cambria" w:hAnsi="Cambria" w:cs="Cambria"/>
          <w:lang w:val="en-US"/>
        </w:rPr>
        <w:t xml:space="preserve"> there were no </w:t>
      </w:r>
      <w:r w:rsidR="00136E6B" w:rsidRPr="00136E6B">
        <w:rPr>
          <w:rFonts w:ascii="Cambria" w:hAnsi="Cambria" w:cs="Cambria"/>
        </w:rPr>
        <w:t xml:space="preserve">significant differences </w:t>
      </w:r>
      <w:r w:rsidR="00136E6B">
        <w:rPr>
          <w:rFonts w:ascii="Cambria" w:hAnsi="Cambria" w:cs="Cambria"/>
        </w:rPr>
        <w:t xml:space="preserve">in </w:t>
      </w:r>
      <w:r w:rsidR="001F1525">
        <w:rPr>
          <w:rFonts w:ascii="Cambria" w:hAnsi="Cambria" w:cs="Cambria"/>
        </w:rPr>
        <w:t xml:space="preserve">presenting features, laboratory parameters, CSF findings, intensive care </w:t>
      </w:r>
      <w:r w:rsidR="00B556C8">
        <w:rPr>
          <w:rFonts w:ascii="Cambria" w:hAnsi="Cambria" w:cs="Cambria"/>
        </w:rPr>
        <w:t>requirement</w:t>
      </w:r>
      <w:r w:rsidR="001F1525">
        <w:rPr>
          <w:rFonts w:ascii="Cambria" w:hAnsi="Cambria" w:cs="Cambria"/>
        </w:rPr>
        <w:t xml:space="preserve">, mechanical ventilation, neurosurgery, complications or </w:t>
      </w:r>
      <w:r w:rsidR="00B556C8">
        <w:rPr>
          <w:rFonts w:ascii="Cambria" w:hAnsi="Cambria" w:cs="Cambria"/>
        </w:rPr>
        <w:t>death</w:t>
      </w:r>
      <w:r w:rsidR="00136E6B" w:rsidRPr="00136E6B">
        <w:rPr>
          <w:rFonts w:ascii="Cambria" w:hAnsi="Cambria" w:cs="Cambria"/>
        </w:rPr>
        <w:t xml:space="preserve">, </w:t>
      </w:r>
      <w:r w:rsidR="001F1525">
        <w:rPr>
          <w:rFonts w:ascii="Cambria" w:hAnsi="Cambria" w:cs="Cambria"/>
        </w:rPr>
        <w:t xml:space="preserve">even though the proportion of </w:t>
      </w:r>
      <w:r w:rsidR="00201328">
        <w:rPr>
          <w:rFonts w:ascii="Cambria" w:hAnsi="Cambria" w:cs="Cambria"/>
        </w:rPr>
        <w:t xml:space="preserve">cases due to </w:t>
      </w:r>
      <w:r w:rsidR="001F1525">
        <w:rPr>
          <w:rFonts w:ascii="Cambria" w:hAnsi="Cambria" w:cs="Cambria"/>
        </w:rPr>
        <w:t xml:space="preserve">PCV13 serotypes halved after PCV13 introduction </w:t>
      </w:r>
      <w:r w:rsidR="00FA5081">
        <w:rPr>
          <w:rFonts w:ascii="Cambria" w:hAnsi="Cambria" w:cs="Cambria"/>
        </w:rPr>
        <w:fldChar w:fldCharType="begin" w:fldLock="1"/>
      </w:r>
      <w:r w:rsidR="00C30E96">
        <w:rPr>
          <w:rFonts w:ascii="Cambria" w:hAnsi="Cambria" w:cs="Cambria"/>
        </w:rPr>
        <w:instrText>ADDIN CSL_CITATION { "citationItems" : [ { "id" : "ITEM-1", "itemData" : { "DOI" : "10.1093/cid/civ368", "ISBN" : "1537-6591; 1058-4838", "ISSN" : "1537-6591", "PMID" : "25972022", "abstract" : "BACKGROUND: \u2003The impact of 13-valent pneumococcal conjugate vaccine (PCV13) on pneumococcal meningitis (PM) in US children is unknown. We compared the serotype distribution, antibiotic susceptibility, hospital course, and outcomes of children with PM 3 years before and 3 years after the introduction of PCV13.\\n\\nMETHODS: \u2003We identified patients \u226418 years of age with PM at 8 children's hospitals in the United States. Pneumococcal isolates were collected prospectively. Serotyping and antibiotic susceptibility were performed in a central laboratory. Clinical data were abstracted from medical records. Patients were divided into 3 subgroups: pre-PCV13 (2007-2009), transitional year (2010), and post-PCV13 (2011-2013). Categorical variables were analyzed by the \u03c7(2) test and continuous variables by the Mann--Whitney U test.\\n\\nRESULTS: \u2003During the study period, 173 of 1207 episodes (14%) of invasive pneumococcal disease were identified as PM; 76 of 645 (12%) were during 2007-2009 and 69 of 394 (18%) during 2011-2013 (50% increase; P = .03). The proportion of PCV13 serotype cases decreased from 54% in 2007-2009 to 27% in 2011-2013 (P = .001). Non-PCV13 serotype cases represented 73% of the isolates in 2011-2013. Isolates with ceftriaxone minimum inhibitory concentration \u22651 \u00b5g/mL decreased (13% to 3%) from 2007-2009 to 2011-2013 (P = .03). No significant differences were identified for hospital course or outcome, with the exception that a greater proportion of patients had subdural empyema and hemiparesis in 2011-2013.\\n\\nCONCLUSIONS: \u2003After the introduction of PCV13, the number of cases of PM in children remained unchanged compared with 2007-2009, although the proportion of PCV13 serotypes decreased significantly. Serotype 19A continued to be the most common serotype in 2011-2013. Antibiotic resistance decreased significantly. Morbidity and case-fatality rate due to PM remain substantial.", "author" : [ { "dropping-particle" : "", "family" : "Olarte", "given" : "Liset", "non-dropping-particle" : "", "parse-names" : false, "suffix" : "" }, { "dropping-particle" : "", "family" : "Barson", "given" : "William J", "non-dropping-particle" : "", "parse-names" : false, "suffix" : "" }, { "dropping-particle" : "", "family" : "Barson", "given" : "Ryan M", "non-dropping-particle" : "", "parse-names" : false, "suffix" : "" }, { "dropping-particle" : "", "family" : "Lin", "given" : "Philana Ling", "non-dropping-particle" : "", "parse-names" : false, "suffix" : "" }, { "dropping-particle" : "", "family" : "Romero", "given" : "Jos\u00e9 R", "non-dropping-particle" : "", "parse-names" : false, "suffix" : "" }, { "dropping-particle" : "", "family" : "Tan", "given" : "Tina Q", "non-dropping-particle" : "", "parse-names" : false, "suffix" : "" }, { "dropping-particle" : "", "family" : "Givner", "given" : "Laurence B", "non-dropping-particle" : "", "parse-names" : false, "suffix" : "" }, { "dropping-particle" : "", "family" : "Bradley", "given" : "John S", "non-dropping-particle" : "", "parse-names" : false, "suffix" : "" }, { "dropping-particle" : "", "family" : "Hoffman", "given" : "Jill a", "non-dropping-particle" : "", "parse-names" : false, "suffix" : "" }, { "dropping-particle" : "", "family" : "Hult\u00e9n", "given" : "Kristina G", "non-dropping-particle" : "", "parse-names" : false, "suffix" : "" }, { "dropping-particle" : "", "family" : "Mason", "given" : "Edward O", "non-dropping-particle" : "", "parse-names" : false, "suffix" : "" }, { "dropping-particle" : "", "family" : "Kaplan", "given" : "Sheldon L", "non-dropping-particle" : "", "parse-names" : false, "suffix" : "" } ], "container-title" : "Clinical infectious diseases : an official publication of the Infectious Diseases Society of America", "id" : "ITEM-1", "issue" : "5", "issued" : { "date-parts" : [ [ "2015" ] ] }, "page" : "767-75", "title" : "Impact of the 13-Valent Pneumococcal Conjugate Vaccine on Pneumococcal Meningitis in US Children.", "type" : "article-journal", "volume" : "61" }, "uris" : [ "http://www.mendeley.com/documents/?uuid=9d49c69e-0493-49b9-bf97-e2749b70327e" ] } ], "mendeley" : { "formattedCitation" : "(18)", "plainTextFormattedCitation" : "(18)", "previouslyFormattedCitation" : "(18)" }, "properties" : { "noteIndex" : 0 }, "schema" : "https://github.com/citation-style-language/schema/raw/master/csl-citation.json" }</w:instrText>
      </w:r>
      <w:r w:rsidR="00FA5081">
        <w:rPr>
          <w:rFonts w:ascii="Cambria" w:hAnsi="Cambria" w:cs="Cambria"/>
        </w:rPr>
        <w:fldChar w:fldCharType="separate"/>
      </w:r>
      <w:r w:rsidR="00CC411A" w:rsidRPr="00CC411A">
        <w:rPr>
          <w:rFonts w:ascii="Cambria" w:hAnsi="Cambria" w:cs="Cambria"/>
          <w:noProof/>
        </w:rPr>
        <w:t>(18)</w:t>
      </w:r>
      <w:r w:rsidR="00FA5081">
        <w:rPr>
          <w:rFonts w:ascii="Cambria" w:hAnsi="Cambria" w:cs="Cambria"/>
        </w:rPr>
        <w:fldChar w:fldCharType="end"/>
      </w:r>
      <w:r w:rsidR="00136E6B" w:rsidRPr="00136E6B">
        <w:rPr>
          <w:rFonts w:ascii="Cambria" w:hAnsi="Cambria" w:cs="Cambria"/>
        </w:rPr>
        <w:t>.</w:t>
      </w:r>
      <w:r w:rsidR="00B556C8">
        <w:rPr>
          <w:rFonts w:ascii="Cambria" w:hAnsi="Cambria" w:cs="Cambria"/>
        </w:rPr>
        <w:t xml:space="preserve"> The authors also found similar sequel</w:t>
      </w:r>
      <w:r w:rsidR="00A3236D">
        <w:rPr>
          <w:rFonts w:ascii="Cambria" w:hAnsi="Cambria" w:cs="Cambria"/>
        </w:rPr>
        <w:t>ae</w:t>
      </w:r>
      <w:r w:rsidR="00B556C8">
        <w:rPr>
          <w:rFonts w:ascii="Cambria" w:hAnsi="Cambria" w:cs="Cambria"/>
        </w:rPr>
        <w:t xml:space="preserve"> rates among survivors of </w:t>
      </w:r>
      <w:r w:rsidR="00663E70">
        <w:rPr>
          <w:rFonts w:ascii="Cambria" w:hAnsi="Cambria" w:cs="Cambria"/>
        </w:rPr>
        <w:t>PCV13 and non</w:t>
      </w:r>
      <w:r w:rsidR="00077D80">
        <w:rPr>
          <w:rFonts w:ascii="Cambria" w:hAnsi="Cambria" w:cs="Cambria"/>
        </w:rPr>
        <w:t>-</w:t>
      </w:r>
      <w:r w:rsidR="00663E70">
        <w:rPr>
          <w:rFonts w:ascii="Cambria" w:hAnsi="Cambria" w:cs="Cambria"/>
        </w:rPr>
        <w:t xml:space="preserve">PCV13 meningitis </w:t>
      </w:r>
      <w:r w:rsidR="00FA5081">
        <w:rPr>
          <w:rFonts w:ascii="Cambria" w:hAnsi="Cambria" w:cs="Cambria"/>
        </w:rPr>
        <w:fldChar w:fldCharType="begin" w:fldLock="1"/>
      </w:r>
      <w:r w:rsidR="00C30E96">
        <w:rPr>
          <w:rFonts w:ascii="Cambria" w:hAnsi="Cambria" w:cs="Cambria"/>
        </w:rPr>
        <w:instrText>ADDIN CSL_CITATION { "citationItems" : [ { "id" : "ITEM-1", "itemData" : { "DOI" : "10.1093/cid/civ368", "ISBN" : "1537-6591; 1058-4838", "ISSN" : "1537-6591", "PMID" : "25972022", "abstract" : "BACKGROUND: \u2003The impact of 13-valent pneumococcal conjugate vaccine (PCV13) on pneumococcal meningitis (PM) in US children is unknown. We compared the serotype distribution, antibiotic susceptibility, hospital course, and outcomes of children with PM 3 years before and 3 years after the introduction of PCV13.\\n\\nMETHODS: \u2003We identified patients \u226418 years of age with PM at 8 children's hospitals in the United States. Pneumococcal isolates were collected prospectively. Serotyping and antibiotic susceptibility were performed in a central laboratory. Clinical data were abstracted from medical records. Patients were divided into 3 subgroups: pre-PCV13 (2007-2009), transitional year (2010), and post-PCV13 (2011-2013). Categorical variables were analyzed by the \u03c7(2) test and continuous variables by the Mann--Whitney U test.\\n\\nRESULTS: \u2003During the study period, 173 of 1207 episodes (14%) of invasive pneumococcal disease were identified as PM; 76 of 645 (12%) were during 2007-2009 and 69 of 394 (18%) during 2011-2013 (50% increase; P = .03). The proportion of PCV13 serotype cases decreased from 54% in 2007-2009 to 27% in 2011-2013 (P = .001). Non-PCV13 serotype cases represented 73% of the isolates in 2011-2013. Isolates with ceftriaxone minimum inhibitory concentration \u22651 \u00b5g/mL decreased (13% to 3%) from 2007-2009 to 2011-2013 (P = .03). No significant differences were identified for hospital course or outcome, with the exception that a greater proportion of patients had subdural empyema and hemiparesis in 2011-2013.\\n\\nCONCLUSIONS: \u2003After the introduction of PCV13, the number of cases of PM in children remained unchanged compared with 2007-2009, although the proportion of PCV13 serotypes decreased significantly. Serotype 19A continued to be the most common serotype in 2011-2013. Antibiotic resistance decreased significantly. Morbidity and case-fatality rate due to PM remain substantial.", "author" : [ { "dropping-particle" : "", "family" : "Olarte", "given" : "Liset", "non-dropping-particle" : "", "parse-names" : false, "suffix" : "" }, { "dropping-particle" : "", "family" : "Barson", "given" : "William J", "non-dropping-particle" : "", "parse-names" : false, "suffix" : "" }, { "dropping-particle" : "", "family" : "Barson", "given" : "Ryan M", "non-dropping-particle" : "", "parse-names" : false, "suffix" : "" }, { "dropping-particle" : "", "family" : "Lin", "given" : "Philana Ling", "non-dropping-particle" : "", "parse-names" : false, "suffix" : "" }, { "dropping-particle" : "", "family" : "Romero", "given" : "Jos\u00e9 R", "non-dropping-particle" : "", "parse-names" : false, "suffix" : "" }, { "dropping-particle" : "", "family" : "Tan", "given" : "Tina Q", "non-dropping-particle" : "", "parse-names" : false, "suffix" : "" }, { "dropping-particle" : "", "family" : "Givner", "given" : "Laurence B", "non-dropping-particle" : "", "parse-names" : false, "suffix" : "" }, { "dropping-particle" : "", "family" : "Bradley", "given" : "John S", "non-dropping-particle" : "", "parse-names" : false, "suffix" : "" }, { "dropping-particle" : "", "family" : "Hoffman", "given" : "Jill a", "non-dropping-particle" : "", "parse-names" : false, "suffix" : "" }, { "dropping-particle" : "", "family" : "Hult\u00e9n", "given" : "Kristina G", "non-dropping-particle" : "", "parse-names" : false, "suffix" : "" }, { "dropping-particle" : "", "family" : "Mason", "given" : "Edward O", "non-dropping-particle" : "", "parse-names" : false, "suffix" : "" }, { "dropping-particle" : "", "family" : "Kaplan", "given" : "Sheldon L", "non-dropping-particle" : "", "parse-names" : false, "suffix" : "" } ], "container-title" : "Clinical infectious diseases : an official publication of the Infectious Diseases Society of America", "id" : "ITEM-1", "issue" : "5", "issued" : { "date-parts" : [ [ "2015" ] ] }, "page" : "767-75", "title" : "Impact of the 13-Valent Pneumococcal Conjugate Vaccine on Pneumococcal Meningitis in US Children.", "type" : "article-journal", "volume" : "61" }, "uris" : [ "http://www.mendeley.com/documents/?uuid=9d49c69e-0493-49b9-bf97-e2749b70327e" ] } ], "mendeley" : { "formattedCitation" : "(18)", "plainTextFormattedCitation" : "(18)", "previouslyFormattedCitation" : "(18)" }, "properties" : { "noteIndex" : 0 }, "schema" : "https://github.com/citation-style-language/schema/raw/master/csl-citation.json" }</w:instrText>
      </w:r>
      <w:r w:rsidR="00FA5081">
        <w:rPr>
          <w:rFonts w:ascii="Cambria" w:hAnsi="Cambria" w:cs="Cambria"/>
        </w:rPr>
        <w:fldChar w:fldCharType="separate"/>
      </w:r>
      <w:r w:rsidR="00CC411A" w:rsidRPr="00CC411A">
        <w:rPr>
          <w:rFonts w:ascii="Cambria" w:hAnsi="Cambria" w:cs="Cambria"/>
          <w:noProof/>
        </w:rPr>
        <w:t>(18)</w:t>
      </w:r>
      <w:r w:rsidR="00FA5081">
        <w:rPr>
          <w:rFonts w:ascii="Cambria" w:hAnsi="Cambria" w:cs="Cambria"/>
        </w:rPr>
        <w:fldChar w:fldCharType="end"/>
      </w:r>
      <w:r w:rsidR="00B556C8">
        <w:rPr>
          <w:rFonts w:ascii="Cambria" w:hAnsi="Cambria" w:cs="Cambria"/>
        </w:rPr>
        <w:t xml:space="preserve">. </w:t>
      </w:r>
    </w:p>
    <w:p w14:paraId="32403CD5" w14:textId="77777777" w:rsidR="00DE13AB" w:rsidRDefault="00DE13AB" w:rsidP="00E41469">
      <w:pPr>
        <w:widowControl w:val="0"/>
        <w:autoSpaceDE w:val="0"/>
        <w:autoSpaceDN w:val="0"/>
        <w:adjustRightInd w:val="0"/>
        <w:spacing w:line="480" w:lineRule="auto"/>
        <w:rPr>
          <w:rFonts w:ascii="Cambria" w:hAnsi="Cambria" w:cs="Cambria"/>
        </w:rPr>
      </w:pPr>
    </w:p>
    <w:p w14:paraId="426EF8BE" w14:textId="3E0D9D7C" w:rsidR="00B973BA" w:rsidRDefault="004A5869" w:rsidP="00E41469">
      <w:pPr>
        <w:widowControl w:val="0"/>
        <w:autoSpaceDE w:val="0"/>
        <w:autoSpaceDN w:val="0"/>
        <w:adjustRightInd w:val="0"/>
        <w:spacing w:line="480" w:lineRule="auto"/>
        <w:rPr>
          <w:rFonts w:ascii="Cambria" w:hAnsi="Cambria" w:cs="Cambria"/>
          <w:lang w:val="en-US"/>
        </w:rPr>
      </w:pPr>
      <w:r>
        <w:rPr>
          <w:rFonts w:ascii="Cambria" w:hAnsi="Cambria" w:cs="Cambria"/>
        </w:rPr>
        <w:t>Reports o</w:t>
      </w:r>
      <w:r w:rsidR="00272E4B">
        <w:rPr>
          <w:rFonts w:ascii="Cambria" w:hAnsi="Cambria" w:cs="Cambria"/>
        </w:rPr>
        <w:t xml:space="preserve">f </w:t>
      </w:r>
      <w:r>
        <w:rPr>
          <w:rFonts w:ascii="Cambria" w:hAnsi="Cambria" w:cs="Cambria"/>
        </w:rPr>
        <w:t xml:space="preserve">PCV7 and PCV13 </w:t>
      </w:r>
      <w:r w:rsidR="00272E4B">
        <w:rPr>
          <w:rFonts w:ascii="Cambria" w:hAnsi="Cambria" w:cs="Cambria"/>
        </w:rPr>
        <w:t xml:space="preserve">impact </w:t>
      </w:r>
      <w:r>
        <w:rPr>
          <w:rFonts w:ascii="Cambria" w:hAnsi="Cambria" w:cs="Cambria"/>
        </w:rPr>
        <w:t xml:space="preserve">on the incidence of </w:t>
      </w:r>
      <w:r w:rsidR="007633BB">
        <w:rPr>
          <w:rFonts w:ascii="Cambria" w:hAnsi="Cambria" w:cs="Cambria"/>
        </w:rPr>
        <w:t xml:space="preserve">childhood </w:t>
      </w:r>
      <w:r>
        <w:rPr>
          <w:rFonts w:ascii="Cambria" w:hAnsi="Cambria" w:cs="Cambria"/>
        </w:rPr>
        <w:t>pneumococcal meningitis have been variable, with some regions finding significant reductions, while others reporting no measurable impact, partly because this is a rare disease with small numbers of cases, even in population</w:t>
      </w:r>
      <w:r w:rsidR="00ED4844">
        <w:rPr>
          <w:rFonts w:ascii="Cambria" w:hAnsi="Cambria" w:cs="Cambria"/>
        </w:rPr>
        <w:t>-</w:t>
      </w:r>
      <w:r>
        <w:rPr>
          <w:rFonts w:ascii="Cambria" w:hAnsi="Cambria" w:cs="Cambria"/>
        </w:rPr>
        <w:t>based studies</w:t>
      </w:r>
      <w:r w:rsidR="00144CBE">
        <w:rPr>
          <w:rFonts w:ascii="Cambria" w:hAnsi="Cambria" w:cs="Cambria"/>
        </w:rPr>
        <w:t xml:space="preserve"> </w:t>
      </w:r>
      <w:r w:rsidR="00144CBE">
        <w:rPr>
          <w:rFonts w:ascii="Cambria" w:hAnsi="Cambria" w:cs="Cambria"/>
        </w:rPr>
        <w:fldChar w:fldCharType="begin" w:fldLock="1"/>
      </w:r>
      <w:r w:rsidR="00260F53">
        <w:rPr>
          <w:rFonts w:ascii="Cambria" w:hAnsi="Cambria" w:cs="Cambria"/>
        </w:rPr>
        <w:instrText>ADDIN CSL_CITATION { "citationItems" : [ { "id" : "ITEM-1", "itemData" : { "ISBN" : "0022-1899 (Print)\\r0022-1899", "ISSN" : "0022-1899", "PMID" : "9086164", "abstract" : "It has been suggested that serotype influences severity of experimental pneumococcal meningitis. This hypothesis was tested with strains of serotypes 1, 5, 6B, 7F, 14, and 23F, prevalent in Israel, in an experimental rabbit model. Cerebrospinal fluid (CSF) bacterial titers, leukocyte densities, concentrations of lactate, protein, and glucose, tumor necrosis factor-alpha levels, brain water content, and cerebral blood flow were measured 18 h after inoculation of pneumococci. Serotypes 5 and 7F exhibited mild inflammatory responses (leukocytosis &lt;1000/mm3, lactate &lt;4 mmol/L); types 6B, 14, and 23F showed severe inflammatory responses (leukocytosis &gt;5000/mm3, lactate &gt;10 mmol/L); serotype 1 had intermediate inflammatory responses but exceptionally high CSF bacterial titers. Leukocyte count correlated with all other variables; lactate with all except brain water content. On the basis of 6 Streptococcus pneumoniae serotypes, three discrete levels of inflammatory responses could be delineated in experimental pneumococcal meningitis.", "author" : [ { "dropping-particle" : "", "family" : "Engelhard", "given" : "D", "non-dropping-particle" : "", "parse-names" : false, "suffix" : "" }, { "dropping-particle" : "", "family" : "Pomeranz", "given" : "S", "non-dropping-particle" : "", "parse-names" : false, "suffix" : "" }, { "dropping-particle" : "", "family" : "Gallily", "given" : "R", "non-dropping-particle" : "", "parse-names" : false, "suffix" : "" }, { "dropping-particle" : "", "family" : "Strauss", "given" : "N", "non-dropping-particle" : "", "parse-names" : false, "suffix" : "" }, { "dropping-particle" : "", "family" : "Tuomanen", "given" : "E", "non-dropping-particle" : "", "parse-names" : false, "suffix" : "" } ], "container-title" : "The Journal of infectious diseases", "id" : "ITEM-1", "issue" : "4", "issued" : { "date-parts" : [ [ "1997" ] ] }, "page" : "979-982", "title" : "Serotype-related differences in inflammatory response to Streptococcus pneumoniae in experimental meningitis.", "type" : "article-journal", "volume" : "175" }, "uris" : [ "http://www.mendeley.com/documents/?uuid=4424a341-8a90-4be5-8a99-a5c6eceade39" ] } ], "mendeley" : { "formattedCitation" : "(17)", "plainTextFormattedCitation" : "(17)", "previouslyFormattedCitation" : "(17)" }, "properties" : { "noteIndex" : 0 }, "schema" : "https://github.com/citation-style-language/schema/raw/master/csl-citation.json" }</w:instrText>
      </w:r>
      <w:r w:rsidR="00144CBE">
        <w:rPr>
          <w:rFonts w:ascii="Cambria" w:hAnsi="Cambria" w:cs="Cambria"/>
        </w:rPr>
        <w:fldChar w:fldCharType="separate"/>
      </w:r>
      <w:r w:rsidR="00144CBE" w:rsidRPr="00144CBE">
        <w:rPr>
          <w:rFonts w:ascii="Cambria" w:hAnsi="Cambria" w:cs="Cambria"/>
          <w:noProof/>
        </w:rPr>
        <w:t>(17</w:t>
      </w:r>
      <w:r w:rsidR="00144CBE">
        <w:rPr>
          <w:rFonts w:ascii="Cambria" w:hAnsi="Cambria" w:cs="Cambria"/>
        </w:rPr>
        <w:fldChar w:fldCharType="end"/>
      </w:r>
      <w:r w:rsidR="00D3591B">
        <w:rPr>
          <w:rFonts w:ascii="Cambria" w:hAnsi="Cambria" w:cs="Cambria"/>
        </w:rPr>
        <w:t xml:space="preserve">, </w:t>
      </w:r>
      <w:r w:rsidR="00260F53">
        <w:rPr>
          <w:rFonts w:ascii="Cambria" w:hAnsi="Cambria" w:cs="Cambria"/>
        </w:rPr>
        <w:fldChar w:fldCharType="begin" w:fldLock="1"/>
      </w:r>
      <w:r w:rsidR="00260F53">
        <w:rPr>
          <w:rFonts w:ascii="Cambria" w:hAnsi="Cambria" w:cs="Cambria"/>
        </w:rPr>
        <w:instrText>ADDIN CSL_CITATION { "citationItems" : [ { "id" : "ITEM-1", "itemData" : { "DOI" : "10.1093/cid/civ368", "ISBN" : "1537-6591; 1058-4838", "ISSN" : "1537-6591", "PMID" : "25972022", "abstract" : "BACKGROUND: \u2003The impact of 13-valent pneumococcal conjugate vaccine (PCV13) on pneumococcal meningitis (PM) in US children is unknown. We compared the serotype distribution, antibiotic susceptibility, hospital course, and outcomes of children with PM 3 years before and 3 years after the introduction of PCV13.\\n\\nMETHODS: \u2003We identified patients \u226418 years of age with PM at 8 children's hospitals in the United States. Pneumococcal isolates were collected prospectively. Serotyping and antibiotic susceptibility were performed in a central laboratory. Clinical data were abstracted from medical records. Patients were divided into 3 subgroups: pre-PCV13 (2007-2009), transitional year (2010), and post-PCV13 (2011-2013). Categorical variables were analyzed by the \u03c7(2) test and continuous variables by the Mann--Whitney U test.\\n\\nRESULTS: \u2003During the study period, 173 of 1207 episodes (14%) of invasive pneumococcal disease were identified as PM; 76 of 645 (12%) were during 2007-2009 and 69 of 394 (18%) during 2011-2013 (50% increase; P = .03). The proportion of PCV13 serotype cases decreased from 54% in 2007-2009 to 27% in 2011-2013 (P = .001). Non-PCV13 serotype cases represented 73% of the isolates in 2011-2013. Isolates with ceftriaxone minimum inhibitory concentration \u22651 \u00b5g/mL decreased (13% to 3%) from 2007-2009 to 2011-2013 (P = .03). No significant differences were identified for hospital course or outcome, with the exception that a greater proportion of patients had subdural empyema and hemiparesis in 2011-2013.\\n\\nCONCLUSIONS: \u2003After the introduction of PCV13, the number of cases of PM in children remained unchanged compared with 2007-2009, although the proportion of PCV13 serotypes decreased significantly. Serotype 19A continued to be the most common serotype in 2011-2013. Antibiotic resistance decreased significantly. Morbidity and case-fatality rate due to PM remain substantial.", "author" : [ { "dropping-particle" : "", "family" : "Olarte", "given" : "Liset", "non-dropping-particle" : "", "parse-names" : false, "suffix" : "" }, { "dropping-particle" : "", "family" : "Barson", "given" : "William J", "non-dropping-particle" : "", "parse-names" : false, "suffix" : "" }, { "dropping-particle" : "", "family" : "Barson", "given" : "Ryan M", "non-dropping-particle" : "", "parse-names" : false, "suffix" : "" }, { "dropping-particle" : "", "family" : "Lin", "given" : "Philana Ling", "non-dropping-particle" : "", "parse-names" : false, "suffix" : "" }, { "dropping-particle" : "", "family" : "Romero", "given" : "Jos\u00e9 R", "non-dropping-particle" : "", "parse-names" : false, "suffix" : "" }, { "dropping-particle" : "", "family" : "Tan", "given" : "Tina Q", "non-dropping-particle" : "", "parse-names" : false, "suffix" : "" }, { "dropping-particle" : "", "family" : "Givner", "given" : "Laurence B", "non-dropping-particle" : "", "parse-names" : false, "suffix" : "" }, { "dropping-particle" : "", "family" : "Bradley", "given" : "John S", "non-dropping-particle" : "", "parse-names" : false, "suffix" : "" }, { "dropping-particle" : "", "family" : "Hoffman", "given" : "Jill a", "non-dropping-particle" : "", "parse-names" : false, "suffix" : "" }, { "dropping-particle" : "", "family" : "Hult\u00e9n", "given" : "Kristina G", "non-dropping-particle" : "", "parse-names" : false, "suffix" : "" }, { "dropping-particle" : "", "family" : "Mason", "given" : "Edward O", "non-dropping-particle" : "", "parse-names" : false, "suffix" : "" }, { "dropping-particle" : "", "family" : "Kaplan", "given" : "Sheldon L", "non-dropping-particle" : "", "parse-names" : false, "suffix" : "" } ], "container-title" : "Clinical infectious diseases : an official publication of the Infectious Diseases Society of America", "id" : "ITEM-1", "issue" : "5", "issued" : { "date-parts" : [ [ "2015" ] ] }, "page" : "767-75", "title" : "Impact of the 13-Valent Pneumococcal Conjugate Vaccine on Pneumococcal Meningitis in US Children.", "type" : "article-journal", "volume" : "61" }, "uris" : [ "http://www.mendeley.com/documents/?uuid=9d49c69e-0493-49b9-bf97-e2749b70327e" ] } ], "mendeley" : { "formattedCitation" : "(18)", "plainTextFormattedCitation" : "(18)", "previouslyFormattedCitation" : "(18)" }, "properties" : { "noteIndex" : 0 }, "schema" : "https://github.com/citation-style-language/schema/raw/master/csl-citation.json" }</w:instrText>
      </w:r>
      <w:r w:rsidR="00260F53">
        <w:rPr>
          <w:rFonts w:ascii="Cambria" w:hAnsi="Cambria" w:cs="Cambria"/>
        </w:rPr>
        <w:fldChar w:fldCharType="separate"/>
      </w:r>
      <w:r w:rsidR="00260F53" w:rsidRPr="00260F53">
        <w:rPr>
          <w:rFonts w:ascii="Cambria" w:hAnsi="Cambria" w:cs="Cambria"/>
          <w:noProof/>
        </w:rPr>
        <w:t>18</w:t>
      </w:r>
      <w:r w:rsidR="00260F53">
        <w:rPr>
          <w:rFonts w:ascii="Cambria" w:hAnsi="Cambria" w:cs="Cambria"/>
        </w:rPr>
        <w:fldChar w:fldCharType="end"/>
      </w:r>
      <w:r w:rsidR="00D3591B">
        <w:rPr>
          <w:rFonts w:ascii="Cambria" w:hAnsi="Cambria" w:cs="Cambria"/>
        </w:rPr>
        <w:t xml:space="preserve">, </w:t>
      </w:r>
      <w:r w:rsidR="00260F53">
        <w:rPr>
          <w:rFonts w:ascii="Cambria" w:hAnsi="Cambria" w:cs="Cambria"/>
        </w:rPr>
        <w:fldChar w:fldCharType="begin" w:fldLock="1"/>
      </w:r>
      <w:r w:rsidR="00260F53">
        <w:rPr>
          <w:rFonts w:ascii="Cambria" w:hAnsi="Cambria" w:cs="Cambria"/>
        </w:rPr>
        <w:instrText>ADDIN CSL_CITATION { "citationItems" : [ { "id" : "ITEM-1", "itemData" : { "DOI" : "10.1056/NEJMoa0800836", "ISBN" : "1533-4406 (Electronic)\\r0028-4793 (Linking)", "ISSN" : "0028-4793", "PMID" : "19144940", "abstract" : "BACKGROUND: Invasive pneumococcal disease declined among children and adults after the introduction of the pediatric heptavalent pneumococcal conjugate vaccine (PCV7) in 2000, but its effect on pneumococcal meningitis is unclear. METHODS: We examined trends in pneumococcal meningitis from 1998 through 2005 using active, population-based surveillance data from eight sites in the United States. Isolates were grouped into PCV7 serotypes (4, 6B, 9V, 14, 18C, 19F, and 23F), PCV7-related serotypes (6A, 9A, 9L, 9N, 18A, 18B, 18F, 19B, 19C, 23A, and 23B), and non-PCV7 serotypes (all others). Changes in the incidence of pneumococcal meningitis were assessed against baseline values from 1998-1999. RESULTS: We identified 1379 cases of pneumococcal meningitis. The incidence declined from 1.13 cases to 0.79 case per 100,000 persons between 1998-1999 and 2004-2005 (a 30.1% decline, P&lt;0.001). Among persons younger than 2 years of age and those 65 years of age or older, the incidence decreased during the study period by 64.0% and 54.0%, respectively (P&lt;0.001 for both groups). Rates of PCV7-serotype meningitis declined from 0.66 case to 0.18 case (a 73.3% decline, P&lt;0.001) among patients of all ages. Although rates of PCV7-related-serotype disease decreased by 32.1% (P=0.08), rates of non-PCV7-serotype disease increased from 0.32 to 0.51 (an increase of 60.5%, P&lt;0.001). The percentages of cases from non-PCV7 serotypes 19A, 22F, and 35B each increased significantly during the study period. On average, 27.8% of isolates were nonsusceptible to penicillin, but fewer isolates were nonsusceptible to chloramphenicol (5.7%), meropenem (16.6%), and cefotaxime (11.8%). The proportion of penicillin-nonsusceptible isolates decreased between 1998 and 2003 (from 32.0% to 19.4%, P=0.01) but increased between 2003 and 2005 (from 19.4% to 30.1%, P=0.03). CONCLUSIONS: Rates of pneumococcal meningitis have decreased among children and adults since PCV7 was introduced. Although the overall effect of the vaccine remains substantial, a recent increase in meningitis caused by non-PCV7 serotypes, including strains nonsusceptible to antibiotics, is a concern.", "author" : [ { "dropping-particle" : "", "family" : "Hsu", "given" : "H E", "non-dropping-particle" : "", "parse-names" : false, "suffix" : "" }, { "dropping-particle" : "", "family" : "Shutt", "given" : "K A", "non-dropping-particle" : "", "parse-names" : false, "suffix" : "" }, { "dropping-particle" : "", "family" : "Moore", "given" : "M R", "non-dropping-particle" : "", "parse-names" : false, "suffix" : "" }, { "dropping-particle" : "", "family" : "Beall", "given" : "B W", "non-dropping-particle" : "", "parse-names" : false, "suffix" : "" }, { "dropping-particle" : "", "family" : "Bennett", "given" : "N M", "non-dropping-particle" : "", "parse-names" : false, "suffix" : "" }, { "dropping-particle" : "", "family" : "Craig", "given" : "A S", "non-dropping-particle" : "", "parse-names" : false, "suffix" : "" }, { "dropping-particle" : "", "family" : "Farley", "given" : "M M", "non-dropping-particle" : "", "parse-names" : false, "suffix" : "" }, { "dropping-particle" : "", "family" : "Jorgensen", "given" : "J H", "non-dropping-particle" : "", "parse-names" : false, "suffix" : "" }, { "dropping-particle" : "", "family" : "Lexau", "given" : "C A", "non-dropping-particle" : "", "parse-names" : false, "suffix" : "" }, { "dropping-particle" : "", "family" : "Petit", "given" : "S", "non-dropping-particle" : "", "parse-names" : false, "suffix" : "" }, { "dropping-particle" : "", "family" : "Reingold", "given" : "A", "non-dropping-particle" : "", "parse-names" : false, "suffix" : "" }, { "dropping-particle" : "", "family" : "Schaffner", "given" : "W", "non-dropping-particle" : "", "parse-names" : false, "suffix" : "" }, { "dropping-particle" : "", "family" : "Thomas", "given" : "A", "non-dropping-particle" : "", "parse-names" : false, "suffix" : "" }, { "dropping-particle" : "", "family" : "Whitney", "given" : "C G", "non-dropping-particle" : "", "parse-names" : false, "suffix" : "" }, { "dropping-particle" : "", "family" : "Harrison", "given" : "L H", "non-dropping-particle" : "", "parse-names" : false, "suffix" : "" } ], "container-title" : "N Engl J Med", "id" : "ITEM-1", "issue" : "3", "issued" : { "date-parts" : [ [ "2009" ] ] }, "page" : "244-256", "title" : "Effect of pneumococcal conjugate vaccine on pneumococcal meningitis", "type" : "article-journal", "volume" : "360" }, "uris" : [ "http://www.mendeley.com/documents/?uuid=04c7429c-1b49-499d-9718-3ca4eb96ba4a" ] } ], "mendeley" : { "formattedCitation" : "(19)", "plainTextFormattedCitation" : "(19)", "previouslyFormattedCitation" : "(19)" }, "properties" : { "noteIndex" : 0 }, "schema" : "https://github.com/citation-style-language/schema/raw/master/csl-citation.json" }</w:instrText>
      </w:r>
      <w:r w:rsidR="00260F53">
        <w:rPr>
          <w:rFonts w:ascii="Cambria" w:hAnsi="Cambria" w:cs="Cambria"/>
        </w:rPr>
        <w:fldChar w:fldCharType="separate"/>
      </w:r>
      <w:r w:rsidR="00260F53" w:rsidRPr="00260F53">
        <w:rPr>
          <w:rFonts w:ascii="Cambria" w:hAnsi="Cambria" w:cs="Cambria"/>
          <w:noProof/>
        </w:rPr>
        <w:t>19</w:t>
      </w:r>
      <w:r w:rsidR="00260F53">
        <w:rPr>
          <w:rFonts w:ascii="Cambria" w:hAnsi="Cambria" w:cs="Cambria"/>
        </w:rPr>
        <w:fldChar w:fldCharType="end"/>
      </w:r>
      <w:r w:rsidR="00D3591B">
        <w:rPr>
          <w:rFonts w:ascii="Cambria" w:hAnsi="Cambria" w:cs="Cambria"/>
        </w:rPr>
        <w:t xml:space="preserve">, </w:t>
      </w:r>
      <w:r w:rsidR="00260F53">
        <w:rPr>
          <w:rFonts w:ascii="Cambria" w:hAnsi="Cambria" w:cs="Cambria"/>
        </w:rPr>
        <w:fldChar w:fldCharType="begin" w:fldLock="1"/>
      </w:r>
      <w:r w:rsidR="00260F53">
        <w:rPr>
          <w:rFonts w:ascii="Cambria" w:hAnsi="Cambria" w:cs="Cambria"/>
        </w:rPr>
        <w:instrText>ADDIN CSL_CITATION { "citationItems" : [ { "id" : "ITEM-1", "itemData" : { "ISSN" : "00284793", "abstract" : "The rate of bacterial meningitis declined by 55% in the United States in the early 1990s, when the Haemophilus influenzae type b (Hib) conjugate vaccine for infants was introduced. More recent prevention measures such as the pneumococcal conjugate vaccine and universal screening of pregnant women for group B streptococcus (GBS) have further changed the epidemiology of bacterial meningitis. METHODS We analyzed data on cases of bacterial meningitis reported among residents in eight surveillance areas of the Emerging Infections Programs Network, consisting of approximately 17.4 million persons, during 1998\u20152007. We defined bacterial meningitis as the presence of H. influenzae, Streptococcus pneumoniae, GBS, Listeria monocytogenes, or Neisseria meningitidis in cerebrospinal fluid or other normally sterile site in association with a clinical diagnosis of meningitis. RESULTS We identified 3188 patients with bacterial meningitis; of 3155 patients for whom outcome data were available, 466 (14.8%) died. The incidence of meningitis changed by \u201531% (95% confidence interval [CI], \u201533 to \u201529) during the surveillance period, from 2.00 cases per 100,000 population (95% CI, 1.85 to 2.15) in 1998\u20151999 to 1.38 cases per 100,000 population (95% CI 1.27 to 1.50) in 2006\u20152007. The median age of patients increased from 30.3 years in 1998\u20151999 to 41.9 years in 2006\u20152007 (P&lt;0.001 by the Wilcoxon rank-sum test). The case fatality rate did not change significantly: it was 15.7% in 1998\u20151999 and 14.3% in 2006\u20152007 (P=0.50). Of the 1670 cases reported during 2003\u20152007, S. pneumoniae was the predominant infective species (58.0%), followed by GBS (18.1%), N. meningitidis (13.9%), H. influenzae (6.7%), and L. monocytogenes (3.4%). An estimated 4100 cases and 500 deaths from bacterial meningitis occurred annually in the United States during 2003\u20152007. CONCLUSIONS The rates of bacterial meningitis have decreased since 1998, but the disease still often results in death. With the success of pneumococcal and Hib conjugate vaccines in reducing the risk of meningitis among young children, the burden of bacterial meningitis is now borne more by older adults. (Funded by the Emerging Infections Programs, Centers for Disease Control and Prevention.). (English)", "author" : [ { "dropping-particle" : "", "family" : "Thigpen", "given" : "M C", "non-dropping-particle" : "", "parse-names" : false, "suffix" : "" }, { "dropping-particle" : "", "family" : "Whitney", "given" : "C G", "non-dropping-particle" : "", "parse-names" : false, "suffix" : "" }, { "dropping-particle" : "", "family" : "Messonnier", "given" : "N E", "non-dropping-particle" : "", "parse-names" : false, "suffix" : "" }, { "dropping-particle" : "", "family" : "Zell", "given" : "E R", "non-dropping-particle" : "", "parse-names" : false, "suffix" : "" }, { "dropping-particle" : "", "family" : "Lynfield", "given" : "R", "non-dropping-particle" : "", "parse-names" : false, "suffix" : "" }, { "dropping-particle" : "", "family" : "Hadler", "given" : "J L", "non-dropping-particle" : "", "parse-names" : false, "suffix" : "" }, { "dropping-particle" : "", "family" : "Harrison", "given" : "L H", "non-dropping-particle" : "", "parse-names" : false, "suffix" : "" }, { "dropping-particle" : "", "family" : "Farley", "given" : "M M", "non-dropping-particle" : "", "parse-names" : false, "suffix" : "" }, { "dropping-particle" : "", "family" : "Reingold", "given" : "A", "non-dropping-particle" : "", "parse-names" : false, "suffix" : "" }, { "dropping-particle" : "", "family" : "Bennett", "given" : "N M", "non-dropping-particle" : "", "parse-names" : false, "suffix" : "" }, { "dropping-particle" : "", "family" : "Craig", "given" : "A S", "non-dropping-particle" : "", "parse-names" : false, "suffix" : "" }, { "dropping-particle" : "", "family" : "Schaffner", "given" : "W", "non-dropping-particle" : "", "parse-names" : false, "suffix" : "" }, { "dropping-particle" : "", "family" : "Thomas", "given" : "A", "non-dropping-particle" : "", "parse-names" : false, "suffix" : "" }, { "dropping-particle" : "", "family" : "Lewis", "given" : "M M", "non-dropping-particle" : "", "parse-names" : false, "suffix" : "" }, { "dropping-particle" : "", "family" : "Scallan", "given" : "E", "non-dropping-particle" : "", "parse-names" : false, "suffix" : "" }, { "dropping-particle" : "", "family" : "Programs", "given" : "A Schuchat and N Emerging Infections", "non-dropping-particle" : "", "parse-names" : false, "suffix" : "" } ], "container-title" : "The New England journal of medicine", "id" : "ITEM-1", "issue" : "21", "issued" : { "date-parts" : [ [ "2011" ] ] }, "page" : "2016-2025", "title" : "Bacterial Meningitis in the United States, 1998-2007 (English)", "type" : "article-journal", "volume" : "364" }, "uris" : [ "http://www.mendeley.com/documents/?uuid=230800c5-5965-4226-9287-ec76d495e117" ] } ], "mendeley" : { "formattedCitation" : "(20)", "plainTextFormattedCitation" : "(20)", "previouslyFormattedCitation" : "(20)" }, "properties" : { "noteIndex" : 0 }, "schema" : "https://github.com/citation-style-language/schema/raw/master/csl-citation.json" }</w:instrText>
      </w:r>
      <w:r w:rsidR="00260F53">
        <w:rPr>
          <w:rFonts w:ascii="Cambria" w:hAnsi="Cambria" w:cs="Cambria"/>
        </w:rPr>
        <w:fldChar w:fldCharType="separate"/>
      </w:r>
      <w:r w:rsidR="00260F53" w:rsidRPr="00260F53">
        <w:rPr>
          <w:rFonts w:ascii="Cambria" w:hAnsi="Cambria" w:cs="Cambria"/>
          <w:noProof/>
        </w:rPr>
        <w:t>20</w:t>
      </w:r>
      <w:r w:rsidR="00260F53">
        <w:rPr>
          <w:rFonts w:ascii="Cambria" w:hAnsi="Cambria" w:cs="Cambria"/>
        </w:rPr>
        <w:fldChar w:fldCharType="end"/>
      </w:r>
      <w:r w:rsidR="00D3591B">
        <w:rPr>
          <w:rFonts w:ascii="Cambria" w:hAnsi="Cambria" w:cs="Cambria"/>
        </w:rPr>
        <w:t xml:space="preserve">, </w:t>
      </w:r>
      <w:r w:rsidR="00260F53">
        <w:rPr>
          <w:rFonts w:ascii="Cambria" w:hAnsi="Cambria" w:cs="Cambria"/>
        </w:rPr>
        <w:fldChar w:fldCharType="begin" w:fldLock="1"/>
      </w:r>
      <w:r w:rsidR="00260F53">
        <w:rPr>
          <w:rFonts w:ascii="Cambria" w:hAnsi="Cambria" w:cs="Cambria"/>
        </w:rPr>
        <w:instrText>ADDIN CSL_CITATION { "citationItems" : [ { "id" : "ITEM-1", "itemData" : { "DOI" : "10.1097/INF.0000000000000451", "ISBN" : "0000000000000", "ISSN" : "1532-0987", "PMID" : "25037044", "abstract" : "BACKGROUND: Streptococcus pneumoniae remains an important cause of bacterial meningitis in children younger than 2 years. Here, we analyzed data from an active surveillance network established 12 years ago by the Pediatric Infectious Disease Group and the Pediatric Clinical and Therapeutical Association to analyze the impact of pneumococcal conjugate vaccine (PCV7 implemented in 2002 and PCV13 in 2010) on pneumococcal meningitis (PM).\\n\\nMETHODS: Two hundred twenty-seven pediatric wards working with 168 microbiology departments throughout France were asked to report all cases of PM.\\n\\nRESULTS: From 2001 to 2012, among 4808 bacterial meningitis cases, 1406 cases of PM (29.2%) were reported. After PCV13 implementation, from 2009 to 2012, the number of cases significantly decreased by 27.4% (P = 0.041, Cuzick trend test). For children younger than 2 years, the decrease was 28.2% (P = 0.039, Cuzick trend test). In the same period, the decrease was 66.7% in cases due to 6 additional PCV13 types, and the number of cases due to nonvaccine types remained stable. In 2012, the non-PCV13 serotype represented 67.6% of cases and were mainly represented by 12F (15%), 24F (15%), 22F (7%) and 15B/C (7%). For 88.6% of cases, initial antibiotic treatment was vancomycin with a third-generation cephalosporin. Overall mortality was 10.6%, most deaths (86.4%) occurred before day 15.\\n\\nCONCLUSIONS: Two years after the PCV13 implementation, we found an impact on PM cases particularly for children younger than 2 years.", "author" : [ { "dropping-particle" : "", "family" : "Levy", "given" : "Corinne", "non-dropping-particle" : "", "parse-names" : false, "suffix" : "" }, { "dropping-particle" : "", "family" : "Varon", "given" : "Emmanuelle", "non-dropping-particle" : "", "parse-names" : false, "suffix" : "" }, { "dropping-particle" : "", "family" : "Picard", "given" : "Capucine", "non-dropping-particle" : "", "parse-names" : false, "suffix" : "" }, { "dropping-particle" : "", "family" : "B\u00e9chet", "given" : "St\u00e9phane", "non-dropping-particle" : "", "parse-names" : false, "suffix" : "" }, { "dropping-particle" : "", "family" : "Martinot", "given" : "Alain", "non-dropping-particle" : "", "parse-names" : false, "suffix" : "" }, { "dropping-particle" : "", "family" : "Bonacorsi", "given" : "St\u00e9phane", "non-dropping-particle" : "", "parse-names" : false, "suffix" : "" }, { "dropping-particle" : "", "family" : "Cohen", "given" : "Robert", "non-dropping-particle" : "", "parse-names" : false, "suffix" : "" } ], "container-title" : "The Pediatric infectious disease journal", "id" : "ITEM-1", "issue" : "12", "issued" : { "date-parts" : [ [ "2014" ] ] }, "page" : "1216-21", "title" : "Trends of pneumococcal meningitis in children after introduction of the 13-valent pneumococcal conjugate vaccine in france.", "type" : "article-journal", "volume" : "33" }, "uris" : [ "http://www.mendeley.com/documents/?uuid=2aa9b06b-a3e4-49ef-958e-39653ad3e85e" ] } ], "mendeley" : { "formattedCitation" : "(21)", "plainTextFormattedCitation" : "(21)", "previouslyFormattedCitation" : "(21)" }, "properties" : { "noteIndex" : 0 }, "schema" : "https://github.com/citation-style-language/schema/raw/master/csl-citation.json" }</w:instrText>
      </w:r>
      <w:r w:rsidR="00260F53">
        <w:rPr>
          <w:rFonts w:ascii="Cambria" w:hAnsi="Cambria" w:cs="Cambria"/>
        </w:rPr>
        <w:fldChar w:fldCharType="separate"/>
      </w:r>
      <w:r w:rsidR="00260F53" w:rsidRPr="00260F53">
        <w:rPr>
          <w:rFonts w:ascii="Cambria" w:hAnsi="Cambria" w:cs="Cambria"/>
          <w:noProof/>
        </w:rPr>
        <w:t>21)</w:t>
      </w:r>
      <w:r w:rsidR="00260F53">
        <w:rPr>
          <w:rFonts w:ascii="Cambria" w:hAnsi="Cambria" w:cs="Cambria"/>
        </w:rPr>
        <w:fldChar w:fldCharType="end"/>
      </w:r>
      <w:r>
        <w:rPr>
          <w:rFonts w:ascii="Cambria" w:hAnsi="Cambria" w:cs="Cambria"/>
        </w:rPr>
        <w:t xml:space="preserve">. </w:t>
      </w:r>
      <w:r w:rsidR="00ED4844">
        <w:rPr>
          <w:rFonts w:ascii="Cambria" w:hAnsi="Cambria" w:cs="Cambria"/>
          <w:lang w:val="en-US"/>
        </w:rPr>
        <w:t>It is likely that</w:t>
      </w:r>
      <w:r w:rsidR="00385DF1">
        <w:rPr>
          <w:rFonts w:ascii="Cambria" w:hAnsi="Cambria" w:cs="Cambria"/>
          <w:lang w:val="en-US"/>
        </w:rPr>
        <w:t xml:space="preserve">, while </w:t>
      </w:r>
      <w:r w:rsidR="00B973BA">
        <w:rPr>
          <w:rFonts w:ascii="Cambria" w:hAnsi="Cambria" w:cs="Cambria"/>
          <w:lang w:val="en-US"/>
        </w:rPr>
        <w:t xml:space="preserve">PCVs may </w:t>
      </w:r>
      <w:r w:rsidR="00ED4844">
        <w:rPr>
          <w:rFonts w:ascii="Cambria" w:hAnsi="Cambria" w:cs="Cambria"/>
          <w:lang w:val="en-US"/>
        </w:rPr>
        <w:t xml:space="preserve">have an impact on circulating </w:t>
      </w:r>
      <w:r w:rsidR="00B973BA">
        <w:rPr>
          <w:rFonts w:ascii="Cambria" w:hAnsi="Cambria" w:cs="Cambria"/>
          <w:lang w:val="en-US"/>
        </w:rPr>
        <w:t xml:space="preserve">pneumococcal </w:t>
      </w:r>
      <w:r w:rsidR="00B973BA">
        <w:rPr>
          <w:rFonts w:ascii="Cambria" w:hAnsi="Cambria" w:cs="Cambria"/>
          <w:lang w:val="en-US"/>
        </w:rPr>
        <w:lastRenderedPageBreak/>
        <w:t>serotype</w:t>
      </w:r>
      <w:r w:rsidR="00ED4844">
        <w:rPr>
          <w:rFonts w:ascii="Cambria" w:hAnsi="Cambria" w:cs="Cambria"/>
          <w:lang w:val="en-US"/>
        </w:rPr>
        <w:t>s</w:t>
      </w:r>
      <w:r w:rsidR="00B973BA">
        <w:rPr>
          <w:rFonts w:ascii="Cambria" w:hAnsi="Cambria" w:cs="Cambria"/>
          <w:lang w:val="en-US"/>
        </w:rPr>
        <w:t xml:space="preserve">, </w:t>
      </w:r>
      <w:r w:rsidR="00ED4844">
        <w:rPr>
          <w:rFonts w:ascii="Cambria" w:hAnsi="Cambria" w:cs="Cambria"/>
          <w:lang w:val="en-US"/>
        </w:rPr>
        <w:t>once</w:t>
      </w:r>
      <w:r w:rsidR="00D76D8C">
        <w:rPr>
          <w:rFonts w:ascii="Cambria" w:hAnsi="Cambria" w:cs="Cambria"/>
          <w:lang w:val="en-US"/>
        </w:rPr>
        <w:t xml:space="preserve"> pneumococcal </w:t>
      </w:r>
      <w:r w:rsidR="00B973BA">
        <w:rPr>
          <w:rFonts w:ascii="Cambria" w:hAnsi="Cambria" w:cs="Cambria"/>
          <w:lang w:val="en-US"/>
        </w:rPr>
        <w:t>meningitis</w:t>
      </w:r>
      <w:r w:rsidR="00ED4844">
        <w:rPr>
          <w:rFonts w:ascii="Cambria" w:hAnsi="Cambria" w:cs="Cambria"/>
          <w:lang w:val="en-US"/>
        </w:rPr>
        <w:t xml:space="preserve"> develops</w:t>
      </w:r>
      <w:r w:rsidR="00B973BA">
        <w:rPr>
          <w:rFonts w:ascii="Cambria" w:hAnsi="Cambria" w:cs="Cambria"/>
          <w:lang w:val="en-US"/>
        </w:rPr>
        <w:t>, the clinical course and outcomes are less dependent on the responsible serotype and more on host</w:t>
      </w:r>
      <w:r w:rsidR="00443D04">
        <w:rPr>
          <w:rFonts w:ascii="Cambria" w:hAnsi="Cambria" w:cs="Cambria"/>
          <w:lang w:val="en-US"/>
        </w:rPr>
        <w:t>-</w:t>
      </w:r>
      <w:r w:rsidR="00B973BA">
        <w:rPr>
          <w:rFonts w:ascii="Cambria" w:hAnsi="Cambria" w:cs="Cambria"/>
          <w:lang w:val="en-US"/>
        </w:rPr>
        <w:t>related factors.</w:t>
      </w:r>
    </w:p>
    <w:p w14:paraId="39C92FA1" w14:textId="20B9A95D" w:rsidR="00690E1B" w:rsidRDefault="00690E1B" w:rsidP="00E41469">
      <w:pPr>
        <w:widowControl w:val="0"/>
        <w:autoSpaceDE w:val="0"/>
        <w:autoSpaceDN w:val="0"/>
        <w:adjustRightInd w:val="0"/>
        <w:spacing w:line="480" w:lineRule="auto"/>
        <w:rPr>
          <w:rFonts w:ascii="Cambria" w:hAnsi="Cambria" w:cs="Cambria"/>
          <w:lang w:val="en-US"/>
        </w:rPr>
      </w:pPr>
    </w:p>
    <w:p w14:paraId="296579D7" w14:textId="3FC70F26" w:rsidR="00447CE0" w:rsidRDefault="00451DB2" w:rsidP="00E41469">
      <w:pPr>
        <w:widowControl w:val="0"/>
        <w:autoSpaceDE w:val="0"/>
        <w:autoSpaceDN w:val="0"/>
        <w:adjustRightInd w:val="0"/>
        <w:spacing w:line="480" w:lineRule="auto"/>
        <w:rPr>
          <w:rFonts w:ascii="Cambria" w:hAnsi="Cambria" w:cs="Cambria"/>
          <w:b/>
          <w:lang w:val="en-US"/>
        </w:rPr>
      </w:pPr>
      <w:r>
        <w:rPr>
          <w:rFonts w:ascii="Cambria" w:hAnsi="Cambria" w:cs="Cambria"/>
          <w:lang w:val="en-US"/>
        </w:rPr>
        <w:t>A major risk factor for death in children with IPD is the presence of underlying</w:t>
      </w:r>
      <w:r w:rsidR="003E3689">
        <w:rPr>
          <w:rFonts w:ascii="Cambria" w:hAnsi="Cambria" w:cs="Cambria"/>
          <w:lang w:val="en-US"/>
        </w:rPr>
        <w:t xml:space="preserve"> co-morbidit</w:t>
      </w:r>
      <w:r>
        <w:rPr>
          <w:rFonts w:ascii="Cambria" w:hAnsi="Cambria" w:cs="Cambria"/>
          <w:lang w:val="en-US"/>
        </w:rPr>
        <w:t>ies</w:t>
      </w:r>
      <w:r w:rsidR="003E3689">
        <w:rPr>
          <w:rFonts w:ascii="Cambria" w:hAnsi="Cambria" w:cs="Cambria"/>
          <w:lang w:val="en-US"/>
        </w:rPr>
        <w:t xml:space="preserve">. </w:t>
      </w:r>
      <w:r>
        <w:rPr>
          <w:rFonts w:ascii="Cambria" w:hAnsi="Cambria" w:cs="Cambria"/>
          <w:lang w:val="en-US"/>
        </w:rPr>
        <w:t>We have previously reported that, f</w:t>
      </w:r>
      <w:r w:rsidR="003E3689">
        <w:rPr>
          <w:rFonts w:ascii="Cambria" w:hAnsi="Cambria" w:cs="Cambria"/>
          <w:lang w:val="en-US"/>
        </w:rPr>
        <w:t xml:space="preserve">ollowing PCV7 introduction, clinical presentation with meningitis and the presence of co-morbidity </w:t>
      </w:r>
      <w:r>
        <w:rPr>
          <w:rFonts w:ascii="Cambria" w:hAnsi="Cambria" w:cs="Cambria"/>
          <w:lang w:val="en-US"/>
        </w:rPr>
        <w:t>were</w:t>
      </w:r>
      <w:r w:rsidR="003E3689">
        <w:rPr>
          <w:rFonts w:ascii="Cambria" w:hAnsi="Cambria" w:cs="Cambria"/>
          <w:lang w:val="en-US"/>
        </w:rPr>
        <w:t xml:space="preserve"> independent risk factors for death in children with IPD </w:t>
      </w:r>
      <w:r w:rsidR="00FA5081">
        <w:rPr>
          <w:rFonts w:ascii="Cambria" w:hAnsi="Cambria" w:cs="Cambria"/>
          <w:lang w:val="en-US"/>
        </w:rPr>
        <w:fldChar w:fldCharType="begin" w:fldLock="1"/>
      </w:r>
      <w:r w:rsidR="00C30E96">
        <w:rPr>
          <w:rFonts w:ascii="Cambria" w:hAnsi="Cambria" w:cs="Cambria"/>
          <w:lang w:val="en-US"/>
        </w:rPr>
        <w:instrText>ADDIN CSL_CITATION { "citationItems" : [ { "id" : "ITEM-1", "itemData" : { "DOI" : "10.3201/eid1901.120741", "ISBN" : "1080-6040", "ISSN" : "10806040", "PMID" : "23259937", "abstract" : "We assessed known risk factors, clinical presentation, and outcome of invasive pneumococcal disease (IPD) in children 3-59 months of age after introduction of the 7-valent pneumococcal conjugate vaccine (PCV7) in England and Wales. During September 2006-March 2010, a total of 1,342 IPD episodes occurred in 1,332 children; 14.9% (198/1,332) had comorbidities. Compared with IPD caused by PCV7 serotypes (44/248; 17.7%), comorbidities were less common for the extra 3 serotypes in the 10-valent vaccine (15/299; 5.0%) but similar to the 3 additional PCV13 serotypes (45/336; 13.4%) and increased for the 11 extra serotypes in 23-valent polysaccharide vaccine (PPV23) (39/186; 21.0%) and non-PPV23 serotypes (38/138; 27.5%). Fifty-two (3.9%) cases resulted from PCV7 failure; 9 (0.7%) case-patients had recurrent IPD. Case-fatality rate was 4.4% (58/1,332) but higher for meningitis (11.0%) and children with comorbidities (9.1%). Thus, comorbidities were more prevalent in children with IPD caused by non-PCV13 serotypes and were associated with increased case fatality.", "author" : [ { "dropping-particle" : "", "family" : "Ladhani", "given" : "Shamez N.", "non-dropping-particle" : "", "parse-names" : false, "suffix" : "" }, { "dropping-particle" : "", "family" : "Slack", "given" : "Mary P E",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"Borrow", "given" : "Ray", "non-dropping-particle" : "", "parse-names" : false, "suffix" : "" }, { "dropping-particle" : "", "family" : "Miller", "given" : "Elizabeth", "non-dropping-particle" : "", "parse-names" : false, "suffix" : "" } ], "container-title" : "Emerging Infectious Diseases", "id" : "ITEM-1", "issue" : "1", "issued" : { "date-parts" : [ [ "2013" ] ] }, "page" : "61-68", "title" : "Invasive pneumococcal disease after routine pneumococcal conjugate vaccination in children, England and Wales", "type" : "article-journal", "volume" : "19" }, "uris" : [ "http://www.mendeley.com/documents/?uuid=a6238525-1d23-493c-bb62-7542e00375af" ] } ], "mendeley" : { "formattedCitation" : "(15)", "plainTextFormattedCitation" : "(15)", "previouslyFormattedCitation" : "(15)" }, "properties" : { "noteIndex" : 0 }, "schema" : "https://github.com/citation-style-language/schema/raw/master/csl-citation.json" }</w:instrText>
      </w:r>
      <w:r w:rsidR="00FA5081">
        <w:rPr>
          <w:rFonts w:ascii="Cambria" w:hAnsi="Cambria" w:cs="Cambria"/>
          <w:lang w:val="en-US"/>
        </w:rPr>
        <w:fldChar w:fldCharType="separate"/>
      </w:r>
      <w:r w:rsidR="00CC411A" w:rsidRPr="00CC411A">
        <w:rPr>
          <w:rFonts w:ascii="Cambria" w:hAnsi="Cambria" w:cs="Cambria"/>
          <w:noProof/>
          <w:lang w:val="en-US"/>
        </w:rPr>
        <w:t>(15)</w:t>
      </w:r>
      <w:r w:rsidR="00FA5081">
        <w:rPr>
          <w:rFonts w:ascii="Cambria" w:hAnsi="Cambria" w:cs="Cambria"/>
          <w:lang w:val="en-US"/>
        </w:rPr>
        <w:fldChar w:fldCharType="end"/>
      </w:r>
      <w:r w:rsidR="00CE5628">
        <w:rPr>
          <w:rFonts w:ascii="Cambria" w:hAnsi="Cambria" w:cs="Cambria"/>
          <w:lang w:val="en-US"/>
        </w:rPr>
        <w:t xml:space="preserve">. </w:t>
      </w:r>
      <w:r w:rsidR="008824AA">
        <w:rPr>
          <w:rFonts w:ascii="Cambria" w:hAnsi="Cambria" w:cs="Cambria"/>
          <w:lang w:val="en-US"/>
        </w:rPr>
        <w:t>IPD</w:t>
      </w:r>
      <w:r w:rsidR="00CC2FB4">
        <w:rPr>
          <w:rFonts w:ascii="Cambria" w:hAnsi="Cambria" w:cs="Cambria"/>
          <w:lang w:val="en-US"/>
        </w:rPr>
        <w:t>-</w:t>
      </w:r>
      <w:r w:rsidR="008824AA">
        <w:rPr>
          <w:rFonts w:ascii="Cambria" w:hAnsi="Cambria" w:cs="Cambria"/>
          <w:lang w:val="en-US"/>
        </w:rPr>
        <w:t>related CFR was 8.5% in children with co</w:t>
      </w:r>
      <w:r>
        <w:rPr>
          <w:rFonts w:ascii="Cambria" w:hAnsi="Cambria" w:cs="Cambria"/>
          <w:lang w:val="en-US"/>
        </w:rPr>
        <w:t>-</w:t>
      </w:r>
      <w:r w:rsidR="008824AA">
        <w:rPr>
          <w:rFonts w:ascii="Cambria" w:hAnsi="Cambria" w:cs="Cambria"/>
          <w:lang w:val="en-US"/>
        </w:rPr>
        <w:t>morbidities compared with 3.5% in those without</w:t>
      </w:r>
      <w:r w:rsidR="006A56CD">
        <w:rPr>
          <w:rFonts w:ascii="Cambria" w:hAnsi="Cambria" w:cs="Cambria"/>
          <w:lang w:val="en-US"/>
        </w:rPr>
        <w:t xml:space="preserve"> </w:t>
      </w:r>
      <w:r w:rsidR="00FA5081">
        <w:rPr>
          <w:rFonts w:ascii="Cambria" w:hAnsi="Cambria" w:cs="Cambria"/>
          <w:lang w:val="en-US"/>
        </w:rPr>
        <w:fldChar w:fldCharType="begin" w:fldLock="1"/>
      </w:r>
      <w:r w:rsidR="00C30E96">
        <w:rPr>
          <w:rFonts w:ascii="Cambria" w:hAnsi="Cambria" w:cs="Cambria"/>
          <w:lang w:val="en-US"/>
        </w:rPr>
        <w:instrText>ADDIN CSL_CITATION { "citationItems" : [ { "id" : "ITEM-1", "itemData" : { "DOI" : "10.3201/eid1901.120741", "ISBN" : "1080-6040", "ISSN" : "10806040", "PMID" : "23259937", "abstract" : "We assessed known risk factors, clinical presentation, and outcome of invasive pneumococcal disease (IPD) in children 3-59 months of age after introduction of the 7-valent pneumococcal conjugate vaccine (PCV7) in England and Wales. During September 2006-March 2010, a total of 1,342 IPD episodes occurred in 1,332 children; 14.9% (198/1,332) had comorbidities. Compared with IPD caused by PCV7 serotypes (44/248; 17.7%), comorbidities were less common for the extra 3 serotypes in the 10-valent vaccine (15/299; 5.0%) but similar to the 3 additional PCV13 serotypes (45/336; 13.4%) and increased for the 11 extra serotypes in 23-valent polysaccharide vaccine (PPV23) (39/186; 21.0%) and non-PPV23 serotypes (38/138; 27.5%). Fifty-two (3.9%) cases resulted from PCV7 failure; 9 (0.7%) case-patients had recurrent IPD. Case-fatality rate was 4.4% (58/1,332) but higher for meningitis (11.0%) and children with comorbidities (9.1%). Thus, comorbidities were more prevalent in children with IPD caused by non-PCV13 serotypes and were associated with increased case fatality.", "author" : [ { "dropping-particle" : "", "family" : "Ladhani", "given" : "Shamez N.", "non-dropping-particle" : "", "parse-names" : false, "suffix" : "" }, { "dropping-particle" : "", "family" : "Slack", "given" : "Mary P E",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"Borrow", "given" : "Ray", "non-dropping-particle" : "", "parse-names" : false, "suffix" : "" }, { "dropping-particle" : "", "family" : "Miller", "given" : "Elizabeth", "non-dropping-particle" : "", "parse-names" : false, "suffix" : "" } ], "container-title" : "Emerging Infectious Diseases", "id" : "ITEM-1", "issue" : "1", "issued" : { "date-parts" : [ [ "2013" ] ] }, "page" : "61-68", "title" : "Invasive pneumococcal disease after routine pneumococcal conjugate vaccination in children, England and Wales", "type" : "article-journal", "volume" : "19" }, "uris" : [ "http://www.mendeley.com/documents/?uuid=a6238525-1d23-493c-bb62-7542e00375af" ] } ], "mendeley" : { "formattedCitation" : "(15)", "plainTextFormattedCitation" : "(15)", "previouslyFormattedCitation" : "(15)" }, "properties" : { "noteIndex" : 0 }, "schema" : "https://github.com/citation-style-language/schema/raw/master/csl-citation.json" }</w:instrText>
      </w:r>
      <w:r w:rsidR="00FA5081">
        <w:rPr>
          <w:rFonts w:ascii="Cambria" w:hAnsi="Cambria" w:cs="Cambria"/>
          <w:lang w:val="en-US"/>
        </w:rPr>
        <w:fldChar w:fldCharType="separate"/>
      </w:r>
      <w:r w:rsidR="00CC411A" w:rsidRPr="00CC411A">
        <w:rPr>
          <w:rFonts w:ascii="Cambria" w:hAnsi="Cambria" w:cs="Cambria"/>
          <w:noProof/>
          <w:lang w:val="en-US"/>
        </w:rPr>
        <w:t>(15)</w:t>
      </w:r>
      <w:r w:rsidR="00FA5081">
        <w:rPr>
          <w:rFonts w:ascii="Cambria" w:hAnsi="Cambria" w:cs="Cambria"/>
          <w:lang w:val="en-US"/>
        </w:rPr>
        <w:fldChar w:fldCharType="end"/>
      </w:r>
      <w:r w:rsidR="008824AA">
        <w:rPr>
          <w:rFonts w:ascii="Cambria" w:hAnsi="Cambria" w:cs="Cambria"/>
          <w:lang w:val="en-US"/>
        </w:rPr>
        <w:t>.</w:t>
      </w:r>
      <w:r w:rsidR="00E24A7C">
        <w:rPr>
          <w:rFonts w:ascii="Cambria" w:hAnsi="Cambria" w:cs="Cambria"/>
          <w:lang w:val="en-US"/>
        </w:rPr>
        <w:t xml:space="preserve"> </w:t>
      </w:r>
      <w:r w:rsidR="00A03355">
        <w:rPr>
          <w:rFonts w:ascii="Cambria" w:hAnsi="Cambria" w:cs="Cambria"/>
          <w:lang w:val="en-US"/>
        </w:rPr>
        <w:t xml:space="preserve">One </w:t>
      </w:r>
      <w:r w:rsidR="00EE0A1D">
        <w:rPr>
          <w:rFonts w:ascii="Cambria" w:hAnsi="Cambria" w:cs="Cambria"/>
          <w:lang w:val="en-US"/>
        </w:rPr>
        <w:t xml:space="preserve">third of our fatal cases had an underlying co-morbidity compared to </w:t>
      </w:r>
      <w:r w:rsidR="00E24A7C">
        <w:rPr>
          <w:rFonts w:ascii="Cambria" w:hAnsi="Cambria" w:cs="Cambria"/>
          <w:lang w:val="en-US"/>
        </w:rPr>
        <w:t xml:space="preserve">an overall prevalence of </w:t>
      </w:r>
      <w:r w:rsidR="00EE0A1D">
        <w:rPr>
          <w:rFonts w:ascii="Cambria" w:hAnsi="Cambria" w:cs="Cambria"/>
          <w:lang w:val="en-US"/>
        </w:rPr>
        <w:t xml:space="preserve">15% among children with IPD after PCV7 introduction, where </w:t>
      </w:r>
      <w:r w:rsidR="00DE211A">
        <w:rPr>
          <w:rFonts w:ascii="Cambria" w:hAnsi="Cambria" w:cs="Cambria"/>
          <w:lang w:val="en-US"/>
        </w:rPr>
        <w:t>malignancy/immunosuppression and congenital heart disease predominated</w:t>
      </w:r>
      <w:r w:rsidR="008824AA">
        <w:rPr>
          <w:rFonts w:ascii="Cambria" w:hAnsi="Cambria" w:cs="Cambria"/>
          <w:lang w:val="en-US"/>
        </w:rPr>
        <w:t xml:space="preserve"> </w:t>
      </w:r>
      <w:r w:rsidR="00FA5081">
        <w:rPr>
          <w:rFonts w:ascii="Cambria" w:hAnsi="Cambria" w:cs="Cambria"/>
          <w:lang w:val="en-US"/>
        </w:rPr>
        <w:fldChar w:fldCharType="begin" w:fldLock="1"/>
      </w:r>
      <w:r w:rsidR="00C30E96">
        <w:rPr>
          <w:rFonts w:ascii="Cambria" w:hAnsi="Cambria" w:cs="Cambria"/>
          <w:lang w:val="en-US"/>
        </w:rPr>
        <w:instrText>ADDIN CSL_CITATION { "citationItems" : [ { "id" : "ITEM-1", "itemData" : { "DOI" : "10.3201/eid1901.120741", "ISBN" : "1080-6040", "ISSN" : "10806040", "PMID" : "23259937", "abstract" : "We assessed known risk factors, clinical presentation, and outcome of invasive pneumococcal disease (IPD) in children 3-59 months of age after introduction of the 7-valent pneumococcal conjugate vaccine (PCV7) in England and Wales. During September 2006-March 2010, a total of 1,342 IPD episodes occurred in 1,332 children; 14.9% (198/1,332) had comorbidities. Compared with IPD caused by PCV7 serotypes (44/248; 17.7%), comorbidities were less common for the extra 3 serotypes in the 10-valent vaccine (15/299; 5.0%) but similar to the 3 additional PCV13 serotypes (45/336; 13.4%) and increased for the 11 extra serotypes in 23-valent polysaccharide vaccine (PPV23) (39/186; 21.0%) and non-PPV23 serotypes (38/138; 27.5%). Fifty-two (3.9%) cases resulted from PCV7 failure; 9 (0.7%) case-patients had recurrent IPD. Case-fatality rate was 4.4% (58/1,332) but higher for meningitis (11.0%) and children with comorbidities (9.1%). Thus, comorbidities were more prevalent in children with IPD caused by non-PCV13 serotypes and were associated with increased case fatality.", "author" : [ { "dropping-particle" : "", "family" : "Ladhani", "given" : "Shamez N.", "non-dropping-particle" : "", "parse-names" : false, "suffix" : "" }, { "dropping-particle" : "", "family" : "Slack", "given" : "Mary P E",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"Borrow", "given" : "Ray", "non-dropping-particle" : "", "parse-names" : false, "suffix" : "" }, { "dropping-particle" : "", "family" : "Miller", "given" : "Elizabeth", "non-dropping-particle" : "", "parse-names" : false, "suffix" : "" } ], "container-title" : "Emerging Infectious Diseases", "id" : "ITEM-1", "issue" : "1", "issued" : { "date-parts" : [ [ "2013" ] ] }, "page" : "61-68", "title" : "Invasive pneumococcal disease after routine pneumococcal conjugate vaccination in children, England and Wales", "type" : "article-journal", "volume" : "19" }, "uris" : [ "http://www.mendeley.com/documents/?uuid=a6238525-1d23-493c-bb62-7542e00375af" ] } ], "mendeley" : { "formattedCitation" : "(15)", "plainTextFormattedCitation" : "(15)", "previouslyFormattedCitation" : "(15)" }, "properties" : { "noteIndex" : 0 }, "schema" : "https://github.com/citation-style-language/schema/raw/master/csl-citation.json" }</w:instrText>
      </w:r>
      <w:r w:rsidR="00FA5081">
        <w:rPr>
          <w:rFonts w:ascii="Cambria" w:hAnsi="Cambria" w:cs="Cambria"/>
          <w:lang w:val="en-US"/>
        </w:rPr>
        <w:fldChar w:fldCharType="separate"/>
      </w:r>
      <w:r w:rsidR="00CC411A" w:rsidRPr="00CC411A">
        <w:rPr>
          <w:rFonts w:ascii="Cambria" w:hAnsi="Cambria" w:cs="Cambria"/>
          <w:noProof/>
          <w:lang w:val="en-US"/>
        </w:rPr>
        <w:t>(15)</w:t>
      </w:r>
      <w:r w:rsidR="00FA5081">
        <w:rPr>
          <w:rFonts w:ascii="Cambria" w:hAnsi="Cambria" w:cs="Cambria"/>
          <w:lang w:val="en-US"/>
        </w:rPr>
        <w:fldChar w:fldCharType="end"/>
      </w:r>
      <w:r w:rsidR="00EE0A1D">
        <w:rPr>
          <w:rFonts w:ascii="Cambria" w:hAnsi="Cambria" w:cs="Cambria"/>
          <w:lang w:val="en-US"/>
        </w:rPr>
        <w:t>.</w:t>
      </w:r>
      <w:r w:rsidR="00CC2FB4">
        <w:rPr>
          <w:rFonts w:ascii="Cambria" w:hAnsi="Cambria" w:cs="Cambria"/>
          <w:lang w:val="en-US"/>
        </w:rPr>
        <w:t xml:space="preserve"> </w:t>
      </w:r>
      <w:r w:rsidR="002061F9">
        <w:rPr>
          <w:rFonts w:ascii="Cambria" w:hAnsi="Cambria" w:cs="Cambria"/>
          <w:lang w:val="en-US"/>
        </w:rPr>
        <w:t>I</w:t>
      </w:r>
      <w:r>
        <w:rPr>
          <w:rFonts w:ascii="Cambria" w:hAnsi="Cambria" w:cs="Cambria"/>
          <w:lang w:val="en-US"/>
        </w:rPr>
        <w:t xml:space="preserve">n </w:t>
      </w:r>
      <w:r w:rsidR="00D83C11">
        <w:rPr>
          <w:rFonts w:ascii="Cambria" w:hAnsi="Cambria" w:cs="Cambria"/>
          <w:lang w:val="en-US"/>
        </w:rPr>
        <w:t>&lt;3 month</w:t>
      </w:r>
      <w:r>
        <w:rPr>
          <w:rFonts w:ascii="Cambria" w:hAnsi="Cambria" w:cs="Cambria"/>
          <w:lang w:val="en-US"/>
        </w:rPr>
        <w:t>-olds</w:t>
      </w:r>
      <w:r w:rsidR="00D83C11">
        <w:rPr>
          <w:rFonts w:ascii="Cambria" w:hAnsi="Cambria" w:cs="Cambria"/>
          <w:lang w:val="en-US"/>
        </w:rPr>
        <w:t xml:space="preserve">, we previously reported meningitis </w:t>
      </w:r>
      <w:r>
        <w:rPr>
          <w:rFonts w:ascii="Cambria" w:hAnsi="Cambria" w:cs="Cambria"/>
          <w:lang w:val="en-US"/>
        </w:rPr>
        <w:t xml:space="preserve">to be </w:t>
      </w:r>
      <w:r w:rsidR="00D83C11">
        <w:rPr>
          <w:rFonts w:ascii="Cambria" w:hAnsi="Cambria" w:cs="Cambria"/>
          <w:lang w:val="en-US"/>
        </w:rPr>
        <w:t xml:space="preserve">the only independent risk factor for death </w:t>
      </w:r>
      <w:r w:rsidR="00FA5081">
        <w:rPr>
          <w:rFonts w:ascii="Cambria" w:hAnsi="Cambria" w:cs="Cambria"/>
          <w:lang w:val="en-US"/>
        </w:rPr>
        <w:fldChar w:fldCharType="begin" w:fldLock="1"/>
      </w:r>
      <w:r w:rsidR="00C1325A">
        <w:rPr>
          <w:rFonts w:ascii="Cambria" w:hAnsi="Cambria" w:cs="Cambria"/>
          <w:lang w:val="en-US"/>
        </w:rPr>
        <w:instrText>ADDIN CSL_CITATION { "citationItems" : [ { "id" : "ITEM-1", "itemData" : { "DOI" : "10.1093/cid/cis934", "ISBN" : "1058-4838", "ISSN" : "1537-6591", "PMID" : "23175560", "abstract" : "BACKGROUND: Streptococcus pneumoniae is an uncommon but well-recognized cause of invasive bacterial disease in young infants. This study aimed to determine the impact of the 7-valent pneumococcal conjugate vaccine (PCV7) on invasive pneumococcal disease (IPD) in infants aged &lt;90 days in England and Wales and describe their clinical characteristics following PCV7 introduction. METHODS: Trends in IPD among infants aged &lt;90 days during 1998-1999 through 2009-2010 were analyzed using enhanced national surveillance data. Following PCV7 introduction, clinical information was also obtained for IPD cases in the birth cohorts eligible for vaccination. RESULTS: Prior to PCV7 introduction, IPD incidence in infants aged &lt;90 days was 13.0 (95% confidence interval [CI], 12.0-14.0) per 100 000 live births and PCV7 serotypes accounted for 44% (154/349) of serotyped isolates. PCV7 introduction resulted in 83% (95% CI, 66%-91%, P &lt; .001) reduction in PCV7 IPD and a declining trend in overall IPD by 2009-2010. Of the 256 cases diagnosed after PCV7 introduction, 23% (n = 60) had been born before 37 weeks' gestation. A third of cases (84/256, 33%) developed IPD in the first 48 hours of life, where 42% (35/84) were premature. Meningitis was diagnosed in 94 infants (37%) and its prevalence increased with age. Case fatality was 7% (18/256) and was higher for meningitis than nonmeningitis cases (adjusted odds ratio, 3.8 [95% CI, 1.2-12.0], P = .024). CONCLUSIONS: Young infants have benefited from PCV7 through indirect (herd) protection. Given that a third of cases occurred within 48 hours of birth, further studies should focus on risk factors for IPD in pregnancy and strategies to prevent mother-to-child transmission.", "author" : [ { "dropping-particle" : "", "family" : "Ladhani", "given" : "Shamez N", "non-dropping-particle" : "", "parse-names" : false, "suffix" : "" }, { "dropping-particle" : "", "family" : "Andrews", "given" : "Nick J", "non-dropping-particle" : "", "parse-names" : false, "suffix" : "" }, { "dropping-particle" : "", "family" : "Waight", "given" : "Pauline", "non-dropping-particle" : "", "parse-names" : false, "suffix" : "" }, { "dropping-particle" : "", "family" : "Borrow", "given" : "Ray", "non-dropping-particle" : "", "parse-names" : false, "suffix" : "" }, { "dropping-particle" : "", "family" : "Slack", "given" : "Mary P E", "non-dropping-particle" : "", "parse-names" : false, "suffix" : "" }, { "dropping-particle" : "", "family" : "Miller", "given" : "Elizabeth", "non-dropping-particle" : "", "parse-names" : false, "suffix" : "" } ], "container-title" : "Clinical infectious diseases : an official publication of the Infectious Diseases Society of America", "id" : "ITEM-1", "issue" : "5", "issued" : { "date-parts" : [ [ "2013" ] ] }, "page" : "633-40", "title" : "Impact of the 7-valent pneumococcal conjugate vaccine on invasive pneumococcal disease in infants younger than 90 days in England and wales.", "type" : "article-journal", "volume" : "56" }, "uris" : [ "http://www.mendeley.com/documents/?uuid=093ae27d-40be-4377-a1ae-0b83f1cadd0d" ] } ], "mendeley" : { "formattedCitation" : "(22)", "plainTextFormattedCitation" : "(22)", "previouslyFormattedCitation" : "(22)" }, "properties" : { "noteIndex" : 0 }, "schema" : "https://github.com/citation-style-language/schema/raw/master/csl-citation.json" }</w:instrText>
      </w:r>
      <w:r w:rsidR="00FA5081">
        <w:rPr>
          <w:rFonts w:ascii="Cambria" w:hAnsi="Cambria" w:cs="Cambria"/>
          <w:lang w:val="en-US"/>
        </w:rPr>
        <w:fldChar w:fldCharType="separate"/>
      </w:r>
      <w:r w:rsidR="00260F53" w:rsidRPr="00260F53">
        <w:rPr>
          <w:rFonts w:ascii="Cambria" w:hAnsi="Cambria" w:cs="Cambria"/>
          <w:noProof/>
          <w:lang w:val="en-US"/>
        </w:rPr>
        <w:t>(22)</w:t>
      </w:r>
      <w:r w:rsidR="00FA5081">
        <w:rPr>
          <w:rFonts w:ascii="Cambria" w:hAnsi="Cambria" w:cs="Cambria"/>
          <w:lang w:val="en-US"/>
        </w:rPr>
        <w:fldChar w:fldCharType="end"/>
      </w:r>
      <w:r w:rsidR="002061F9">
        <w:rPr>
          <w:rFonts w:ascii="Cambria" w:hAnsi="Cambria" w:cs="Cambria"/>
          <w:lang w:val="en-US"/>
        </w:rPr>
        <w:t>.</w:t>
      </w:r>
      <w:r w:rsidR="00CC2FB4">
        <w:rPr>
          <w:rFonts w:ascii="Cambria" w:hAnsi="Cambria" w:cs="Cambria"/>
          <w:lang w:val="en-US"/>
        </w:rPr>
        <w:t xml:space="preserve"> </w:t>
      </w:r>
    </w:p>
    <w:p w14:paraId="6C9D9D90" w14:textId="77777777" w:rsidR="00511C6C" w:rsidRDefault="00511C6C" w:rsidP="00E41469">
      <w:pPr>
        <w:widowControl w:val="0"/>
        <w:autoSpaceDE w:val="0"/>
        <w:autoSpaceDN w:val="0"/>
        <w:adjustRightInd w:val="0"/>
        <w:spacing w:line="480" w:lineRule="auto"/>
        <w:rPr>
          <w:rFonts w:ascii="Cambria" w:hAnsi="Cambria" w:cs="Cambria"/>
          <w:lang w:val="en-US"/>
        </w:rPr>
      </w:pPr>
    </w:p>
    <w:p w14:paraId="03404C60" w14:textId="3EF1F5E4" w:rsidR="00447CE0" w:rsidRPr="00891E2F" w:rsidRDefault="00447CE0" w:rsidP="00447CE0">
      <w:pPr>
        <w:widowControl w:val="0"/>
        <w:autoSpaceDE w:val="0"/>
        <w:autoSpaceDN w:val="0"/>
        <w:adjustRightInd w:val="0"/>
        <w:spacing w:line="480" w:lineRule="auto"/>
        <w:rPr>
          <w:rFonts w:ascii="Cambria" w:hAnsi="Cambria" w:cs="Cambria"/>
          <w:lang w:val="en-US"/>
        </w:rPr>
      </w:pPr>
      <w:r>
        <w:rPr>
          <w:rFonts w:ascii="Cambria" w:hAnsi="Cambria" w:cs="Cambria"/>
          <w:lang w:val="en-US"/>
        </w:rPr>
        <w:t>We also found lower immunization uptake among our fatal cases when compared to national coverage for children of a similar age</w:t>
      </w:r>
      <w:r w:rsidR="00745A0A">
        <w:rPr>
          <w:rFonts w:ascii="Cambria" w:hAnsi="Cambria" w:cs="Cambria"/>
          <w:lang w:val="en-US"/>
        </w:rPr>
        <w:t xml:space="preserve"> </w:t>
      </w:r>
      <w:r w:rsidR="00745A0A">
        <w:rPr>
          <w:rFonts w:ascii="Cambria" w:hAnsi="Cambria" w:cs="Cambria"/>
          <w:lang w:val="en-US"/>
        </w:rPr>
        <w:fldChar w:fldCharType="begin" w:fldLock="1"/>
      </w:r>
      <w:r w:rsidR="00C1325A">
        <w:rPr>
          <w:rFonts w:ascii="Cambria" w:hAnsi="Cambria" w:cs="Cambria"/>
          <w:lang w:val="en-US"/>
        </w:rPr>
        <w:instrText>ADDIN CSL_CITATION { "citationItems" : [ { "id" : "ITEM-1", "itemData" : { "id" : "ITEM-1", "issued" : { "date-parts" : [ [ "0" ] ] }, "title" : "Public Health England. Vaccine uptake guidance and the latest coverage data. Available at: https://www.gov.uk/government/collections/vaccine-uptake. Accessed: 01 March 2017", "type" : "article-journal" }, "uris" : [ "http://www.mendeley.com/documents/?uuid=3833fba7-5552-404d-a441-ff0596587124" ] } ], "mendeley" : { "formattedCitation" : "(23)", "plainTextFormattedCitation" : "(23)", "previouslyFormattedCitation" : "(23)" }, "properties" : { "noteIndex" : 0 }, "schema" : "https://github.com/citation-style-language/schema/raw/master/csl-citation.json" }</w:instrText>
      </w:r>
      <w:r w:rsidR="00745A0A">
        <w:rPr>
          <w:rFonts w:ascii="Cambria" w:hAnsi="Cambria" w:cs="Cambria"/>
          <w:lang w:val="en-US"/>
        </w:rPr>
        <w:fldChar w:fldCharType="separate"/>
      </w:r>
      <w:r w:rsidR="00260F53" w:rsidRPr="00260F53">
        <w:rPr>
          <w:rFonts w:ascii="Cambria" w:hAnsi="Cambria" w:cs="Cambria"/>
          <w:noProof/>
          <w:lang w:val="en-US"/>
        </w:rPr>
        <w:t>(23)</w:t>
      </w:r>
      <w:r w:rsidR="00745A0A">
        <w:rPr>
          <w:rFonts w:ascii="Cambria" w:hAnsi="Cambria" w:cs="Cambria"/>
          <w:lang w:val="en-US"/>
        </w:rPr>
        <w:fldChar w:fldCharType="end"/>
      </w:r>
      <w:r>
        <w:rPr>
          <w:rFonts w:ascii="Cambria" w:hAnsi="Cambria" w:cs="Cambria"/>
          <w:lang w:val="en-US"/>
        </w:rPr>
        <w:t xml:space="preserve">, possibly reflecting poor utilization of the free healthcare service and potentially contributing to delayed presentation to hospital during the acute illness. The higher comorbidity prevalence among fatal cases may also have contributed to delayed immunization and the poor outcomes. It is, however, reassuring to note that overall cases and deaths due to vaccine serotypes have declined. In 2013/14, </w:t>
      </w:r>
      <w:r w:rsidRPr="00FD7449">
        <w:rPr>
          <w:rFonts w:ascii="Cambria" w:hAnsi="Cambria" w:cs="Cambria"/>
          <w:lang w:val="en-US"/>
        </w:rPr>
        <w:t>the three deaths related to PCV7 serotypes occurred in infants who were too young to be immun</w:t>
      </w:r>
      <w:r>
        <w:rPr>
          <w:rFonts w:ascii="Cambria" w:hAnsi="Cambria" w:cs="Cambria"/>
          <w:lang w:val="en-US"/>
        </w:rPr>
        <w:t>ize</w:t>
      </w:r>
      <w:r w:rsidRPr="00FD7449">
        <w:rPr>
          <w:rFonts w:ascii="Cambria" w:hAnsi="Cambria" w:cs="Cambria"/>
          <w:lang w:val="en-US"/>
        </w:rPr>
        <w:t xml:space="preserve">d or </w:t>
      </w:r>
      <w:r>
        <w:rPr>
          <w:rFonts w:ascii="Cambria" w:hAnsi="Cambria" w:cs="Cambria"/>
          <w:lang w:val="en-US"/>
        </w:rPr>
        <w:t xml:space="preserve">in those who </w:t>
      </w:r>
      <w:r w:rsidRPr="00FD7449">
        <w:rPr>
          <w:rFonts w:ascii="Cambria" w:hAnsi="Cambria" w:cs="Cambria"/>
          <w:lang w:val="en-US"/>
        </w:rPr>
        <w:t>had an underlying high</w:t>
      </w:r>
      <w:r>
        <w:rPr>
          <w:rFonts w:ascii="Cambria" w:hAnsi="Cambria" w:cs="Cambria"/>
          <w:lang w:val="en-US"/>
        </w:rPr>
        <w:t>-</w:t>
      </w:r>
      <w:r w:rsidRPr="00FD7449">
        <w:rPr>
          <w:rFonts w:ascii="Cambria" w:hAnsi="Cambria" w:cs="Cambria"/>
          <w:lang w:val="en-US"/>
        </w:rPr>
        <w:t xml:space="preserve">risk co-morbidity. These cases, however, do indicate that PCV7 serotypes continue to circulate in England and Wales, </w:t>
      </w:r>
      <w:r w:rsidRPr="003A22FD">
        <w:rPr>
          <w:rFonts w:ascii="Cambria" w:hAnsi="Cambria" w:cs="Cambria"/>
          <w:i/>
          <w:lang w:val="en-US"/>
        </w:rPr>
        <w:t>albeit</w:t>
      </w:r>
      <w:r w:rsidRPr="00FD7449">
        <w:rPr>
          <w:rFonts w:ascii="Cambria" w:hAnsi="Cambria" w:cs="Cambria"/>
          <w:lang w:val="en-US"/>
        </w:rPr>
        <w:t xml:space="preserve"> at low rates. </w:t>
      </w:r>
      <w:r>
        <w:rPr>
          <w:rFonts w:ascii="Cambria" w:hAnsi="Cambria" w:cs="Cambria"/>
          <w:lang w:val="en-US"/>
        </w:rPr>
        <w:t xml:space="preserve">Among the NVT fatalities, no particular serotype predominated after PCV13 introduction; indeed, many of these serotypes have emerged among IPD cases only after PCV introduction </w:t>
      </w:r>
      <w:r>
        <w:rPr>
          <w:rFonts w:ascii="Cambria" w:hAnsi="Cambria" w:cs="Cambria"/>
          <w:lang w:val="en-US"/>
        </w:rPr>
        <w:fldChar w:fldCharType="begin" w:fldLock="1"/>
      </w:r>
      <w:r w:rsidR="00745A0A">
        <w:rPr>
          <w:rFonts w:ascii="Cambria" w:hAnsi="Cambria" w:cs="Cambria"/>
          <w:lang w:val="en-US"/>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"(4)", "plainTextFormattedCitation" : "(4)", "previouslyFormattedCitation" : "(4)" }, "properties" : { "noteIndex" : 0 }, "schema" : "https://github.com/citation-style-language/schema/raw/master/csl-citation.json" }</w:instrText>
      </w:r>
      <w:r>
        <w:rPr>
          <w:rFonts w:ascii="Cambria" w:hAnsi="Cambria" w:cs="Cambria"/>
          <w:lang w:val="en-US"/>
        </w:rPr>
        <w:fldChar w:fldCharType="separate"/>
      </w:r>
      <w:r w:rsidR="00745A0A" w:rsidRPr="00745A0A">
        <w:rPr>
          <w:rFonts w:ascii="Cambria" w:hAnsi="Cambria" w:cs="Cambria"/>
          <w:noProof/>
          <w:lang w:val="en-US"/>
        </w:rPr>
        <w:t>(4)</w:t>
      </w:r>
      <w:r>
        <w:rPr>
          <w:rFonts w:ascii="Cambria" w:hAnsi="Cambria" w:cs="Cambria"/>
          <w:lang w:val="en-US"/>
        </w:rPr>
        <w:fldChar w:fldCharType="end"/>
      </w:r>
      <w:r>
        <w:rPr>
          <w:rFonts w:ascii="Cambria" w:hAnsi="Cambria" w:cs="Cambria"/>
        </w:rPr>
        <w:t>.</w:t>
      </w:r>
    </w:p>
    <w:p w14:paraId="603AA3BC" w14:textId="34FFED2C" w:rsidR="0035085D" w:rsidRPr="00626233" w:rsidRDefault="0035085D" w:rsidP="00E41469">
      <w:pPr>
        <w:widowControl w:val="0"/>
        <w:autoSpaceDE w:val="0"/>
        <w:autoSpaceDN w:val="0"/>
        <w:adjustRightInd w:val="0"/>
        <w:spacing w:line="480" w:lineRule="auto"/>
        <w:rPr>
          <w:rFonts w:ascii="Cambria" w:hAnsi="Cambria" w:cs="Cambria"/>
          <w:b/>
          <w:lang w:val="en-US"/>
        </w:rPr>
      </w:pPr>
    </w:p>
    <w:p w14:paraId="44A83E56" w14:textId="483260E4" w:rsidR="00C16D68" w:rsidRDefault="00C16D68" w:rsidP="00E41469">
      <w:pPr>
        <w:pStyle w:val="NoSpacing"/>
        <w:spacing w:line="480" w:lineRule="auto"/>
        <w:rPr>
          <w:rFonts w:ascii="Cambria" w:hAnsi="Cambria"/>
        </w:rPr>
      </w:pPr>
      <w:r>
        <w:rPr>
          <w:rFonts w:ascii="Cambria" w:hAnsi="Cambria"/>
        </w:rPr>
        <w:t>The strength of this study lies in the prospective national follow</w:t>
      </w:r>
      <w:r w:rsidR="000B01FE">
        <w:rPr>
          <w:rFonts w:ascii="Cambria" w:hAnsi="Cambria"/>
        </w:rPr>
        <w:t>-</w:t>
      </w:r>
      <w:r>
        <w:rPr>
          <w:rFonts w:ascii="Cambria" w:hAnsi="Cambria"/>
        </w:rPr>
        <w:t xml:space="preserve">up of all children </w:t>
      </w:r>
      <w:r w:rsidR="00933877">
        <w:rPr>
          <w:rFonts w:ascii="Cambria" w:hAnsi="Cambria"/>
        </w:rPr>
        <w:t xml:space="preserve">with IPD </w:t>
      </w:r>
      <w:r>
        <w:rPr>
          <w:rFonts w:ascii="Cambria" w:hAnsi="Cambria"/>
        </w:rPr>
        <w:t>in the vaccine</w:t>
      </w:r>
      <w:r w:rsidR="000B01FE">
        <w:rPr>
          <w:rFonts w:ascii="Cambria" w:hAnsi="Cambria"/>
        </w:rPr>
        <w:t>-</w:t>
      </w:r>
      <w:r>
        <w:rPr>
          <w:rFonts w:ascii="Cambria" w:hAnsi="Cambria"/>
        </w:rPr>
        <w:t xml:space="preserve">eligible cohort, with </w:t>
      </w:r>
      <w:r w:rsidR="00F91F52">
        <w:rPr>
          <w:rFonts w:ascii="Cambria" w:hAnsi="Cambria"/>
        </w:rPr>
        <w:t xml:space="preserve">high case ascertainment and questionnaire completion rates, along with </w:t>
      </w:r>
      <w:r>
        <w:rPr>
          <w:rFonts w:ascii="Cambria" w:hAnsi="Cambria"/>
        </w:rPr>
        <w:t>detailed multi-source data for fatal cases, including post-mortem reports</w:t>
      </w:r>
      <w:r w:rsidR="00FB07FF">
        <w:rPr>
          <w:rFonts w:ascii="Cambria" w:hAnsi="Cambria"/>
        </w:rPr>
        <w:t xml:space="preserve"> and death registration records</w:t>
      </w:r>
      <w:r>
        <w:rPr>
          <w:rFonts w:ascii="Cambria" w:hAnsi="Cambria"/>
        </w:rPr>
        <w:t>.</w:t>
      </w:r>
      <w:r w:rsidR="0090456A">
        <w:rPr>
          <w:rFonts w:ascii="Cambria" w:hAnsi="Cambria"/>
        </w:rPr>
        <w:t xml:space="preserve"> </w:t>
      </w:r>
      <w:r w:rsidR="0090456A">
        <w:rPr>
          <w:rFonts w:ascii="Cambria" w:hAnsi="Cambria"/>
        </w:rPr>
        <w:lastRenderedPageBreak/>
        <w:t xml:space="preserve">Since so few children die of IPD, it is important that </w:t>
      </w:r>
      <w:r w:rsidR="0030290B">
        <w:rPr>
          <w:rFonts w:ascii="Cambria" w:hAnsi="Cambria"/>
        </w:rPr>
        <w:t xml:space="preserve">all fatal cases </w:t>
      </w:r>
      <w:r w:rsidR="0090456A">
        <w:rPr>
          <w:rFonts w:ascii="Cambria" w:hAnsi="Cambria"/>
        </w:rPr>
        <w:t xml:space="preserve">are identified and </w:t>
      </w:r>
      <w:r w:rsidR="0030290B">
        <w:rPr>
          <w:rFonts w:ascii="Cambria" w:hAnsi="Cambria"/>
        </w:rPr>
        <w:t xml:space="preserve">thoroughly </w:t>
      </w:r>
      <w:r w:rsidR="0090456A">
        <w:rPr>
          <w:rFonts w:ascii="Cambria" w:hAnsi="Cambria"/>
        </w:rPr>
        <w:t>followed</w:t>
      </w:r>
      <w:r w:rsidR="00F91F52">
        <w:rPr>
          <w:rFonts w:ascii="Cambria" w:hAnsi="Cambria"/>
        </w:rPr>
        <w:t xml:space="preserve">-up, preferably in a large population cohort and over a long period of time. The low CFR is reassuring but the small numbers mean that any observed differences and trends must be interpreted with caution. </w:t>
      </w:r>
      <w:r w:rsidR="00A06466">
        <w:rPr>
          <w:rFonts w:ascii="Cambria" w:hAnsi="Cambria"/>
        </w:rPr>
        <w:t xml:space="preserve">We also have no data </w:t>
      </w:r>
      <w:r w:rsidR="00AF0401">
        <w:rPr>
          <w:rFonts w:ascii="Cambria" w:hAnsi="Cambria"/>
        </w:rPr>
        <w:t>childhood deaths prior to PCV7 introductio</w:t>
      </w:r>
      <w:r w:rsidR="00301592">
        <w:rPr>
          <w:rFonts w:ascii="Cambria" w:hAnsi="Cambria"/>
        </w:rPr>
        <w:t xml:space="preserve">n for comparison, or </w:t>
      </w:r>
      <w:r w:rsidR="00A06466">
        <w:rPr>
          <w:rFonts w:ascii="Cambria" w:hAnsi="Cambria"/>
        </w:rPr>
        <w:t>on long</w:t>
      </w:r>
      <w:r w:rsidR="00AF0401">
        <w:rPr>
          <w:rFonts w:ascii="Cambria" w:hAnsi="Cambria"/>
        </w:rPr>
        <w:t>-</w:t>
      </w:r>
      <w:r w:rsidR="00A06466">
        <w:rPr>
          <w:rFonts w:ascii="Cambria" w:hAnsi="Cambria"/>
        </w:rPr>
        <w:t xml:space="preserve">term complications </w:t>
      </w:r>
      <w:r w:rsidR="0030290B">
        <w:rPr>
          <w:rFonts w:ascii="Cambria" w:hAnsi="Cambria"/>
        </w:rPr>
        <w:t xml:space="preserve">in </w:t>
      </w:r>
      <w:r w:rsidR="00A06466">
        <w:rPr>
          <w:rFonts w:ascii="Cambria" w:hAnsi="Cambria"/>
        </w:rPr>
        <w:t>IPD</w:t>
      </w:r>
      <w:r w:rsidR="00933877">
        <w:rPr>
          <w:rFonts w:ascii="Cambria" w:hAnsi="Cambria"/>
        </w:rPr>
        <w:t xml:space="preserve"> survivors</w:t>
      </w:r>
      <w:r w:rsidR="00A06466">
        <w:rPr>
          <w:rFonts w:ascii="Cambria" w:hAnsi="Cambria"/>
        </w:rPr>
        <w:t xml:space="preserve">, especially those </w:t>
      </w:r>
      <w:r w:rsidR="0030290B">
        <w:rPr>
          <w:rFonts w:ascii="Cambria" w:hAnsi="Cambria"/>
        </w:rPr>
        <w:t>with</w:t>
      </w:r>
      <w:r w:rsidR="00A06466">
        <w:rPr>
          <w:rFonts w:ascii="Cambria" w:hAnsi="Cambria"/>
        </w:rPr>
        <w:t xml:space="preserve"> meningitis. </w:t>
      </w:r>
    </w:p>
    <w:p w14:paraId="056C3752" w14:textId="77777777" w:rsidR="008A4F7E" w:rsidRDefault="008A4F7E" w:rsidP="00E41469">
      <w:pPr>
        <w:pStyle w:val="NoSpacing"/>
        <w:spacing w:line="480" w:lineRule="auto"/>
        <w:rPr>
          <w:rFonts w:ascii="Cambria" w:hAnsi="Cambria"/>
        </w:rPr>
      </w:pPr>
    </w:p>
    <w:p w14:paraId="2393029B" w14:textId="622097B1" w:rsidR="00486345" w:rsidRDefault="008A4F7E" w:rsidP="00E41469">
      <w:pPr>
        <w:pStyle w:val="NoSpacing"/>
        <w:spacing w:line="480" w:lineRule="auto"/>
        <w:rPr>
          <w:rFonts w:ascii="Cambria" w:hAnsi="Cambria" w:cs="Arial"/>
          <w:color w:val="313131"/>
          <w:lang w:val="en-US"/>
        </w:rPr>
      </w:pPr>
      <w:r>
        <w:rPr>
          <w:rFonts w:ascii="Cambria" w:hAnsi="Cambria"/>
        </w:rPr>
        <w:t>Nonetheless, there are important lessons t</w:t>
      </w:r>
      <w:r w:rsidR="00D3436B">
        <w:rPr>
          <w:rFonts w:ascii="Cambria" w:hAnsi="Cambria"/>
        </w:rPr>
        <w:t>o</w:t>
      </w:r>
      <w:r>
        <w:rPr>
          <w:rFonts w:ascii="Cambria" w:hAnsi="Cambria"/>
        </w:rPr>
        <w:t xml:space="preserve"> be learnt. PCV13</w:t>
      </w:r>
      <w:r w:rsidR="009B21D3">
        <w:rPr>
          <w:rFonts w:ascii="Cambria" w:hAnsi="Cambria"/>
        </w:rPr>
        <w:t>-</w:t>
      </w:r>
      <w:r>
        <w:rPr>
          <w:rFonts w:ascii="Cambria" w:hAnsi="Cambria"/>
        </w:rPr>
        <w:t xml:space="preserve">type IPD and PCV13-related deaths </w:t>
      </w:r>
      <w:r w:rsidR="006B4E2F">
        <w:rPr>
          <w:rFonts w:ascii="Cambria" w:hAnsi="Cambria"/>
        </w:rPr>
        <w:t xml:space="preserve">are </w:t>
      </w:r>
      <w:r w:rsidR="003059BD">
        <w:rPr>
          <w:rFonts w:ascii="Cambria" w:hAnsi="Cambria"/>
        </w:rPr>
        <w:t xml:space="preserve">currently </w:t>
      </w:r>
      <w:r w:rsidR="006B4E2F">
        <w:rPr>
          <w:rFonts w:ascii="Cambria" w:hAnsi="Cambria"/>
        </w:rPr>
        <w:t xml:space="preserve">rare and </w:t>
      </w:r>
      <w:r w:rsidR="003059BD">
        <w:rPr>
          <w:rFonts w:ascii="Cambria" w:hAnsi="Cambria"/>
        </w:rPr>
        <w:t xml:space="preserve">should </w:t>
      </w:r>
      <w:r>
        <w:rPr>
          <w:rFonts w:ascii="Cambria" w:hAnsi="Cambria"/>
        </w:rPr>
        <w:t xml:space="preserve">continue to decline </w:t>
      </w:r>
      <w:r w:rsidR="003059BD">
        <w:rPr>
          <w:rFonts w:ascii="Cambria" w:hAnsi="Cambria"/>
        </w:rPr>
        <w:t>with</w:t>
      </w:r>
      <w:r>
        <w:rPr>
          <w:rFonts w:ascii="Cambria" w:hAnsi="Cambria"/>
        </w:rPr>
        <w:t xml:space="preserve"> the on</w:t>
      </w:r>
      <w:r w:rsidR="00933877">
        <w:rPr>
          <w:rFonts w:ascii="Cambria" w:hAnsi="Cambria"/>
        </w:rPr>
        <w:t>-</w:t>
      </w:r>
      <w:r>
        <w:rPr>
          <w:rFonts w:ascii="Cambria" w:hAnsi="Cambria"/>
        </w:rPr>
        <w:t xml:space="preserve">going </w:t>
      </w:r>
      <w:r w:rsidR="006B4E2F">
        <w:rPr>
          <w:rFonts w:ascii="Cambria" w:hAnsi="Cambria"/>
        </w:rPr>
        <w:t xml:space="preserve">childhood </w:t>
      </w:r>
      <w:r>
        <w:rPr>
          <w:rFonts w:ascii="Cambria" w:hAnsi="Cambria"/>
        </w:rPr>
        <w:t xml:space="preserve">immunisation programme. </w:t>
      </w:r>
      <w:r w:rsidR="00933877">
        <w:rPr>
          <w:rFonts w:ascii="Cambria" w:hAnsi="Cambria"/>
        </w:rPr>
        <w:t xml:space="preserve">Currently, </w:t>
      </w:r>
      <w:r w:rsidRPr="00083403">
        <w:rPr>
          <w:rFonts w:ascii="Cambria" w:hAnsi="Cambria" w:cs="Cambria"/>
          <w:lang w:val="en-US"/>
        </w:rPr>
        <w:t>most IPD</w:t>
      </w:r>
      <w:r w:rsidR="009B21D3">
        <w:rPr>
          <w:rFonts w:ascii="Cambria" w:hAnsi="Cambria" w:cs="Cambria"/>
          <w:lang w:val="en-US"/>
        </w:rPr>
        <w:t>-</w:t>
      </w:r>
      <w:r w:rsidR="00083403" w:rsidRPr="00083403">
        <w:rPr>
          <w:rFonts w:ascii="Cambria" w:hAnsi="Cambria" w:cs="Cambria"/>
          <w:lang w:val="en-US"/>
        </w:rPr>
        <w:t>related childhood deaths are</w:t>
      </w:r>
      <w:r w:rsidR="003059BD">
        <w:rPr>
          <w:rFonts w:ascii="Cambria" w:hAnsi="Cambria" w:cs="Cambria"/>
          <w:lang w:val="en-US"/>
        </w:rPr>
        <w:t xml:space="preserve"> due to </w:t>
      </w:r>
      <w:r w:rsidRPr="00083403">
        <w:rPr>
          <w:rFonts w:ascii="Cambria" w:hAnsi="Cambria" w:cs="Cambria"/>
          <w:lang w:val="en-US"/>
        </w:rPr>
        <w:t>non</w:t>
      </w:r>
      <w:r w:rsidR="00C61981">
        <w:rPr>
          <w:rFonts w:ascii="Cambria" w:hAnsi="Cambria" w:cs="Cambria"/>
          <w:lang w:val="en-US"/>
        </w:rPr>
        <w:t>-</w:t>
      </w:r>
      <w:r w:rsidRPr="00083403">
        <w:rPr>
          <w:rFonts w:ascii="Cambria" w:hAnsi="Cambria" w:cs="Cambria"/>
          <w:lang w:val="en-US"/>
        </w:rPr>
        <w:t>PCV13 serotypes</w:t>
      </w:r>
      <w:r>
        <w:rPr>
          <w:rFonts w:ascii="Cambria" w:hAnsi="Cambria" w:cs="Cambria"/>
          <w:lang w:val="en-US"/>
        </w:rPr>
        <w:t xml:space="preserve"> or occur in </w:t>
      </w:r>
      <w:r w:rsidR="006A35B8">
        <w:rPr>
          <w:rFonts w:ascii="Cambria" w:hAnsi="Cambria" w:cs="Cambria"/>
          <w:lang w:val="en-US"/>
        </w:rPr>
        <w:t xml:space="preserve">infants too young to be protected through </w:t>
      </w:r>
      <w:r w:rsidR="00CC0DAF">
        <w:rPr>
          <w:rFonts w:ascii="Cambria" w:hAnsi="Cambria" w:cs="Cambria"/>
          <w:lang w:val="en-US"/>
        </w:rPr>
        <w:t>vaccination</w:t>
      </w:r>
      <w:r>
        <w:rPr>
          <w:rFonts w:ascii="Cambria" w:hAnsi="Cambria" w:cs="Cambria"/>
          <w:lang w:val="en-US"/>
        </w:rPr>
        <w:t xml:space="preserve">, suggesting that </w:t>
      </w:r>
      <w:r w:rsidR="006A35B8" w:rsidRPr="008B4476">
        <w:rPr>
          <w:rFonts w:ascii="Cambria" w:hAnsi="Cambria" w:cs="Cambria"/>
          <w:lang w:val="en-US"/>
        </w:rPr>
        <w:t xml:space="preserve">additional </w:t>
      </w:r>
      <w:r w:rsidRPr="008B4476">
        <w:rPr>
          <w:rFonts w:ascii="Cambria" w:hAnsi="Cambria" w:cs="Arial"/>
          <w:color w:val="313131"/>
          <w:lang w:val="en-US"/>
        </w:rPr>
        <w:t>strategies will be required</w:t>
      </w:r>
      <w:r w:rsidR="006A35B8" w:rsidRPr="008B4476">
        <w:rPr>
          <w:rFonts w:ascii="Cambria" w:hAnsi="Cambria" w:cs="Arial"/>
          <w:color w:val="313131"/>
          <w:lang w:val="en-US"/>
        </w:rPr>
        <w:t>.</w:t>
      </w:r>
      <w:r w:rsidR="009779AC" w:rsidRPr="008B4476">
        <w:rPr>
          <w:rFonts w:ascii="Cambria" w:hAnsi="Cambria" w:cs="Arial"/>
          <w:color w:val="313131"/>
          <w:lang w:val="en-US"/>
        </w:rPr>
        <w:t xml:space="preserve"> In particular, </w:t>
      </w:r>
      <w:r w:rsidR="00843C70" w:rsidRPr="008B4476">
        <w:rPr>
          <w:rFonts w:ascii="Cambria" w:hAnsi="Cambria" w:cs="Arial"/>
          <w:color w:val="313131"/>
          <w:lang w:val="en-US"/>
        </w:rPr>
        <w:t>more than 10% of</w:t>
      </w:r>
      <w:r w:rsidR="006B4E2F" w:rsidRPr="008B4476">
        <w:rPr>
          <w:rFonts w:ascii="Cambria" w:hAnsi="Cambria" w:cs="Arial"/>
          <w:color w:val="313131"/>
          <w:lang w:val="en-US"/>
        </w:rPr>
        <w:t xml:space="preserve"> </w:t>
      </w:r>
      <w:r w:rsidR="00843C70" w:rsidRPr="008B4476">
        <w:rPr>
          <w:rFonts w:ascii="Cambria" w:hAnsi="Cambria" w:cs="Arial"/>
          <w:color w:val="313131"/>
          <w:lang w:val="en-US"/>
        </w:rPr>
        <w:t>deaths</w:t>
      </w:r>
      <w:r w:rsidR="00843C70">
        <w:rPr>
          <w:rFonts w:ascii="Cambria" w:hAnsi="Cambria" w:cs="Arial"/>
          <w:color w:val="313131"/>
          <w:lang w:val="en-US"/>
        </w:rPr>
        <w:t xml:space="preserve"> </w:t>
      </w:r>
      <w:r w:rsidR="00E3616D">
        <w:rPr>
          <w:rFonts w:ascii="Cambria" w:hAnsi="Cambria" w:cs="Arial"/>
          <w:color w:val="313131"/>
          <w:lang w:val="en-US"/>
        </w:rPr>
        <w:t xml:space="preserve">occurred in the first week of life, </w:t>
      </w:r>
      <w:r w:rsidR="00A06466">
        <w:rPr>
          <w:rFonts w:ascii="Cambria" w:hAnsi="Cambria" w:cs="Arial"/>
          <w:color w:val="313131"/>
          <w:lang w:val="en-US"/>
        </w:rPr>
        <w:t xml:space="preserve">where </w:t>
      </w:r>
      <w:r w:rsidR="00E3616D">
        <w:rPr>
          <w:rFonts w:ascii="Cambria" w:hAnsi="Cambria" w:cs="Arial"/>
          <w:color w:val="313131"/>
          <w:lang w:val="en-US"/>
        </w:rPr>
        <w:t>perinatal transmission</w:t>
      </w:r>
      <w:r w:rsidR="00A06466">
        <w:rPr>
          <w:rFonts w:ascii="Cambria" w:hAnsi="Cambria" w:cs="Arial"/>
          <w:color w:val="313131"/>
          <w:lang w:val="en-US"/>
        </w:rPr>
        <w:t xml:space="preserve"> is likely to have occurred</w:t>
      </w:r>
      <w:r w:rsidR="00C1325A">
        <w:rPr>
          <w:rFonts w:ascii="Cambria" w:hAnsi="Cambria" w:cs="Arial"/>
          <w:color w:val="313131"/>
          <w:lang w:val="en-US"/>
        </w:rPr>
        <w:t xml:space="preserve"> </w:t>
      </w:r>
      <w:r w:rsidR="00C1325A">
        <w:rPr>
          <w:rFonts w:ascii="Cambria" w:hAnsi="Cambria" w:cs="Arial"/>
          <w:color w:val="313131"/>
          <w:lang w:val="en-US"/>
        </w:rPr>
        <w:fldChar w:fldCharType="begin" w:fldLock="1"/>
      </w:r>
      <w:r w:rsidR="00C1325A">
        <w:rPr>
          <w:rFonts w:ascii="Cambria" w:hAnsi="Cambria" w:cs="Arial"/>
          <w:color w:val="313131"/>
          <w:lang w:val="en-US"/>
        </w:rPr>
        <w:instrText>ADDIN CSL_CITATION { "citationItems" : [ { "id" : "ITEM-1", "itemData" : { "DOI" : "10.1093/cid/cis934", "ISBN" : "1058-4838", "ISSN" : "1537-6591", "PMID" : "23175560", "abstract" : "BACKGROUND: Streptococcus pneumoniae is an uncommon but well-recognized cause of invasive bacterial disease in young infants. This study aimed to determine the impact of the 7-valent pneumococcal conjugate vaccine (PCV7) on invasive pneumococcal disease (IPD) in infants aged &lt;90 days in England and Wales and describe their clinical characteristics following PCV7 introduction. METHODS: Trends in IPD among infants aged &lt;90 days during 1998-1999 through 2009-2010 were analyzed using enhanced national surveillance data. Following PCV7 introduction, clinical information was also obtained for IPD cases in the birth cohorts eligible for vaccination. RESULTS: Prior to PCV7 introduction, IPD incidence in infants aged &lt;90 days was 13.0 (95% confidence interval [CI], 12.0-14.0) per 100 000 live births and PCV7 serotypes accounted for 44% (154/349) of serotyped isolates. PCV7 introduction resulted in 83% (95% CI, 66%-91%, P &lt; .001) reduction in PCV7 IPD and a declining trend in overall IPD by 2009-2010. Of the 256 cases diagnosed after PCV7 introduction, 23% (n = 60) had been born before 37 weeks' gestation. A third of cases (84/256, 33%) developed IPD in the first 48 hours of life, where 42% (35/84) were premature. Meningitis was diagnosed in 94 infants (37%) and its prevalence increased with age. Case fatality was 7% (18/256) and was higher for meningitis than nonmeningitis cases (adjusted odds ratio, 3.8 [95% CI, 1.2-12.0], P = .024). CONCLUSIONS: Young infants have benefited from PCV7 through indirect (herd) protection. Given that a third of cases occurred within 48 hours of birth, further studies should focus on risk factors for IPD in pregnancy and strategies to prevent mother-to-child transmission.", "author" : [ { "dropping-particle" : "", "family" : "Ladhani", "given" : "Shamez N", "non-dropping-particle" : "", "parse-names" : false, "suffix" : "" }, { "dropping-particle" : "", "family" : "Andrews", "given" : "Nick J", "non-dropping-particle" : "", "parse-names" : false, "suffix" : "" }, { "dropping-particle" : "", "family" : "Waight", "given" : "Pauline", "non-dropping-particle" : "", "parse-names" : false, "suffix" : "" }, { "dropping-particle" : "", "family" : "Borrow", "given" : "Ray", "non-dropping-particle" : "", "parse-names" : false, "suffix" : "" }, { "dropping-particle" : "", "family" : "Slack", "given" : "Mary P E", "non-dropping-particle" : "", "parse-names" : false, "suffix" : "" }, { "dropping-particle" : "", "family" : "Miller", "given" : "Elizabeth", "non-dropping-particle" : "", "parse-names" : false, "suffix" : "" } ], "container-title" : "Clinical infectious diseases : an official publication of the Infectious Diseases Society of America", "id" : "ITEM-1", "issue" : "5", "issued" : { "date-parts" : [ [ "2013" ] ] }, "page" : "633-40", "title" : "Impact of the 7-valent pneumococcal conjugate vaccine on invasive pneumococcal disease in infants younger than 90 days in England and wales.", "type" : "article-journal", "volume" : "56" }, "uris" : [ "http://www.mendeley.com/documents/?uuid=093ae27d-40be-4377-a1ae-0b83f1cadd0d" ] } ], "mendeley" : { "formattedCitation" : "(22)", "plainTextFormattedCitation" : "(22)", "previouslyFormattedCitation" : "(22)" }, "properties" : { "noteIndex" : 0 }, "schema" : "https://github.com/citation-style-language/schema/raw/master/csl-citation.json" }</w:instrText>
      </w:r>
      <w:r w:rsidR="00C1325A">
        <w:rPr>
          <w:rFonts w:ascii="Cambria" w:hAnsi="Cambria" w:cs="Arial"/>
          <w:color w:val="313131"/>
          <w:lang w:val="en-US"/>
        </w:rPr>
        <w:fldChar w:fldCharType="separate"/>
      </w:r>
      <w:r w:rsidR="00C1325A" w:rsidRPr="00C1325A">
        <w:rPr>
          <w:rFonts w:ascii="Cambria" w:hAnsi="Cambria" w:cs="Arial"/>
          <w:noProof/>
          <w:color w:val="313131"/>
          <w:lang w:val="en-US"/>
        </w:rPr>
        <w:t>(22)</w:t>
      </w:r>
      <w:r w:rsidR="00C1325A">
        <w:rPr>
          <w:rFonts w:ascii="Cambria" w:hAnsi="Cambria" w:cs="Arial"/>
          <w:color w:val="313131"/>
          <w:lang w:val="en-US"/>
        </w:rPr>
        <w:fldChar w:fldCharType="end"/>
      </w:r>
      <w:r w:rsidR="00486345">
        <w:rPr>
          <w:rFonts w:ascii="Cambria" w:hAnsi="Cambria" w:cs="Arial"/>
          <w:color w:val="313131"/>
          <w:lang w:val="en-US"/>
        </w:rPr>
        <w:t xml:space="preserve">. </w:t>
      </w:r>
      <w:r w:rsidR="000F1218" w:rsidRPr="000F1218">
        <w:rPr>
          <w:rFonts w:ascii="Cambria" w:hAnsi="Cambria" w:cs="Arial"/>
          <w:i/>
          <w:color w:val="313131"/>
          <w:lang w:val="en-US"/>
        </w:rPr>
        <w:t>S. pneumoniae</w:t>
      </w:r>
      <w:r w:rsidR="000F1218">
        <w:rPr>
          <w:rFonts w:ascii="Cambria" w:hAnsi="Cambria" w:cs="Arial"/>
          <w:color w:val="313131"/>
          <w:lang w:val="en-US"/>
        </w:rPr>
        <w:t xml:space="preserve"> is a</w:t>
      </w:r>
      <w:r w:rsidR="00A06466">
        <w:rPr>
          <w:rFonts w:ascii="Cambria" w:hAnsi="Cambria" w:cs="Arial"/>
          <w:color w:val="313131"/>
          <w:lang w:val="en-US"/>
        </w:rPr>
        <w:t>n uncommon but</w:t>
      </w:r>
      <w:r w:rsidR="000F1218">
        <w:rPr>
          <w:rFonts w:ascii="Cambria" w:hAnsi="Cambria" w:cs="Arial"/>
          <w:color w:val="313131"/>
          <w:lang w:val="en-US"/>
        </w:rPr>
        <w:t xml:space="preserve"> recogn</w:t>
      </w:r>
      <w:r w:rsidR="00BA332A">
        <w:rPr>
          <w:rFonts w:ascii="Cambria" w:hAnsi="Cambria" w:cs="Arial"/>
          <w:color w:val="313131"/>
          <w:lang w:val="en-US"/>
        </w:rPr>
        <w:t>ize</w:t>
      </w:r>
      <w:r w:rsidR="000F1218">
        <w:rPr>
          <w:rFonts w:ascii="Cambria" w:hAnsi="Cambria" w:cs="Arial"/>
          <w:color w:val="313131"/>
          <w:lang w:val="en-US"/>
        </w:rPr>
        <w:t xml:space="preserve">d cause of </w:t>
      </w:r>
      <w:r w:rsidR="00A06466">
        <w:rPr>
          <w:rFonts w:ascii="Cambria" w:hAnsi="Cambria" w:cs="Arial"/>
          <w:color w:val="313131"/>
          <w:lang w:val="en-US"/>
        </w:rPr>
        <w:t>puerperal sepsis</w:t>
      </w:r>
      <w:r w:rsidR="00D20C2F">
        <w:rPr>
          <w:rFonts w:ascii="Cambria" w:hAnsi="Cambria" w:cs="Arial"/>
          <w:color w:val="313131"/>
          <w:lang w:val="en-US"/>
        </w:rPr>
        <w:t>,</w:t>
      </w:r>
      <w:r w:rsidR="000E3B45">
        <w:rPr>
          <w:rFonts w:ascii="Cambria" w:hAnsi="Cambria" w:cs="Arial"/>
          <w:color w:val="313131"/>
          <w:lang w:val="en-US"/>
        </w:rPr>
        <w:t xml:space="preserve"> with </w:t>
      </w:r>
      <w:r w:rsidR="00A06466">
        <w:rPr>
          <w:rFonts w:ascii="Cambria" w:hAnsi="Cambria" w:cs="Arial"/>
          <w:color w:val="313131"/>
          <w:lang w:val="en-US"/>
        </w:rPr>
        <w:t xml:space="preserve">significant </w:t>
      </w:r>
      <w:r w:rsidR="006A5F56">
        <w:rPr>
          <w:rFonts w:ascii="Cambria" w:hAnsi="Cambria" w:cs="Arial"/>
          <w:color w:val="313131"/>
          <w:lang w:val="en-US"/>
        </w:rPr>
        <w:t xml:space="preserve">maternal and infant </w:t>
      </w:r>
      <w:r w:rsidR="00A06466">
        <w:rPr>
          <w:rFonts w:ascii="Cambria" w:hAnsi="Cambria" w:cs="Arial"/>
          <w:color w:val="313131"/>
          <w:lang w:val="en-US"/>
        </w:rPr>
        <w:t xml:space="preserve">morbidity and mortality </w:t>
      </w:r>
      <w:r w:rsidR="00FA5081">
        <w:rPr>
          <w:rFonts w:ascii="Cambria" w:hAnsi="Cambria" w:cs="Arial"/>
          <w:color w:val="313131"/>
          <w:lang w:val="en-US"/>
        </w:rPr>
        <w:fldChar w:fldCharType="begin" w:fldLock="1"/>
      </w:r>
      <w:r w:rsidR="00C1325A">
        <w:rPr>
          <w:rFonts w:ascii="Cambria" w:hAnsi="Cambria" w:cs="Arial"/>
          <w:color w:val="313131"/>
          <w:lang w:val="en-US"/>
        </w:rPr>
        <w:instrText>ADDIN CSL_CITATION { "citationItems" : [ { "id" : "ITEM-1", "itemData" : { "DOI" : "10.1093/cid/cir325", "ISBN" : "1058-4838", "ISSN" : "10584838", "PMID" : "21690617", "abstract" : "The epidemiology of streptococcal infection in pregnant and postpartum women is poorly described in recent literature. We used data from multistate surveillance for invasive Streptococcus pneumoniae, group A Streptococcus (GAS), and group B Streptococcus (GBS) infections to estimate disease incidence and severity in these populations.", "author" : [ { "dropping-particle" : "", "family" : "Deutscher", "given" : "Meredith", "non-dropping-particle" : "", "parse-names" : false, "suffix" : "" }, { "dropping-particle" : "", "family" : "Lewis", "given" : "Melissa", "non-dropping-particle" : "", "parse-names" : false, "suffix" : "" }, { "dropping-particle" : "", "family" : "Zell", "given" : "Elizabeth R.", "non-dropping-particle" : "", "parse-names" : false, "suffix" : "" }, { "dropping-particle" : "", "family" : "Taylor", "given" : "Thomas H.", "non-dropping-particle" : "", "parse-names" : false, "suffix" : "" }, { "dropping-particle" : "", "family" : "Beneden", "given" : "Chris", "non-dropping-particle" : "Van", "parse-names" : false, "suffix" : "" }, { "dropping-particle" : "", "family" : "Schrag", "given" : "Stephanie", "non-dropping-particle" : "", "parse-names" : false, "suffix" : "" } ], "container-title" : "Clinical Infectious Diseases", "id" : "ITEM-1", "issue" : "2", "issued" : { "date-parts" : [ [ "2011" ] ] }, "page" : "114-123", "title" : "Incidence and severity of invasive streptococcus pneumoniae, group a streptococcus, and group b streptococcus infections among pregnant and postpartum women", "type" : "article-journal", "volume" : "53" }, "uris" : [ "http://www.mendeley.com/documents/?uuid=fa27163e-dc47-47f1-b91c-9f98b26305b5" ] } ], "mendeley" : { "formattedCitation" : "(24)", "plainTextFormattedCitation" : "(24)", "previouslyFormattedCitation" : "(25)" }, "properties" : { "noteIndex" : 0 }, "schema" : "https://github.com/citation-style-language/schema/raw/master/csl-citation.json" }</w:instrText>
      </w:r>
      <w:r w:rsidR="00FA5081">
        <w:rPr>
          <w:rFonts w:ascii="Cambria" w:hAnsi="Cambria" w:cs="Arial"/>
          <w:color w:val="313131"/>
          <w:lang w:val="en-US"/>
        </w:rPr>
        <w:fldChar w:fldCharType="separate"/>
      </w:r>
      <w:r w:rsidR="00C1325A" w:rsidRPr="00C1325A">
        <w:rPr>
          <w:rFonts w:ascii="Cambria" w:hAnsi="Cambria" w:cs="Arial"/>
          <w:noProof/>
          <w:color w:val="313131"/>
          <w:lang w:val="en-US"/>
        </w:rPr>
        <w:t>(24)</w:t>
      </w:r>
      <w:r w:rsidR="00FA5081">
        <w:rPr>
          <w:rFonts w:ascii="Cambria" w:hAnsi="Cambria" w:cs="Arial"/>
          <w:color w:val="313131"/>
          <w:lang w:val="en-US"/>
        </w:rPr>
        <w:fldChar w:fldCharType="end"/>
      </w:r>
      <w:r w:rsidR="00C21B07">
        <w:rPr>
          <w:rFonts w:ascii="Cambria" w:hAnsi="Cambria" w:cs="Arial"/>
          <w:color w:val="313131"/>
          <w:lang w:val="en-US"/>
        </w:rPr>
        <w:t xml:space="preserve">, as evidenced by the stillbirths and septic abortions </w:t>
      </w:r>
      <w:r w:rsidR="00445970">
        <w:rPr>
          <w:rFonts w:ascii="Cambria" w:hAnsi="Cambria" w:cs="Arial"/>
          <w:color w:val="313131"/>
          <w:lang w:val="en-US"/>
        </w:rPr>
        <w:t xml:space="preserve">identified in our surveillance, where </w:t>
      </w:r>
      <w:r w:rsidR="00445970" w:rsidRPr="00C00874">
        <w:rPr>
          <w:rFonts w:ascii="Cambria" w:hAnsi="Cambria" w:cs="Arial"/>
          <w:i/>
          <w:color w:val="313131"/>
          <w:lang w:val="en-US"/>
        </w:rPr>
        <w:t>S. pneumoniae</w:t>
      </w:r>
      <w:r w:rsidR="00445970">
        <w:rPr>
          <w:rFonts w:ascii="Cambria" w:hAnsi="Cambria" w:cs="Arial"/>
          <w:color w:val="313131"/>
          <w:lang w:val="en-US"/>
        </w:rPr>
        <w:t xml:space="preserve"> was isolated from a normally sterile site at post-mortem </w:t>
      </w:r>
      <w:r w:rsidR="00445970" w:rsidRPr="00445970">
        <w:rPr>
          <w:rFonts w:ascii="Cambria" w:hAnsi="Cambria" w:cs="Arial"/>
          <w:b/>
          <w:color w:val="313131"/>
          <w:lang w:val="en-US"/>
        </w:rPr>
        <w:t>(Figure 1</w:t>
      </w:r>
      <w:r w:rsidR="00445970">
        <w:rPr>
          <w:rFonts w:ascii="Cambria" w:hAnsi="Cambria" w:cs="Arial"/>
          <w:color w:val="313131"/>
          <w:lang w:val="en-US"/>
        </w:rPr>
        <w:t xml:space="preserve">). </w:t>
      </w:r>
      <w:r w:rsidR="00D83C11">
        <w:rPr>
          <w:rFonts w:ascii="Cambria" w:hAnsi="Cambria" w:cs="Arial"/>
          <w:color w:val="313131"/>
          <w:lang w:val="en-US"/>
        </w:rPr>
        <w:t xml:space="preserve">Unlike group B streptococci (GBS), </w:t>
      </w:r>
      <w:r w:rsidR="006A5F56">
        <w:rPr>
          <w:rFonts w:ascii="Cambria" w:hAnsi="Cambria" w:cs="Arial"/>
          <w:color w:val="313131"/>
          <w:lang w:val="en-US"/>
        </w:rPr>
        <w:t>however</w:t>
      </w:r>
      <w:r w:rsidR="00D83C11">
        <w:rPr>
          <w:rFonts w:ascii="Cambria" w:hAnsi="Cambria" w:cs="Arial"/>
          <w:color w:val="313131"/>
          <w:lang w:val="en-US"/>
        </w:rPr>
        <w:t xml:space="preserve">, </w:t>
      </w:r>
      <w:r w:rsidR="00D83C11" w:rsidRPr="00D83C11">
        <w:rPr>
          <w:rFonts w:ascii="Cambria" w:hAnsi="Cambria" w:cs="Arial"/>
          <w:i/>
          <w:color w:val="313131"/>
          <w:lang w:val="en-US"/>
        </w:rPr>
        <w:t>S. pneumoniae</w:t>
      </w:r>
      <w:r w:rsidR="00D83C11">
        <w:rPr>
          <w:rFonts w:ascii="Cambria" w:hAnsi="Cambria" w:cs="Arial"/>
          <w:color w:val="313131"/>
          <w:lang w:val="en-US"/>
        </w:rPr>
        <w:t xml:space="preserve"> rarely (&lt;1%) colon</w:t>
      </w:r>
      <w:r w:rsidR="00BA332A">
        <w:rPr>
          <w:rFonts w:ascii="Cambria" w:hAnsi="Cambria" w:cs="Arial"/>
          <w:color w:val="313131"/>
          <w:lang w:val="en-US"/>
        </w:rPr>
        <w:t>ize</w:t>
      </w:r>
      <w:r w:rsidR="008B4476">
        <w:rPr>
          <w:rFonts w:ascii="Cambria" w:hAnsi="Cambria" w:cs="Arial"/>
          <w:color w:val="313131"/>
          <w:lang w:val="en-US"/>
        </w:rPr>
        <w:t>s</w:t>
      </w:r>
      <w:r w:rsidR="00D83C11">
        <w:rPr>
          <w:rFonts w:ascii="Cambria" w:hAnsi="Cambria" w:cs="Arial"/>
          <w:color w:val="313131"/>
          <w:lang w:val="en-US"/>
        </w:rPr>
        <w:t xml:space="preserve"> the female genital tract but has a very high infant invasion to maternal colonization ratio </w:t>
      </w:r>
      <w:r w:rsidR="00FA5081">
        <w:rPr>
          <w:rFonts w:ascii="Cambria" w:hAnsi="Cambria" w:cs="Arial"/>
          <w:color w:val="313131"/>
          <w:lang w:val="en-US"/>
        </w:rPr>
        <w:fldChar w:fldCharType="begin" w:fldLock="1"/>
      </w:r>
      <w:r w:rsidR="00C1325A">
        <w:rPr>
          <w:rFonts w:ascii="Cambria" w:hAnsi="Cambria" w:cs="Arial"/>
          <w:color w:val="313131"/>
          <w:lang w:val="en-US"/>
        </w:rPr>
        <w:instrText>ADDIN CSL_CITATION { "citationItems" : [ { "id" : "ITEM-1", "itemData" : { "DOI" : "10.1093/cid/cis934", "ISBN" : "1058-4838", "ISSN" : "1537-6591", "PMID" : "23175560", "abstract" : "BACKGROUND: Streptococcus pneumoniae is an uncommon but well-recognized cause of invasive bacterial disease in young infants. This study aimed to determine the impact of the 7-valent pneumococcal conjugate vaccine (PCV7) on invasive pneumococcal disease (IPD) in infants aged &lt;90 days in England and Wales and describe their clinical characteristics following PCV7 introduction. METHODS: Trends in IPD among infants aged &lt;90 days during 1998-1999 through 2009-2010 were analyzed using enhanced national surveillance data. Following PCV7 introduction, clinical information was also obtained for IPD cases in the birth cohorts eligible for vaccination. RESULTS: Prior to PCV7 introduction, IPD incidence in infants aged &lt;90 days was 13.0 (95% confidence interval [CI], 12.0-14.0) per 100 000 live births and PCV7 serotypes accounted for 44% (154/349) of serotyped isolates. PCV7 introduction resulted in 83% (95% CI, 66%-91%, P &lt; .001) reduction in PCV7 IPD and a declining trend in overall IPD by 2009-2010. Of the 256 cases diagnosed after PCV7 introduction, 23% (n = 60) had been born before 37 weeks' gestation. A third of cases (84/256, 33%) developed IPD in the first 48 hours of life, where 42% (35/84) were premature. Meningitis was diagnosed in 94 infants (37%) and its prevalence increased with age. Case fatality was 7% (18/256) and was higher for meningitis than nonmeningitis cases (adjusted odds ratio, 3.8 [95% CI, 1.2-12.0], P = .024). CONCLUSIONS: Young infants have benefited from PCV7 through indirect (herd) protection. Given that a third of cases occurred within 48 hours of birth, further studies should focus on risk factors for IPD in pregnancy and strategies to prevent mother-to-child transmission.", "author" : [ { "dropping-particle" : "", "family" : "Ladhani", "given" : "Shamez N", "non-dropping-particle" : "", "parse-names" : false, "suffix" : "" }, { "dropping-particle" : "", "family" : "Andrews", "given" : "Nick J", "non-dropping-particle" : "", "parse-names" : false, "suffix" : "" }, { "dropping-particle" : "", "family" : "Waight", "given" : "Pauline", "non-dropping-particle" : "", "parse-names" : false, "suffix" : "" }, { "dropping-particle" : "", "family" : "Borrow", "given" : "Ray", "non-dropping-particle" : "", "parse-names" : false, "suffix" : "" }, { "dropping-particle" : "", "family" : "Slack", "given" : "Mary P E", "non-dropping-particle" : "", "parse-names" : false, "suffix" : "" }, { "dropping-particle" : "", "family" : "Miller", "given" : "Elizabeth", "non-dropping-particle" : "", "parse-names" : false, "suffix" : "" } ], "container-title" : "Clinical infectious diseases : an official publication of the Infectious Diseases Society of America", "id" : "ITEM-1", "issue" : "5", "issued" : { "date-parts" : [ [ "2013" ] ] }, "page" : "633-40", "title" : "Impact of the 7-valent pneumococcal conjugate vaccine on invasive pneumococcal disease in infants younger than 90 days in England and wales.", "type" : "article-journal", "volume" : "56" }, "uris" : [ "http://www.mendeley.com/documents/?uuid=093ae27d-40be-4377-a1ae-0b83f1cadd0d" ] } ], "mendeley" : { "formattedCitation" : "(22)", "plainTextFormattedCitation" : "(22)", "previouslyFormattedCitation" : "(22)" }, "properties" : { "noteIndex" : 0 }, "schema" : "https://github.com/citation-style-language/schema/raw/master/csl-citation.json" }</w:instrText>
      </w:r>
      <w:r w:rsidR="00FA5081">
        <w:rPr>
          <w:rFonts w:ascii="Cambria" w:hAnsi="Cambria" w:cs="Arial"/>
          <w:color w:val="313131"/>
          <w:lang w:val="en-US"/>
        </w:rPr>
        <w:fldChar w:fldCharType="separate"/>
      </w:r>
      <w:r w:rsidR="00260F53" w:rsidRPr="00260F53">
        <w:rPr>
          <w:rFonts w:ascii="Cambria" w:hAnsi="Cambria" w:cs="Arial"/>
          <w:noProof/>
          <w:color w:val="313131"/>
          <w:lang w:val="en-US"/>
        </w:rPr>
        <w:t>(22)</w:t>
      </w:r>
      <w:r w:rsidR="00FA5081">
        <w:rPr>
          <w:rFonts w:ascii="Cambria" w:hAnsi="Cambria" w:cs="Arial"/>
          <w:color w:val="313131"/>
          <w:lang w:val="en-US"/>
        </w:rPr>
        <w:fldChar w:fldCharType="end"/>
      </w:r>
      <w:r w:rsidR="00D83C11">
        <w:rPr>
          <w:rFonts w:ascii="Cambria" w:hAnsi="Cambria" w:cs="Arial"/>
          <w:color w:val="313131"/>
          <w:lang w:val="en-US"/>
        </w:rPr>
        <w:t xml:space="preserve">. Clinicians should, therefore, </w:t>
      </w:r>
      <w:r w:rsidR="000F1218">
        <w:rPr>
          <w:rFonts w:ascii="Cambria" w:hAnsi="Cambria" w:cs="Arial"/>
          <w:color w:val="313131"/>
          <w:lang w:val="en-US"/>
        </w:rPr>
        <w:t xml:space="preserve">consider </w:t>
      </w:r>
      <w:r w:rsidR="00D83C11" w:rsidRPr="00D83C11">
        <w:rPr>
          <w:rFonts w:ascii="Cambria" w:hAnsi="Cambria" w:cs="Arial"/>
          <w:color w:val="313131"/>
        </w:rPr>
        <w:t xml:space="preserve">empiric antibiotic treatment </w:t>
      </w:r>
      <w:r w:rsidR="008B4476">
        <w:rPr>
          <w:rFonts w:ascii="Cambria" w:hAnsi="Cambria" w:cs="Arial"/>
          <w:color w:val="313131"/>
        </w:rPr>
        <w:t xml:space="preserve">if they identify </w:t>
      </w:r>
      <w:r w:rsidR="00D83C11" w:rsidRPr="00D83C11">
        <w:rPr>
          <w:rFonts w:ascii="Cambria" w:hAnsi="Cambria" w:cs="Arial"/>
          <w:color w:val="313131"/>
        </w:rPr>
        <w:t>pregnant</w:t>
      </w:r>
      <w:r w:rsidR="00D83C11">
        <w:rPr>
          <w:rFonts w:ascii="Cambria" w:hAnsi="Cambria" w:cs="Arial"/>
          <w:color w:val="313131"/>
        </w:rPr>
        <w:t xml:space="preserve"> </w:t>
      </w:r>
      <w:r w:rsidR="00D83C11" w:rsidRPr="00D83C11">
        <w:rPr>
          <w:rFonts w:ascii="Cambria" w:hAnsi="Cambria" w:cs="Arial"/>
          <w:color w:val="313131"/>
        </w:rPr>
        <w:t xml:space="preserve">women </w:t>
      </w:r>
      <w:r w:rsidR="00D83C11">
        <w:rPr>
          <w:rFonts w:ascii="Cambria" w:hAnsi="Cambria" w:cs="Arial"/>
          <w:color w:val="313131"/>
        </w:rPr>
        <w:t xml:space="preserve">with </w:t>
      </w:r>
      <w:r w:rsidR="00781B05">
        <w:rPr>
          <w:rFonts w:ascii="Cambria" w:hAnsi="Cambria" w:cs="Arial"/>
          <w:color w:val="313131"/>
        </w:rPr>
        <w:t>genital tract colonisation</w:t>
      </w:r>
      <w:r w:rsidR="00D83C11">
        <w:rPr>
          <w:rFonts w:ascii="Cambria" w:hAnsi="Cambria" w:cs="Arial"/>
          <w:color w:val="313131"/>
        </w:rPr>
        <w:t xml:space="preserve"> </w:t>
      </w:r>
      <w:r w:rsidR="00D83C11" w:rsidRPr="00D83C11">
        <w:rPr>
          <w:rFonts w:ascii="Cambria" w:hAnsi="Cambria" w:cs="Arial"/>
          <w:color w:val="313131"/>
        </w:rPr>
        <w:t xml:space="preserve">or </w:t>
      </w:r>
      <w:r w:rsidR="00D83C11">
        <w:rPr>
          <w:rFonts w:ascii="Cambria" w:hAnsi="Cambria" w:cs="Arial"/>
          <w:color w:val="313131"/>
        </w:rPr>
        <w:t>ne</w:t>
      </w:r>
      <w:r w:rsidR="008B4476">
        <w:rPr>
          <w:rFonts w:ascii="Cambria" w:hAnsi="Cambria" w:cs="Arial"/>
          <w:color w:val="313131"/>
        </w:rPr>
        <w:t>onatal</w:t>
      </w:r>
      <w:r w:rsidR="00D83C11">
        <w:rPr>
          <w:rFonts w:ascii="Cambria" w:hAnsi="Cambria" w:cs="Arial"/>
          <w:color w:val="313131"/>
        </w:rPr>
        <w:t xml:space="preserve"> </w:t>
      </w:r>
      <w:r w:rsidR="00781B05">
        <w:rPr>
          <w:rFonts w:ascii="Cambria" w:hAnsi="Cambria" w:cs="Arial"/>
          <w:color w:val="313131"/>
        </w:rPr>
        <w:t>colonis</w:t>
      </w:r>
      <w:r w:rsidR="008B4476">
        <w:rPr>
          <w:rFonts w:ascii="Cambria" w:hAnsi="Cambria" w:cs="Arial"/>
          <w:color w:val="313131"/>
        </w:rPr>
        <w:t>ation</w:t>
      </w:r>
      <w:r w:rsidR="00781B05">
        <w:rPr>
          <w:rFonts w:ascii="Cambria" w:hAnsi="Cambria" w:cs="Arial"/>
          <w:color w:val="313131"/>
        </w:rPr>
        <w:t xml:space="preserve"> </w:t>
      </w:r>
      <w:r w:rsidR="00D83C11">
        <w:rPr>
          <w:rFonts w:ascii="Cambria" w:hAnsi="Cambria" w:cs="Arial"/>
          <w:color w:val="313131"/>
        </w:rPr>
        <w:t>at birt</w:t>
      </w:r>
      <w:r w:rsidR="00D83C11" w:rsidRPr="0035085D">
        <w:rPr>
          <w:rFonts w:ascii="Cambria" w:hAnsi="Cambria" w:cs="Arial"/>
        </w:rPr>
        <w:t>h</w:t>
      </w:r>
      <w:r w:rsidR="000F1218">
        <w:rPr>
          <w:rFonts w:ascii="Cambria" w:hAnsi="Cambria" w:cs="Arial"/>
          <w:color w:val="313131"/>
        </w:rPr>
        <w:t xml:space="preserve"> </w:t>
      </w:r>
      <w:r w:rsidR="00FA5081">
        <w:rPr>
          <w:rFonts w:ascii="Cambria" w:hAnsi="Cambria" w:cs="Arial"/>
          <w:color w:val="313131"/>
        </w:rPr>
        <w:fldChar w:fldCharType="begin" w:fldLock="1"/>
      </w:r>
      <w:r w:rsidR="00C1325A">
        <w:rPr>
          <w:rFonts w:ascii="Cambria" w:hAnsi="Cambria" w:cs="Arial"/>
          <w:color w:val="313131"/>
        </w:rPr>
        <w:instrText>ADDIN CSL_CITATION { "citationItems" : [ { "id" : "ITEM-1", "itemData" : { "DOI" : "10.1542/peds.112.5.1095", "ISBN" : "1098-4275; 0031-4005", "ISSN" : "0031-4005", "PMID" : "14595052", "abstract" : "Objective. Streptococcus pneumoniae infections in the neonate (SPIN) are relatively unusual events (1%-11% of neonatal sepsis) but are associated with substantial morbidity and mortality. Previous reports suggest that invasive SPIN is associated with prolonged rupture of membranes, maternal colonization/illness, prematurity, early-onset pneumonia presentation (&lt;72 hours), and high mortality (50%). The aim of this study was to review the current epidemiology and clinical course of SPIN.  Methods. The US Pediatric Multicenter Pneumococcal Surveillance Group has been prospectively monitoring S pneumoniae infections since 1993 in 8 children's hospitals. For this report, data were gathered retrospectively from the charts of neonates who were 30 days of age and younger and had SPIN from September 1993 to February 2001. All pneumococcal isolates were sent to a central laboratory for serogrouping/typing and susceptibility testing.  Results. Twenty-nine cases of SPIN were identified from a total of 4428 episodes of S pneumoniae infection in children. Sixty-six percent were male, and 55% were white; the mean age was 18.1 day ({+/-}8.2). Ninety percent of infants were [&amp;ge;]38 weeks' gestation. Two mothers had bacterial infections at delivery; 1 had S pneumoniae isolated from both blood and cervix, and 1 had clinical amnionitis. The primary diagnoses in the neonates were bacteremia (8), meningitis (8), bacteremic pneumonia (4), septic arthritis/osteomyelitis (1), and otitis media (8). Thirty percent of infants with invasive SPIN presented with leukopenia/neutropenia, but this did not predict poor outcome. The infecting pneumococcal serogroups were 19 (32%); 9 (18%); 3 and 18 (11% each); 1, 6, and 14 (7% each); and 5 and 12 (3.5% each). Twenty-six percent of invasive neonatal infections were caused by serogroups 1, 3, 5, and 12, which are not contained in the heptavalent pneumococcal vaccine. In contrast, 6% of invasive nonneonatal disease was caused by these same nonvaccine serogroups. Susceptibility testing demonstrated that 21.4% of isolates were penicillin nonsusceptible and 3.6% were ceftriaxone nonsusceptible. Three (14.3%) neonates with invasive SPIN died; all deaths occurred within 36 hours of presentation. Deaths did not appear to be related to pneumococcal serogroup or susceptibilities.  Conclusions. Compared with previous studies of neonates with pneumococcal infection, this series showed that infants with SPIN were usually 2 to 3 weeks of age at present\u2026", "author" : [ { "dropping-particle" : "", "family" : "Hoffman", "given" : "J. A.", "non-dropping-particle" : "", "parse-names" : false, "suffix" : "" }, { "dropping-particle" : "", "family" : "Mason", "given" : "E. O.", "non-dropping-particle" : "", "parse-names" : false, "suffix" : "" }, { "dropping-particle" : "", "family" : "Schutze", "given" : "G. E.", "non-dropping-particle" : "", "parse-names" : false, "suffix" : "" }, { "dropping-particle" : "", "family" : "Tan", "given" : "T. Q.", "non-dropping-particle" : "", "parse-names" : false, "suffix" : "" }, { "dropping-particle" : "", "family" : "Barson", "given" : "W. J.", "non-dropping-particle" : "", "parse-names" : false, "suffix" : "" }, { "dropping-particle" : "", "family" : "Givner", "given" : "L. B.", "non-dropping-particle" : "", "parse-names" : false, "suffix" : "" }, { "dropping-particle" : "", "family" : "Wald", "given" : "E. R.", "non-dropping-particle" : "", "parse-names" : false, "suffix" : "" }, { "dropping-particle" : "", "family" : "Bradley", "given" : "J. S.", "non-dropping-particle" : "", "parse-names" : false, "suffix" : "" }, { "dropping-particle" : "", "family" : "Yogev", "given" : "R.", "non-dropping-particle" : "", "parse-names" : false, "suffix" : "" }, { "dropping-particle" : "", "family" : "Kaplan", "given" : "S. L.", "non-dropping-particle" : "", "parse-names" : false, "suffix" : "" } ], "container-title" : "PEDIATRICS", "id" : "ITEM-1", "issue" : "5", "issued" : { "date-parts" : [ [ "2003" ] ] }, "page" : "1095-1102", "title" : "Streptococcus pneumoniae Infections in the Neonate", "type" : "article-journal", "volume" : "112" }, "uris" : [ "http://www.mendeley.com/documents/?uuid=f69d8174-2165-49b2-8e24-055c618557f3" ] } ], "mendeley" : { "formattedCitation" : "(25)", "plainTextFormattedCitation" : "(25)", "previouslyFormattedCitation" : "(26)" }, "properties" : { "noteIndex" : 0 }, "schema" : "https://github.com/citation-style-language/schema/raw/master/csl-citation.json" }</w:instrText>
      </w:r>
      <w:r w:rsidR="00FA5081">
        <w:rPr>
          <w:rFonts w:ascii="Cambria" w:hAnsi="Cambria" w:cs="Arial"/>
          <w:color w:val="313131"/>
        </w:rPr>
        <w:fldChar w:fldCharType="separate"/>
      </w:r>
      <w:r w:rsidR="00C1325A" w:rsidRPr="00C1325A">
        <w:rPr>
          <w:rFonts w:ascii="Cambria" w:hAnsi="Cambria" w:cs="Arial"/>
          <w:noProof/>
          <w:color w:val="313131"/>
        </w:rPr>
        <w:t>(25)</w:t>
      </w:r>
      <w:r w:rsidR="00FA5081">
        <w:rPr>
          <w:rFonts w:ascii="Cambria" w:hAnsi="Cambria" w:cs="Arial"/>
          <w:color w:val="313131"/>
        </w:rPr>
        <w:fldChar w:fldCharType="end"/>
      </w:r>
      <w:r w:rsidR="00781B05">
        <w:rPr>
          <w:rFonts w:ascii="Cambria" w:hAnsi="Cambria" w:cs="Arial"/>
          <w:color w:val="313131"/>
          <w:lang w:val="en-US"/>
        </w:rPr>
        <w:t xml:space="preserve">. </w:t>
      </w:r>
      <w:r w:rsidR="00486345">
        <w:rPr>
          <w:rFonts w:ascii="Cambria" w:hAnsi="Cambria" w:cs="Arial"/>
          <w:color w:val="313131"/>
          <w:lang w:val="en-US"/>
        </w:rPr>
        <w:t xml:space="preserve">The finding that more than </w:t>
      </w:r>
      <w:r w:rsidR="00A03355">
        <w:rPr>
          <w:rFonts w:ascii="Cambria" w:hAnsi="Cambria" w:cs="Arial"/>
          <w:color w:val="313131"/>
          <w:lang w:val="en-US"/>
        </w:rPr>
        <w:t xml:space="preserve">one </w:t>
      </w:r>
      <w:r w:rsidR="00486345">
        <w:rPr>
          <w:rFonts w:ascii="Cambria" w:hAnsi="Cambria" w:cs="Arial"/>
          <w:color w:val="313131"/>
          <w:lang w:val="en-US"/>
        </w:rPr>
        <w:t xml:space="preserve">third of children (mainly infants) died outside the hospital or in </w:t>
      </w:r>
      <w:r w:rsidR="00F278FE">
        <w:rPr>
          <w:rFonts w:ascii="Cambria" w:hAnsi="Cambria" w:cs="Arial"/>
          <w:color w:val="313131"/>
          <w:lang w:val="en-US"/>
        </w:rPr>
        <w:t xml:space="preserve">the Emergency Department </w:t>
      </w:r>
      <w:r w:rsidR="00AB5567">
        <w:rPr>
          <w:rFonts w:ascii="Cambria" w:hAnsi="Cambria" w:cs="Arial"/>
          <w:color w:val="313131"/>
          <w:lang w:val="en-US"/>
        </w:rPr>
        <w:t xml:space="preserve">suggests </w:t>
      </w:r>
      <w:r w:rsidR="00F278FE">
        <w:rPr>
          <w:rFonts w:ascii="Cambria" w:hAnsi="Cambria" w:cs="Arial"/>
          <w:color w:val="313131"/>
          <w:lang w:val="en-US"/>
        </w:rPr>
        <w:t xml:space="preserve">either </w:t>
      </w:r>
      <w:r w:rsidR="00AB5567">
        <w:rPr>
          <w:rFonts w:ascii="Cambria" w:hAnsi="Cambria" w:cs="Arial"/>
          <w:color w:val="313131"/>
          <w:lang w:val="en-US"/>
        </w:rPr>
        <w:t>a very r</w:t>
      </w:r>
      <w:r w:rsidR="00AB5567" w:rsidRPr="00AB5567">
        <w:rPr>
          <w:rFonts w:ascii="Cambria" w:hAnsi="Cambria" w:cs="Arial"/>
          <w:color w:val="313131"/>
          <w:lang w:val="en-US"/>
        </w:rPr>
        <w:t xml:space="preserve">apid onset or </w:t>
      </w:r>
      <w:r w:rsidR="00AB5567">
        <w:rPr>
          <w:rFonts w:ascii="Cambria" w:hAnsi="Cambria" w:cs="Arial"/>
          <w:color w:val="313131"/>
          <w:lang w:val="en-US"/>
        </w:rPr>
        <w:t>parental f</w:t>
      </w:r>
      <w:r w:rsidR="00AB5567" w:rsidRPr="00AB5567">
        <w:rPr>
          <w:rFonts w:ascii="Cambria" w:hAnsi="Cambria" w:cs="Arial"/>
          <w:color w:val="313131"/>
          <w:lang w:val="en-US"/>
        </w:rPr>
        <w:t xml:space="preserve">ailure to </w:t>
      </w:r>
      <w:r w:rsidR="0035085D" w:rsidRPr="00AB5567">
        <w:rPr>
          <w:rFonts w:ascii="Cambria" w:hAnsi="Cambria" w:cs="Arial"/>
          <w:color w:val="313131"/>
          <w:lang w:val="en-US"/>
        </w:rPr>
        <w:t>recogn</w:t>
      </w:r>
      <w:r w:rsidR="00BA332A">
        <w:rPr>
          <w:rFonts w:ascii="Cambria" w:hAnsi="Cambria" w:cs="Arial"/>
          <w:color w:val="313131"/>
          <w:lang w:val="en-US"/>
        </w:rPr>
        <w:t>ize</w:t>
      </w:r>
      <w:r w:rsidR="00AB5567" w:rsidRPr="00AB5567">
        <w:rPr>
          <w:rFonts w:ascii="Cambria" w:hAnsi="Cambria" w:cs="Arial"/>
          <w:color w:val="313131"/>
          <w:lang w:val="en-US"/>
        </w:rPr>
        <w:t xml:space="preserve"> </w:t>
      </w:r>
      <w:r w:rsidR="006A5F56">
        <w:rPr>
          <w:rFonts w:ascii="Cambria" w:hAnsi="Cambria" w:cs="Arial"/>
          <w:color w:val="313131"/>
          <w:lang w:val="en-US"/>
        </w:rPr>
        <w:t xml:space="preserve">the </w:t>
      </w:r>
      <w:r w:rsidR="00486345" w:rsidRPr="00AB5567">
        <w:rPr>
          <w:rFonts w:ascii="Cambria" w:hAnsi="Cambria" w:cs="Arial"/>
          <w:color w:val="313131"/>
          <w:lang w:val="en-US"/>
        </w:rPr>
        <w:t>warning symptoms and signs</w:t>
      </w:r>
      <w:r w:rsidR="00AB5567" w:rsidRPr="00AB5567">
        <w:rPr>
          <w:rFonts w:ascii="Cambria" w:hAnsi="Cambria" w:cs="Arial"/>
          <w:color w:val="313131"/>
          <w:lang w:val="en-US"/>
        </w:rPr>
        <w:t xml:space="preserve"> of serious infection</w:t>
      </w:r>
      <w:r w:rsidR="005F3648" w:rsidRPr="00AB5567">
        <w:rPr>
          <w:rFonts w:ascii="Cambria" w:hAnsi="Cambria" w:cs="Arial"/>
          <w:color w:val="313131"/>
          <w:lang w:val="en-US"/>
        </w:rPr>
        <w:t xml:space="preserve">. </w:t>
      </w:r>
      <w:r w:rsidR="00AB5567" w:rsidRPr="00AB5567">
        <w:rPr>
          <w:rFonts w:ascii="Cambria" w:hAnsi="Cambria" w:cs="Arial"/>
          <w:color w:val="313131"/>
          <w:lang w:val="en-US"/>
        </w:rPr>
        <w:t xml:space="preserve">Raising </w:t>
      </w:r>
      <w:r w:rsidR="005F3648" w:rsidRPr="00AB5567">
        <w:rPr>
          <w:rFonts w:ascii="Cambria" w:hAnsi="Cambria" w:cs="Arial"/>
          <w:color w:val="313131"/>
          <w:lang w:val="en-US"/>
        </w:rPr>
        <w:t xml:space="preserve">awareness </w:t>
      </w:r>
      <w:r w:rsidR="00781B05">
        <w:rPr>
          <w:rFonts w:ascii="Cambria" w:hAnsi="Cambria" w:cs="Arial"/>
          <w:color w:val="313131"/>
          <w:lang w:val="en-US"/>
        </w:rPr>
        <w:t>may improve earlier recognition of the sick child leading to earlier treatment, with better outcomes.</w:t>
      </w:r>
    </w:p>
    <w:p w14:paraId="59D7C887" w14:textId="77777777" w:rsidR="00F016D1" w:rsidRPr="00396B25" w:rsidRDefault="00F016D1" w:rsidP="00E41469">
      <w:pPr>
        <w:widowControl w:val="0"/>
        <w:autoSpaceDE w:val="0"/>
        <w:autoSpaceDN w:val="0"/>
        <w:adjustRightInd w:val="0"/>
        <w:spacing w:line="480" w:lineRule="auto"/>
        <w:rPr>
          <w:rFonts w:ascii="Cambria" w:hAnsi="Cambria" w:cs="Arial"/>
          <w:color w:val="313131"/>
          <w:lang w:val="en-US"/>
        </w:rPr>
      </w:pPr>
    </w:p>
    <w:p w14:paraId="4634C32D" w14:textId="77777777" w:rsidR="00FD7449" w:rsidRDefault="00FD7449" w:rsidP="00E41469">
      <w:pPr>
        <w:spacing w:line="480" w:lineRule="auto"/>
        <w:rPr>
          <w:rFonts w:ascii="Cambria" w:hAnsi="Cambria"/>
          <w:b/>
        </w:rPr>
      </w:pPr>
    </w:p>
    <w:p w14:paraId="713070E8" w14:textId="77777777" w:rsidR="00F016D1" w:rsidRPr="00396B25" w:rsidRDefault="00F016D1" w:rsidP="00A3236D">
      <w:pPr>
        <w:spacing w:line="480" w:lineRule="auto"/>
        <w:outlineLvl w:val="0"/>
        <w:rPr>
          <w:rFonts w:ascii="Cambria" w:hAnsi="Cambria"/>
          <w:b/>
        </w:rPr>
      </w:pPr>
      <w:r w:rsidRPr="00396B25">
        <w:rPr>
          <w:rFonts w:ascii="Cambria" w:hAnsi="Cambria"/>
          <w:b/>
        </w:rPr>
        <w:t>ACKNOWLEDGMENTS</w:t>
      </w:r>
    </w:p>
    <w:p w14:paraId="6A687322" w14:textId="77777777" w:rsidR="00F016D1" w:rsidRPr="00396B25" w:rsidRDefault="00F016D1" w:rsidP="00A03355">
      <w:pPr>
        <w:spacing w:line="480" w:lineRule="auto"/>
        <w:rPr>
          <w:rFonts w:ascii="Cambria" w:hAnsi="Cambria"/>
          <w:color w:val="2E2E2E"/>
          <w:shd w:val="clear" w:color="auto" w:fill="FFFFFF"/>
        </w:rPr>
      </w:pPr>
      <w:r w:rsidRPr="00396B25">
        <w:rPr>
          <w:rFonts w:ascii="Cambria" w:hAnsi="Cambria"/>
        </w:rPr>
        <w:t xml:space="preserve">The authors would like to thank Mrs Rashmi Malkani for </w:t>
      </w:r>
      <w:r w:rsidR="00C405BC">
        <w:rPr>
          <w:rFonts w:ascii="Cambria" w:hAnsi="Cambria"/>
        </w:rPr>
        <w:t>t</w:t>
      </w:r>
      <w:r w:rsidRPr="00396B25">
        <w:rPr>
          <w:rFonts w:ascii="Cambria" w:hAnsi="Cambria"/>
        </w:rPr>
        <w:t>he</w:t>
      </w:r>
      <w:r w:rsidR="00C405BC">
        <w:rPr>
          <w:rFonts w:ascii="Cambria" w:hAnsi="Cambria"/>
        </w:rPr>
        <w:t>i</w:t>
      </w:r>
      <w:r w:rsidRPr="00396B25">
        <w:rPr>
          <w:rFonts w:ascii="Cambria" w:hAnsi="Cambria"/>
        </w:rPr>
        <w:t xml:space="preserve">r assistance with the clinical follow-up of cases and data entry. The authors are grateful to the general practitioners and clinicians who took the </w:t>
      </w:r>
      <w:r w:rsidRPr="00396B25">
        <w:rPr>
          <w:rFonts w:ascii="Cambria" w:hAnsi="Cambria"/>
        </w:rPr>
        <w:lastRenderedPageBreak/>
        <w:t xml:space="preserve">time to complete the surveillance questionnaires and provide addition information when requested. </w:t>
      </w:r>
      <w:r w:rsidRPr="00396B25">
        <w:rPr>
          <w:rFonts w:ascii="Cambria" w:hAnsi="Cambria"/>
          <w:color w:val="2E2E2E"/>
          <w:shd w:val="clear" w:color="auto" w:fill="FFFFFF"/>
        </w:rPr>
        <w:t>We also thank Dr Derrick Crook</w:t>
      </w:r>
      <w:r w:rsidR="00A03355">
        <w:rPr>
          <w:rFonts w:ascii="Cambria" w:hAnsi="Cambria"/>
          <w:color w:val="2E2E2E"/>
          <w:shd w:val="clear" w:color="auto" w:fill="FFFFFF"/>
        </w:rPr>
        <w:t>,</w:t>
      </w:r>
      <w:r w:rsidR="00C405BC">
        <w:rPr>
          <w:rFonts w:ascii="Cambria" w:hAnsi="Cambria"/>
          <w:color w:val="2E2E2E"/>
          <w:shd w:val="clear" w:color="auto" w:fill="FFFFFF"/>
        </w:rPr>
        <w:t xml:space="preserve"> </w:t>
      </w:r>
      <w:r w:rsidRPr="00396B25">
        <w:rPr>
          <w:rFonts w:ascii="Cambria" w:hAnsi="Cambria"/>
          <w:color w:val="2E2E2E"/>
          <w:shd w:val="clear" w:color="auto" w:fill="FFFFFF"/>
        </w:rPr>
        <w:t xml:space="preserve">David Griffiths </w:t>
      </w:r>
      <w:r w:rsidR="00A03355">
        <w:rPr>
          <w:rFonts w:ascii="Cambria" w:hAnsi="Cambria"/>
          <w:color w:val="2E2E2E"/>
          <w:shd w:val="clear" w:color="auto" w:fill="FFFFFF"/>
        </w:rPr>
        <w:t xml:space="preserve">and </w:t>
      </w:r>
      <w:r w:rsidR="00A03355" w:rsidRPr="00A03355">
        <w:rPr>
          <w:rFonts w:ascii="Cambria" w:hAnsi="Cambria"/>
          <w:color w:val="2E2E2E"/>
          <w:shd w:val="clear" w:color="auto" w:fill="FFFFFF"/>
        </w:rPr>
        <w:t xml:space="preserve">Catrin Moore </w:t>
      </w:r>
      <w:r w:rsidRPr="00396B25">
        <w:rPr>
          <w:rFonts w:ascii="Cambria" w:hAnsi="Cambria"/>
          <w:color w:val="2E2E2E"/>
          <w:shd w:val="clear" w:color="auto" w:fill="FFFFFF"/>
        </w:rPr>
        <w:t>of the John Radcliffe Hospital Oxford for reporting IPD cases in Southern England serotyped by their laboratory</w:t>
      </w:r>
      <w:r w:rsidR="00B472FD">
        <w:rPr>
          <w:rFonts w:ascii="Cambria" w:hAnsi="Cambria"/>
          <w:color w:val="2E2E2E"/>
          <w:shd w:val="clear" w:color="auto" w:fill="FFFFFF"/>
        </w:rPr>
        <w:t xml:space="preserve">, </w:t>
      </w:r>
      <w:r w:rsidR="00A03355">
        <w:rPr>
          <w:rFonts w:ascii="Cambria" w:hAnsi="Cambria"/>
          <w:color w:val="2E2E2E"/>
          <w:shd w:val="clear" w:color="auto" w:fill="FFFFFF"/>
        </w:rPr>
        <w:t xml:space="preserve">the staff at the pneumococcal national reference </w:t>
      </w:r>
      <w:r w:rsidR="00B472FD">
        <w:rPr>
          <w:rFonts w:ascii="Cambria" w:hAnsi="Cambria"/>
          <w:color w:val="2E2E2E"/>
          <w:shd w:val="clear" w:color="auto" w:fill="FFFFFF"/>
        </w:rPr>
        <w:t>laboratory, PHE Colindale</w:t>
      </w:r>
      <w:r w:rsidR="00A03355">
        <w:rPr>
          <w:rFonts w:ascii="Cambria" w:hAnsi="Cambria"/>
          <w:color w:val="2E2E2E"/>
          <w:shd w:val="clear" w:color="auto" w:fill="FFFFFF"/>
        </w:rPr>
        <w:t xml:space="preserve"> </w:t>
      </w:r>
      <w:r w:rsidR="00B472FD">
        <w:rPr>
          <w:rFonts w:ascii="Cambria" w:hAnsi="Cambria"/>
          <w:color w:val="2E2E2E"/>
          <w:shd w:val="clear" w:color="auto" w:fill="FFFFFF"/>
        </w:rPr>
        <w:t xml:space="preserve">(Karen Broughton, Roger Daniel, Siobhán Martin, </w:t>
      </w:r>
      <w:r w:rsidR="00A03355" w:rsidRPr="00A03355">
        <w:rPr>
          <w:rFonts w:ascii="Cambria" w:hAnsi="Cambria"/>
          <w:color w:val="2E2E2E"/>
          <w:shd w:val="clear" w:color="auto" w:fill="FFFFFF"/>
        </w:rPr>
        <w:t>Ella Campion, Gurkiran Mankoo</w:t>
      </w:r>
      <w:r w:rsidR="00B472FD">
        <w:rPr>
          <w:rFonts w:ascii="Cambria" w:hAnsi="Cambria"/>
          <w:color w:val="2E2E2E"/>
          <w:shd w:val="clear" w:color="auto" w:fill="FFFFFF"/>
        </w:rPr>
        <w:t xml:space="preserve"> and John Duncan for performing </w:t>
      </w:r>
      <w:r w:rsidR="00FA5081" w:rsidRPr="00BB3F42">
        <w:rPr>
          <w:rFonts w:ascii="Cambria" w:hAnsi="Cambria"/>
          <w:i/>
          <w:color w:val="2E2E2E"/>
          <w:shd w:val="clear" w:color="auto" w:fill="FFFFFF"/>
        </w:rPr>
        <w:t>S. pneumoniae</w:t>
      </w:r>
      <w:r w:rsidR="00A03355" w:rsidRPr="00A03355">
        <w:rPr>
          <w:rFonts w:ascii="Cambria" w:hAnsi="Cambria"/>
          <w:color w:val="2E2E2E"/>
          <w:shd w:val="clear" w:color="auto" w:fill="FFFFFF"/>
        </w:rPr>
        <w:t xml:space="preserve"> serotyping</w:t>
      </w:r>
      <w:r w:rsidR="00B472FD">
        <w:rPr>
          <w:rFonts w:ascii="Cambria" w:hAnsi="Cambria"/>
          <w:color w:val="2E2E2E"/>
          <w:shd w:val="clear" w:color="auto" w:fill="FFFFFF"/>
        </w:rPr>
        <w:t>, and the NHS hospitals for submission of isolates.</w:t>
      </w:r>
    </w:p>
    <w:p w14:paraId="4415CD1F" w14:textId="77777777" w:rsidR="00F016D1" w:rsidRPr="00396B25" w:rsidRDefault="00F016D1" w:rsidP="00E41469">
      <w:pPr>
        <w:spacing w:line="480" w:lineRule="auto"/>
        <w:rPr>
          <w:rFonts w:ascii="Cambria" w:hAnsi="Cambria"/>
        </w:rPr>
      </w:pPr>
    </w:p>
    <w:p w14:paraId="136AFC13" w14:textId="77777777" w:rsidR="00F016D1" w:rsidRPr="00396B25" w:rsidRDefault="00F016D1" w:rsidP="00A3236D">
      <w:pPr>
        <w:spacing w:line="480" w:lineRule="auto"/>
        <w:outlineLvl w:val="0"/>
        <w:rPr>
          <w:rFonts w:ascii="Cambria" w:hAnsi="Cambria"/>
          <w:b/>
        </w:rPr>
      </w:pPr>
      <w:r w:rsidRPr="00396B25">
        <w:rPr>
          <w:rFonts w:ascii="Cambria" w:hAnsi="Cambria"/>
          <w:b/>
        </w:rPr>
        <w:t>Ethical Approval</w:t>
      </w:r>
    </w:p>
    <w:p w14:paraId="0A552844" w14:textId="77777777" w:rsidR="00F016D1" w:rsidRPr="00396B25" w:rsidRDefault="00F016D1" w:rsidP="00E41469">
      <w:pPr>
        <w:spacing w:line="480" w:lineRule="auto"/>
        <w:rPr>
          <w:rFonts w:ascii="Cambria" w:hAnsi="Cambria"/>
        </w:rPr>
      </w:pPr>
      <w:r w:rsidRPr="00396B25">
        <w:rPr>
          <w:rFonts w:ascii="Cambria" w:hAnsi="Cambria"/>
          <w:color w:val="000000"/>
        </w:rPr>
        <w:t xml:space="preserve">PHE has legal permission, provided by Regulation 3 of The Health Service (Control of Patient </w:t>
      </w:r>
      <w:r w:rsidRPr="00396B25">
        <w:rPr>
          <w:rFonts w:ascii="Cambria" w:hAnsi="Cambria"/>
          <w:color w:val="000000" w:themeColor="text1"/>
        </w:rPr>
        <w:t xml:space="preserve">Information) Regulations 2002, to process patient confidential information for national surveillance of communicable diseases </w:t>
      </w:r>
      <w:r w:rsidRPr="00396B25">
        <w:rPr>
          <w:rFonts w:ascii="Cambria" w:hAnsi="Cambria"/>
          <w:color w:val="000000"/>
        </w:rPr>
        <w:t>(</w:t>
      </w:r>
      <w:hyperlink r:id="rId10" w:tgtFrame="_blank" w:history="1">
        <w:r w:rsidRPr="00396B25">
          <w:rPr>
            <w:rStyle w:val="Hyperlink"/>
            <w:rFonts w:ascii="Cambria" w:hAnsi="Cambria" w:cs="Arial"/>
          </w:rPr>
          <w:t>http://www.legislation.gov.uk/uksi/2002/1438/regulation/3/made</w:t>
        </w:r>
      </w:hyperlink>
      <w:r w:rsidRPr="00396B25">
        <w:rPr>
          <w:rFonts w:ascii="Cambria" w:hAnsi="Cambria"/>
          <w:color w:val="000000"/>
        </w:rPr>
        <w:t>). This includes PHE’s responsibility to monitor the safety and effectiveness of vaccines.</w:t>
      </w:r>
    </w:p>
    <w:p w14:paraId="7FF6777D" w14:textId="77777777" w:rsidR="00F016D1" w:rsidRPr="00396B25" w:rsidRDefault="00F016D1" w:rsidP="00E41469">
      <w:pPr>
        <w:spacing w:line="480" w:lineRule="auto"/>
        <w:rPr>
          <w:rFonts w:ascii="Cambria" w:hAnsi="Cambria"/>
        </w:rPr>
      </w:pPr>
    </w:p>
    <w:p w14:paraId="2D52FEDB" w14:textId="77777777" w:rsidR="00F016D1" w:rsidRPr="00396B25" w:rsidRDefault="00F016D1" w:rsidP="00E41469">
      <w:pPr>
        <w:spacing w:line="480" w:lineRule="auto"/>
        <w:rPr>
          <w:rFonts w:ascii="Cambria" w:hAnsi="Cambria"/>
        </w:rPr>
      </w:pPr>
    </w:p>
    <w:p w14:paraId="6407E88E" w14:textId="77777777" w:rsidR="00F016D1" w:rsidRPr="00396B25" w:rsidRDefault="00F016D1" w:rsidP="00A3236D">
      <w:pPr>
        <w:spacing w:line="480" w:lineRule="auto"/>
        <w:outlineLvl w:val="0"/>
        <w:rPr>
          <w:rFonts w:ascii="Cambria" w:hAnsi="Cambria"/>
          <w:b/>
        </w:rPr>
      </w:pPr>
      <w:r w:rsidRPr="00396B25">
        <w:rPr>
          <w:rFonts w:ascii="Cambria" w:hAnsi="Cambria"/>
          <w:b/>
        </w:rPr>
        <w:t>Funding/Support</w:t>
      </w:r>
    </w:p>
    <w:p w14:paraId="1E7176FD" w14:textId="77777777" w:rsidR="00F016D1" w:rsidRPr="00396B25" w:rsidRDefault="00F016D1" w:rsidP="00E41469">
      <w:pPr>
        <w:spacing w:line="480" w:lineRule="auto"/>
        <w:rPr>
          <w:rFonts w:ascii="Cambria" w:hAnsi="Cambria"/>
        </w:rPr>
      </w:pPr>
      <w:r w:rsidRPr="00396B25">
        <w:rPr>
          <w:rFonts w:ascii="Cambria" w:hAnsi="Cambria"/>
        </w:rPr>
        <w:t xml:space="preserve">No external funding was received for the </w:t>
      </w:r>
      <w:r w:rsidRPr="00396B25">
        <w:rPr>
          <w:rFonts w:ascii="Cambria" w:hAnsi="Cambria"/>
          <w:color w:val="000000"/>
          <w:shd w:val="clear" w:color="auto" w:fill="FFFFFF"/>
        </w:rPr>
        <w:t>design and conduct of the study; collection, management, analysis, and interpretation of the data; and preparation, review, or approval of the manuscript; and decision to submit the manuscript for publication.</w:t>
      </w:r>
    </w:p>
    <w:p w14:paraId="01EE94DE" w14:textId="77777777" w:rsidR="00F016D1" w:rsidRPr="00396B25" w:rsidRDefault="00F016D1" w:rsidP="00E41469">
      <w:pPr>
        <w:spacing w:line="480" w:lineRule="auto"/>
        <w:rPr>
          <w:rFonts w:ascii="Cambria" w:hAnsi="Cambria"/>
        </w:rPr>
      </w:pPr>
    </w:p>
    <w:p w14:paraId="38D1AAAB" w14:textId="77777777" w:rsidR="00F016D1" w:rsidRPr="00396B25" w:rsidRDefault="00F016D1" w:rsidP="00A3236D">
      <w:pPr>
        <w:spacing w:line="480" w:lineRule="auto"/>
        <w:outlineLvl w:val="0"/>
        <w:rPr>
          <w:rFonts w:ascii="Cambria" w:hAnsi="Cambria"/>
          <w:b/>
        </w:rPr>
      </w:pPr>
      <w:r w:rsidRPr="00396B25">
        <w:rPr>
          <w:rFonts w:ascii="Cambria" w:hAnsi="Cambria"/>
          <w:b/>
        </w:rPr>
        <w:t>Conflicts of interest</w:t>
      </w:r>
    </w:p>
    <w:p w14:paraId="5E8D276E" w14:textId="2DBBBEDC" w:rsidR="00B90860" w:rsidRPr="00FD7449" w:rsidRDefault="00F016D1" w:rsidP="00FD7449">
      <w:pPr>
        <w:spacing w:line="480" w:lineRule="auto"/>
        <w:rPr>
          <w:rFonts w:ascii="Cambria" w:hAnsi="Cambria"/>
        </w:rPr>
      </w:pPr>
      <w:r w:rsidRPr="00396B25">
        <w:rPr>
          <w:rFonts w:ascii="Cambria" w:hAnsi="Cambria"/>
        </w:rPr>
        <w:t xml:space="preserve">No external funding was received for this piece of work. SC, NA and SNL have provided vaccine manufactures with post-marketing surveillance </w:t>
      </w:r>
      <w:r w:rsidR="00FB2266" w:rsidRPr="00396B25">
        <w:rPr>
          <w:rFonts w:ascii="Cambria" w:hAnsi="Cambria"/>
        </w:rPr>
        <w:t>reports, which</w:t>
      </w:r>
      <w:r w:rsidRPr="00396B25">
        <w:rPr>
          <w:rFonts w:ascii="Cambria" w:hAnsi="Cambria"/>
        </w:rPr>
        <w:t xml:space="preserve"> the companies are required to submit to the UK Licensing authority in compliance with their Risk Management Strategy. In accordance with PHE policy a cost recovery charge is made for these reports payable to the Immunisation department. Public Health England has received payment for lectures given by RB from GSK, Baxter, SPMSD, and Novartis.</w:t>
      </w:r>
      <w:r w:rsidRPr="00396B25">
        <w:rPr>
          <w:rFonts w:ascii="Cambria" w:eastAsia="Times New Roman" w:hAnsi="Cambria"/>
          <w:color w:val="000000"/>
        </w:rPr>
        <w:t xml:space="preserve"> MPES has </w:t>
      </w:r>
      <w:r w:rsidRPr="00396B25">
        <w:rPr>
          <w:rFonts w:ascii="Cambria" w:eastAsia="Times New Roman" w:hAnsi="Cambria"/>
        </w:rPr>
        <w:t>received funding from Pfize</w:t>
      </w:r>
      <w:r w:rsidR="00842B74">
        <w:rPr>
          <w:rFonts w:ascii="Cambria" w:eastAsia="Times New Roman" w:hAnsi="Cambria"/>
        </w:rPr>
        <w:t xml:space="preserve">r, GSK </w:t>
      </w:r>
      <w:r w:rsidRPr="00396B25">
        <w:rPr>
          <w:rFonts w:ascii="Cambria" w:eastAsia="Times New Roman" w:hAnsi="Cambria"/>
        </w:rPr>
        <w:t xml:space="preserve">and Sanofi Pasteur for participation in Advisory </w:t>
      </w:r>
      <w:r w:rsidRPr="00396B25">
        <w:rPr>
          <w:rFonts w:ascii="Cambria" w:eastAsia="Times New Roman" w:hAnsi="Cambria"/>
        </w:rPr>
        <w:lastRenderedPageBreak/>
        <w:t xml:space="preserve">Boards and from GSK and Astra Zeneca for participation in Symposia at International Scientific Meetings. </w:t>
      </w:r>
      <w:r w:rsidRPr="00396B25">
        <w:rPr>
          <w:rFonts w:ascii="Cambria" w:eastAsia="Times New Roman" w:hAnsi="Cambria"/>
          <w:color w:val="000000"/>
        </w:rPr>
        <w:t>RB and SNL perform contract research on behalf of Public Health England for GSK, Novartis, Pfizer and Sanofi Pasteur</w:t>
      </w:r>
      <w:r w:rsidR="008442D4">
        <w:rPr>
          <w:rFonts w:ascii="Cambria" w:eastAsia="Times New Roman" w:hAnsi="Cambria"/>
          <w:color w:val="000000"/>
        </w:rPr>
        <w:t xml:space="preserve"> but receive no personal remuneration</w:t>
      </w:r>
      <w:r w:rsidRPr="00396B25">
        <w:rPr>
          <w:rFonts w:ascii="Cambria" w:eastAsia="Times New Roman" w:hAnsi="Cambria"/>
          <w:color w:val="000000"/>
        </w:rPr>
        <w:t>.</w:t>
      </w:r>
    </w:p>
    <w:p w14:paraId="682E987A" w14:textId="77777777" w:rsidR="004C60A8" w:rsidRDefault="004C60A8" w:rsidP="008A710D">
      <w:pPr>
        <w:widowControl w:val="0"/>
        <w:autoSpaceDE w:val="0"/>
        <w:autoSpaceDN w:val="0"/>
        <w:adjustRightInd w:val="0"/>
        <w:rPr>
          <w:rFonts w:ascii="Cambria" w:hAnsi="Cambria" w:cs="Cambria"/>
          <w:b/>
          <w:bCs/>
          <w:sz w:val="28"/>
          <w:szCs w:val="28"/>
          <w:lang w:val="en-US"/>
        </w:rPr>
      </w:pPr>
    </w:p>
    <w:p w14:paraId="5E9C6147" w14:textId="77777777" w:rsidR="008442D4" w:rsidRDefault="008442D4">
      <w:pPr>
        <w:rPr>
          <w:rFonts w:ascii="Cambria" w:hAnsi="Cambria" w:cs="Cambria"/>
          <w:b/>
          <w:bCs/>
          <w:sz w:val="28"/>
          <w:szCs w:val="28"/>
          <w:lang w:val="en-US"/>
        </w:rPr>
      </w:pPr>
      <w:r>
        <w:rPr>
          <w:rFonts w:ascii="Cambria" w:hAnsi="Cambria" w:cs="Cambria"/>
          <w:b/>
          <w:bCs/>
          <w:sz w:val="28"/>
          <w:szCs w:val="28"/>
          <w:lang w:val="en-US"/>
        </w:rPr>
        <w:br w:type="page"/>
      </w:r>
    </w:p>
    <w:p w14:paraId="304CBC48" w14:textId="77777777" w:rsidR="00B90860" w:rsidRDefault="00DE037A" w:rsidP="00A3236D">
      <w:pPr>
        <w:widowControl w:val="0"/>
        <w:autoSpaceDE w:val="0"/>
        <w:autoSpaceDN w:val="0"/>
        <w:adjustRightInd w:val="0"/>
        <w:outlineLvl w:val="0"/>
        <w:rPr>
          <w:rFonts w:ascii="Cambria" w:hAnsi="Cambria" w:cs="Cambria"/>
          <w:b/>
          <w:bCs/>
          <w:sz w:val="28"/>
          <w:szCs w:val="28"/>
          <w:lang w:val="en-US"/>
        </w:rPr>
      </w:pPr>
      <w:r>
        <w:rPr>
          <w:rFonts w:ascii="Cambria" w:hAnsi="Cambria" w:cs="Cambria"/>
          <w:b/>
          <w:bCs/>
          <w:sz w:val="28"/>
          <w:szCs w:val="28"/>
          <w:lang w:val="en-US"/>
        </w:rPr>
        <w:lastRenderedPageBreak/>
        <w:t>References</w:t>
      </w:r>
    </w:p>
    <w:p w14:paraId="0ADFE7AF" w14:textId="77777777" w:rsidR="002D1F2C" w:rsidRDefault="002D1F2C" w:rsidP="008A710D">
      <w:pPr>
        <w:widowControl w:val="0"/>
        <w:autoSpaceDE w:val="0"/>
        <w:autoSpaceDN w:val="0"/>
        <w:adjustRightInd w:val="0"/>
        <w:rPr>
          <w:rFonts w:ascii="Cambria" w:hAnsi="Cambria" w:cs="Cambria"/>
          <w:b/>
          <w:bCs/>
          <w:sz w:val="28"/>
          <w:szCs w:val="28"/>
          <w:lang w:val="en-US"/>
        </w:rPr>
      </w:pPr>
    </w:p>
    <w:p w14:paraId="56D2FEE5" w14:textId="3A654522" w:rsidR="00C1325A" w:rsidRPr="00C1325A" w:rsidRDefault="00FA5081" w:rsidP="00C1325A">
      <w:pPr>
        <w:widowControl w:val="0"/>
        <w:autoSpaceDE w:val="0"/>
        <w:autoSpaceDN w:val="0"/>
        <w:adjustRightInd w:val="0"/>
        <w:ind w:left="640" w:hanging="640"/>
        <w:rPr>
          <w:rFonts w:ascii="Cambria" w:hAnsi="Cambria" w:cs="Times New Roman"/>
          <w:noProof/>
        </w:rPr>
      </w:pPr>
      <w:r w:rsidRPr="00A8141F">
        <w:rPr>
          <w:rFonts w:ascii="Cambria" w:hAnsi="Cambria" w:cs="Cambria"/>
          <w:b/>
          <w:bCs/>
          <w:szCs w:val="28"/>
          <w:lang w:val="en-US"/>
        </w:rPr>
        <w:fldChar w:fldCharType="begin" w:fldLock="1"/>
      </w:r>
      <w:r w:rsidR="002D1F2C" w:rsidRPr="00A8141F">
        <w:rPr>
          <w:rFonts w:ascii="Cambria" w:hAnsi="Cambria" w:cs="Cambria"/>
          <w:b/>
          <w:bCs/>
          <w:szCs w:val="28"/>
          <w:lang w:val="en-US"/>
        </w:rPr>
        <w:instrText xml:space="preserve">ADDIN Mendeley Bibliography CSL_BIBLIOGRAPHY </w:instrText>
      </w:r>
      <w:r w:rsidRPr="00A8141F">
        <w:rPr>
          <w:rFonts w:ascii="Cambria" w:hAnsi="Cambria" w:cs="Cambria"/>
          <w:b/>
          <w:bCs/>
          <w:szCs w:val="28"/>
          <w:lang w:val="en-US"/>
        </w:rPr>
        <w:fldChar w:fldCharType="separate"/>
      </w:r>
      <w:r w:rsidR="00C1325A" w:rsidRPr="00C1325A">
        <w:rPr>
          <w:rFonts w:ascii="Cambria" w:hAnsi="Cambria" w:cs="Times New Roman"/>
          <w:noProof/>
        </w:rPr>
        <w:t xml:space="preserve">1. </w:t>
      </w:r>
      <w:r w:rsidR="00C1325A" w:rsidRPr="00C1325A">
        <w:rPr>
          <w:rFonts w:ascii="Cambria" w:hAnsi="Cambria" w:cs="Times New Roman"/>
          <w:noProof/>
        </w:rPr>
        <w:tab/>
        <w:t xml:space="preserve">O’Brien KL, Wolfson LJ, Watt JP, Henkle E, Deloria-Knoll M, McCall N, et al. Burden of disease caused by Streptococcus pneumoniae in children younger than 5 years: global estimates. Lancet  2009;374(9693):893–902. </w:t>
      </w:r>
    </w:p>
    <w:p w14:paraId="77898256"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 </w:t>
      </w:r>
      <w:r w:rsidRPr="00C1325A">
        <w:rPr>
          <w:rFonts w:ascii="Cambria" w:hAnsi="Cambria" w:cs="Times New Roman"/>
          <w:noProof/>
        </w:rPr>
        <w:tab/>
        <w:t xml:space="preserve">Johnson AP, Waight P, Andrews N, Pebody R, George RC, Miller E. Morbidity and mortality of pneumococcal meningitis and serotypes of causative strains prior to introduction of the 7-valent conjugant pneumococcal vaccine in England. J Infect. 2007;55(5):394–9. </w:t>
      </w:r>
    </w:p>
    <w:p w14:paraId="715A13B3"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3. </w:t>
      </w:r>
      <w:r w:rsidRPr="00C1325A">
        <w:rPr>
          <w:rFonts w:ascii="Cambria" w:hAnsi="Cambria" w:cs="Times New Roman"/>
          <w:noProof/>
        </w:rPr>
        <w:tab/>
        <w:t xml:space="preserve">Miller E, Andrews NJ, Waight PA, Slack MPE, George RC. Herd immunity and serotype replacement 4 years after seven-valent pneumococcal conjugate vaccination in England and Wales: An observational cohort study. Lancet Infect Dis. 2011;11(10):760–8. </w:t>
      </w:r>
    </w:p>
    <w:p w14:paraId="27B2C0FA"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4. </w:t>
      </w:r>
      <w:r w:rsidRPr="00C1325A">
        <w:rPr>
          <w:rFonts w:ascii="Cambria" w:hAnsi="Cambria" w:cs="Times New Roman"/>
          <w:noProof/>
        </w:rPr>
        <w:tab/>
        <w:t xml:space="preserve">Waight PA, Andrews NJ, Ladhani SN, Sheppard CL, Slack MPE, Miller E. Effect of the 13-valent pneumococcal conjugate vaccine on invasive pneumococcal disease in England and Wales 4 years after its introduction: An observational cohort study. Lancet Infect Dis. 2015;15(5):535–43. </w:t>
      </w:r>
    </w:p>
    <w:p w14:paraId="0FA1EF8B"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5. </w:t>
      </w:r>
      <w:r w:rsidRPr="00C1325A">
        <w:rPr>
          <w:rFonts w:ascii="Cambria" w:hAnsi="Cambria" w:cs="Times New Roman"/>
          <w:noProof/>
        </w:rPr>
        <w:tab/>
        <w:t xml:space="preserve">Navarro-Torné A, Dias JG, Hruba F, Lopalco PL, Pastore-Celentano L, Amato Gauci AJ, et al. Risk factors for death from invasive pneumococcal disease, europe, 2010. Emerg Infect Dis. 2015;21(3):417–25. </w:t>
      </w:r>
    </w:p>
    <w:p w14:paraId="526F6E3A" w14:textId="35A766BB"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6. </w:t>
      </w:r>
      <w:r w:rsidRPr="00C1325A">
        <w:rPr>
          <w:rFonts w:ascii="Cambria" w:hAnsi="Cambria" w:cs="Times New Roman"/>
          <w:noProof/>
        </w:rPr>
        <w:tab/>
        <w:t>Salisbury D, Ramsay M</w:t>
      </w:r>
      <w:r w:rsidR="007D14DF">
        <w:rPr>
          <w:rFonts w:ascii="Cambria" w:hAnsi="Cambria" w:cs="Times New Roman"/>
          <w:noProof/>
        </w:rPr>
        <w:t>,</w:t>
      </w:r>
      <w:r w:rsidRPr="00C1325A">
        <w:rPr>
          <w:rFonts w:ascii="Cambria" w:hAnsi="Cambria" w:cs="Times New Roman"/>
          <w:noProof/>
        </w:rPr>
        <w:t xml:space="preserve"> N</w:t>
      </w:r>
      <w:r w:rsidR="007D14DF">
        <w:rPr>
          <w:rFonts w:ascii="Cambria" w:hAnsi="Cambria" w:cs="Times New Roman"/>
          <w:noProof/>
        </w:rPr>
        <w:t xml:space="preserve">oakes </w:t>
      </w:r>
      <w:r w:rsidRPr="00C1325A">
        <w:rPr>
          <w:rFonts w:ascii="Cambria" w:hAnsi="Cambria" w:cs="Times New Roman"/>
          <w:noProof/>
        </w:rPr>
        <w:t xml:space="preserve">K. </w:t>
      </w:r>
      <w:r w:rsidR="00281208">
        <w:rPr>
          <w:rFonts w:ascii="Cambria" w:hAnsi="Cambria" w:cs="Times New Roman"/>
          <w:noProof/>
        </w:rPr>
        <w:t>(updated 2013</w:t>
      </w:r>
      <w:r w:rsidR="00B35A2A">
        <w:rPr>
          <w:rFonts w:ascii="Cambria" w:hAnsi="Cambria" w:cs="Times New Roman"/>
          <w:noProof/>
        </w:rPr>
        <w:t>;11</w:t>
      </w:r>
      <w:r w:rsidR="00281208">
        <w:rPr>
          <w:rFonts w:ascii="Cambria" w:hAnsi="Cambria" w:cs="Times New Roman"/>
          <w:noProof/>
        </w:rPr>
        <w:t xml:space="preserve">). </w:t>
      </w:r>
      <w:r w:rsidRPr="00C1325A">
        <w:rPr>
          <w:rFonts w:ascii="Cambria" w:hAnsi="Cambria" w:cs="Times New Roman"/>
          <w:noProof/>
        </w:rPr>
        <w:t>Immunisation against infectious disease</w:t>
      </w:r>
      <w:r w:rsidR="00281208">
        <w:rPr>
          <w:rFonts w:ascii="Cambria" w:hAnsi="Cambria" w:cs="Times New Roman"/>
          <w:noProof/>
        </w:rPr>
        <w:t>, 2006. The Stationary Office</w:t>
      </w:r>
      <w:r w:rsidRPr="00C1325A">
        <w:rPr>
          <w:rFonts w:ascii="Cambria" w:hAnsi="Cambria" w:cs="Times New Roman"/>
          <w:noProof/>
        </w:rPr>
        <w:t xml:space="preserve">. </w:t>
      </w:r>
      <w:hyperlink r:id="rId11" w:history="1">
        <w:r w:rsidR="00281208">
          <w:rPr>
            <w:rFonts w:ascii="Helvetica Neue" w:hAnsi="Helvetica Neue" w:cs="Helvetica Neue"/>
            <w:color w:val="420178"/>
            <w:u w:val="single" w:color="420178"/>
            <w:lang w:val="en-US"/>
          </w:rPr>
          <w:t>http://www.dh.gov.uk/en/Publicationsandstatistics/Publications/PublicationsPolicyAndGuidance/DH_079917</w:t>
        </w:r>
      </w:hyperlink>
      <w:r w:rsidR="00281208">
        <w:rPr>
          <w:rFonts w:ascii="Helvetica Neue" w:hAnsi="Helvetica Neue" w:cs="Helvetica Neue"/>
          <w:color w:val="191919"/>
          <w:lang w:val="en-US"/>
        </w:rPr>
        <w:t xml:space="preserve"> Accessed </w:t>
      </w:r>
      <w:r w:rsidR="001413AF">
        <w:rPr>
          <w:rFonts w:ascii="Helvetica Neue" w:hAnsi="Helvetica Neue" w:cs="Helvetica Neue"/>
          <w:color w:val="191919"/>
          <w:lang w:val="en-US"/>
        </w:rPr>
        <w:t>10</w:t>
      </w:r>
      <w:r w:rsidR="00281208">
        <w:rPr>
          <w:rFonts w:ascii="Helvetica Neue" w:hAnsi="Helvetica Neue" w:cs="Helvetica Neue"/>
          <w:color w:val="191919"/>
          <w:lang w:val="en-US"/>
        </w:rPr>
        <w:t xml:space="preserve"> March 2017</w:t>
      </w:r>
    </w:p>
    <w:p w14:paraId="17E492E5"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7. </w:t>
      </w:r>
      <w:r w:rsidRPr="00C1325A">
        <w:rPr>
          <w:rFonts w:ascii="Cambria" w:hAnsi="Cambria" w:cs="Times New Roman"/>
          <w:noProof/>
        </w:rPr>
        <w:tab/>
        <w:t xml:space="preserve">Hausdorff WP, Hanage WP. Interim results of an ecological experiment — Conjugate vaccination against the pneumococcus and serotype replacement. Vol. 12, Human Vaccines and Immunotherapeutics. 2016. p. 358–74. </w:t>
      </w:r>
    </w:p>
    <w:p w14:paraId="36E41D47"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8. </w:t>
      </w:r>
      <w:r w:rsidRPr="00C1325A">
        <w:rPr>
          <w:rFonts w:ascii="Cambria" w:hAnsi="Cambria" w:cs="Times New Roman"/>
          <w:noProof/>
        </w:rPr>
        <w:tab/>
        <w:t xml:space="preserve">Martens P, Worm SW, Lundgren B, Konradsen HB, Benfield T. Serotype-specific mortality from invasive Streptococcus pneumoniae disease revisited. BMC Infect Dis. 2004;4:21. </w:t>
      </w:r>
    </w:p>
    <w:p w14:paraId="68440E92"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9. </w:t>
      </w:r>
      <w:r w:rsidRPr="00C1325A">
        <w:rPr>
          <w:rFonts w:ascii="Cambria" w:hAnsi="Cambria" w:cs="Times New Roman"/>
          <w:noProof/>
        </w:rPr>
        <w:tab/>
        <w:t xml:space="preserve">Flasche S, van Hoek AJ, Sheasby E, Waight P, Andrews N, Sheppard C, et al. Effect of pneumococcal conjugate vaccination on serotype-specific carriage and invasive disease in England: A cross-sectional study. PLoS Med. 2011;8(4):14. </w:t>
      </w:r>
    </w:p>
    <w:p w14:paraId="15EFF8D1"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10. </w:t>
      </w:r>
      <w:r w:rsidRPr="00C1325A">
        <w:rPr>
          <w:rFonts w:ascii="Cambria" w:hAnsi="Cambria" w:cs="Times New Roman"/>
          <w:noProof/>
        </w:rPr>
        <w:tab/>
        <w:t xml:space="preserve">Pichon B, Ladhani SN, Slack MPE, Segonds-Pichon A, Andrews NJ, Waight PA, et al. Changes in molecular epidemiology of Streptococcus Pneumoniae causing meningitis following introduction of pneumococcal conjugate vaccination in England and Wales. J Clin Microbiol. 2013;51(3):820–7. </w:t>
      </w:r>
    </w:p>
    <w:p w14:paraId="3229347B" w14:textId="520DDDC5"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11. </w:t>
      </w:r>
      <w:r w:rsidRPr="00C1325A">
        <w:rPr>
          <w:rFonts w:ascii="Cambria" w:hAnsi="Cambria" w:cs="Times New Roman"/>
          <w:noProof/>
        </w:rPr>
        <w:tab/>
        <w:t xml:space="preserve">Alanee SRJ, McGee L, Jackson D, Chiou CC, Feldman C, Morris  </w:t>
      </w:r>
      <w:r w:rsidR="00B35A2A">
        <w:rPr>
          <w:rFonts w:ascii="Cambria" w:hAnsi="Cambria" w:cs="Times New Roman"/>
          <w:noProof/>
        </w:rPr>
        <w:t>AJ</w:t>
      </w:r>
      <w:r w:rsidR="009157E5">
        <w:rPr>
          <w:rFonts w:ascii="Cambria" w:hAnsi="Cambria" w:cs="Times New Roman"/>
          <w:noProof/>
        </w:rPr>
        <w:t xml:space="preserve">, </w:t>
      </w:r>
      <w:r w:rsidRPr="00C1325A">
        <w:rPr>
          <w:rFonts w:ascii="Cambria" w:hAnsi="Cambria" w:cs="Times New Roman"/>
          <w:noProof/>
        </w:rPr>
        <w:t xml:space="preserve">et al. Association of serotypes of Streptococcus pneumoniae with disease severity and outcome in adults: an international study. Clin Infect Dis. 2007;45:46–51. </w:t>
      </w:r>
    </w:p>
    <w:p w14:paraId="71CF2241" w14:textId="02581381"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12. </w:t>
      </w:r>
      <w:r w:rsidRPr="00C1325A">
        <w:rPr>
          <w:rFonts w:ascii="Cambria" w:hAnsi="Cambria" w:cs="Times New Roman"/>
          <w:noProof/>
        </w:rPr>
        <w:tab/>
        <w:t>H</w:t>
      </w:r>
      <w:r w:rsidR="00B35A2A">
        <w:rPr>
          <w:rFonts w:ascii="Cambria" w:hAnsi="Cambria" w:cs="Times New Roman"/>
          <w:noProof/>
        </w:rPr>
        <w:t>arboe ZB</w:t>
      </w:r>
      <w:r w:rsidRPr="00C1325A">
        <w:rPr>
          <w:rFonts w:ascii="Cambria" w:hAnsi="Cambria" w:cs="Times New Roman"/>
          <w:noProof/>
        </w:rPr>
        <w:t xml:space="preserve">, </w:t>
      </w:r>
      <w:r w:rsidR="00B35A2A">
        <w:rPr>
          <w:rFonts w:ascii="Cambria" w:hAnsi="Cambria" w:cs="Times New Roman"/>
          <w:noProof/>
        </w:rPr>
        <w:t xml:space="preserve">Thomsen </w:t>
      </w:r>
      <w:r w:rsidRPr="00C1325A">
        <w:rPr>
          <w:rFonts w:ascii="Cambria" w:hAnsi="Cambria" w:cs="Times New Roman"/>
          <w:noProof/>
        </w:rPr>
        <w:t>RW</w:t>
      </w:r>
      <w:r w:rsidR="00B35A2A">
        <w:rPr>
          <w:rFonts w:ascii="Cambria" w:hAnsi="Cambria" w:cs="Times New Roman"/>
          <w:noProof/>
        </w:rPr>
        <w:t>,</w:t>
      </w:r>
      <w:r w:rsidRPr="00C1325A">
        <w:rPr>
          <w:rFonts w:ascii="Cambria" w:hAnsi="Cambria" w:cs="Times New Roman"/>
          <w:noProof/>
        </w:rPr>
        <w:t xml:space="preserve"> Riis A, Valentiner-Branth P, </w:t>
      </w:r>
      <w:r w:rsidR="00B35A2A">
        <w:rPr>
          <w:rFonts w:ascii="Cambria" w:hAnsi="Cambria" w:cs="Times New Roman"/>
          <w:noProof/>
        </w:rPr>
        <w:t xml:space="preserve">Christensen </w:t>
      </w:r>
      <w:r w:rsidRPr="00C1325A">
        <w:rPr>
          <w:rFonts w:ascii="Cambria" w:hAnsi="Cambria" w:cs="Times New Roman"/>
          <w:noProof/>
        </w:rPr>
        <w:t xml:space="preserve">JJ, Lambertsen L, et al. Pneumococcal serotypes and mortality following invasive pneumococcal disease: a population-based cohort study. PLoS Med. 2009;6(5):e1000081–e1000081.  </w:t>
      </w:r>
    </w:p>
    <w:p w14:paraId="32621412" w14:textId="017A1946"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13. </w:t>
      </w:r>
      <w:r w:rsidRPr="00C1325A">
        <w:rPr>
          <w:rFonts w:ascii="Cambria" w:hAnsi="Cambria" w:cs="Times New Roman"/>
          <w:noProof/>
        </w:rPr>
        <w:tab/>
        <w:t xml:space="preserve">Weinberger DM, Harboe ZB, Sanders EAM, Ndiritu M, Klugman KP, Rückinger S, et al. Association of serotype with risk of death due to pneumococcal pneumonia: a meta-analysis. Clin Infect Dis. 2010;51(6):692–9. </w:t>
      </w:r>
    </w:p>
    <w:p w14:paraId="77A8C523"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14. </w:t>
      </w:r>
      <w:r w:rsidRPr="00C1325A">
        <w:rPr>
          <w:rFonts w:ascii="Cambria" w:hAnsi="Cambria" w:cs="Times New Roman"/>
          <w:noProof/>
        </w:rPr>
        <w:tab/>
        <w:t xml:space="preserve">Grau I, Ardanuy C, Cubero M, Benitez MA, Liñares J, Pallares R. Declining mortality from adult pneumococcal infections linked to children’s vaccination. J Infect. 2016;72(4):439–49. </w:t>
      </w:r>
    </w:p>
    <w:p w14:paraId="209FBE50"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15. </w:t>
      </w:r>
      <w:r w:rsidRPr="00C1325A">
        <w:rPr>
          <w:rFonts w:ascii="Cambria" w:hAnsi="Cambria" w:cs="Times New Roman"/>
          <w:noProof/>
        </w:rPr>
        <w:tab/>
        <w:t xml:space="preserve">Ladhani SN, Slack MPE, Andrews NJ, Waight PA, Borrow R, Miller E. Invasive pneumococcal disease after routine pneumococcal conjugate vaccination in children, England and Wales. Emerg Infect Dis. 2013;19(1):61–8. </w:t>
      </w:r>
    </w:p>
    <w:p w14:paraId="2B54BA70"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16. </w:t>
      </w:r>
      <w:r w:rsidRPr="00C1325A">
        <w:rPr>
          <w:rFonts w:ascii="Cambria" w:hAnsi="Cambria" w:cs="Times New Roman"/>
          <w:noProof/>
        </w:rPr>
        <w:tab/>
        <w:t xml:space="preserve">Østergaard C, Brandt C, Konradsen HB, Samuelsson S. Differences in survival, brain damage, and cerebrospinal fluid cytokine kinetics due to meningitis caused by 3 different Streptococcus pneumoniae serotypes: evaluation in humans and in 2 experimental models. J Infect Dis. 2004;190(7):1212–20. </w:t>
      </w:r>
    </w:p>
    <w:p w14:paraId="6C811714" w14:textId="66E16CED"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17. </w:t>
      </w:r>
      <w:r w:rsidRPr="00C1325A">
        <w:rPr>
          <w:rFonts w:ascii="Cambria" w:hAnsi="Cambria" w:cs="Times New Roman"/>
          <w:noProof/>
        </w:rPr>
        <w:tab/>
        <w:t xml:space="preserve">Engelhard D, Pomeranz S, Gallily R, Strauss N, Tuomanen E. Serotype-related differences in inflammatory response to Streptococcus pneumoniae in experimental meningitis. J Infect Dis. </w:t>
      </w:r>
      <w:r w:rsidRPr="00C1325A">
        <w:rPr>
          <w:rFonts w:ascii="Cambria" w:hAnsi="Cambria" w:cs="Times New Roman"/>
          <w:noProof/>
        </w:rPr>
        <w:lastRenderedPageBreak/>
        <w:t xml:space="preserve">1997;175(4):979–82. </w:t>
      </w:r>
    </w:p>
    <w:p w14:paraId="2F5F438B" w14:textId="13AEDFD8"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18. </w:t>
      </w:r>
      <w:r w:rsidRPr="00C1325A">
        <w:rPr>
          <w:rFonts w:ascii="Cambria" w:hAnsi="Cambria" w:cs="Times New Roman"/>
          <w:noProof/>
        </w:rPr>
        <w:tab/>
        <w:t xml:space="preserve">Olarte L, Barson WJ, Barson RM, Lin PL, Romero JR, Tan TQ, et al. Impact of the 13-Valent Pneumococcal Conjugate Vaccine on Pneumococcal Meningitis in US Children. Clin Infect Dis. 2015;61(5):767–75. </w:t>
      </w:r>
    </w:p>
    <w:p w14:paraId="74AEE6E9" w14:textId="077C8F3D"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19. </w:t>
      </w:r>
      <w:r w:rsidRPr="00C1325A">
        <w:rPr>
          <w:rFonts w:ascii="Cambria" w:hAnsi="Cambria" w:cs="Times New Roman"/>
          <w:noProof/>
        </w:rPr>
        <w:tab/>
        <w:t xml:space="preserve">Hsu HE, Shutt KA, Moore MR, Beall BW, Bennett NM, Craig AS, et al. Effect of pneumococcal conjugate vaccine on pneumococcal meningitis. N Engl J Med. 2009;360(3):244–56. </w:t>
      </w:r>
    </w:p>
    <w:p w14:paraId="74DD7A6B" w14:textId="5C4530DA"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20. </w:t>
      </w:r>
      <w:r w:rsidRPr="00C1325A">
        <w:rPr>
          <w:rFonts w:ascii="Cambria" w:hAnsi="Cambria" w:cs="Times New Roman"/>
          <w:noProof/>
        </w:rPr>
        <w:tab/>
        <w:t xml:space="preserve">Thigpen MC, Whitney CG, Messonnier NE, Zell ER, Lynfield R, Hadler JL, et al. Bacterial Meningitis in the United States, 1998-2007 (English). N Engl J Med. 2011;364(21):2016–25. </w:t>
      </w:r>
    </w:p>
    <w:p w14:paraId="6FAE4BC9" w14:textId="1E6D6A6A"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21. </w:t>
      </w:r>
      <w:r w:rsidRPr="00C1325A">
        <w:rPr>
          <w:rFonts w:ascii="Cambria" w:hAnsi="Cambria" w:cs="Times New Roman"/>
          <w:noProof/>
        </w:rPr>
        <w:tab/>
        <w:t xml:space="preserve">Levy C, Varon E, Picard C, Béchet S, Martinot A, Bonacorsi S, et al. Trends of pneumococcal meningitis in children after introduction of the 13-valent pneumococcal conjugate vaccine in france. Pediatr Infect Dis J. 2014;33(12):1216–21. </w:t>
      </w:r>
    </w:p>
    <w:p w14:paraId="0C9E5409" w14:textId="60DEF68C"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22. </w:t>
      </w:r>
      <w:r w:rsidRPr="00C1325A">
        <w:rPr>
          <w:rFonts w:ascii="Cambria" w:hAnsi="Cambria" w:cs="Times New Roman"/>
          <w:noProof/>
        </w:rPr>
        <w:tab/>
        <w:t xml:space="preserve">Ladhani SN, Andrews NJ, Waight P, Borrow R, Slack MPE, Miller E. Impact of the 7-valent pneumococcal conjugate vaccine on invasive pneumococcal disease in infants younger than 90 days in England and wales. Clin Infect Dis. 2013;56(5):633–40. </w:t>
      </w:r>
    </w:p>
    <w:p w14:paraId="310A940B"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23. </w:t>
      </w:r>
      <w:r w:rsidRPr="00C1325A">
        <w:rPr>
          <w:rFonts w:ascii="Cambria" w:hAnsi="Cambria" w:cs="Times New Roman"/>
          <w:noProof/>
        </w:rPr>
        <w:tab/>
        <w:t xml:space="preserve">Public Health England. Vaccine uptake guidance and the latest coverage data. Available at: https://www.gov.uk/government/collections/vaccine-uptake. Accessed: 01 March 2017. </w:t>
      </w:r>
    </w:p>
    <w:p w14:paraId="7DDE3B5D" w14:textId="77777777" w:rsidR="00C1325A" w:rsidRPr="00C1325A" w:rsidRDefault="00C1325A" w:rsidP="00C1325A">
      <w:pPr>
        <w:widowControl w:val="0"/>
        <w:autoSpaceDE w:val="0"/>
        <w:autoSpaceDN w:val="0"/>
        <w:adjustRightInd w:val="0"/>
        <w:ind w:left="640" w:hanging="640"/>
        <w:rPr>
          <w:rFonts w:ascii="Cambria" w:hAnsi="Cambria" w:cs="Times New Roman"/>
          <w:noProof/>
        </w:rPr>
      </w:pPr>
      <w:r w:rsidRPr="00C1325A">
        <w:rPr>
          <w:rFonts w:ascii="Cambria" w:hAnsi="Cambria" w:cs="Times New Roman"/>
          <w:noProof/>
        </w:rPr>
        <w:t xml:space="preserve">24. </w:t>
      </w:r>
      <w:r w:rsidRPr="00C1325A">
        <w:rPr>
          <w:rFonts w:ascii="Cambria" w:hAnsi="Cambria" w:cs="Times New Roman"/>
          <w:noProof/>
        </w:rPr>
        <w:tab/>
        <w:t xml:space="preserve">Deutscher M, Lewis M, Zell ER, Taylor TH, Van Beneden C, Schrag S. Incidence and severity of invasive streptococcus pneumoniae, group a streptococcus, and group b streptococcus infections among pregnant and postpartum women. Clin Infect Dis. 2011;53(2):114–23. </w:t>
      </w:r>
    </w:p>
    <w:p w14:paraId="51986907" w14:textId="12F3B3D1" w:rsidR="00C1325A" w:rsidRPr="00C1325A" w:rsidRDefault="00C1325A" w:rsidP="00C1325A">
      <w:pPr>
        <w:widowControl w:val="0"/>
        <w:autoSpaceDE w:val="0"/>
        <w:autoSpaceDN w:val="0"/>
        <w:adjustRightInd w:val="0"/>
        <w:ind w:left="640" w:hanging="640"/>
        <w:rPr>
          <w:rFonts w:ascii="Cambria" w:hAnsi="Cambria"/>
          <w:noProof/>
        </w:rPr>
      </w:pPr>
      <w:r w:rsidRPr="00C1325A">
        <w:rPr>
          <w:rFonts w:ascii="Cambria" w:hAnsi="Cambria" w:cs="Times New Roman"/>
          <w:noProof/>
        </w:rPr>
        <w:t xml:space="preserve">25. </w:t>
      </w:r>
      <w:r w:rsidRPr="00C1325A">
        <w:rPr>
          <w:rFonts w:ascii="Cambria" w:hAnsi="Cambria" w:cs="Times New Roman"/>
          <w:noProof/>
        </w:rPr>
        <w:tab/>
        <w:t xml:space="preserve">Hoffman JA, Mason EO, Schutze GE, Tan TQ, Barson WJ, Givner LB, et al. Streptococcus pneumoniae Infections in the Neonate. Pediatrics. 2003;112(5):1095–102. </w:t>
      </w:r>
    </w:p>
    <w:p w14:paraId="391ED340" w14:textId="77777777" w:rsidR="00004346" w:rsidRPr="00A8141F" w:rsidRDefault="00FA5081" w:rsidP="00004346">
      <w:pPr>
        <w:widowControl w:val="0"/>
        <w:autoSpaceDE w:val="0"/>
        <w:autoSpaceDN w:val="0"/>
        <w:adjustRightInd w:val="0"/>
        <w:spacing w:line="480" w:lineRule="auto"/>
        <w:rPr>
          <w:rFonts w:ascii="Cambria" w:hAnsi="Cambria" w:cs="Cambria"/>
          <w:sz w:val="22"/>
          <w:lang w:val="en-US"/>
        </w:rPr>
      </w:pPr>
      <w:r w:rsidRPr="00A8141F">
        <w:rPr>
          <w:rFonts w:ascii="Cambria" w:hAnsi="Cambria" w:cs="Cambria"/>
          <w:b/>
          <w:bCs/>
          <w:szCs w:val="28"/>
          <w:lang w:val="en-US"/>
        </w:rPr>
        <w:fldChar w:fldCharType="end"/>
      </w:r>
    </w:p>
    <w:p w14:paraId="6E9B1B02" w14:textId="77777777" w:rsidR="00004346" w:rsidRPr="00A8141F" w:rsidRDefault="00004346" w:rsidP="00004346">
      <w:pPr>
        <w:widowControl w:val="0"/>
        <w:autoSpaceDE w:val="0"/>
        <w:autoSpaceDN w:val="0"/>
        <w:adjustRightInd w:val="0"/>
        <w:spacing w:line="480" w:lineRule="auto"/>
        <w:rPr>
          <w:rFonts w:ascii="Cambria" w:hAnsi="Cambria" w:cs="Cambria"/>
          <w:b/>
          <w:bCs/>
          <w:sz w:val="28"/>
          <w:szCs w:val="32"/>
          <w:lang w:val="en-US"/>
        </w:rPr>
      </w:pPr>
    </w:p>
    <w:p w14:paraId="4F6816FC" w14:textId="77777777" w:rsidR="005B2856" w:rsidRDefault="005B2856">
      <w:pPr>
        <w:rPr>
          <w:rFonts w:ascii="Times New Roman" w:hAnsi="Times New Roman" w:cs="Times New Roman"/>
          <w:color w:val="0F7001"/>
          <w:sz w:val="20"/>
          <w:szCs w:val="20"/>
          <w:u w:color="0000FF"/>
          <w:lang w:val="en-US"/>
        </w:rPr>
      </w:pPr>
      <w:r>
        <w:rPr>
          <w:rFonts w:ascii="Times New Roman" w:hAnsi="Times New Roman" w:cs="Times New Roman"/>
          <w:color w:val="0F7001"/>
          <w:sz w:val="20"/>
          <w:szCs w:val="20"/>
          <w:u w:color="0000FF"/>
          <w:lang w:val="en-US"/>
        </w:rPr>
        <w:br w:type="page"/>
      </w:r>
    </w:p>
    <w:p w14:paraId="674693BE" w14:textId="77777777" w:rsidR="00004346" w:rsidRDefault="0010489A"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r>
        <w:rPr>
          <w:rFonts w:asciiTheme="majorHAnsi" w:hAnsiTheme="majorHAnsi" w:cs="Times New Roman"/>
          <w:noProof/>
          <w:color w:val="000000" w:themeColor="text1"/>
          <w:sz w:val="16"/>
          <w:szCs w:val="16"/>
          <w:lang w:eastAsia="en-GB"/>
        </w:rPr>
        <w:lastRenderedPageBreak/>
        <mc:AlternateContent>
          <mc:Choice Requires="wpg">
            <w:drawing>
              <wp:anchor distT="0" distB="0" distL="0" distR="0" simplePos="0" relativeHeight="251659264" behindDoc="0" locked="0" layoutInCell="1" allowOverlap="1" wp14:anchorId="439415EF" wp14:editId="231A558E">
                <wp:simplePos x="0" y="0"/>
                <wp:positionH relativeFrom="character">
                  <wp:posOffset>-55880</wp:posOffset>
                </wp:positionH>
                <wp:positionV relativeFrom="line">
                  <wp:posOffset>-410845</wp:posOffset>
                </wp:positionV>
                <wp:extent cx="4742180" cy="4297045"/>
                <wp:effectExtent l="0" t="0" r="20320" b="273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4297045"/>
                          <a:chOff x="4140" y="2225"/>
                          <a:chExt cx="6747" cy="2999"/>
                        </a:xfrm>
                      </wpg:grpSpPr>
                      <wps:wsp>
                        <wps:cNvPr id="8" name="Text Box 8"/>
                        <wps:cNvSpPr txBox="1">
                          <a:spLocks noChangeArrowheads="1"/>
                        </wps:cNvSpPr>
                        <wps:spPr bwMode="auto">
                          <a:xfrm>
                            <a:off x="4140" y="2225"/>
                            <a:ext cx="2928" cy="60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5B4F9B6" w14:textId="77777777" w:rsidR="009157E5" w:rsidRDefault="009157E5" w:rsidP="007E4622">
                              <w:r>
                                <w:t xml:space="preserve">Number of children aged &lt;5years with IPD diagnosed during 04 Sept 2006 and 03 Aug 2014:  </w:t>
                              </w:r>
                              <w:r w:rsidRPr="00B472A9">
                                <w:t>3,146</w:t>
                              </w:r>
                            </w:p>
                          </w:txbxContent>
                        </wps:txbx>
                        <wps:bodyPr rot="0" vert="horz" wrap="square" lIns="91440" tIns="45720" rIns="91440" bIns="45720" anchor="t" anchorCtr="0">
                          <a:noAutofit/>
                        </wps:bodyPr>
                      </wps:wsp>
                      <wps:wsp>
                        <wps:cNvPr id="9" name="Text Box 9"/>
                        <wps:cNvSpPr txBox="1">
                          <a:spLocks noChangeArrowheads="1"/>
                        </wps:cNvSpPr>
                        <wps:spPr bwMode="auto">
                          <a:xfrm>
                            <a:off x="4140" y="3549"/>
                            <a:ext cx="2698" cy="55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BD2669A" w14:textId="77777777" w:rsidR="009157E5" w:rsidRDefault="009157E5" w:rsidP="00004346">
                              <w:r>
                                <w:t xml:space="preserve">Number of </w:t>
                              </w:r>
                              <w:r w:rsidRPr="006D0FF3">
                                <w:t>children</w:t>
                              </w:r>
                              <w:r>
                                <w:t xml:space="preserve"> who died of IPD </w:t>
                              </w:r>
                            </w:p>
                            <w:p w14:paraId="21B6D31A" w14:textId="77777777" w:rsidR="009157E5" w:rsidRDefault="009157E5" w:rsidP="00004346">
                              <w:r w:rsidRPr="006D0FF3">
                                <w:t xml:space="preserve">N </w:t>
                              </w:r>
                              <w:r>
                                <w:t>=</w:t>
                              </w:r>
                              <w:r w:rsidRPr="006D0FF3">
                                <w:t xml:space="preserve"> </w:t>
                              </w:r>
                              <w:r>
                                <w:t>222</w:t>
                              </w:r>
                            </w:p>
                          </w:txbxContent>
                        </wps:txbx>
                        <wps:bodyPr rot="0" vert="horz" wrap="square" lIns="91440" tIns="45720" rIns="91440" bIns="45720" anchor="t" anchorCtr="0">
                          <a:noAutofit/>
                        </wps:bodyPr>
                      </wps:wsp>
                      <wps:wsp>
                        <wps:cNvPr id="10" name="Text Box 10"/>
                        <wps:cNvSpPr txBox="1">
                          <a:spLocks noChangeArrowheads="1"/>
                        </wps:cNvSpPr>
                        <wps:spPr bwMode="auto">
                          <a:xfrm>
                            <a:off x="8288" y="2911"/>
                            <a:ext cx="2519" cy="55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700080F" w14:textId="77777777" w:rsidR="009157E5" w:rsidRDefault="009157E5" w:rsidP="00004346">
                              <w:r>
                                <w:t>Number survived IPD</w:t>
                              </w:r>
                            </w:p>
                            <w:p w14:paraId="67421092" w14:textId="77777777" w:rsidR="009157E5" w:rsidRDefault="009157E5" w:rsidP="00004346">
                              <w:r>
                                <w:t xml:space="preserve">N = </w:t>
                              </w:r>
                              <w:r w:rsidRPr="00B472A9">
                                <w:t>2,924</w:t>
                              </w:r>
                            </w:p>
                          </w:txbxContent>
                        </wps:txbx>
                        <wps:bodyPr rot="0" vert="horz" wrap="square" lIns="91440" tIns="45720" rIns="91440" bIns="45720" anchor="t" anchorCtr="0">
                          <a:noAutofit/>
                        </wps:bodyPr>
                      </wps:wsp>
                      <wps:wsp>
                        <wps:cNvPr id="11" name="Text Box 11"/>
                        <wps:cNvSpPr txBox="1">
                          <a:spLocks noChangeArrowheads="1"/>
                        </wps:cNvSpPr>
                        <wps:spPr bwMode="auto">
                          <a:xfrm>
                            <a:off x="4140" y="4665"/>
                            <a:ext cx="2698" cy="5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BED93AB" w14:textId="708E34E5" w:rsidR="009157E5" w:rsidRDefault="009157E5" w:rsidP="00004346">
                              <w:r>
                                <w:t xml:space="preserve">Number of IPD-related deaths </w:t>
                              </w:r>
                            </w:p>
                            <w:p w14:paraId="1446FB7D" w14:textId="77777777" w:rsidR="009157E5" w:rsidRDefault="009157E5" w:rsidP="00004346">
                              <w:r>
                                <w:t>N = 150</w:t>
                              </w:r>
                            </w:p>
                          </w:txbxContent>
                        </wps:txbx>
                        <wps:bodyPr rot="0" vert="horz" wrap="square" lIns="91440" tIns="45720" rIns="91440" bIns="45720" anchor="t" anchorCtr="0">
                          <a:noAutofit/>
                        </wps:bodyPr>
                      </wps:wsp>
                      <wps:wsp>
                        <wps:cNvPr id="13" name="Text Box 13"/>
                        <wps:cNvSpPr txBox="1">
                          <a:spLocks noChangeArrowheads="1"/>
                        </wps:cNvSpPr>
                        <wps:spPr bwMode="auto">
                          <a:xfrm>
                            <a:off x="8288" y="3789"/>
                            <a:ext cx="2599" cy="127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87C1930" w14:textId="77777777" w:rsidR="009157E5" w:rsidRDefault="009157E5" w:rsidP="00004346">
                              <w:r>
                                <w:t>Number excluded after post-mortem and coroner’s report: N = 72</w:t>
                              </w:r>
                            </w:p>
                            <w:p w14:paraId="0BDF2215" w14:textId="77777777" w:rsidR="009157E5" w:rsidRDefault="009157E5" w:rsidP="00004346"/>
                            <w:p w14:paraId="0A2B295E" w14:textId="77777777" w:rsidR="009157E5" w:rsidRDefault="009157E5" w:rsidP="00004346">
                              <w:pPr>
                                <w:pStyle w:val="ListParagraph"/>
                                <w:numPr>
                                  <w:ilvl w:val="0"/>
                                  <w:numId w:val="7"/>
                                </w:numPr>
                              </w:pPr>
                              <w:r>
                                <w:t>SUDI = 39</w:t>
                              </w:r>
                            </w:p>
                            <w:p w14:paraId="34DEB54B" w14:textId="77777777" w:rsidR="009157E5" w:rsidRDefault="009157E5" w:rsidP="00004346">
                              <w:pPr>
                                <w:pStyle w:val="ListParagraph"/>
                                <w:numPr>
                                  <w:ilvl w:val="0"/>
                                  <w:numId w:val="7"/>
                                </w:numPr>
                              </w:pPr>
                              <w:r>
                                <w:t>Other Diagnosis* = 12</w:t>
                              </w:r>
                            </w:p>
                            <w:p w14:paraId="5EDDD649" w14:textId="77777777" w:rsidR="009157E5" w:rsidRDefault="009157E5" w:rsidP="00004346">
                              <w:pPr>
                                <w:pStyle w:val="ListParagraph"/>
                                <w:numPr>
                                  <w:ilvl w:val="0"/>
                                  <w:numId w:val="7"/>
                                </w:numPr>
                              </w:pPr>
                              <w:r>
                                <w:t>Born Abroad       = 12</w:t>
                              </w:r>
                            </w:p>
                            <w:p w14:paraId="7F7298C4" w14:textId="77777777" w:rsidR="009157E5" w:rsidRDefault="009157E5" w:rsidP="00004346">
                              <w:pPr>
                                <w:pStyle w:val="ListParagraph"/>
                                <w:numPr>
                                  <w:ilvl w:val="0"/>
                                  <w:numId w:val="7"/>
                                </w:numPr>
                              </w:pPr>
                              <w:r>
                                <w:t>Survived IPD but died later **             = 7</w:t>
                              </w:r>
                            </w:p>
                            <w:p w14:paraId="6A5B86C5" w14:textId="77777777" w:rsidR="009157E5" w:rsidRDefault="009157E5" w:rsidP="00004346">
                              <w:pPr>
                                <w:pStyle w:val="ListParagraph"/>
                                <w:numPr>
                                  <w:ilvl w:val="0"/>
                                  <w:numId w:val="7"/>
                                </w:numPr>
                              </w:pPr>
                              <w:r>
                                <w:t>Duplicate            = 2</w:t>
                              </w:r>
                            </w:p>
                            <w:p w14:paraId="544E1F3D" w14:textId="77777777" w:rsidR="009157E5" w:rsidRDefault="009157E5" w:rsidP="00004346">
                              <w:pPr>
                                <w:ind w:left="360"/>
                              </w:pPr>
                            </w:p>
                          </w:txbxContent>
                        </wps:txbx>
                        <wps:bodyPr rot="0" vert="horz" wrap="square" lIns="91440" tIns="45720" rIns="91440" bIns="45720" anchor="t" anchorCtr="0">
                          <a:noAutofit/>
                        </wps:bodyPr>
                      </wps:wsp>
                      <wps:wsp>
                        <wps:cNvPr id="14" name="Line 21"/>
                        <wps:cNvCnPr>
                          <a:cxnSpLocks noChangeShapeType="1"/>
                        </wps:cNvCnPr>
                        <wps:spPr bwMode="auto">
                          <a:xfrm>
                            <a:off x="5399" y="2831"/>
                            <a:ext cx="1" cy="7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5" name="Line 22"/>
                        <wps:cNvCnPr>
                          <a:cxnSpLocks noChangeShapeType="1"/>
                        </wps:cNvCnPr>
                        <wps:spPr bwMode="auto">
                          <a:xfrm>
                            <a:off x="5441" y="4107"/>
                            <a:ext cx="0" cy="5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6" name="Line 24"/>
                        <wps:cNvCnPr>
                          <a:cxnSpLocks noChangeShapeType="1"/>
                        </wps:cNvCnPr>
                        <wps:spPr bwMode="auto">
                          <a:xfrm>
                            <a:off x="5399" y="3238"/>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1" name="Line 26"/>
                        <wps:cNvCnPr>
                          <a:cxnSpLocks noChangeShapeType="1"/>
                        </wps:cNvCnPr>
                        <wps:spPr bwMode="auto">
                          <a:xfrm>
                            <a:off x="5441" y="4267"/>
                            <a:ext cx="287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4" name="Line 27"/>
                        <wps:cNvCnPr>
                          <a:cxnSpLocks noChangeShapeType="1"/>
                        </wps:cNvCnPr>
                        <wps:spPr bwMode="auto">
                          <a:xfrm>
                            <a:off x="5399" y="3238"/>
                            <a:ext cx="287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9415EF" id="Group 7" o:spid="_x0000_s1026" style="position:absolute;margin-left:-4.4pt;margin-top:-32.35pt;width:373.4pt;height:338.35pt;z-index:251659264;mso-wrap-distance-left:0;mso-wrap-distance-right:0;mso-position-horizontal-relative:char;mso-position-vertical-relative:line" coordorigin="4140,2225" coordsize="6747,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">
                <v:shapetype id="_x0000_t202" coordsize="21600,21600" o:spt="202" path="m,l,21600r21600,l21600,xe">
                  <v:stroke joinstyle="miter"/>
                  <v:path gradientshapeok="t" o:connecttype="rect"/>
                </v:shapetype>
                <v:shape id="Text Box 8" o:spid="_x0000_s1027" type="#_x0000_t202" style="position:absolute;left:4140;top:2225;width:2928;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14:paraId="45B4F9B6" w14:textId="77777777" w:rsidR="009157E5" w:rsidRDefault="009157E5" w:rsidP="007E4622">
                        <w:r>
                          <w:t xml:space="preserve">Number of children aged &lt;5years with IPD diagnosed during 04 Sept 2006 and 03 Aug 2014:  </w:t>
                        </w:r>
                        <w:r w:rsidRPr="00B472A9">
                          <w:t>3,146</w:t>
                        </w:r>
                      </w:p>
                    </w:txbxContent>
                  </v:textbox>
                </v:shape>
                <v:shape id="Text Box 9" o:spid="_x0000_s1028" type="#_x0000_t202" style="position:absolute;left:4140;top:3549;width:269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14:paraId="0BD2669A" w14:textId="77777777" w:rsidR="009157E5" w:rsidRDefault="009157E5" w:rsidP="00004346">
                        <w:r>
                          <w:t xml:space="preserve">Number of </w:t>
                        </w:r>
                        <w:r w:rsidRPr="006D0FF3">
                          <w:t>children</w:t>
                        </w:r>
                        <w:r>
                          <w:t xml:space="preserve"> who died of IPD </w:t>
                        </w:r>
                      </w:p>
                      <w:p w14:paraId="21B6D31A" w14:textId="77777777" w:rsidR="009157E5" w:rsidRDefault="009157E5" w:rsidP="00004346">
                        <w:r w:rsidRPr="006D0FF3">
                          <w:t xml:space="preserve">N </w:t>
                        </w:r>
                        <w:r>
                          <w:t>=</w:t>
                        </w:r>
                        <w:r w:rsidRPr="006D0FF3">
                          <w:t xml:space="preserve"> </w:t>
                        </w:r>
                        <w:r>
                          <w:t>222</w:t>
                        </w:r>
                      </w:p>
                    </w:txbxContent>
                  </v:textbox>
                </v:shape>
                <v:shape id="Text Box 10" o:spid="_x0000_s1029" type="#_x0000_t202" style="position:absolute;left:8288;top:2911;width:251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14:paraId="4700080F" w14:textId="77777777" w:rsidR="009157E5" w:rsidRDefault="009157E5" w:rsidP="00004346">
                        <w:r>
                          <w:t>Number survived IPD</w:t>
                        </w:r>
                      </w:p>
                      <w:p w14:paraId="67421092" w14:textId="77777777" w:rsidR="009157E5" w:rsidRDefault="009157E5" w:rsidP="00004346">
                        <w:r>
                          <w:t xml:space="preserve">N = </w:t>
                        </w:r>
                        <w:r w:rsidRPr="00B472A9">
                          <w:t>2,924</w:t>
                        </w:r>
                      </w:p>
                    </w:txbxContent>
                  </v:textbox>
                </v:shape>
                <v:shape id="Text Box 11" o:spid="_x0000_s1030" type="#_x0000_t202" style="position:absolute;left:4140;top:4665;width:269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14:paraId="6BED93AB" w14:textId="708E34E5" w:rsidR="009157E5" w:rsidRDefault="009157E5" w:rsidP="00004346">
                        <w:r>
                          <w:t xml:space="preserve">Number of IPD-related deaths </w:t>
                        </w:r>
                      </w:p>
                      <w:p w14:paraId="1446FB7D" w14:textId="77777777" w:rsidR="009157E5" w:rsidRDefault="009157E5" w:rsidP="00004346">
                        <w:r>
                          <w:t>N = 150</w:t>
                        </w:r>
                      </w:p>
                    </w:txbxContent>
                  </v:textbox>
                </v:shape>
                <v:shape id="Text Box 13" o:spid="_x0000_s1031" type="#_x0000_t202" style="position:absolute;left:8288;top:3789;width:2599;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w2cIA&#10;AADbAAAADwAAAGRycy9kb3ducmV2LnhtbERPTWvCQBC9F/wPywi91Y0t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ZwgAAANsAAAAPAAAAAAAAAAAAAAAAAJgCAABkcnMvZG93&#10;bnJldi54bWxQSwUGAAAAAAQABAD1AAAAhwMAAAAA&#10;" strokeweight=".26mm">
                  <v:textbox>
                    <w:txbxContent>
                      <w:p w14:paraId="387C1930" w14:textId="77777777" w:rsidR="009157E5" w:rsidRDefault="009157E5" w:rsidP="00004346">
                        <w:r>
                          <w:t>Number excluded after post-mortem and coroner’s report: N = 72</w:t>
                        </w:r>
                      </w:p>
                      <w:p w14:paraId="0BDF2215" w14:textId="77777777" w:rsidR="009157E5" w:rsidRDefault="009157E5" w:rsidP="00004346"/>
                      <w:p w14:paraId="0A2B295E" w14:textId="77777777" w:rsidR="009157E5" w:rsidRDefault="009157E5" w:rsidP="00004346">
                        <w:pPr>
                          <w:pStyle w:val="ListParagraph"/>
                          <w:numPr>
                            <w:ilvl w:val="0"/>
                            <w:numId w:val="7"/>
                          </w:numPr>
                        </w:pPr>
                        <w:r>
                          <w:t>SUDI = 39</w:t>
                        </w:r>
                      </w:p>
                      <w:p w14:paraId="34DEB54B" w14:textId="77777777" w:rsidR="009157E5" w:rsidRDefault="009157E5" w:rsidP="00004346">
                        <w:pPr>
                          <w:pStyle w:val="ListParagraph"/>
                          <w:numPr>
                            <w:ilvl w:val="0"/>
                            <w:numId w:val="7"/>
                          </w:numPr>
                        </w:pPr>
                        <w:r>
                          <w:t>Other Diagnosis* = 12</w:t>
                        </w:r>
                      </w:p>
                      <w:p w14:paraId="5EDDD649" w14:textId="77777777" w:rsidR="009157E5" w:rsidRDefault="009157E5" w:rsidP="00004346">
                        <w:pPr>
                          <w:pStyle w:val="ListParagraph"/>
                          <w:numPr>
                            <w:ilvl w:val="0"/>
                            <w:numId w:val="7"/>
                          </w:numPr>
                        </w:pPr>
                        <w:r>
                          <w:t>Born Abroad       = 12</w:t>
                        </w:r>
                      </w:p>
                      <w:p w14:paraId="7F7298C4" w14:textId="77777777" w:rsidR="009157E5" w:rsidRDefault="009157E5" w:rsidP="00004346">
                        <w:pPr>
                          <w:pStyle w:val="ListParagraph"/>
                          <w:numPr>
                            <w:ilvl w:val="0"/>
                            <w:numId w:val="7"/>
                          </w:numPr>
                        </w:pPr>
                        <w:r>
                          <w:t>Survived IPD but died later **             = 7</w:t>
                        </w:r>
                      </w:p>
                      <w:p w14:paraId="6A5B86C5" w14:textId="77777777" w:rsidR="009157E5" w:rsidRDefault="009157E5" w:rsidP="00004346">
                        <w:pPr>
                          <w:pStyle w:val="ListParagraph"/>
                          <w:numPr>
                            <w:ilvl w:val="0"/>
                            <w:numId w:val="7"/>
                          </w:numPr>
                        </w:pPr>
                        <w:r>
                          <w:t>Duplicate            = 2</w:t>
                        </w:r>
                      </w:p>
                      <w:p w14:paraId="544E1F3D" w14:textId="77777777" w:rsidR="009157E5" w:rsidRDefault="009157E5" w:rsidP="00004346">
                        <w:pPr>
                          <w:ind w:left="360"/>
                        </w:pPr>
                      </w:p>
                    </w:txbxContent>
                  </v:textbox>
                </v:shape>
                <v:line id="Line 21" o:spid="_x0000_s1032" style="position:absolute;visibility:visible;mso-wrap-style:square" from="5399,2831" to="5400,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22" o:spid="_x0000_s1033" style="position:absolute;visibility:visible;mso-wrap-style:square" from="5441,4107" to="544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24" o:spid="_x0000_s1034" style="position:absolute;visibility:visible;mso-wrap-style:square" from="5399,3238" to="539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26" o:spid="_x0000_s1035" style="position:absolute;visibility:visible;mso-wrap-style:square" from="5441,4267" to="8320,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7" o:spid="_x0000_s1036" style="position:absolute;visibility:visible;mso-wrap-style:square" from="5399,3238" to="82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w10:wrap anchory="line"/>
              </v:group>
            </w:pict>
          </mc:Fallback>
        </mc:AlternateContent>
      </w:r>
    </w:p>
    <w:p w14:paraId="199EC3D5"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7ACB73C1"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6A24A7D9"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1B483009"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3B679AF1"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10AFE8F2" w14:textId="77777777" w:rsidR="00004346" w:rsidRDefault="00004346" w:rsidP="00004346">
      <w:pPr>
        <w:widowControl w:val="0"/>
        <w:autoSpaceDE w:val="0"/>
        <w:autoSpaceDN w:val="0"/>
        <w:adjustRightInd w:val="0"/>
        <w:spacing w:line="480" w:lineRule="auto"/>
        <w:rPr>
          <w:rFonts w:ascii="Times New Roman" w:hAnsi="Times New Roman" w:cs="Times New Roman"/>
          <w:color w:val="0F7001"/>
          <w:sz w:val="20"/>
          <w:szCs w:val="20"/>
          <w:u w:color="0000FF"/>
          <w:lang w:val="en-US"/>
        </w:rPr>
      </w:pPr>
    </w:p>
    <w:p w14:paraId="478833C7" w14:textId="77777777" w:rsidR="00004346" w:rsidRDefault="00004346" w:rsidP="00004346">
      <w:pPr>
        <w:widowControl w:val="0"/>
        <w:autoSpaceDE w:val="0"/>
        <w:autoSpaceDN w:val="0"/>
        <w:adjustRightInd w:val="0"/>
        <w:spacing w:line="480" w:lineRule="auto"/>
        <w:rPr>
          <w:rFonts w:ascii="Cambria" w:hAnsi="Cambria" w:cs="Cambria"/>
          <w:b/>
          <w:bCs/>
          <w:sz w:val="32"/>
          <w:szCs w:val="32"/>
          <w:lang w:val="en-US"/>
        </w:rPr>
      </w:pPr>
    </w:p>
    <w:p w14:paraId="4F37250B" w14:textId="77777777" w:rsidR="00004346" w:rsidRDefault="00004346" w:rsidP="00004346">
      <w:pPr>
        <w:widowControl w:val="0"/>
        <w:autoSpaceDE w:val="0"/>
        <w:autoSpaceDN w:val="0"/>
        <w:adjustRightInd w:val="0"/>
        <w:spacing w:line="480" w:lineRule="auto"/>
        <w:rPr>
          <w:rFonts w:ascii="Cambria" w:hAnsi="Cambria" w:cs="Cambria"/>
          <w:b/>
          <w:bCs/>
          <w:sz w:val="32"/>
          <w:szCs w:val="32"/>
          <w:lang w:val="en-US"/>
        </w:rPr>
      </w:pPr>
    </w:p>
    <w:p w14:paraId="11950957" w14:textId="77777777" w:rsidR="00004346" w:rsidRDefault="00004346" w:rsidP="00004346">
      <w:pPr>
        <w:widowControl w:val="0"/>
        <w:autoSpaceDE w:val="0"/>
        <w:autoSpaceDN w:val="0"/>
        <w:adjustRightInd w:val="0"/>
        <w:spacing w:line="480" w:lineRule="auto"/>
        <w:rPr>
          <w:rFonts w:ascii="Cambria" w:hAnsi="Cambria" w:cs="Cambria"/>
          <w:b/>
          <w:bCs/>
          <w:sz w:val="32"/>
          <w:szCs w:val="32"/>
          <w:lang w:val="en-US"/>
        </w:rPr>
      </w:pPr>
    </w:p>
    <w:p w14:paraId="1D940920" w14:textId="77777777" w:rsidR="00004346" w:rsidRDefault="00004346" w:rsidP="00004346">
      <w:pPr>
        <w:widowControl w:val="0"/>
        <w:autoSpaceDE w:val="0"/>
        <w:autoSpaceDN w:val="0"/>
        <w:adjustRightInd w:val="0"/>
        <w:spacing w:line="480" w:lineRule="auto"/>
        <w:rPr>
          <w:rFonts w:ascii="Cambria" w:hAnsi="Cambria" w:cs="Cambria"/>
          <w:b/>
          <w:bCs/>
          <w:sz w:val="32"/>
          <w:szCs w:val="32"/>
          <w:lang w:val="en-US"/>
        </w:rPr>
      </w:pPr>
    </w:p>
    <w:p w14:paraId="532EE525" w14:textId="77777777" w:rsidR="00004346" w:rsidRDefault="00004346" w:rsidP="00004346">
      <w:pPr>
        <w:widowControl w:val="0"/>
        <w:autoSpaceDE w:val="0"/>
        <w:autoSpaceDN w:val="0"/>
        <w:adjustRightInd w:val="0"/>
        <w:spacing w:line="480" w:lineRule="auto"/>
        <w:rPr>
          <w:rFonts w:ascii="Cambria" w:hAnsi="Cambria" w:cs="Cambria"/>
          <w:b/>
          <w:bCs/>
          <w:sz w:val="32"/>
          <w:szCs w:val="32"/>
          <w:lang w:val="en-US"/>
        </w:rPr>
      </w:pPr>
    </w:p>
    <w:p w14:paraId="49199216" w14:textId="77777777" w:rsidR="005B2856" w:rsidRDefault="005B2856" w:rsidP="00004346">
      <w:pPr>
        <w:widowControl w:val="0"/>
        <w:autoSpaceDE w:val="0"/>
        <w:autoSpaceDN w:val="0"/>
        <w:adjustRightInd w:val="0"/>
        <w:spacing w:line="276" w:lineRule="auto"/>
        <w:rPr>
          <w:rFonts w:ascii="Times New Roman" w:hAnsi="Times New Roman" w:cs="Times New Roman"/>
          <w:b/>
          <w:u w:color="0000FF"/>
          <w:lang w:val="en-US"/>
        </w:rPr>
      </w:pPr>
    </w:p>
    <w:p w14:paraId="75062111" w14:textId="1A903998" w:rsidR="00004346" w:rsidRPr="004465A4" w:rsidRDefault="00004346" w:rsidP="00004346">
      <w:pPr>
        <w:widowControl w:val="0"/>
        <w:autoSpaceDE w:val="0"/>
        <w:autoSpaceDN w:val="0"/>
        <w:adjustRightInd w:val="0"/>
        <w:spacing w:line="276" w:lineRule="auto"/>
        <w:rPr>
          <w:rFonts w:ascii="Times New Roman" w:hAnsi="Times New Roman" w:cs="Times New Roman"/>
          <w:b/>
          <w:u w:color="0000FF"/>
          <w:lang w:val="en-US"/>
        </w:rPr>
      </w:pPr>
      <w:r w:rsidRPr="004465A4">
        <w:rPr>
          <w:rFonts w:ascii="Times New Roman" w:hAnsi="Times New Roman" w:cs="Times New Roman"/>
          <w:b/>
          <w:u w:color="0000FF"/>
          <w:lang w:val="en-US"/>
        </w:rPr>
        <w:t xml:space="preserve">Figure 1: Flow Chart of IPD Deaths in Children &lt; 5years old in England and Wales, </w:t>
      </w:r>
      <w:r>
        <w:rPr>
          <w:rFonts w:ascii="Times New Roman" w:hAnsi="Times New Roman" w:cs="Times New Roman"/>
          <w:b/>
          <w:u w:color="0000FF"/>
          <w:lang w:val="en-US"/>
        </w:rPr>
        <w:t xml:space="preserve">September </w:t>
      </w:r>
      <w:r w:rsidRPr="004465A4">
        <w:rPr>
          <w:rFonts w:ascii="Times New Roman" w:hAnsi="Times New Roman" w:cs="Times New Roman"/>
          <w:b/>
          <w:u w:color="0000FF"/>
          <w:lang w:val="en-US"/>
        </w:rPr>
        <w:t>2006</w:t>
      </w:r>
      <w:r>
        <w:rPr>
          <w:rFonts w:ascii="Times New Roman" w:hAnsi="Times New Roman" w:cs="Times New Roman"/>
          <w:b/>
          <w:u w:color="0000FF"/>
          <w:lang w:val="en-US"/>
        </w:rPr>
        <w:t xml:space="preserve"> – August </w:t>
      </w:r>
      <w:r w:rsidRPr="004465A4">
        <w:rPr>
          <w:rFonts w:ascii="Times New Roman" w:hAnsi="Times New Roman" w:cs="Times New Roman"/>
          <w:b/>
          <w:u w:color="0000FF"/>
          <w:lang w:val="en-US"/>
        </w:rPr>
        <w:t>2014</w:t>
      </w:r>
      <w:r>
        <w:rPr>
          <w:rFonts w:ascii="Times New Roman" w:hAnsi="Times New Roman" w:cs="Times New Roman"/>
          <w:b/>
          <w:u w:color="0000FF"/>
          <w:lang w:val="en-US"/>
        </w:rPr>
        <w:t>.</w:t>
      </w:r>
    </w:p>
    <w:p w14:paraId="072F8988" w14:textId="77777777" w:rsidR="008072EE" w:rsidRDefault="008072EE" w:rsidP="00E21474">
      <w:pPr>
        <w:widowControl w:val="0"/>
        <w:autoSpaceDE w:val="0"/>
        <w:autoSpaceDN w:val="0"/>
        <w:adjustRightInd w:val="0"/>
        <w:spacing w:line="276" w:lineRule="auto"/>
        <w:rPr>
          <w:rFonts w:ascii="Cambria" w:hAnsi="Cambria" w:cs="Cambria"/>
          <w:lang w:val="en-US"/>
        </w:rPr>
      </w:pPr>
    </w:p>
    <w:p w14:paraId="45BBDFBA" w14:textId="77777777" w:rsidR="008072EE" w:rsidRDefault="008072EE" w:rsidP="004F2EFD">
      <w:pPr>
        <w:widowControl w:val="0"/>
        <w:autoSpaceDE w:val="0"/>
        <w:autoSpaceDN w:val="0"/>
        <w:adjustRightInd w:val="0"/>
        <w:spacing w:line="276" w:lineRule="auto"/>
        <w:rPr>
          <w:rFonts w:ascii="Cambria" w:hAnsi="Cambria" w:cs="Cambria"/>
          <w:i/>
          <w:sz w:val="22"/>
          <w:lang w:val="en-US"/>
        </w:rPr>
      </w:pPr>
      <w:r w:rsidRPr="004F2EFD">
        <w:rPr>
          <w:rFonts w:ascii="Cambria" w:hAnsi="Cambria" w:cs="Cambria"/>
          <w:i/>
          <w:sz w:val="22"/>
          <w:lang w:val="en-US"/>
        </w:rPr>
        <w:t xml:space="preserve">* </w:t>
      </w:r>
      <w:r w:rsidR="009176E4" w:rsidRPr="004F2EFD">
        <w:rPr>
          <w:rFonts w:ascii="Cambria" w:hAnsi="Cambria" w:cs="Cambria"/>
          <w:i/>
          <w:sz w:val="22"/>
          <w:lang w:val="en-US"/>
        </w:rPr>
        <w:t>Twelve</w:t>
      </w:r>
      <w:r>
        <w:rPr>
          <w:rFonts w:ascii="Cambria" w:hAnsi="Cambria" w:cs="Cambria"/>
          <w:i/>
          <w:sz w:val="22"/>
          <w:lang w:val="en-US"/>
        </w:rPr>
        <w:t xml:space="preserve"> </w:t>
      </w:r>
      <w:r w:rsidR="009176E4" w:rsidRPr="004F2EFD">
        <w:rPr>
          <w:rFonts w:ascii="Cambria" w:hAnsi="Cambria" w:cs="Cambria"/>
          <w:i/>
          <w:sz w:val="22"/>
          <w:lang w:val="en-US"/>
        </w:rPr>
        <w:t>children died of other causes</w:t>
      </w:r>
      <w:r>
        <w:rPr>
          <w:rFonts w:ascii="Cambria" w:hAnsi="Cambria" w:cs="Cambria"/>
          <w:i/>
          <w:sz w:val="22"/>
          <w:lang w:val="en-US"/>
        </w:rPr>
        <w:t>, including</w:t>
      </w:r>
      <w:r w:rsidR="009176E4" w:rsidRPr="004F2EFD">
        <w:rPr>
          <w:rFonts w:ascii="Cambria" w:hAnsi="Cambria" w:cs="Cambria"/>
          <w:i/>
          <w:sz w:val="22"/>
          <w:lang w:val="en-US"/>
        </w:rPr>
        <w:t xml:space="preserve"> </w:t>
      </w:r>
      <w:r>
        <w:rPr>
          <w:rFonts w:ascii="Cambria" w:hAnsi="Cambria" w:cs="Cambria"/>
          <w:i/>
          <w:sz w:val="22"/>
          <w:lang w:val="en-US"/>
        </w:rPr>
        <w:t xml:space="preserve"> g</w:t>
      </w:r>
      <w:r w:rsidR="009176E4" w:rsidRPr="004F2EFD">
        <w:rPr>
          <w:rFonts w:ascii="Cambria" w:hAnsi="Cambria" w:cs="Cambria"/>
          <w:i/>
          <w:sz w:val="22"/>
          <w:lang w:val="en-US"/>
        </w:rPr>
        <w:t>roup A</w:t>
      </w:r>
      <w:r w:rsidRPr="004F2EFD">
        <w:rPr>
          <w:rFonts w:ascii="Cambria" w:hAnsi="Cambria" w:cs="Cambria"/>
          <w:i/>
          <w:sz w:val="22"/>
          <w:lang w:val="en-US"/>
        </w:rPr>
        <w:t xml:space="preserve"> s</w:t>
      </w:r>
      <w:r w:rsidR="009176E4" w:rsidRPr="004F2EFD">
        <w:rPr>
          <w:rFonts w:ascii="Cambria" w:hAnsi="Cambria" w:cs="Cambria"/>
          <w:i/>
          <w:sz w:val="22"/>
          <w:lang w:val="en-US"/>
        </w:rPr>
        <w:t>treptococc</w:t>
      </w:r>
      <w:r>
        <w:rPr>
          <w:rFonts w:ascii="Cambria" w:hAnsi="Cambria" w:cs="Cambria"/>
          <w:i/>
          <w:sz w:val="22"/>
          <w:lang w:val="en-US"/>
        </w:rPr>
        <w:t>al disease</w:t>
      </w:r>
      <w:r w:rsidR="00BC1E5D">
        <w:rPr>
          <w:rFonts w:ascii="Cambria" w:hAnsi="Cambria" w:cs="Cambria"/>
          <w:i/>
          <w:sz w:val="22"/>
          <w:lang w:val="en-US"/>
        </w:rPr>
        <w:t xml:space="preserve"> (n=2)</w:t>
      </w:r>
      <w:r>
        <w:rPr>
          <w:rFonts w:ascii="Cambria" w:hAnsi="Cambria" w:cs="Cambria"/>
          <w:i/>
          <w:sz w:val="22"/>
          <w:lang w:val="en-US"/>
        </w:rPr>
        <w:t>,</w:t>
      </w:r>
      <w:r w:rsidR="00BC1E5D">
        <w:rPr>
          <w:rFonts w:ascii="Cambria" w:hAnsi="Cambria" w:cs="Cambria"/>
          <w:i/>
          <w:sz w:val="22"/>
          <w:lang w:val="en-US"/>
        </w:rPr>
        <w:t xml:space="preserve"> traumatic h</w:t>
      </w:r>
      <w:r w:rsidR="00BC1E5D" w:rsidRPr="004F766D">
        <w:rPr>
          <w:rFonts w:ascii="Cambria" w:hAnsi="Cambria" w:cs="Cambria"/>
          <w:i/>
          <w:sz w:val="22"/>
          <w:lang w:val="en-US"/>
        </w:rPr>
        <w:t>ead injury</w:t>
      </w:r>
      <w:r w:rsidR="00BC1E5D">
        <w:rPr>
          <w:rFonts w:ascii="Cambria" w:hAnsi="Cambria" w:cs="Cambria"/>
          <w:i/>
          <w:sz w:val="22"/>
          <w:lang w:val="en-US"/>
        </w:rPr>
        <w:t xml:space="preserve"> (n=2),  </w:t>
      </w:r>
      <w:r w:rsidR="004F2EFD">
        <w:rPr>
          <w:rFonts w:ascii="Cambria" w:hAnsi="Cambria" w:cs="Cambria"/>
          <w:i/>
          <w:sz w:val="22"/>
          <w:lang w:val="en-US"/>
        </w:rPr>
        <w:t xml:space="preserve">aspiration pneumonia (n=2), </w:t>
      </w:r>
      <w:r>
        <w:rPr>
          <w:rFonts w:ascii="Cambria" w:hAnsi="Cambria" w:cs="Cambria"/>
          <w:i/>
          <w:sz w:val="22"/>
          <w:lang w:val="en-US"/>
        </w:rPr>
        <w:t>e</w:t>
      </w:r>
      <w:r w:rsidR="009176E4" w:rsidRPr="004F2EFD">
        <w:rPr>
          <w:rFonts w:ascii="Cambria" w:hAnsi="Cambria" w:cs="Cambria"/>
          <w:i/>
          <w:sz w:val="22"/>
          <w:lang w:val="en-US"/>
        </w:rPr>
        <w:t xml:space="preserve">nterococcal meningitis, </w:t>
      </w:r>
      <w:r w:rsidR="00641A2F">
        <w:rPr>
          <w:rFonts w:ascii="Cambria" w:hAnsi="Cambria" w:cs="Cambria"/>
          <w:i/>
          <w:sz w:val="22"/>
          <w:lang w:val="en-US"/>
        </w:rPr>
        <w:t xml:space="preserve">septic abortion </w:t>
      </w:r>
      <w:r w:rsidR="00933877">
        <w:rPr>
          <w:rFonts w:ascii="Cambria" w:hAnsi="Cambria" w:cs="Cambria"/>
          <w:i/>
          <w:sz w:val="22"/>
          <w:lang w:val="en-US"/>
        </w:rPr>
        <w:t xml:space="preserve">following </w:t>
      </w:r>
      <w:r w:rsidR="00641A2F">
        <w:rPr>
          <w:rFonts w:ascii="Cambria" w:hAnsi="Cambria" w:cs="Cambria"/>
          <w:i/>
          <w:sz w:val="22"/>
          <w:lang w:val="en-US"/>
        </w:rPr>
        <w:t xml:space="preserve">maternal </w:t>
      </w:r>
      <w:r>
        <w:rPr>
          <w:rFonts w:ascii="Cambria" w:hAnsi="Cambria" w:cs="Cambria"/>
          <w:i/>
          <w:sz w:val="22"/>
          <w:lang w:val="en-US"/>
        </w:rPr>
        <w:t>c</w:t>
      </w:r>
      <w:r w:rsidR="009176E4" w:rsidRPr="004F2EFD">
        <w:rPr>
          <w:rFonts w:ascii="Cambria" w:hAnsi="Cambria" w:cs="Cambria"/>
          <w:i/>
          <w:sz w:val="22"/>
          <w:lang w:val="en-US"/>
        </w:rPr>
        <w:t xml:space="preserve">horioamnionitis, </w:t>
      </w:r>
      <w:r w:rsidR="00933877">
        <w:rPr>
          <w:rFonts w:ascii="Cambria" w:hAnsi="Cambria" w:cs="Cambria"/>
          <w:i/>
          <w:sz w:val="22"/>
          <w:lang w:val="en-US"/>
        </w:rPr>
        <w:t xml:space="preserve">stillbirth following </w:t>
      </w:r>
      <w:r>
        <w:rPr>
          <w:rFonts w:ascii="Cambria" w:hAnsi="Cambria" w:cs="Cambria"/>
          <w:i/>
          <w:sz w:val="22"/>
          <w:lang w:val="en-US"/>
        </w:rPr>
        <w:t>i</w:t>
      </w:r>
      <w:r w:rsidR="009176E4" w:rsidRPr="004F2EFD">
        <w:rPr>
          <w:rFonts w:ascii="Cambria" w:hAnsi="Cambria" w:cs="Cambria"/>
          <w:i/>
          <w:sz w:val="22"/>
          <w:lang w:val="en-US"/>
        </w:rPr>
        <w:t>ntra-uterine hypoxia due to maternal infection,</w:t>
      </w:r>
      <w:r>
        <w:rPr>
          <w:rFonts w:ascii="Cambria" w:hAnsi="Cambria" w:cs="Cambria"/>
          <w:i/>
          <w:sz w:val="22"/>
          <w:lang w:val="en-US"/>
        </w:rPr>
        <w:t xml:space="preserve"> c</w:t>
      </w:r>
      <w:r w:rsidR="009176E4" w:rsidRPr="004F2EFD">
        <w:rPr>
          <w:rFonts w:ascii="Cambria" w:hAnsi="Cambria" w:cs="Cambria"/>
          <w:i/>
          <w:sz w:val="22"/>
          <w:lang w:val="en-US"/>
        </w:rPr>
        <w:t xml:space="preserve">ardiomyopathy, </w:t>
      </w:r>
      <w:r>
        <w:rPr>
          <w:rFonts w:ascii="Cambria" w:hAnsi="Cambria" w:cs="Cambria"/>
          <w:i/>
          <w:sz w:val="22"/>
          <w:lang w:val="en-US"/>
        </w:rPr>
        <w:t>r</w:t>
      </w:r>
      <w:r w:rsidR="009176E4" w:rsidRPr="004F2EFD">
        <w:rPr>
          <w:rFonts w:ascii="Cambria" w:hAnsi="Cambria" w:cs="Cambria"/>
          <w:i/>
          <w:sz w:val="22"/>
          <w:lang w:val="en-US"/>
        </w:rPr>
        <w:t xml:space="preserve">otavirus </w:t>
      </w:r>
      <w:r>
        <w:rPr>
          <w:rFonts w:ascii="Cambria" w:hAnsi="Cambria" w:cs="Cambria"/>
          <w:i/>
          <w:sz w:val="22"/>
          <w:lang w:val="en-US"/>
        </w:rPr>
        <w:t>g</w:t>
      </w:r>
      <w:r w:rsidR="009176E4" w:rsidRPr="004F2EFD">
        <w:rPr>
          <w:rFonts w:ascii="Cambria" w:hAnsi="Cambria" w:cs="Cambria"/>
          <w:i/>
          <w:sz w:val="22"/>
          <w:lang w:val="en-US"/>
        </w:rPr>
        <w:t>astro-enteritis</w:t>
      </w:r>
      <w:r w:rsidR="00641A2F">
        <w:rPr>
          <w:rFonts w:ascii="Cambria" w:hAnsi="Cambria" w:cs="Cambria"/>
          <w:i/>
          <w:sz w:val="22"/>
          <w:lang w:val="en-US"/>
        </w:rPr>
        <w:t xml:space="preserve"> </w:t>
      </w:r>
      <w:r w:rsidR="009176E4" w:rsidRPr="004F2EFD">
        <w:rPr>
          <w:rFonts w:ascii="Cambria" w:hAnsi="Cambria" w:cs="Cambria"/>
          <w:i/>
          <w:sz w:val="22"/>
          <w:lang w:val="en-US"/>
        </w:rPr>
        <w:t xml:space="preserve">and </w:t>
      </w:r>
      <w:r>
        <w:rPr>
          <w:rFonts w:ascii="Cambria" w:hAnsi="Cambria" w:cs="Cambria"/>
          <w:i/>
          <w:sz w:val="22"/>
          <w:lang w:val="en-US"/>
        </w:rPr>
        <w:t>n</w:t>
      </w:r>
      <w:r w:rsidR="009176E4" w:rsidRPr="004F2EFD">
        <w:rPr>
          <w:rFonts w:ascii="Cambria" w:hAnsi="Cambria" w:cs="Cambria"/>
          <w:i/>
          <w:sz w:val="22"/>
          <w:lang w:val="en-US"/>
        </w:rPr>
        <w:t xml:space="preserve">on-accidental Injury. </w:t>
      </w:r>
    </w:p>
    <w:p w14:paraId="5382BAAF" w14:textId="77777777" w:rsidR="00E21474" w:rsidRDefault="00E21474" w:rsidP="004F2EFD">
      <w:pPr>
        <w:widowControl w:val="0"/>
        <w:autoSpaceDE w:val="0"/>
        <w:autoSpaceDN w:val="0"/>
        <w:adjustRightInd w:val="0"/>
        <w:spacing w:line="276" w:lineRule="auto"/>
        <w:rPr>
          <w:rFonts w:ascii="Cambria" w:hAnsi="Cambria" w:cs="Cambria"/>
          <w:i/>
          <w:sz w:val="22"/>
          <w:lang w:val="en-US"/>
        </w:rPr>
      </w:pPr>
    </w:p>
    <w:p w14:paraId="5940BCCA" w14:textId="30773F52" w:rsidR="00E21474" w:rsidRPr="004F2EFD" w:rsidRDefault="00E21474" w:rsidP="004F2EFD">
      <w:pPr>
        <w:widowControl w:val="0"/>
        <w:autoSpaceDE w:val="0"/>
        <w:autoSpaceDN w:val="0"/>
        <w:adjustRightInd w:val="0"/>
        <w:spacing w:line="276" w:lineRule="auto"/>
        <w:rPr>
          <w:rFonts w:ascii="Cambria" w:hAnsi="Cambria" w:cs="Cambria"/>
          <w:i/>
          <w:sz w:val="22"/>
          <w:lang w:val="en-US"/>
        </w:rPr>
      </w:pPr>
      <w:r>
        <w:rPr>
          <w:rFonts w:ascii="Cambria" w:hAnsi="Cambria" w:cs="Cambria"/>
          <w:i/>
          <w:sz w:val="22"/>
          <w:lang w:val="en-US"/>
        </w:rPr>
        <w:t xml:space="preserve">** </w:t>
      </w:r>
      <w:r w:rsidR="001B6AA5">
        <w:rPr>
          <w:rFonts w:ascii="Cambria" w:hAnsi="Cambria" w:cs="Cambria"/>
          <w:i/>
          <w:sz w:val="22"/>
          <w:lang w:val="en-US"/>
        </w:rPr>
        <w:t xml:space="preserve">the cause of death in </w:t>
      </w:r>
      <w:r>
        <w:rPr>
          <w:rFonts w:ascii="Cambria" w:hAnsi="Cambria" w:cs="Cambria"/>
          <w:i/>
          <w:sz w:val="22"/>
          <w:lang w:val="en-US"/>
        </w:rPr>
        <w:t xml:space="preserve">children who survived IPD but died later of another cause  included </w:t>
      </w:r>
      <w:r w:rsidR="001B6AA5">
        <w:rPr>
          <w:rFonts w:ascii="Cambria" w:hAnsi="Cambria" w:cs="Cambria"/>
          <w:i/>
          <w:sz w:val="22"/>
          <w:lang w:val="en-US"/>
        </w:rPr>
        <w:t xml:space="preserve">one case each of Escherichia coli </w:t>
      </w:r>
      <w:r w:rsidR="000B1306">
        <w:rPr>
          <w:rFonts w:ascii="Cambria" w:hAnsi="Cambria" w:cs="Cambria"/>
          <w:i/>
          <w:sz w:val="22"/>
          <w:lang w:val="en-US"/>
        </w:rPr>
        <w:t>septicemia</w:t>
      </w:r>
      <w:r w:rsidR="001B6AA5">
        <w:rPr>
          <w:rFonts w:ascii="Cambria" w:hAnsi="Cambria" w:cs="Cambria"/>
          <w:i/>
          <w:sz w:val="22"/>
          <w:lang w:val="en-US"/>
        </w:rPr>
        <w:t xml:space="preserve">, varicella pneumonia, haemorrhagic shock following bowel obstruction, chronic liver disease, meningococcal </w:t>
      </w:r>
      <w:r w:rsidR="000B1306">
        <w:rPr>
          <w:rFonts w:ascii="Cambria" w:hAnsi="Cambria" w:cs="Cambria"/>
          <w:i/>
          <w:sz w:val="22"/>
          <w:lang w:val="en-US"/>
        </w:rPr>
        <w:t>septicemia</w:t>
      </w:r>
      <w:r w:rsidR="001B6AA5">
        <w:rPr>
          <w:rFonts w:ascii="Cambria" w:hAnsi="Cambria" w:cs="Cambria"/>
          <w:i/>
          <w:sz w:val="22"/>
          <w:lang w:val="en-US"/>
        </w:rPr>
        <w:t xml:space="preserve">, group A streptococcal </w:t>
      </w:r>
      <w:r w:rsidR="000B1306">
        <w:rPr>
          <w:rFonts w:ascii="Cambria" w:hAnsi="Cambria" w:cs="Cambria"/>
          <w:i/>
          <w:sz w:val="22"/>
          <w:lang w:val="en-US"/>
        </w:rPr>
        <w:t>septicemia</w:t>
      </w:r>
      <w:r w:rsidR="001B6AA5">
        <w:rPr>
          <w:rFonts w:ascii="Cambria" w:hAnsi="Cambria" w:cs="Cambria"/>
          <w:i/>
          <w:sz w:val="22"/>
          <w:lang w:val="en-US"/>
        </w:rPr>
        <w:t xml:space="preserve">,  </w:t>
      </w:r>
    </w:p>
    <w:p w14:paraId="23977CD5" w14:textId="77777777" w:rsidR="008072EE" w:rsidRDefault="008072EE" w:rsidP="004F2EFD">
      <w:pPr>
        <w:widowControl w:val="0"/>
        <w:autoSpaceDE w:val="0"/>
        <w:autoSpaceDN w:val="0"/>
        <w:adjustRightInd w:val="0"/>
        <w:spacing w:line="276" w:lineRule="auto"/>
        <w:rPr>
          <w:rFonts w:ascii="Cambria" w:hAnsi="Cambria" w:cs="Cambria"/>
          <w:lang w:val="en-US"/>
        </w:rPr>
      </w:pPr>
    </w:p>
    <w:p w14:paraId="059CBCFE" w14:textId="77777777" w:rsidR="00004346" w:rsidRPr="00266B43" w:rsidRDefault="008072EE" w:rsidP="00A3236D">
      <w:pPr>
        <w:widowControl w:val="0"/>
        <w:autoSpaceDE w:val="0"/>
        <w:autoSpaceDN w:val="0"/>
        <w:adjustRightInd w:val="0"/>
        <w:spacing w:line="480" w:lineRule="auto"/>
        <w:outlineLvl w:val="0"/>
        <w:rPr>
          <w:rFonts w:ascii="Cambria" w:hAnsi="Cambria" w:cs="Cambria"/>
          <w:b/>
          <w:lang w:val="en-US"/>
        </w:rPr>
      </w:pPr>
      <w:r w:rsidRPr="004F766D">
        <w:rPr>
          <w:rFonts w:ascii="Times New Roman" w:hAnsi="Times New Roman" w:cs="Times New Roman"/>
          <w:b/>
          <w:sz w:val="18"/>
          <w:szCs w:val="16"/>
          <w:u w:color="0000FF"/>
          <w:lang w:val="en-US"/>
        </w:rPr>
        <w:t xml:space="preserve">IPD=Invasive pneumococcal disease; SUDI=Sudden Unexpected Death in Infancy. </w:t>
      </w:r>
    </w:p>
    <w:p w14:paraId="690B05EE" w14:textId="77777777" w:rsidR="00B044EA" w:rsidRPr="00396B25" w:rsidRDefault="00B044EA" w:rsidP="008A33E8">
      <w:pPr>
        <w:rPr>
          <w:rFonts w:ascii="Cambria" w:eastAsia="Times New Roman" w:hAnsi="Cambria" w:cs="Times New Roman"/>
          <w:lang w:eastAsia="en-GB"/>
        </w:rPr>
      </w:pPr>
    </w:p>
    <w:p w14:paraId="66EF7B5D" w14:textId="5FECCA9D" w:rsidR="00DF08DE" w:rsidRDefault="0095530C" w:rsidP="007C196C">
      <w:pPr>
        <w:widowControl w:val="0"/>
        <w:autoSpaceDE w:val="0"/>
        <w:autoSpaceDN w:val="0"/>
        <w:adjustRightInd w:val="0"/>
        <w:rPr>
          <w:rFonts w:ascii="Helvetica Neue" w:hAnsi="Helvetica Neue" w:cs="Helvetica Neue"/>
          <w:b/>
          <w:iCs/>
          <w:sz w:val="22"/>
          <w:szCs w:val="26"/>
          <w:lang w:val="en-US"/>
        </w:rPr>
      </w:pPr>
      <w:r>
        <w:rPr>
          <w:noProof/>
          <w:lang w:eastAsia="en-GB"/>
        </w:rPr>
        <w:lastRenderedPageBreak/>
        <w:drawing>
          <wp:inline distT="0" distB="0" distL="0" distR="0" wp14:anchorId="4450F95C" wp14:editId="717B10EA">
            <wp:extent cx="5289177" cy="2586318"/>
            <wp:effectExtent l="0" t="0" r="19685"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27E63">
        <w:rPr>
          <w:rFonts w:ascii="Helvetica Neue" w:hAnsi="Helvetica Neue" w:cs="Helvetica Neue"/>
          <w:b/>
          <w:iCs/>
          <w:sz w:val="22"/>
          <w:szCs w:val="26"/>
          <w:lang w:val="en-US"/>
        </w:rPr>
        <w:t>Figure 2</w:t>
      </w:r>
      <w:r w:rsidR="000230F7" w:rsidRPr="000B4B5C">
        <w:rPr>
          <w:rFonts w:ascii="Helvetica Neue" w:hAnsi="Helvetica Neue" w:cs="Helvetica Neue"/>
          <w:b/>
          <w:iCs/>
          <w:sz w:val="22"/>
          <w:szCs w:val="26"/>
          <w:lang w:val="en-US"/>
        </w:rPr>
        <w:t xml:space="preserve">: </w:t>
      </w:r>
      <w:r w:rsidR="001325ED" w:rsidRPr="000B4B5C">
        <w:rPr>
          <w:rFonts w:ascii="Helvetica Neue" w:hAnsi="Helvetica Neue" w:cs="Helvetica Neue"/>
          <w:b/>
          <w:iCs/>
          <w:sz w:val="22"/>
          <w:szCs w:val="26"/>
          <w:lang w:val="en-US"/>
        </w:rPr>
        <w:t>Incidence of</w:t>
      </w:r>
      <w:r w:rsidR="007F6692" w:rsidRPr="000B4B5C">
        <w:rPr>
          <w:rFonts w:ascii="Helvetica Neue" w:hAnsi="Helvetica Neue" w:cs="Helvetica Neue"/>
          <w:b/>
          <w:iCs/>
          <w:sz w:val="22"/>
          <w:szCs w:val="26"/>
          <w:lang w:val="en-US"/>
        </w:rPr>
        <w:t xml:space="preserve"> IPD </w:t>
      </w:r>
      <w:r w:rsidR="00FB2266">
        <w:rPr>
          <w:rFonts w:ascii="Helvetica Neue" w:hAnsi="Helvetica Neue" w:cs="Helvetica Neue"/>
          <w:b/>
          <w:iCs/>
          <w:sz w:val="22"/>
          <w:szCs w:val="26"/>
          <w:lang w:val="en-US"/>
        </w:rPr>
        <w:t>Deaths</w:t>
      </w:r>
      <w:r w:rsidR="007F6692">
        <w:rPr>
          <w:rFonts w:ascii="Helvetica Neue" w:hAnsi="Helvetica Neue" w:cs="Helvetica Neue"/>
          <w:b/>
          <w:iCs/>
          <w:sz w:val="22"/>
          <w:szCs w:val="26"/>
          <w:lang w:val="en-US"/>
        </w:rPr>
        <w:t xml:space="preserve"> in c</w:t>
      </w:r>
      <w:r w:rsidR="00E46FEC">
        <w:rPr>
          <w:rFonts w:ascii="Helvetica Neue" w:hAnsi="Helvetica Neue" w:cs="Helvetica Neue"/>
          <w:b/>
          <w:iCs/>
          <w:sz w:val="22"/>
          <w:szCs w:val="26"/>
          <w:lang w:val="en-US"/>
        </w:rPr>
        <w:t>hildren aged</w:t>
      </w:r>
      <w:r w:rsidR="000230F7" w:rsidRPr="000B4B5C">
        <w:rPr>
          <w:rFonts w:ascii="Helvetica Neue" w:hAnsi="Helvetica Neue" w:cs="Helvetica Neue"/>
          <w:b/>
          <w:iCs/>
          <w:sz w:val="22"/>
          <w:szCs w:val="26"/>
          <w:lang w:val="en-US"/>
        </w:rPr>
        <w:t xml:space="preserve"> </w:t>
      </w:r>
      <w:r w:rsidR="00E46FEC">
        <w:rPr>
          <w:rFonts w:ascii="Helvetica Neue" w:hAnsi="Helvetica Neue" w:cs="Helvetica Neue"/>
          <w:b/>
          <w:iCs/>
          <w:sz w:val="22"/>
          <w:szCs w:val="26"/>
          <w:lang w:val="en-US"/>
        </w:rPr>
        <w:t>&lt;</w:t>
      </w:r>
      <w:r w:rsidR="000230F7" w:rsidRPr="000B4B5C">
        <w:rPr>
          <w:rFonts w:ascii="Helvetica Neue" w:hAnsi="Helvetica Neue" w:cs="Helvetica Neue"/>
          <w:b/>
          <w:iCs/>
          <w:sz w:val="22"/>
          <w:szCs w:val="26"/>
          <w:lang w:val="en-US"/>
        </w:rPr>
        <w:t xml:space="preserve">5 years </w:t>
      </w:r>
      <w:r w:rsidR="00E46FEC">
        <w:rPr>
          <w:rFonts w:ascii="Helvetica Neue" w:hAnsi="Helvetica Neue" w:cs="Helvetica Neue"/>
          <w:b/>
          <w:iCs/>
          <w:sz w:val="22"/>
          <w:szCs w:val="26"/>
          <w:lang w:val="en-US"/>
        </w:rPr>
        <w:t>in England and Wales, September 2006 to August</w:t>
      </w:r>
      <w:r w:rsidR="000230F7" w:rsidRPr="000B4B5C">
        <w:rPr>
          <w:rFonts w:ascii="Helvetica Neue" w:hAnsi="Helvetica Neue" w:cs="Helvetica Neue"/>
          <w:b/>
          <w:iCs/>
          <w:sz w:val="22"/>
          <w:szCs w:val="26"/>
          <w:lang w:val="en-US"/>
        </w:rPr>
        <w:t xml:space="preserve"> 2014</w:t>
      </w:r>
      <w:r w:rsidR="00E46FEC">
        <w:rPr>
          <w:rFonts w:ascii="Helvetica Neue" w:hAnsi="Helvetica Neue" w:cs="Helvetica Neue"/>
          <w:b/>
          <w:iCs/>
          <w:sz w:val="22"/>
          <w:szCs w:val="26"/>
          <w:lang w:val="en-US"/>
        </w:rPr>
        <w:t xml:space="preserve">. </w:t>
      </w:r>
    </w:p>
    <w:p w14:paraId="0C5C7AF3" w14:textId="77777777" w:rsidR="00DF08DE" w:rsidRDefault="00DF08DE" w:rsidP="007C196C">
      <w:pPr>
        <w:widowControl w:val="0"/>
        <w:autoSpaceDE w:val="0"/>
        <w:autoSpaceDN w:val="0"/>
        <w:adjustRightInd w:val="0"/>
        <w:rPr>
          <w:rFonts w:ascii="Helvetica Neue" w:hAnsi="Helvetica Neue" w:cs="Helvetica Neue"/>
          <w:b/>
          <w:iCs/>
          <w:sz w:val="22"/>
          <w:szCs w:val="26"/>
          <w:lang w:val="en-US"/>
        </w:rPr>
      </w:pPr>
    </w:p>
    <w:p w14:paraId="52E57FC9" w14:textId="77777777" w:rsidR="000230F7" w:rsidRPr="00DF08DE" w:rsidRDefault="00E46FEC" w:rsidP="007C196C">
      <w:pPr>
        <w:widowControl w:val="0"/>
        <w:autoSpaceDE w:val="0"/>
        <w:autoSpaceDN w:val="0"/>
        <w:adjustRightInd w:val="0"/>
        <w:rPr>
          <w:rFonts w:ascii="Helvetica Neue" w:hAnsi="Helvetica Neue" w:cs="Helvetica Neue"/>
          <w:color w:val="11420D"/>
          <w:sz w:val="20"/>
          <w:szCs w:val="26"/>
          <w:lang w:val="en-US"/>
        </w:rPr>
      </w:pPr>
      <w:r w:rsidRPr="00DF08DE">
        <w:rPr>
          <w:rFonts w:ascii="Helvetica Neue" w:hAnsi="Helvetica Neue" w:cs="Helvetica Neue"/>
          <w:iCs/>
          <w:sz w:val="20"/>
          <w:szCs w:val="26"/>
          <w:lang w:val="en-US"/>
        </w:rPr>
        <w:t>PCV7 = serotypes included in the 7-valent pneumococcal conjugate vaccine; PCV13 = additional 6 serotypes included in the 13-valent pneumococcal conjugate vaccine; Other = serotypes not included in the 13-valent pneumococcal conjugate vaccine; N</w:t>
      </w:r>
      <w:r w:rsidR="0063451E">
        <w:rPr>
          <w:rFonts w:ascii="Helvetica Neue" w:hAnsi="Helvetica Neue" w:cs="Helvetica Neue"/>
          <w:iCs/>
          <w:sz w:val="20"/>
          <w:szCs w:val="26"/>
          <w:lang w:val="en-US"/>
        </w:rPr>
        <w:t xml:space="preserve">ot </w:t>
      </w:r>
      <w:r w:rsidRPr="00DF08DE">
        <w:rPr>
          <w:rFonts w:ascii="Helvetica Neue" w:hAnsi="Helvetica Neue" w:cs="Helvetica Neue"/>
          <w:iCs/>
          <w:sz w:val="20"/>
          <w:szCs w:val="26"/>
          <w:lang w:val="en-US"/>
        </w:rPr>
        <w:t>K</w:t>
      </w:r>
      <w:r w:rsidR="0063451E">
        <w:rPr>
          <w:rFonts w:ascii="Helvetica Neue" w:hAnsi="Helvetica Neue" w:cs="Helvetica Neue"/>
          <w:iCs/>
          <w:sz w:val="20"/>
          <w:szCs w:val="26"/>
          <w:lang w:val="en-US"/>
        </w:rPr>
        <w:t>nown</w:t>
      </w:r>
      <w:r w:rsidRPr="00DF08DE">
        <w:rPr>
          <w:rFonts w:ascii="Helvetica Neue" w:hAnsi="Helvetica Neue" w:cs="Helvetica Neue"/>
          <w:iCs/>
          <w:sz w:val="20"/>
          <w:szCs w:val="26"/>
          <w:lang w:val="en-US"/>
        </w:rPr>
        <w:t xml:space="preserve"> = serotypes not known because isolates not serotyped</w:t>
      </w:r>
    </w:p>
    <w:p w14:paraId="4964351C" w14:textId="77777777" w:rsidR="00081A03" w:rsidRDefault="00081A03" w:rsidP="00081A03">
      <w:pPr>
        <w:rPr>
          <w:rFonts w:ascii="Helvetica Neue" w:hAnsi="Helvetica Neue" w:cs="Helvetica Neue"/>
          <w:color w:val="11420D"/>
          <w:sz w:val="26"/>
          <w:szCs w:val="26"/>
          <w:lang w:val="en-US"/>
        </w:rPr>
      </w:pPr>
    </w:p>
    <w:p w14:paraId="24564D03" w14:textId="77777777" w:rsidR="00081A03" w:rsidRDefault="00081A03" w:rsidP="00081A03">
      <w:pPr>
        <w:rPr>
          <w:rFonts w:ascii="Helvetica Neue" w:hAnsi="Helvetica Neue" w:cs="Helvetica Neue"/>
          <w:color w:val="11420D"/>
          <w:sz w:val="26"/>
          <w:szCs w:val="26"/>
          <w:lang w:val="en-US"/>
        </w:rPr>
      </w:pPr>
    </w:p>
    <w:p w14:paraId="1DD53DC4" w14:textId="77777777" w:rsidR="00EE2D0A" w:rsidRDefault="00EE2D0A" w:rsidP="008A710D">
      <w:pPr>
        <w:widowControl w:val="0"/>
        <w:autoSpaceDE w:val="0"/>
        <w:autoSpaceDN w:val="0"/>
        <w:adjustRightInd w:val="0"/>
        <w:rPr>
          <w:rFonts w:ascii="Times New Roman" w:hAnsi="Times New Roman" w:cs="Times New Roman"/>
          <w:color w:val="0F7001"/>
          <w:sz w:val="20"/>
          <w:szCs w:val="20"/>
          <w:u w:color="0000FF"/>
          <w:lang w:val="en-US"/>
        </w:rPr>
      </w:pPr>
    </w:p>
    <w:p w14:paraId="18AF3B3B" w14:textId="77777777" w:rsidR="00B90860" w:rsidRDefault="00B90860" w:rsidP="008A710D">
      <w:pPr>
        <w:widowControl w:val="0"/>
        <w:autoSpaceDE w:val="0"/>
        <w:autoSpaceDN w:val="0"/>
        <w:adjustRightInd w:val="0"/>
        <w:rPr>
          <w:rFonts w:ascii="Times New Roman" w:hAnsi="Times New Roman" w:cs="Times New Roman"/>
          <w:color w:val="0F7001"/>
          <w:sz w:val="20"/>
          <w:szCs w:val="20"/>
          <w:u w:color="0000FF"/>
          <w:lang w:val="en-US"/>
        </w:rPr>
      </w:pPr>
    </w:p>
    <w:p w14:paraId="158014A9" w14:textId="77777777" w:rsidR="00B90860" w:rsidRDefault="00B90860" w:rsidP="008A710D">
      <w:pPr>
        <w:widowControl w:val="0"/>
        <w:autoSpaceDE w:val="0"/>
        <w:autoSpaceDN w:val="0"/>
        <w:adjustRightInd w:val="0"/>
        <w:rPr>
          <w:rFonts w:ascii="Times New Roman" w:hAnsi="Times New Roman" w:cs="Times New Roman"/>
          <w:color w:val="0F7001"/>
          <w:sz w:val="20"/>
          <w:szCs w:val="20"/>
          <w:u w:color="0000FF"/>
          <w:lang w:val="en-US"/>
        </w:rPr>
      </w:pPr>
    </w:p>
    <w:p w14:paraId="6DA56325" w14:textId="77777777" w:rsidR="0015664B" w:rsidRPr="0015664B" w:rsidRDefault="0015664B" w:rsidP="0015664B"/>
    <w:p w14:paraId="7CD974C7" w14:textId="77777777" w:rsidR="0015664B" w:rsidRPr="0015664B" w:rsidRDefault="0015664B" w:rsidP="0015664B"/>
    <w:p w14:paraId="3D61FDB0" w14:textId="77777777" w:rsidR="0015664B" w:rsidRPr="0015664B" w:rsidRDefault="0015664B" w:rsidP="0015664B"/>
    <w:p w14:paraId="734E2B77" w14:textId="77777777" w:rsidR="0015664B" w:rsidRPr="0015664B" w:rsidRDefault="0015664B" w:rsidP="0015664B"/>
    <w:p w14:paraId="18E66EF7" w14:textId="77777777" w:rsidR="0015664B" w:rsidRPr="0015664B" w:rsidRDefault="0015664B" w:rsidP="0015664B"/>
    <w:p w14:paraId="5B3BC196" w14:textId="77777777" w:rsidR="0015664B" w:rsidRPr="0015664B" w:rsidRDefault="0015664B" w:rsidP="0015664B"/>
    <w:p w14:paraId="1E7E78C0" w14:textId="77777777" w:rsidR="0015664B" w:rsidRPr="0015664B" w:rsidRDefault="0015664B" w:rsidP="0015664B"/>
    <w:p w14:paraId="74EB2EBF" w14:textId="77777777" w:rsidR="0015664B" w:rsidRPr="0015664B" w:rsidRDefault="0015664B" w:rsidP="0015664B"/>
    <w:p w14:paraId="7D6D3CC9" w14:textId="77777777" w:rsidR="0015664B" w:rsidRPr="0015664B" w:rsidRDefault="0015664B" w:rsidP="0015664B"/>
    <w:p w14:paraId="62C1DE55" w14:textId="77777777" w:rsidR="0015664B" w:rsidRPr="0015664B" w:rsidRDefault="0015664B" w:rsidP="0015664B"/>
    <w:p w14:paraId="427B51B3" w14:textId="77777777" w:rsidR="0015664B" w:rsidRPr="0015664B" w:rsidRDefault="0015664B" w:rsidP="0015664B"/>
    <w:p w14:paraId="0FFA0C4F" w14:textId="77777777" w:rsidR="0015664B" w:rsidRPr="0015664B" w:rsidRDefault="0015664B" w:rsidP="0015664B"/>
    <w:p w14:paraId="06B6E2BB" w14:textId="77777777" w:rsidR="0015664B" w:rsidRPr="0015664B" w:rsidRDefault="0015664B" w:rsidP="0015664B"/>
    <w:p w14:paraId="3124E3F8" w14:textId="77777777" w:rsidR="0015664B" w:rsidRPr="0015664B" w:rsidRDefault="0015664B" w:rsidP="0015664B"/>
    <w:p w14:paraId="6F4A783C" w14:textId="77777777" w:rsidR="0015664B" w:rsidRPr="0015664B" w:rsidRDefault="0015664B" w:rsidP="0015664B"/>
    <w:p w14:paraId="16F37928" w14:textId="77777777" w:rsidR="0015664B" w:rsidRPr="0015664B" w:rsidRDefault="0015664B" w:rsidP="0015664B"/>
    <w:p w14:paraId="157BA19D" w14:textId="77777777" w:rsidR="0015664B" w:rsidRPr="0015664B" w:rsidRDefault="0015664B" w:rsidP="0015664B"/>
    <w:p w14:paraId="42F3D2B6" w14:textId="77777777" w:rsidR="00D27E63" w:rsidRPr="00AF34C1" w:rsidRDefault="00D27E63" w:rsidP="00D27E63">
      <w:pPr>
        <w:rPr>
          <w:rFonts w:ascii="Cambria" w:hAnsi="Cambria" w:cs="Cambria"/>
          <w:b/>
          <w:bCs/>
          <w:sz w:val="28"/>
          <w:szCs w:val="28"/>
          <w:lang w:val="en-US"/>
        </w:rPr>
      </w:pPr>
    </w:p>
    <w:p w14:paraId="1EE75F52" w14:textId="1A25D29D" w:rsidR="00D27E63" w:rsidRDefault="00D27E63" w:rsidP="00D27E63">
      <w:pPr>
        <w:rPr>
          <w:rFonts w:ascii="Cambria" w:eastAsia="Times New Roman" w:hAnsi="Cambria" w:cs="Times New Roman"/>
          <w:lang w:eastAsia="en-GB"/>
        </w:rPr>
      </w:pPr>
    </w:p>
    <w:p w14:paraId="2D40800B" w14:textId="77777777" w:rsidR="00D27E63" w:rsidRDefault="0063451E" w:rsidP="00D27E63">
      <w:pPr>
        <w:rPr>
          <w:rFonts w:ascii="Cambria" w:eastAsia="Times New Roman" w:hAnsi="Cambria" w:cs="Times New Roman"/>
          <w:lang w:eastAsia="en-GB"/>
        </w:rPr>
      </w:pPr>
      <w:r>
        <w:rPr>
          <w:noProof/>
          <w:lang w:eastAsia="en-GB"/>
        </w:rPr>
        <w:lastRenderedPageBreak/>
        <w:drawing>
          <wp:inline distT="0" distB="0" distL="0" distR="0" wp14:anchorId="188B590A" wp14:editId="44C93C66">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7CE2C4" w14:textId="2173EE5C" w:rsidR="00D27E63" w:rsidRPr="00EB186C" w:rsidRDefault="00D27E63" w:rsidP="00D27E63">
      <w:pPr>
        <w:rPr>
          <w:rFonts w:ascii="Cambria" w:eastAsia="Times New Roman" w:hAnsi="Cambria" w:cs="Times New Roman"/>
          <w:iCs/>
          <w:lang w:val="en-US" w:eastAsia="en-GB"/>
        </w:rPr>
      </w:pPr>
      <w:r>
        <w:rPr>
          <w:rFonts w:ascii="Cambria" w:eastAsia="Times New Roman" w:hAnsi="Cambria" w:cs="Times New Roman"/>
          <w:b/>
          <w:iCs/>
          <w:lang w:val="en-US" w:eastAsia="en-GB"/>
        </w:rPr>
        <w:t>Figure 3</w:t>
      </w:r>
      <w:r w:rsidRPr="00B044EA">
        <w:rPr>
          <w:rFonts w:ascii="Cambria" w:eastAsia="Times New Roman" w:hAnsi="Cambria" w:cs="Times New Roman"/>
          <w:b/>
          <w:iCs/>
          <w:lang w:val="en-US" w:eastAsia="en-GB"/>
        </w:rPr>
        <w:t xml:space="preserve">: </w:t>
      </w:r>
      <w:r w:rsidR="00FB2266">
        <w:rPr>
          <w:rFonts w:ascii="Cambria" w:eastAsia="Times New Roman" w:hAnsi="Cambria" w:cs="Times New Roman"/>
          <w:b/>
          <w:iCs/>
          <w:lang w:val="en-US" w:eastAsia="en-GB"/>
        </w:rPr>
        <w:t>P</w:t>
      </w:r>
      <w:r w:rsidR="00C53B41">
        <w:rPr>
          <w:rFonts w:ascii="Cambria" w:eastAsia="Times New Roman" w:hAnsi="Cambria" w:cs="Times New Roman"/>
          <w:b/>
          <w:iCs/>
          <w:lang w:val="en-US" w:eastAsia="en-GB"/>
        </w:rPr>
        <w:t>roportion</w:t>
      </w:r>
      <w:r w:rsidR="000279DA">
        <w:rPr>
          <w:rFonts w:ascii="Cambria" w:eastAsia="Times New Roman" w:hAnsi="Cambria" w:cs="Times New Roman"/>
          <w:b/>
          <w:iCs/>
          <w:lang w:val="en-US" w:eastAsia="en-GB"/>
        </w:rPr>
        <w:t xml:space="preserve"> of</w:t>
      </w:r>
      <w:r w:rsidR="00C53B41">
        <w:rPr>
          <w:rFonts w:ascii="Cambria" w:eastAsia="Times New Roman" w:hAnsi="Cambria" w:cs="Times New Roman"/>
          <w:b/>
          <w:iCs/>
          <w:lang w:val="en-US" w:eastAsia="en-GB"/>
        </w:rPr>
        <w:t xml:space="preserve"> </w:t>
      </w:r>
      <w:r w:rsidR="00FB2266">
        <w:rPr>
          <w:rFonts w:ascii="Cambria" w:eastAsia="Times New Roman" w:hAnsi="Cambria" w:cs="Times New Roman"/>
          <w:b/>
          <w:iCs/>
          <w:lang w:val="en-US" w:eastAsia="en-GB"/>
        </w:rPr>
        <w:t xml:space="preserve">IPD </w:t>
      </w:r>
      <w:r w:rsidR="000B1306">
        <w:rPr>
          <w:rFonts w:ascii="Cambria" w:eastAsia="Times New Roman" w:hAnsi="Cambria" w:cs="Times New Roman"/>
          <w:b/>
          <w:iCs/>
          <w:lang w:val="en-US" w:eastAsia="en-GB"/>
        </w:rPr>
        <w:t>deaths with</w:t>
      </w:r>
      <w:r w:rsidR="00C53B41">
        <w:rPr>
          <w:rFonts w:ascii="Cambria" w:eastAsia="Times New Roman" w:hAnsi="Cambria" w:cs="Times New Roman"/>
          <w:b/>
          <w:iCs/>
          <w:lang w:val="en-US" w:eastAsia="en-GB"/>
        </w:rPr>
        <w:t xml:space="preserve"> c</w:t>
      </w:r>
      <w:r w:rsidRPr="00B044EA">
        <w:rPr>
          <w:rFonts w:ascii="Cambria" w:eastAsia="Times New Roman" w:hAnsi="Cambria" w:cs="Times New Roman"/>
          <w:b/>
          <w:iCs/>
          <w:lang w:val="en-US" w:eastAsia="en-GB"/>
        </w:rPr>
        <w:t>linical presentation by se</w:t>
      </w:r>
      <w:r>
        <w:rPr>
          <w:rFonts w:ascii="Cambria" w:eastAsia="Times New Roman" w:hAnsi="Cambria" w:cs="Times New Roman"/>
          <w:b/>
          <w:iCs/>
          <w:lang w:val="en-US" w:eastAsia="en-GB"/>
        </w:rPr>
        <w:t>rotype group in c</w:t>
      </w:r>
      <w:r w:rsidRPr="00B044EA">
        <w:rPr>
          <w:rFonts w:ascii="Cambria" w:eastAsia="Times New Roman" w:hAnsi="Cambria" w:cs="Times New Roman"/>
          <w:b/>
          <w:iCs/>
          <w:lang w:val="en-US" w:eastAsia="en-GB"/>
        </w:rPr>
        <w:t xml:space="preserve">hildren </w:t>
      </w:r>
      <w:r>
        <w:rPr>
          <w:rFonts w:ascii="Cambria" w:eastAsia="Times New Roman" w:hAnsi="Cambria" w:cs="Times New Roman"/>
          <w:b/>
          <w:iCs/>
          <w:lang w:val="en-US" w:eastAsia="en-GB"/>
        </w:rPr>
        <w:t>aged &lt;</w:t>
      </w:r>
      <w:r w:rsidRPr="00B044EA">
        <w:rPr>
          <w:rFonts w:ascii="Cambria" w:eastAsia="Times New Roman" w:hAnsi="Cambria" w:cs="Times New Roman"/>
          <w:b/>
          <w:iCs/>
          <w:lang w:val="en-US" w:eastAsia="en-GB"/>
        </w:rPr>
        <w:t xml:space="preserve">5 years </w:t>
      </w:r>
      <w:r>
        <w:rPr>
          <w:rFonts w:ascii="Cambria" w:eastAsia="Times New Roman" w:hAnsi="Cambria" w:cs="Times New Roman"/>
          <w:b/>
          <w:iCs/>
          <w:lang w:val="en-US" w:eastAsia="en-GB"/>
        </w:rPr>
        <w:t xml:space="preserve">with laboratory-confirmed </w:t>
      </w:r>
      <w:r w:rsidR="00FB2266">
        <w:rPr>
          <w:rFonts w:ascii="Cambria" w:eastAsia="Times New Roman" w:hAnsi="Cambria" w:cs="Times New Roman"/>
          <w:b/>
          <w:iCs/>
          <w:lang w:val="en-US" w:eastAsia="en-GB"/>
        </w:rPr>
        <w:t>IPD</w:t>
      </w:r>
      <w:r w:rsidR="00C53B41">
        <w:rPr>
          <w:rFonts w:ascii="Cambria" w:eastAsia="Times New Roman" w:hAnsi="Cambria" w:cs="Times New Roman"/>
          <w:b/>
          <w:iCs/>
          <w:lang w:val="en-US" w:eastAsia="en-GB"/>
        </w:rPr>
        <w:t xml:space="preserve"> in England and Wales, September 2006 to August</w:t>
      </w:r>
      <w:r w:rsidRPr="00B044EA">
        <w:rPr>
          <w:rFonts w:ascii="Cambria" w:eastAsia="Times New Roman" w:hAnsi="Cambria" w:cs="Times New Roman"/>
          <w:b/>
          <w:iCs/>
          <w:lang w:val="en-US" w:eastAsia="en-GB"/>
        </w:rPr>
        <w:t xml:space="preserve"> 2014</w:t>
      </w:r>
      <w:r>
        <w:rPr>
          <w:rFonts w:ascii="Cambria" w:eastAsia="Times New Roman" w:hAnsi="Cambria" w:cs="Times New Roman"/>
          <w:b/>
          <w:iCs/>
          <w:lang w:val="en-US" w:eastAsia="en-GB"/>
        </w:rPr>
        <w:t xml:space="preserve">. </w:t>
      </w:r>
    </w:p>
    <w:p w14:paraId="29A5C3BF" w14:textId="77777777" w:rsidR="003849FC" w:rsidRDefault="003849FC" w:rsidP="00D27E63">
      <w:pPr>
        <w:rPr>
          <w:rFonts w:ascii="Cambria" w:eastAsia="Times New Roman" w:hAnsi="Cambria" w:cs="Times New Roman"/>
          <w:lang w:eastAsia="en-GB"/>
        </w:rPr>
      </w:pPr>
    </w:p>
    <w:p w14:paraId="7C35DC1A" w14:textId="0FA5FA3C" w:rsidR="0063451E" w:rsidRPr="00DF08DE" w:rsidRDefault="0063451E" w:rsidP="0063451E">
      <w:pPr>
        <w:widowControl w:val="0"/>
        <w:autoSpaceDE w:val="0"/>
        <w:autoSpaceDN w:val="0"/>
        <w:adjustRightInd w:val="0"/>
        <w:rPr>
          <w:rFonts w:ascii="Helvetica Neue" w:hAnsi="Helvetica Neue" w:cs="Helvetica Neue"/>
          <w:color w:val="11420D"/>
          <w:sz w:val="20"/>
          <w:szCs w:val="26"/>
          <w:lang w:val="en-US"/>
        </w:rPr>
      </w:pPr>
      <w:r w:rsidRPr="00DF08DE">
        <w:rPr>
          <w:rFonts w:ascii="Helvetica Neue" w:hAnsi="Helvetica Neue" w:cs="Helvetica Neue"/>
          <w:iCs/>
          <w:sz w:val="20"/>
          <w:szCs w:val="26"/>
          <w:lang w:val="en-US"/>
        </w:rPr>
        <w:t>PCV7 = serotypes included in the 7-valent pneumococcal conjugate vaccine</w:t>
      </w:r>
      <w:r w:rsidR="00825533">
        <w:rPr>
          <w:rFonts w:ascii="Helvetica Neue" w:hAnsi="Helvetica Neue" w:cs="Helvetica Neue"/>
          <w:iCs/>
          <w:sz w:val="20"/>
          <w:szCs w:val="26"/>
          <w:lang w:val="en-US"/>
        </w:rPr>
        <w:t xml:space="preserve"> (23 cases)</w:t>
      </w:r>
      <w:r w:rsidRPr="00DF08DE">
        <w:rPr>
          <w:rFonts w:ascii="Helvetica Neue" w:hAnsi="Helvetica Neue" w:cs="Helvetica Neue"/>
          <w:iCs/>
          <w:sz w:val="20"/>
          <w:szCs w:val="26"/>
          <w:lang w:val="en-US"/>
        </w:rPr>
        <w:t>; PCV13 = additional 6 serotypes included in the 13-valent pneumococcal conjugate vaccine</w:t>
      </w:r>
      <w:r w:rsidR="00825533">
        <w:rPr>
          <w:rFonts w:ascii="Helvetica Neue" w:hAnsi="Helvetica Neue" w:cs="Helvetica Neue"/>
          <w:iCs/>
          <w:sz w:val="20"/>
          <w:szCs w:val="26"/>
          <w:lang w:val="en-US"/>
        </w:rPr>
        <w:t xml:space="preserve"> (45 cases)</w:t>
      </w:r>
      <w:r w:rsidRPr="00DF08DE">
        <w:rPr>
          <w:rFonts w:ascii="Helvetica Neue" w:hAnsi="Helvetica Neue" w:cs="Helvetica Neue"/>
          <w:iCs/>
          <w:sz w:val="20"/>
          <w:szCs w:val="26"/>
          <w:lang w:val="en-US"/>
        </w:rPr>
        <w:t>; Other = serotypes not included in the 13-valent pneumococcal conjugate vaccine</w:t>
      </w:r>
      <w:r w:rsidR="00825533">
        <w:rPr>
          <w:rFonts w:ascii="Helvetica Neue" w:hAnsi="Helvetica Neue" w:cs="Helvetica Neue"/>
          <w:iCs/>
          <w:sz w:val="20"/>
          <w:szCs w:val="26"/>
          <w:lang w:val="en-US"/>
        </w:rPr>
        <w:t xml:space="preserve"> (64 cases)</w:t>
      </w:r>
      <w:r w:rsidRPr="00DF08DE">
        <w:rPr>
          <w:rFonts w:ascii="Helvetica Neue" w:hAnsi="Helvetica Neue" w:cs="Helvetica Neue"/>
          <w:iCs/>
          <w:sz w:val="20"/>
          <w:szCs w:val="26"/>
          <w:lang w:val="en-US"/>
        </w:rPr>
        <w:t>; NK = serotypes not known because isolates not serotyped</w:t>
      </w:r>
      <w:r w:rsidR="00825533">
        <w:rPr>
          <w:rFonts w:ascii="Helvetica Neue" w:hAnsi="Helvetica Neue" w:cs="Helvetica Neue"/>
          <w:iCs/>
          <w:sz w:val="20"/>
          <w:szCs w:val="26"/>
          <w:lang w:val="en-US"/>
        </w:rPr>
        <w:t xml:space="preserve"> (18 cases)</w:t>
      </w:r>
    </w:p>
    <w:p w14:paraId="3949DB3D" w14:textId="77777777" w:rsidR="00D27E63" w:rsidRDefault="00D27E63" w:rsidP="00D27E63">
      <w:pPr>
        <w:rPr>
          <w:rFonts w:ascii="Cambria" w:eastAsia="Times New Roman" w:hAnsi="Cambria" w:cs="Times New Roman"/>
          <w:lang w:eastAsia="en-GB"/>
        </w:rPr>
      </w:pPr>
    </w:p>
    <w:p w14:paraId="6DE3D5D1" w14:textId="77777777" w:rsidR="00CE6EF9" w:rsidRDefault="00CE6EF9" w:rsidP="00D27E63">
      <w:pPr>
        <w:rPr>
          <w:rFonts w:ascii="Cambria" w:eastAsia="Times New Roman" w:hAnsi="Cambria" w:cs="Times New Roman"/>
          <w:lang w:eastAsia="en-GB"/>
        </w:rPr>
      </w:pPr>
    </w:p>
    <w:p w14:paraId="26463517" w14:textId="77777777" w:rsidR="00CE6EF9" w:rsidRDefault="00CE6EF9" w:rsidP="00D27E63">
      <w:pPr>
        <w:rPr>
          <w:rFonts w:ascii="Cambria" w:eastAsia="Times New Roman" w:hAnsi="Cambria" w:cs="Times New Roman"/>
          <w:lang w:eastAsia="en-GB"/>
        </w:rPr>
      </w:pPr>
    </w:p>
    <w:p w14:paraId="6E6F87F2" w14:textId="77777777" w:rsidR="00CE6EF9" w:rsidRDefault="00CE6EF9" w:rsidP="00D27E63">
      <w:pPr>
        <w:rPr>
          <w:rFonts w:ascii="Cambria" w:eastAsia="Times New Roman" w:hAnsi="Cambria" w:cs="Times New Roman"/>
          <w:lang w:eastAsia="en-GB"/>
        </w:rPr>
      </w:pPr>
    </w:p>
    <w:p w14:paraId="47BF51E3" w14:textId="77777777" w:rsidR="00CE6EF9" w:rsidRDefault="00CE6EF9" w:rsidP="00D27E63">
      <w:pPr>
        <w:rPr>
          <w:rFonts w:ascii="Cambria" w:eastAsia="Times New Roman" w:hAnsi="Cambria" w:cs="Times New Roman"/>
          <w:lang w:eastAsia="en-GB"/>
        </w:rPr>
      </w:pPr>
    </w:p>
    <w:p w14:paraId="4A7ACEB0" w14:textId="77777777" w:rsidR="00CE6EF9" w:rsidRDefault="00CE6EF9" w:rsidP="00D27E63">
      <w:pPr>
        <w:rPr>
          <w:rFonts w:ascii="Cambria" w:eastAsia="Times New Roman" w:hAnsi="Cambria" w:cs="Times New Roman"/>
          <w:lang w:eastAsia="en-GB"/>
        </w:rPr>
      </w:pPr>
    </w:p>
    <w:p w14:paraId="616C8E7F" w14:textId="0596807A" w:rsidR="0015664B" w:rsidRPr="0015664B" w:rsidRDefault="006C45C1" w:rsidP="0015664B">
      <w:r>
        <w:rPr>
          <w:rFonts w:ascii="Cambria" w:eastAsia="Times New Roman" w:hAnsi="Cambria" w:cs="Times New Roman"/>
          <w:lang w:eastAsia="en-GB"/>
        </w:rPr>
        <w:br w:type="page"/>
      </w:r>
    </w:p>
    <w:tbl>
      <w:tblPr>
        <w:tblStyle w:val="TableGrid"/>
        <w:tblW w:w="0" w:type="auto"/>
        <w:tblLayout w:type="fixed"/>
        <w:tblLook w:val="04A0" w:firstRow="1" w:lastRow="0" w:firstColumn="1" w:lastColumn="0" w:noHBand="0" w:noVBand="1"/>
      </w:tblPr>
      <w:tblGrid>
        <w:gridCol w:w="2454"/>
        <w:gridCol w:w="1031"/>
        <w:gridCol w:w="1235"/>
        <w:gridCol w:w="1200"/>
        <w:gridCol w:w="1066"/>
        <w:gridCol w:w="903"/>
        <w:gridCol w:w="967"/>
      </w:tblGrid>
      <w:tr w:rsidR="00AF34C1" w:rsidRPr="00062247" w14:paraId="6B776174" w14:textId="77777777" w:rsidTr="00375104">
        <w:trPr>
          <w:trHeight w:val="300"/>
        </w:trPr>
        <w:tc>
          <w:tcPr>
            <w:tcW w:w="2454" w:type="dxa"/>
            <w:noWrap/>
            <w:hideMark/>
          </w:tcPr>
          <w:p w14:paraId="4463B822" w14:textId="77777777" w:rsidR="00AF34C1" w:rsidRPr="00062247" w:rsidRDefault="00AF34C1" w:rsidP="00255186">
            <w:pPr>
              <w:widowControl w:val="0"/>
              <w:autoSpaceDE w:val="0"/>
              <w:autoSpaceDN w:val="0"/>
              <w:adjustRightInd w:val="0"/>
              <w:rPr>
                <w:rFonts w:ascii="Cambria" w:hAnsi="Cambria" w:cs="Cambria"/>
                <w:b/>
                <w:bCs/>
                <w:sz w:val="16"/>
              </w:rPr>
            </w:pPr>
          </w:p>
        </w:tc>
        <w:tc>
          <w:tcPr>
            <w:tcW w:w="1031" w:type="dxa"/>
            <w:noWrap/>
            <w:hideMark/>
          </w:tcPr>
          <w:p w14:paraId="409BD07C" w14:textId="77777777" w:rsidR="00AF34C1"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&lt;1 month</w:t>
            </w:r>
          </w:p>
          <w:p w14:paraId="349A009C"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(n=27, 18%)</w:t>
            </w:r>
          </w:p>
        </w:tc>
        <w:tc>
          <w:tcPr>
            <w:tcW w:w="1235" w:type="dxa"/>
            <w:noWrap/>
            <w:hideMark/>
          </w:tcPr>
          <w:p w14:paraId="1316392A" w14:textId="77777777" w:rsidR="00AF34C1" w:rsidRDefault="00AF34C1" w:rsidP="00255186">
            <w:pPr>
              <w:widowControl w:val="0"/>
              <w:autoSpaceDE w:val="0"/>
              <w:autoSpaceDN w:val="0"/>
              <w:adjustRightInd w:val="0"/>
              <w:rPr>
                <w:rFonts w:ascii="Cambria" w:hAnsi="Cambria" w:cs="Cambria"/>
                <w:b/>
                <w:bCs/>
                <w:sz w:val="16"/>
              </w:rPr>
            </w:pPr>
            <w:r w:rsidRPr="00062247">
              <w:rPr>
                <w:rFonts w:ascii="Cambria" w:hAnsi="Cambria" w:cs="Cambria"/>
                <w:b/>
                <w:bCs/>
                <w:sz w:val="16"/>
              </w:rPr>
              <w:t>1-5 months</w:t>
            </w:r>
          </w:p>
          <w:p w14:paraId="569BC797"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(n=34, 23%)</w:t>
            </w:r>
          </w:p>
        </w:tc>
        <w:tc>
          <w:tcPr>
            <w:tcW w:w="1200" w:type="dxa"/>
            <w:noWrap/>
            <w:hideMark/>
          </w:tcPr>
          <w:p w14:paraId="3144C2B3" w14:textId="77777777" w:rsidR="00AF34C1" w:rsidRDefault="00AF34C1" w:rsidP="00255186">
            <w:pPr>
              <w:widowControl w:val="0"/>
              <w:autoSpaceDE w:val="0"/>
              <w:autoSpaceDN w:val="0"/>
              <w:adjustRightInd w:val="0"/>
              <w:rPr>
                <w:rFonts w:ascii="Cambria" w:hAnsi="Cambria" w:cs="Cambria"/>
                <w:b/>
                <w:bCs/>
                <w:sz w:val="16"/>
              </w:rPr>
            </w:pPr>
            <w:r w:rsidRPr="00062247">
              <w:rPr>
                <w:rFonts w:ascii="Cambria" w:hAnsi="Cambria" w:cs="Cambria"/>
                <w:b/>
                <w:bCs/>
                <w:sz w:val="16"/>
              </w:rPr>
              <w:t>6-11 months</w:t>
            </w:r>
          </w:p>
          <w:p w14:paraId="35EE1483"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(n=27, 18%)</w:t>
            </w:r>
          </w:p>
        </w:tc>
        <w:tc>
          <w:tcPr>
            <w:tcW w:w="1066" w:type="dxa"/>
            <w:noWrap/>
            <w:hideMark/>
          </w:tcPr>
          <w:p w14:paraId="0995A402" w14:textId="77777777" w:rsidR="00AF34C1" w:rsidRDefault="00AF34C1" w:rsidP="00255186">
            <w:pPr>
              <w:widowControl w:val="0"/>
              <w:autoSpaceDE w:val="0"/>
              <w:autoSpaceDN w:val="0"/>
              <w:adjustRightInd w:val="0"/>
              <w:rPr>
                <w:rFonts w:ascii="Cambria" w:hAnsi="Cambria" w:cs="Cambria"/>
                <w:b/>
                <w:bCs/>
                <w:sz w:val="16"/>
              </w:rPr>
            </w:pPr>
            <w:r w:rsidRPr="00062247">
              <w:rPr>
                <w:rFonts w:ascii="Cambria" w:hAnsi="Cambria" w:cs="Cambria"/>
                <w:b/>
                <w:bCs/>
                <w:sz w:val="16"/>
              </w:rPr>
              <w:t>1y</w:t>
            </w:r>
          </w:p>
          <w:p w14:paraId="4CC19FF7"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(n=35, 23%)</w:t>
            </w:r>
          </w:p>
        </w:tc>
        <w:tc>
          <w:tcPr>
            <w:tcW w:w="903" w:type="dxa"/>
            <w:noWrap/>
            <w:hideMark/>
          </w:tcPr>
          <w:p w14:paraId="3B22AC42" w14:textId="77777777" w:rsidR="00AF34C1" w:rsidRDefault="00AF34C1" w:rsidP="00255186">
            <w:pPr>
              <w:widowControl w:val="0"/>
              <w:autoSpaceDE w:val="0"/>
              <w:autoSpaceDN w:val="0"/>
              <w:adjustRightInd w:val="0"/>
              <w:rPr>
                <w:rFonts w:ascii="Cambria" w:hAnsi="Cambria" w:cs="Cambria"/>
                <w:b/>
                <w:bCs/>
                <w:sz w:val="16"/>
              </w:rPr>
            </w:pPr>
            <w:r w:rsidRPr="00062247">
              <w:rPr>
                <w:rFonts w:ascii="Cambria" w:hAnsi="Cambria" w:cs="Cambria"/>
                <w:b/>
                <w:bCs/>
                <w:sz w:val="16"/>
              </w:rPr>
              <w:t>2-4y</w:t>
            </w:r>
          </w:p>
          <w:p w14:paraId="3C373E89"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(n=27, 18%)</w:t>
            </w:r>
          </w:p>
        </w:tc>
        <w:tc>
          <w:tcPr>
            <w:tcW w:w="967" w:type="dxa"/>
            <w:noWrap/>
            <w:hideMark/>
          </w:tcPr>
          <w:p w14:paraId="2E66F074" w14:textId="77777777" w:rsidR="00AF34C1" w:rsidRDefault="00AF34C1" w:rsidP="00255186">
            <w:pPr>
              <w:widowControl w:val="0"/>
              <w:autoSpaceDE w:val="0"/>
              <w:autoSpaceDN w:val="0"/>
              <w:adjustRightInd w:val="0"/>
              <w:rPr>
                <w:rFonts w:ascii="Cambria" w:hAnsi="Cambria" w:cs="Cambria"/>
                <w:b/>
                <w:bCs/>
                <w:sz w:val="16"/>
              </w:rPr>
            </w:pPr>
            <w:r w:rsidRPr="00062247">
              <w:rPr>
                <w:rFonts w:ascii="Cambria" w:hAnsi="Cambria" w:cs="Cambria"/>
                <w:b/>
                <w:bCs/>
                <w:sz w:val="16"/>
              </w:rPr>
              <w:t>Total</w:t>
            </w:r>
          </w:p>
          <w:p w14:paraId="3E234E15" w14:textId="77777777" w:rsidR="00AF34C1" w:rsidRPr="00062247" w:rsidRDefault="00AF34C1" w:rsidP="00255186">
            <w:pPr>
              <w:widowControl w:val="0"/>
              <w:autoSpaceDE w:val="0"/>
              <w:autoSpaceDN w:val="0"/>
              <w:adjustRightInd w:val="0"/>
              <w:rPr>
                <w:rFonts w:ascii="Cambria" w:hAnsi="Cambria" w:cs="Cambria"/>
                <w:b/>
                <w:bCs/>
                <w:sz w:val="16"/>
              </w:rPr>
            </w:pPr>
            <w:r>
              <w:rPr>
                <w:rFonts w:ascii="Cambria" w:hAnsi="Cambria" w:cs="Cambria"/>
                <w:b/>
                <w:bCs/>
                <w:sz w:val="16"/>
              </w:rPr>
              <w:t>(n=150, 100%)</w:t>
            </w:r>
          </w:p>
        </w:tc>
      </w:tr>
      <w:tr w:rsidR="00AF34C1" w:rsidRPr="00062247" w14:paraId="2325E4DB" w14:textId="77777777" w:rsidTr="00375104">
        <w:trPr>
          <w:trHeight w:val="300"/>
        </w:trPr>
        <w:tc>
          <w:tcPr>
            <w:tcW w:w="2454" w:type="dxa"/>
            <w:noWrap/>
          </w:tcPr>
          <w:p w14:paraId="5DE29992" w14:textId="77777777" w:rsidR="00AF34C1" w:rsidRPr="00113AFC" w:rsidRDefault="00AF34C1" w:rsidP="00255186">
            <w:pPr>
              <w:widowControl w:val="0"/>
              <w:autoSpaceDE w:val="0"/>
              <w:autoSpaceDN w:val="0"/>
              <w:adjustRightInd w:val="0"/>
              <w:spacing w:line="480" w:lineRule="auto"/>
              <w:rPr>
                <w:rFonts w:ascii="Cambria" w:hAnsi="Cambria" w:cs="Cambria"/>
                <w:b/>
                <w:bCs/>
                <w:sz w:val="16"/>
              </w:rPr>
            </w:pPr>
            <w:r w:rsidRPr="00113AFC">
              <w:rPr>
                <w:rFonts w:ascii="Cambria" w:hAnsi="Cambria" w:cs="Cambria"/>
                <w:b/>
                <w:bCs/>
                <w:sz w:val="16"/>
              </w:rPr>
              <w:t>Gender</w:t>
            </w:r>
          </w:p>
        </w:tc>
        <w:tc>
          <w:tcPr>
            <w:tcW w:w="1031" w:type="dxa"/>
            <w:noWrap/>
          </w:tcPr>
          <w:p w14:paraId="592A6EB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35" w:type="dxa"/>
            <w:noWrap/>
          </w:tcPr>
          <w:p w14:paraId="4BE7872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00" w:type="dxa"/>
            <w:noWrap/>
          </w:tcPr>
          <w:p w14:paraId="0C37CC7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066" w:type="dxa"/>
            <w:noWrap/>
          </w:tcPr>
          <w:p w14:paraId="53ACA68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03" w:type="dxa"/>
            <w:noWrap/>
          </w:tcPr>
          <w:p w14:paraId="217DA86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67" w:type="dxa"/>
            <w:noWrap/>
          </w:tcPr>
          <w:p w14:paraId="6CB2D1C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r>
      <w:tr w:rsidR="00AF34C1" w:rsidRPr="00062247" w14:paraId="3F83439E" w14:textId="77777777" w:rsidTr="00375104">
        <w:trPr>
          <w:trHeight w:val="300"/>
        </w:trPr>
        <w:tc>
          <w:tcPr>
            <w:tcW w:w="2454" w:type="dxa"/>
            <w:noWrap/>
            <w:hideMark/>
          </w:tcPr>
          <w:p w14:paraId="7FC9764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 xml:space="preserve">     </w:t>
            </w:r>
            <w:r w:rsidRPr="00062247">
              <w:rPr>
                <w:rFonts w:ascii="Cambria" w:hAnsi="Cambria" w:cs="Cambria"/>
                <w:bCs/>
                <w:sz w:val="16"/>
              </w:rPr>
              <w:t>Male</w:t>
            </w:r>
          </w:p>
        </w:tc>
        <w:tc>
          <w:tcPr>
            <w:tcW w:w="1031" w:type="dxa"/>
            <w:noWrap/>
            <w:hideMark/>
          </w:tcPr>
          <w:p w14:paraId="6ECA8D8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13(48.1)</w:t>
            </w:r>
          </w:p>
        </w:tc>
        <w:tc>
          <w:tcPr>
            <w:tcW w:w="1235" w:type="dxa"/>
            <w:noWrap/>
            <w:hideMark/>
          </w:tcPr>
          <w:p w14:paraId="6BA36B4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20(58.8)</w:t>
            </w:r>
          </w:p>
        </w:tc>
        <w:tc>
          <w:tcPr>
            <w:tcW w:w="1200" w:type="dxa"/>
            <w:noWrap/>
            <w:hideMark/>
          </w:tcPr>
          <w:p w14:paraId="77582FE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14(51.9)</w:t>
            </w:r>
          </w:p>
        </w:tc>
        <w:tc>
          <w:tcPr>
            <w:tcW w:w="1066" w:type="dxa"/>
            <w:noWrap/>
            <w:hideMark/>
          </w:tcPr>
          <w:p w14:paraId="0D3397E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17(48.6)</w:t>
            </w:r>
          </w:p>
        </w:tc>
        <w:tc>
          <w:tcPr>
            <w:tcW w:w="903" w:type="dxa"/>
            <w:noWrap/>
            <w:hideMark/>
          </w:tcPr>
          <w:p w14:paraId="0F5735B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15(55.6)</w:t>
            </w:r>
          </w:p>
        </w:tc>
        <w:tc>
          <w:tcPr>
            <w:tcW w:w="967" w:type="dxa"/>
            <w:noWrap/>
            <w:hideMark/>
          </w:tcPr>
          <w:p w14:paraId="1FB3605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79(52.7)</w:t>
            </w:r>
          </w:p>
        </w:tc>
      </w:tr>
      <w:tr w:rsidR="00964CC1" w:rsidRPr="00062247" w14:paraId="1043E78D" w14:textId="77777777" w:rsidTr="00375104">
        <w:trPr>
          <w:trHeight w:val="300"/>
        </w:trPr>
        <w:tc>
          <w:tcPr>
            <w:tcW w:w="2454" w:type="dxa"/>
            <w:noWrap/>
          </w:tcPr>
          <w:p w14:paraId="10602BBB" w14:textId="1816CFA9" w:rsidR="00964CC1" w:rsidRPr="00113AFC" w:rsidRDefault="00964CC1" w:rsidP="00255186">
            <w:pPr>
              <w:widowControl w:val="0"/>
              <w:autoSpaceDE w:val="0"/>
              <w:autoSpaceDN w:val="0"/>
              <w:adjustRightInd w:val="0"/>
              <w:spacing w:line="480" w:lineRule="auto"/>
              <w:rPr>
                <w:rFonts w:ascii="Cambria" w:hAnsi="Cambria" w:cs="Cambria"/>
                <w:b/>
                <w:bCs/>
                <w:sz w:val="16"/>
              </w:rPr>
            </w:pPr>
            <w:r>
              <w:rPr>
                <w:rFonts w:ascii="Cambria" w:hAnsi="Cambria" w:cs="Cambria"/>
                <w:b/>
                <w:bCs/>
                <w:sz w:val="16"/>
              </w:rPr>
              <w:t>Serotypes Group</w:t>
            </w:r>
          </w:p>
        </w:tc>
        <w:tc>
          <w:tcPr>
            <w:tcW w:w="1031" w:type="dxa"/>
            <w:noWrap/>
          </w:tcPr>
          <w:p w14:paraId="547A6944"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c>
          <w:tcPr>
            <w:tcW w:w="1235" w:type="dxa"/>
            <w:noWrap/>
          </w:tcPr>
          <w:p w14:paraId="772548B7"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c>
          <w:tcPr>
            <w:tcW w:w="1200" w:type="dxa"/>
            <w:noWrap/>
          </w:tcPr>
          <w:p w14:paraId="6C638DB6"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c>
          <w:tcPr>
            <w:tcW w:w="1066" w:type="dxa"/>
            <w:noWrap/>
          </w:tcPr>
          <w:p w14:paraId="42407B6C"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c>
          <w:tcPr>
            <w:tcW w:w="903" w:type="dxa"/>
            <w:noWrap/>
          </w:tcPr>
          <w:p w14:paraId="3ECBC543"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c>
          <w:tcPr>
            <w:tcW w:w="967" w:type="dxa"/>
            <w:noWrap/>
          </w:tcPr>
          <w:p w14:paraId="2A5B6BD1" w14:textId="77777777" w:rsidR="00964CC1" w:rsidRPr="00062247" w:rsidRDefault="00964CC1" w:rsidP="00255186">
            <w:pPr>
              <w:widowControl w:val="0"/>
              <w:autoSpaceDE w:val="0"/>
              <w:autoSpaceDN w:val="0"/>
              <w:adjustRightInd w:val="0"/>
              <w:spacing w:line="480" w:lineRule="auto"/>
              <w:rPr>
                <w:rFonts w:ascii="Cambria" w:hAnsi="Cambria" w:cs="Cambria"/>
                <w:bCs/>
                <w:sz w:val="16"/>
              </w:rPr>
            </w:pPr>
          </w:p>
        </w:tc>
      </w:tr>
      <w:tr w:rsidR="006C45C1" w:rsidRPr="00062247" w14:paraId="16223332" w14:textId="77777777" w:rsidTr="00375104">
        <w:trPr>
          <w:trHeight w:val="300"/>
        </w:trPr>
        <w:tc>
          <w:tcPr>
            <w:tcW w:w="2454" w:type="dxa"/>
            <w:noWrap/>
          </w:tcPr>
          <w:p w14:paraId="3FE491F4" w14:textId="3912CF7E" w:rsidR="006C45C1" w:rsidRPr="00113AFC" w:rsidRDefault="006C45C1" w:rsidP="00255186">
            <w:pPr>
              <w:widowControl w:val="0"/>
              <w:autoSpaceDE w:val="0"/>
              <w:autoSpaceDN w:val="0"/>
              <w:adjustRightInd w:val="0"/>
              <w:spacing w:line="480" w:lineRule="auto"/>
              <w:rPr>
                <w:rFonts w:ascii="Cambria" w:hAnsi="Cambria" w:cs="Cambria"/>
                <w:b/>
                <w:bCs/>
                <w:sz w:val="16"/>
              </w:rPr>
            </w:pPr>
            <w:r>
              <w:rPr>
                <w:rFonts w:ascii="Cambria" w:hAnsi="Cambria" w:cs="Cambria"/>
                <w:b/>
                <w:bCs/>
                <w:sz w:val="16"/>
              </w:rPr>
              <w:t>PCV7 serotypes</w:t>
            </w:r>
          </w:p>
        </w:tc>
        <w:tc>
          <w:tcPr>
            <w:tcW w:w="1031" w:type="dxa"/>
            <w:noWrap/>
          </w:tcPr>
          <w:p w14:paraId="3EC00FB0" w14:textId="209375CC"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4 (15%)</w:t>
            </w:r>
          </w:p>
        </w:tc>
        <w:tc>
          <w:tcPr>
            <w:tcW w:w="1235" w:type="dxa"/>
            <w:noWrap/>
          </w:tcPr>
          <w:p w14:paraId="6926A8CE" w14:textId="681CA4C3"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6 (18%)</w:t>
            </w:r>
          </w:p>
        </w:tc>
        <w:tc>
          <w:tcPr>
            <w:tcW w:w="1200" w:type="dxa"/>
            <w:noWrap/>
          </w:tcPr>
          <w:p w14:paraId="0B26C6D3" w14:textId="51B22D2E"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4 (15%)</w:t>
            </w:r>
          </w:p>
        </w:tc>
        <w:tc>
          <w:tcPr>
            <w:tcW w:w="1066" w:type="dxa"/>
            <w:noWrap/>
          </w:tcPr>
          <w:p w14:paraId="69A633EA" w14:textId="169B1A3E"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7 (20%)</w:t>
            </w:r>
          </w:p>
        </w:tc>
        <w:tc>
          <w:tcPr>
            <w:tcW w:w="903" w:type="dxa"/>
            <w:noWrap/>
          </w:tcPr>
          <w:p w14:paraId="282278BE" w14:textId="109AD990" w:rsidR="006C45C1" w:rsidRPr="00062247" w:rsidRDefault="00452FD0"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2</w:t>
            </w:r>
            <w:r w:rsidR="00890922">
              <w:rPr>
                <w:rFonts w:ascii="Cambria" w:hAnsi="Cambria" w:cs="Cambria"/>
                <w:bCs/>
                <w:sz w:val="16"/>
              </w:rPr>
              <w:t xml:space="preserve"> (7%)</w:t>
            </w:r>
          </w:p>
        </w:tc>
        <w:tc>
          <w:tcPr>
            <w:tcW w:w="967" w:type="dxa"/>
            <w:noWrap/>
          </w:tcPr>
          <w:p w14:paraId="4D7ED79B" w14:textId="357AC65E"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23 (15%)</w:t>
            </w:r>
          </w:p>
        </w:tc>
      </w:tr>
      <w:tr w:rsidR="006C45C1" w:rsidRPr="00062247" w14:paraId="1F1B72E7" w14:textId="77777777" w:rsidTr="00375104">
        <w:trPr>
          <w:trHeight w:val="300"/>
        </w:trPr>
        <w:tc>
          <w:tcPr>
            <w:tcW w:w="2454" w:type="dxa"/>
            <w:noWrap/>
          </w:tcPr>
          <w:p w14:paraId="0A654A18" w14:textId="21AEF5CF" w:rsidR="006C45C1" w:rsidRPr="00113AFC" w:rsidRDefault="006C45C1" w:rsidP="00255186">
            <w:pPr>
              <w:widowControl w:val="0"/>
              <w:autoSpaceDE w:val="0"/>
              <w:autoSpaceDN w:val="0"/>
              <w:adjustRightInd w:val="0"/>
              <w:spacing w:line="480" w:lineRule="auto"/>
              <w:rPr>
                <w:rFonts w:ascii="Cambria" w:hAnsi="Cambria" w:cs="Cambria"/>
                <w:b/>
                <w:bCs/>
                <w:sz w:val="16"/>
              </w:rPr>
            </w:pPr>
            <w:r>
              <w:rPr>
                <w:rFonts w:ascii="Cambria" w:hAnsi="Cambria" w:cs="Cambria"/>
                <w:b/>
                <w:bCs/>
                <w:sz w:val="16"/>
              </w:rPr>
              <w:t>Additional PCV13 serotypes</w:t>
            </w:r>
          </w:p>
        </w:tc>
        <w:tc>
          <w:tcPr>
            <w:tcW w:w="1031" w:type="dxa"/>
            <w:noWrap/>
          </w:tcPr>
          <w:p w14:paraId="6AD82221" w14:textId="22C29459"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10 (37%)</w:t>
            </w:r>
          </w:p>
        </w:tc>
        <w:tc>
          <w:tcPr>
            <w:tcW w:w="1235" w:type="dxa"/>
            <w:noWrap/>
          </w:tcPr>
          <w:p w14:paraId="00A23AA9" w14:textId="7A5E13D7"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10 (29%)</w:t>
            </w:r>
          </w:p>
        </w:tc>
        <w:tc>
          <w:tcPr>
            <w:tcW w:w="1200" w:type="dxa"/>
            <w:noWrap/>
          </w:tcPr>
          <w:p w14:paraId="6AB123CF" w14:textId="3B7C2F87"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9 (33%)</w:t>
            </w:r>
          </w:p>
        </w:tc>
        <w:tc>
          <w:tcPr>
            <w:tcW w:w="1066" w:type="dxa"/>
            <w:noWrap/>
          </w:tcPr>
          <w:p w14:paraId="28B7A1CE" w14:textId="574A79E3"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8 (23%)</w:t>
            </w:r>
          </w:p>
        </w:tc>
        <w:tc>
          <w:tcPr>
            <w:tcW w:w="903" w:type="dxa"/>
            <w:noWrap/>
          </w:tcPr>
          <w:p w14:paraId="27C72677" w14:textId="50487F2D" w:rsidR="006C45C1" w:rsidRPr="00062247" w:rsidRDefault="00ED6D9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8</w:t>
            </w:r>
            <w:r w:rsidR="00890922">
              <w:rPr>
                <w:rFonts w:ascii="Cambria" w:hAnsi="Cambria" w:cs="Cambria"/>
                <w:bCs/>
                <w:sz w:val="16"/>
              </w:rPr>
              <w:t xml:space="preserve"> (30%) </w:t>
            </w:r>
          </w:p>
        </w:tc>
        <w:tc>
          <w:tcPr>
            <w:tcW w:w="967" w:type="dxa"/>
            <w:noWrap/>
          </w:tcPr>
          <w:p w14:paraId="1E1B79C6" w14:textId="4218CB68" w:rsidR="006C45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45 (30%)</w:t>
            </w:r>
          </w:p>
        </w:tc>
      </w:tr>
      <w:tr w:rsidR="00964CC1" w:rsidRPr="00062247" w14:paraId="1CF3E40E" w14:textId="77777777" w:rsidTr="00375104">
        <w:trPr>
          <w:trHeight w:val="300"/>
        </w:trPr>
        <w:tc>
          <w:tcPr>
            <w:tcW w:w="2454" w:type="dxa"/>
            <w:noWrap/>
          </w:tcPr>
          <w:p w14:paraId="51970E55" w14:textId="5323D446" w:rsidR="00964CC1" w:rsidRPr="00113AFC" w:rsidRDefault="00E16D06" w:rsidP="00255186">
            <w:pPr>
              <w:widowControl w:val="0"/>
              <w:autoSpaceDE w:val="0"/>
              <w:autoSpaceDN w:val="0"/>
              <w:adjustRightInd w:val="0"/>
              <w:spacing w:line="480" w:lineRule="auto"/>
              <w:rPr>
                <w:rFonts w:ascii="Cambria" w:hAnsi="Cambria" w:cs="Cambria"/>
                <w:b/>
                <w:bCs/>
                <w:sz w:val="16"/>
              </w:rPr>
            </w:pPr>
            <w:r>
              <w:rPr>
                <w:rFonts w:ascii="Cambria" w:hAnsi="Cambria" w:cs="Cambria"/>
                <w:b/>
                <w:bCs/>
                <w:sz w:val="16"/>
              </w:rPr>
              <w:t xml:space="preserve">Non-PCV13 </w:t>
            </w:r>
            <w:r w:rsidR="006C45C1">
              <w:rPr>
                <w:rFonts w:ascii="Cambria" w:hAnsi="Cambria" w:cs="Cambria"/>
                <w:b/>
                <w:bCs/>
                <w:sz w:val="16"/>
              </w:rPr>
              <w:t>serotypes</w:t>
            </w:r>
          </w:p>
        </w:tc>
        <w:tc>
          <w:tcPr>
            <w:tcW w:w="1031" w:type="dxa"/>
            <w:noWrap/>
          </w:tcPr>
          <w:p w14:paraId="2B0DABAC" w14:textId="1DC1D3BB"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10 (37%)</w:t>
            </w:r>
          </w:p>
        </w:tc>
        <w:tc>
          <w:tcPr>
            <w:tcW w:w="1235" w:type="dxa"/>
            <w:noWrap/>
          </w:tcPr>
          <w:p w14:paraId="467FA253" w14:textId="062C2741"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14 (41%)</w:t>
            </w:r>
          </w:p>
        </w:tc>
        <w:tc>
          <w:tcPr>
            <w:tcW w:w="1200" w:type="dxa"/>
            <w:noWrap/>
          </w:tcPr>
          <w:p w14:paraId="298336E0" w14:textId="26382483"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13 (48%)</w:t>
            </w:r>
          </w:p>
        </w:tc>
        <w:tc>
          <w:tcPr>
            <w:tcW w:w="1066" w:type="dxa"/>
            <w:noWrap/>
          </w:tcPr>
          <w:p w14:paraId="29DCF85B" w14:textId="5F32F099"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14 (40%)</w:t>
            </w:r>
          </w:p>
        </w:tc>
        <w:tc>
          <w:tcPr>
            <w:tcW w:w="903" w:type="dxa"/>
            <w:noWrap/>
          </w:tcPr>
          <w:p w14:paraId="1D3091C1" w14:textId="281801A1" w:rsidR="00964CC1" w:rsidRPr="00062247" w:rsidRDefault="00ED6D9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13</w:t>
            </w:r>
            <w:r w:rsidR="00890922">
              <w:rPr>
                <w:rFonts w:ascii="Cambria" w:hAnsi="Cambria" w:cs="Cambria"/>
                <w:bCs/>
                <w:sz w:val="16"/>
              </w:rPr>
              <w:t xml:space="preserve"> (48%)</w:t>
            </w:r>
          </w:p>
        </w:tc>
        <w:tc>
          <w:tcPr>
            <w:tcW w:w="967" w:type="dxa"/>
            <w:noWrap/>
          </w:tcPr>
          <w:p w14:paraId="6B5452A8" w14:textId="4C4024A8"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64 (43%)</w:t>
            </w:r>
          </w:p>
        </w:tc>
      </w:tr>
      <w:tr w:rsidR="00964CC1" w:rsidRPr="00062247" w14:paraId="5D9E31F9" w14:textId="77777777" w:rsidTr="00375104">
        <w:trPr>
          <w:trHeight w:val="300"/>
        </w:trPr>
        <w:tc>
          <w:tcPr>
            <w:tcW w:w="2454" w:type="dxa"/>
            <w:noWrap/>
          </w:tcPr>
          <w:p w14:paraId="2F03E855" w14:textId="58970B4C" w:rsidR="00964CC1" w:rsidRPr="00113AFC" w:rsidRDefault="00E16D06" w:rsidP="00255186">
            <w:pPr>
              <w:widowControl w:val="0"/>
              <w:autoSpaceDE w:val="0"/>
              <w:autoSpaceDN w:val="0"/>
              <w:adjustRightInd w:val="0"/>
              <w:spacing w:line="480" w:lineRule="auto"/>
              <w:rPr>
                <w:rFonts w:ascii="Cambria" w:hAnsi="Cambria" w:cs="Cambria"/>
                <w:b/>
                <w:bCs/>
                <w:sz w:val="16"/>
              </w:rPr>
            </w:pPr>
            <w:r>
              <w:rPr>
                <w:rFonts w:ascii="Cambria" w:hAnsi="Cambria" w:cs="Cambria"/>
                <w:b/>
                <w:bCs/>
                <w:sz w:val="16"/>
              </w:rPr>
              <w:t>Serotype not known</w:t>
            </w:r>
          </w:p>
        </w:tc>
        <w:tc>
          <w:tcPr>
            <w:tcW w:w="1031" w:type="dxa"/>
            <w:noWrap/>
          </w:tcPr>
          <w:p w14:paraId="43F4D3EE" w14:textId="2FE465A8"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3 (11%)</w:t>
            </w:r>
          </w:p>
        </w:tc>
        <w:tc>
          <w:tcPr>
            <w:tcW w:w="1235" w:type="dxa"/>
            <w:noWrap/>
          </w:tcPr>
          <w:p w14:paraId="22731D24" w14:textId="66EA9DBC"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4 (12%)</w:t>
            </w:r>
          </w:p>
        </w:tc>
        <w:tc>
          <w:tcPr>
            <w:tcW w:w="1200" w:type="dxa"/>
            <w:noWrap/>
          </w:tcPr>
          <w:p w14:paraId="3531B317" w14:textId="52DD8098"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 (4%)</w:t>
            </w:r>
          </w:p>
        </w:tc>
        <w:tc>
          <w:tcPr>
            <w:tcW w:w="1066" w:type="dxa"/>
            <w:noWrap/>
          </w:tcPr>
          <w:p w14:paraId="4EB037FF" w14:textId="40451671"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6 (17%)</w:t>
            </w:r>
          </w:p>
        </w:tc>
        <w:tc>
          <w:tcPr>
            <w:tcW w:w="903" w:type="dxa"/>
            <w:noWrap/>
          </w:tcPr>
          <w:p w14:paraId="596105C8" w14:textId="3C0352AF" w:rsidR="00964CC1" w:rsidRPr="00062247" w:rsidRDefault="00ED6D9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4</w:t>
            </w:r>
            <w:r w:rsidR="00890922">
              <w:rPr>
                <w:rFonts w:ascii="Cambria" w:hAnsi="Cambria" w:cs="Cambria"/>
                <w:bCs/>
                <w:sz w:val="16"/>
              </w:rPr>
              <w:t xml:space="preserve"> (15%)</w:t>
            </w:r>
          </w:p>
        </w:tc>
        <w:tc>
          <w:tcPr>
            <w:tcW w:w="967" w:type="dxa"/>
            <w:noWrap/>
          </w:tcPr>
          <w:p w14:paraId="7A27A2D1" w14:textId="53CB0CA2" w:rsidR="00964CC1" w:rsidRPr="00062247" w:rsidRDefault="00E16D06"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18 (12%)</w:t>
            </w:r>
          </w:p>
        </w:tc>
      </w:tr>
      <w:tr w:rsidR="00AF34C1" w:rsidRPr="00062247" w14:paraId="5F0EA0C0" w14:textId="77777777" w:rsidTr="00375104">
        <w:trPr>
          <w:trHeight w:val="300"/>
        </w:trPr>
        <w:tc>
          <w:tcPr>
            <w:tcW w:w="2454" w:type="dxa"/>
            <w:noWrap/>
          </w:tcPr>
          <w:p w14:paraId="5AC6A7CF" w14:textId="77777777" w:rsidR="00AF34C1" w:rsidRPr="00113AFC" w:rsidRDefault="00AF34C1" w:rsidP="00255186">
            <w:pPr>
              <w:widowControl w:val="0"/>
              <w:autoSpaceDE w:val="0"/>
              <w:autoSpaceDN w:val="0"/>
              <w:adjustRightInd w:val="0"/>
              <w:spacing w:line="480" w:lineRule="auto"/>
              <w:rPr>
                <w:rFonts w:ascii="Cambria" w:hAnsi="Cambria" w:cs="Cambria"/>
                <w:b/>
                <w:bCs/>
                <w:sz w:val="16"/>
              </w:rPr>
            </w:pPr>
            <w:r w:rsidRPr="00113AFC">
              <w:rPr>
                <w:rFonts w:ascii="Cambria" w:hAnsi="Cambria" w:cs="Cambria"/>
                <w:b/>
                <w:bCs/>
                <w:sz w:val="16"/>
              </w:rPr>
              <w:t>Comorbidity status</w:t>
            </w:r>
          </w:p>
        </w:tc>
        <w:tc>
          <w:tcPr>
            <w:tcW w:w="1031" w:type="dxa"/>
            <w:noWrap/>
          </w:tcPr>
          <w:p w14:paraId="122088D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35" w:type="dxa"/>
            <w:noWrap/>
          </w:tcPr>
          <w:p w14:paraId="052E756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00" w:type="dxa"/>
            <w:noWrap/>
          </w:tcPr>
          <w:p w14:paraId="6259B27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066" w:type="dxa"/>
            <w:noWrap/>
          </w:tcPr>
          <w:p w14:paraId="2620BA8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03" w:type="dxa"/>
            <w:noWrap/>
          </w:tcPr>
          <w:p w14:paraId="50A190F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67" w:type="dxa"/>
            <w:noWrap/>
          </w:tcPr>
          <w:p w14:paraId="6142E9C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r>
      <w:tr w:rsidR="00AF34C1" w:rsidRPr="00062247" w14:paraId="7CFC1974" w14:textId="77777777" w:rsidTr="00375104">
        <w:trPr>
          <w:trHeight w:val="300"/>
        </w:trPr>
        <w:tc>
          <w:tcPr>
            <w:tcW w:w="2454" w:type="dxa"/>
            <w:noWrap/>
            <w:hideMark/>
          </w:tcPr>
          <w:p w14:paraId="4F39C77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 xml:space="preserve">     </w:t>
            </w:r>
            <w:r w:rsidRPr="00062247">
              <w:rPr>
                <w:rFonts w:ascii="Cambria" w:hAnsi="Cambria" w:cs="Cambria"/>
                <w:bCs/>
                <w:sz w:val="16"/>
              </w:rPr>
              <w:t>No Comorbidity</w:t>
            </w:r>
          </w:p>
        </w:tc>
        <w:tc>
          <w:tcPr>
            <w:tcW w:w="1031" w:type="dxa"/>
            <w:noWrap/>
            <w:hideMark/>
          </w:tcPr>
          <w:p w14:paraId="76A5A7F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21(77.8)</w:t>
            </w:r>
          </w:p>
        </w:tc>
        <w:tc>
          <w:tcPr>
            <w:tcW w:w="1235" w:type="dxa"/>
            <w:noWrap/>
            <w:hideMark/>
          </w:tcPr>
          <w:p w14:paraId="4C28E3F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20(58.8)</w:t>
            </w:r>
          </w:p>
        </w:tc>
        <w:tc>
          <w:tcPr>
            <w:tcW w:w="1200" w:type="dxa"/>
            <w:noWrap/>
            <w:hideMark/>
          </w:tcPr>
          <w:p w14:paraId="57BDD6F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16(59.3)</w:t>
            </w:r>
          </w:p>
        </w:tc>
        <w:tc>
          <w:tcPr>
            <w:tcW w:w="1066" w:type="dxa"/>
            <w:noWrap/>
            <w:hideMark/>
          </w:tcPr>
          <w:p w14:paraId="28ED8F7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25(71.4)</w:t>
            </w:r>
          </w:p>
        </w:tc>
        <w:tc>
          <w:tcPr>
            <w:tcW w:w="903" w:type="dxa"/>
            <w:noWrap/>
            <w:hideMark/>
          </w:tcPr>
          <w:p w14:paraId="3CA57CC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15(55.6)</w:t>
            </w:r>
          </w:p>
        </w:tc>
        <w:tc>
          <w:tcPr>
            <w:tcW w:w="967" w:type="dxa"/>
            <w:noWrap/>
            <w:hideMark/>
          </w:tcPr>
          <w:p w14:paraId="33AFDE9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97(64.7)</w:t>
            </w:r>
          </w:p>
        </w:tc>
      </w:tr>
      <w:tr w:rsidR="00AF34C1" w:rsidRPr="00062247" w14:paraId="0AC67861" w14:textId="77777777" w:rsidTr="00375104">
        <w:trPr>
          <w:trHeight w:val="300"/>
        </w:trPr>
        <w:tc>
          <w:tcPr>
            <w:tcW w:w="2454" w:type="dxa"/>
            <w:noWrap/>
            <w:hideMark/>
          </w:tcPr>
          <w:p w14:paraId="6E6970F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 xml:space="preserve">     </w:t>
            </w:r>
            <w:r w:rsidRPr="00062247">
              <w:rPr>
                <w:rFonts w:ascii="Cambria" w:hAnsi="Cambria" w:cs="Cambria"/>
                <w:bCs/>
                <w:sz w:val="16"/>
              </w:rPr>
              <w:t>Any Comorbidity</w:t>
            </w:r>
          </w:p>
        </w:tc>
        <w:tc>
          <w:tcPr>
            <w:tcW w:w="1031" w:type="dxa"/>
            <w:noWrap/>
            <w:hideMark/>
          </w:tcPr>
          <w:p w14:paraId="5E1FE7C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6(22.2)</w:t>
            </w:r>
          </w:p>
        </w:tc>
        <w:tc>
          <w:tcPr>
            <w:tcW w:w="1235" w:type="dxa"/>
            <w:noWrap/>
            <w:hideMark/>
          </w:tcPr>
          <w:p w14:paraId="090BD01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14(41.2)</w:t>
            </w:r>
          </w:p>
        </w:tc>
        <w:tc>
          <w:tcPr>
            <w:tcW w:w="1200" w:type="dxa"/>
            <w:noWrap/>
            <w:hideMark/>
          </w:tcPr>
          <w:p w14:paraId="253A62B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11(40.7)</w:t>
            </w:r>
          </w:p>
        </w:tc>
        <w:tc>
          <w:tcPr>
            <w:tcW w:w="1066" w:type="dxa"/>
            <w:noWrap/>
            <w:hideMark/>
          </w:tcPr>
          <w:p w14:paraId="4BEAAD7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10(28.6)</w:t>
            </w:r>
          </w:p>
        </w:tc>
        <w:tc>
          <w:tcPr>
            <w:tcW w:w="903" w:type="dxa"/>
            <w:noWrap/>
            <w:hideMark/>
          </w:tcPr>
          <w:p w14:paraId="050DD95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12(44.4)</w:t>
            </w:r>
          </w:p>
        </w:tc>
        <w:tc>
          <w:tcPr>
            <w:tcW w:w="967" w:type="dxa"/>
            <w:noWrap/>
            <w:hideMark/>
          </w:tcPr>
          <w:p w14:paraId="7F58BFE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53(35.3)</w:t>
            </w:r>
          </w:p>
        </w:tc>
      </w:tr>
      <w:tr w:rsidR="00AF34C1" w:rsidRPr="00062247" w14:paraId="3B954B8B" w14:textId="77777777" w:rsidTr="00375104">
        <w:trPr>
          <w:trHeight w:val="300"/>
        </w:trPr>
        <w:tc>
          <w:tcPr>
            <w:tcW w:w="2454" w:type="dxa"/>
            <w:noWrap/>
            <w:hideMark/>
          </w:tcPr>
          <w:p w14:paraId="7B04E01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Prematurity</w:t>
            </w:r>
          </w:p>
        </w:tc>
        <w:tc>
          <w:tcPr>
            <w:tcW w:w="1031" w:type="dxa"/>
            <w:noWrap/>
            <w:hideMark/>
          </w:tcPr>
          <w:p w14:paraId="05162E8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5(18.5)</w:t>
            </w:r>
          </w:p>
        </w:tc>
        <w:tc>
          <w:tcPr>
            <w:tcW w:w="1235" w:type="dxa"/>
            <w:noWrap/>
            <w:hideMark/>
          </w:tcPr>
          <w:p w14:paraId="3F028B1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5(14.7)</w:t>
            </w:r>
          </w:p>
        </w:tc>
        <w:tc>
          <w:tcPr>
            <w:tcW w:w="1200" w:type="dxa"/>
            <w:noWrap/>
            <w:hideMark/>
          </w:tcPr>
          <w:p w14:paraId="5F9EB9B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7(26)</w:t>
            </w:r>
          </w:p>
        </w:tc>
        <w:tc>
          <w:tcPr>
            <w:tcW w:w="1066" w:type="dxa"/>
            <w:noWrap/>
            <w:hideMark/>
          </w:tcPr>
          <w:p w14:paraId="67484CF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903" w:type="dxa"/>
            <w:noWrap/>
            <w:hideMark/>
          </w:tcPr>
          <w:p w14:paraId="5BBDA09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67" w:type="dxa"/>
            <w:noWrap/>
            <w:hideMark/>
          </w:tcPr>
          <w:p w14:paraId="14C7445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18(12)</w:t>
            </w:r>
          </w:p>
        </w:tc>
      </w:tr>
      <w:tr w:rsidR="00AF34C1" w:rsidRPr="00062247" w14:paraId="32888253" w14:textId="77777777" w:rsidTr="00375104">
        <w:trPr>
          <w:trHeight w:val="300"/>
        </w:trPr>
        <w:tc>
          <w:tcPr>
            <w:tcW w:w="2454" w:type="dxa"/>
            <w:noWrap/>
            <w:hideMark/>
          </w:tcPr>
          <w:p w14:paraId="697FE51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Chronic Heart Disease</w:t>
            </w:r>
          </w:p>
        </w:tc>
        <w:tc>
          <w:tcPr>
            <w:tcW w:w="1031" w:type="dxa"/>
            <w:noWrap/>
            <w:hideMark/>
          </w:tcPr>
          <w:p w14:paraId="6A849C2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7C66E36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5(14.7)</w:t>
            </w:r>
          </w:p>
        </w:tc>
        <w:tc>
          <w:tcPr>
            <w:tcW w:w="1200" w:type="dxa"/>
            <w:noWrap/>
            <w:hideMark/>
          </w:tcPr>
          <w:p w14:paraId="122F97F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1066" w:type="dxa"/>
            <w:noWrap/>
            <w:hideMark/>
          </w:tcPr>
          <w:p w14:paraId="46E6217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3(8.6)</w:t>
            </w:r>
          </w:p>
        </w:tc>
        <w:tc>
          <w:tcPr>
            <w:tcW w:w="903" w:type="dxa"/>
            <w:noWrap/>
            <w:hideMark/>
          </w:tcPr>
          <w:p w14:paraId="059ED5A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967" w:type="dxa"/>
            <w:noWrap/>
            <w:hideMark/>
          </w:tcPr>
          <w:p w14:paraId="3977587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13(8.7)</w:t>
            </w:r>
          </w:p>
        </w:tc>
      </w:tr>
      <w:tr w:rsidR="00AF34C1" w:rsidRPr="00062247" w14:paraId="4D14AA5E" w14:textId="77777777" w:rsidTr="00375104">
        <w:trPr>
          <w:trHeight w:val="300"/>
        </w:trPr>
        <w:tc>
          <w:tcPr>
            <w:tcW w:w="2454" w:type="dxa"/>
            <w:noWrap/>
            <w:hideMark/>
          </w:tcPr>
          <w:p w14:paraId="39FC887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Asplenia</w:t>
            </w:r>
          </w:p>
        </w:tc>
        <w:tc>
          <w:tcPr>
            <w:tcW w:w="1031" w:type="dxa"/>
            <w:noWrap/>
            <w:hideMark/>
          </w:tcPr>
          <w:p w14:paraId="280CF13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138D86B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00" w:type="dxa"/>
            <w:noWrap/>
            <w:hideMark/>
          </w:tcPr>
          <w:p w14:paraId="37770BB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1066" w:type="dxa"/>
            <w:noWrap/>
            <w:hideMark/>
          </w:tcPr>
          <w:p w14:paraId="6D09BD3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2(5.7)</w:t>
            </w:r>
          </w:p>
        </w:tc>
        <w:tc>
          <w:tcPr>
            <w:tcW w:w="903" w:type="dxa"/>
            <w:noWrap/>
            <w:hideMark/>
          </w:tcPr>
          <w:p w14:paraId="29AC5D8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967" w:type="dxa"/>
            <w:noWrap/>
            <w:hideMark/>
          </w:tcPr>
          <w:p w14:paraId="548D557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5(3.3)</w:t>
            </w:r>
          </w:p>
        </w:tc>
      </w:tr>
      <w:tr w:rsidR="00AF34C1" w:rsidRPr="00062247" w14:paraId="6D29A2C8" w14:textId="77777777" w:rsidTr="00375104">
        <w:trPr>
          <w:trHeight w:val="300"/>
        </w:trPr>
        <w:tc>
          <w:tcPr>
            <w:tcW w:w="2454" w:type="dxa"/>
            <w:noWrap/>
            <w:hideMark/>
          </w:tcPr>
          <w:p w14:paraId="2CD8C6D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I</w:t>
            </w:r>
            <w:r w:rsidRPr="00062247">
              <w:rPr>
                <w:rFonts w:ascii="Cambria" w:hAnsi="Cambria" w:cs="Cambria"/>
                <w:bCs/>
                <w:sz w:val="16"/>
              </w:rPr>
              <w:t>mmunosuppression</w:t>
            </w:r>
          </w:p>
        </w:tc>
        <w:tc>
          <w:tcPr>
            <w:tcW w:w="1031" w:type="dxa"/>
            <w:noWrap/>
            <w:hideMark/>
          </w:tcPr>
          <w:p w14:paraId="135024A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049A132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00" w:type="dxa"/>
            <w:noWrap/>
            <w:hideMark/>
          </w:tcPr>
          <w:p w14:paraId="25DC75E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15A449D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2(5.7)</w:t>
            </w:r>
          </w:p>
        </w:tc>
        <w:tc>
          <w:tcPr>
            <w:tcW w:w="903" w:type="dxa"/>
            <w:noWrap/>
            <w:hideMark/>
          </w:tcPr>
          <w:p w14:paraId="5AB1303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967" w:type="dxa"/>
            <w:noWrap/>
            <w:hideMark/>
          </w:tcPr>
          <w:p w14:paraId="5A93A4E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5(3.3)</w:t>
            </w:r>
          </w:p>
        </w:tc>
      </w:tr>
      <w:tr w:rsidR="00AF34C1" w:rsidRPr="00062247" w14:paraId="12EF41BD" w14:textId="77777777" w:rsidTr="00375104">
        <w:trPr>
          <w:trHeight w:val="300"/>
        </w:trPr>
        <w:tc>
          <w:tcPr>
            <w:tcW w:w="2454" w:type="dxa"/>
            <w:noWrap/>
            <w:hideMark/>
          </w:tcPr>
          <w:p w14:paraId="7156B85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Neurodevelopmental  disorder</w:t>
            </w:r>
          </w:p>
        </w:tc>
        <w:tc>
          <w:tcPr>
            <w:tcW w:w="1031" w:type="dxa"/>
            <w:noWrap/>
            <w:hideMark/>
          </w:tcPr>
          <w:p w14:paraId="26EA817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0D74FA4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5BB19BE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1066" w:type="dxa"/>
            <w:noWrap/>
            <w:hideMark/>
          </w:tcPr>
          <w:p w14:paraId="47B5E1C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03" w:type="dxa"/>
            <w:noWrap/>
            <w:hideMark/>
          </w:tcPr>
          <w:p w14:paraId="27A35D5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967" w:type="dxa"/>
            <w:noWrap/>
            <w:hideMark/>
          </w:tcPr>
          <w:p w14:paraId="4141C35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4(2.6)</w:t>
            </w:r>
          </w:p>
        </w:tc>
      </w:tr>
      <w:tr w:rsidR="00AF34C1" w:rsidRPr="00062247" w14:paraId="7BF39FB4" w14:textId="77777777" w:rsidTr="00375104">
        <w:trPr>
          <w:trHeight w:val="300"/>
        </w:trPr>
        <w:tc>
          <w:tcPr>
            <w:tcW w:w="2454" w:type="dxa"/>
            <w:noWrap/>
            <w:hideMark/>
          </w:tcPr>
          <w:p w14:paraId="7FB9A96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chromosomal disorder</w:t>
            </w:r>
          </w:p>
        </w:tc>
        <w:tc>
          <w:tcPr>
            <w:tcW w:w="1031" w:type="dxa"/>
            <w:noWrap/>
            <w:hideMark/>
          </w:tcPr>
          <w:p w14:paraId="10A5BC8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1235" w:type="dxa"/>
            <w:noWrap/>
            <w:hideMark/>
          </w:tcPr>
          <w:p w14:paraId="413E395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0B29D41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5EB9120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903" w:type="dxa"/>
            <w:noWrap/>
            <w:hideMark/>
          </w:tcPr>
          <w:p w14:paraId="7CF644F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967" w:type="dxa"/>
            <w:noWrap/>
            <w:hideMark/>
          </w:tcPr>
          <w:p w14:paraId="0EC0226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4(2.6)</w:t>
            </w:r>
          </w:p>
        </w:tc>
      </w:tr>
      <w:tr w:rsidR="00AF34C1" w:rsidRPr="00062247" w14:paraId="59BB2D90" w14:textId="77777777" w:rsidTr="00375104">
        <w:trPr>
          <w:trHeight w:val="300"/>
        </w:trPr>
        <w:tc>
          <w:tcPr>
            <w:tcW w:w="2454" w:type="dxa"/>
            <w:noWrap/>
            <w:hideMark/>
          </w:tcPr>
          <w:p w14:paraId="4C42ACA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Chronic Respiratory Disease</w:t>
            </w:r>
          </w:p>
        </w:tc>
        <w:tc>
          <w:tcPr>
            <w:tcW w:w="1031" w:type="dxa"/>
            <w:noWrap/>
            <w:hideMark/>
          </w:tcPr>
          <w:p w14:paraId="34E5A09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684E7D3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2627C32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5E76DD9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903" w:type="dxa"/>
            <w:noWrap/>
            <w:hideMark/>
          </w:tcPr>
          <w:p w14:paraId="1120316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967" w:type="dxa"/>
            <w:noWrap/>
            <w:hideMark/>
          </w:tcPr>
          <w:p w14:paraId="1B13980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3(2)</w:t>
            </w:r>
          </w:p>
        </w:tc>
      </w:tr>
      <w:tr w:rsidR="00AF34C1" w:rsidRPr="00062247" w14:paraId="6F27C8D1" w14:textId="77777777" w:rsidTr="00375104">
        <w:trPr>
          <w:trHeight w:val="300"/>
        </w:trPr>
        <w:tc>
          <w:tcPr>
            <w:tcW w:w="2454" w:type="dxa"/>
            <w:noWrap/>
            <w:hideMark/>
          </w:tcPr>
          <w:p w14:paraId="7CCFC6E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Chronic Liver Disease</w:t>
            </w:r>
          </w:p>
        </w:tc>
        <w:tc>
          <w:tcPr>
            <w:tcW w:w="1031" w:type="dxa"/>
            <w:noWrap/>
            <w:hideMark/>
          </w:tcPr>
          <w:p w14:paraId="4A0F553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494577E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091586A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19DA7A5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03" w:type="dxa"/>
            <w:noWrap/>
            <w:hideMark/>
          </w:tcPr>
          <w:p w14:paraId="6D937F9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67" w:type="dxa"/>
            <w:noWrap/>
            <w:hideMark/>
          </w:tcPr>
          <w:p w14:paraId="4E92C1F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1(0.6)</w:t>
            </w:r>
          </w:p>
        </w:tc>
      </w:tr>
      <w:tr w:rsidR="00AF34C1" w:rsidRPr="00062247" w14:paraId="59AECA41" w14:textId="77777777" w:rsidTr="00375104">
        <w:trPr>
          <w:trHeight w:val="300"/>
        </w:trPr>
        <w:tc>
          <w:tcPr>
            <w:tcW w:w="3485" w:type="dxa"/>
            <w:gridSpan w:val="2"/>
            <w:noWrap/>
            <w:hideMark/>
          </w:tcPr>
          <w:p w14:paraId="644FDA95" w14:textId="77777777" w:rsidR="00AF34C1" w:rsidRPr="00062247" w:rsidRDefault="00AF34C1" w:rsidP="00255186">
            <w:pPr>
              <w:widowControl w:val="0"/>
              <w:autoSpaceDE w:val="0"/>
              <w:autoSpaceDN w:val="0"/>
              <w:adjustRightInd w:val="0"/>
              <w:spacing w:line="480" w:lineRule="auto"/>
              <w:rPr>
                <w:rFonts w:ascii="Cambria" w:hAnsi="Cambria" w:cs="Cambria"/>
                <w:b/>
                <w:bCs/>
                <w:sz w:val="16"/>
              </w:rPr>
            </w:pPr>
            <w:r w:rsidRPr="00062247">
              <w:rPr>
                <w:rFonts w:ascii="Cambria" w:hAnsi="Cambria" w:cs="Cambria"/>
                <w:b/>
                <w:bCs/>
                <w:sz w:val="16"/>
              </w:rPr>
              <w:t>Clinical Presentation</w:t>
            </w:r>
          </w:p>
        </w:tc>
        <w:tc>
          <w:tcPr>
            <w:tcW w:w="1235" w:type="dxa"/>
            <w:noWrap/>
            <w:hideMark/>
          </w:tcPr>
          <w:p w14:paraId="66816C4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00" w:type="dxa"/>
            <w:noWrap/>
            <w:hideMark/>
          </w:tcPr>
          <w:p w14:paraId="0E22E98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066" w:type="dxa"/>
            <w:noWrap/>
            <w:hideMark/>
          </w:tcPr>
          <w:p w14:paraId="6C66D4A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03" w:type="dxa"/>
            <w:noWrap/>
            <w:hideMark/>
          </w:tcPr>
          <w:p w14:paraId="3FF93CB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67" w:type="dxa"/>
            <w:noWrap/>
            <w:hideMark/>
          </w:tcPr>
          <w:p w14:paraId="579A68A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r>
      <w:tr w:rsidR="00AF34C1" w:rsidRPr="00062247" w14:paraId="378579C1" w14:textId="77777777" w:rsidTr="00375104">
        <w:trPr>
          <w:trHeight w:val="300"/>
        </w:trPr>
        <w:tc>
          <w:tcPr>
            <w:tcW w:w="2454" w:type="dxa"/>
            <w:noWrap/>
            <w:hideMark/>
          </w:tcPr>
          <w:p w14:paraId="219200C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Meningitis</w:t>
            </w:r>
          </w:p>
        </w:tc>
        <w:tc>
          <w:tcPr>
            <w:tcW w:w="1031" w:type="dxa"/>
            <w:noWrap/>
            <w:hideMark/>
          </w:tcPr>
          <w:p w14:paraId="79355C2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12(44.4)</w:t>
            </w:r>
          </w:p>
        </w:tc>
        <w:tc>
          <w:tcPr>
            <w:tcW w:w="1235" w:type="dxa"/>
            <w:noWrap/>
            <w:hideMark/>
          </w:tcPr>
          <w:p w14:paraId="0F1C963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17(50)</w:t>
            </w:r>
          </w:p>
        </w:tc>
        <w:tc>
          <w:tcPr>
            <w:tcW w:w="1200" w:type="dxa"/>
            <w:noWrap/>
            <w:hideMark/>
          </w:tcPr>
          <w:p w14:paraId="56BC6ED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16(59.2)</w:t>
            </w:r>
          </w:p>
        </w:tc>
        <w:tc>
          <w:tcPr>
            <w:tcW w:w="1066" w:type="dxa"/>
            <w:noWrap/>
            <w:hideMark/>
          </w:tcPr>
          <w:p w14:paraId="15F3F47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14(40)</w:t>
            </w:r>
          </w:p>
        </w:tc>
        <w:tc>
          <w:tcPr>
            <w:tcW w:w="903" w:type="dxa"/>
            <w:noWrap/>
            <w:hideMark/>
          </w:tcPr>
          <w:p w14:paraId="4AF51C1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12(44.4)</w:t>
            </w:r>
          </w:p>
        </w:tc>
        <w:tc>
          <w:tcPr>
            <w:tcW w:w="967" w:type="dxa"/>
            <w:noWrap/>
            <w:hideMark/>
          </w:tcPr>
          <w:p w14:paraId="384483E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71(47.3)</w:t>
            </w:r>
          </w:p>
        </w:tc>
      </w:tr>
      <w:tr w:rsidR="00AF34C1" w:rsidRPr="00062247" w14:paraId="22D093BC" w14:textId="77777777" w:rsidTr="00375104">
        <w:trPr>
          <w:trHeight w:val="300"/>
        </w:trPr>
        <w:tc>
          <w:tcPr>
            <w:tcW w:w="2454" w:type="dxa"/>
            <w:noWrap/>
            <w:hideMark/>
          </w:tcPr>
          <w:p w14:paraId="169CC17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Pneumonia</w:t>
            </w:r>
          </w:p>
        </w:tc>
        <w:tc>
          <w:tcPr>
            <w:tcW w:w="1031" w:type="dxa"/>
            <w:noWrap/>
            <w:hideMark/>
          </w:tcPr>
          <w:p w14:paraId="16B7091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7(26)</w:t>
            </w:r>
          </w:p>
        </w:tc>
        <w:tc>
          <w:tcPr>
            <w:tcW w:w="1235" w:type="dxa"/>
            <w:noWrap/>
            <w:hideMark/>
          </w:tcPr>
          <w:p w14:paraId="06E376F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11(32.4)</w:t>
            </w:r>
          </w:p>
        </w:tc>
        <w:tc>
          <w:tcPr>
            <w:tcW w:w="1200" w:type="dxa"/>
            <w:noWrap/>
            <w:hideMark/>
          </w:tcPr>
          <w:p w14:paraId="5F56C401"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1066" w:type="dxa"/>
            <w:noWrap/>
            <w:hideMark/>
          </w:tcPr>
          <w:p w14:paraId="1EAA4D0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13(37.1)</w:t>
            </w:r>
          </w:p>
        </w:tc>
        <w:tc>
          <w:tcPr>
            <w:tcW w:w="903" w:type="dxa"/>
            <w:noWrap/>
            <w:hideMark/>
          </w:tcPr>
          <w:p w14:paraId="0658F5C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10(37)</w:t>
            </w:r>
          </w:p>
        </w:tc>
        <w:tc>
          <w:tcPr>
            <w:tcW w:w="967" w:type="dxa"/>
            <w:noWrap/>
            <w:hideMark/>
          </w:tcPr>
          <w:p w14:paraId="1DD8D78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43(28.7)</w:t>
            </w:r>
          </w:p>
        </w:tc>
      </w:tr>
      <w:tr w:rsidR="00AF34C1" w:rsidRPr="00062247" w14:paraId="0353DEE3" w14:textId="77777777" w:rsidTr="00375104">
        <w:trPr>
          <w:trHeight w:val="300"/>
        </w:trPr>
        <w:tc>
          <w:tcPr>
            <w:tcW w:w="2454" w:type="dxa"/>
            <w:noWrap/>
            <w:hideMark/>
          </w:tcPr>
          <w:p w14:paraId="36C0504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Septicaemia</w:t>
            </w:r>
          </w:p>
        </w:tc>
        <w:tc>
          <w:tcPr>
            <w:tcW w:w="1031" w:type="dxa"/>
            <w:noWrap/>
            <w:hideMark/>
          </w:tcPr>
          <w:p w14:paraId="0AD4FB2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8(29.6)</w:t>
            </w:r>
          </w:p>
        </w:tc>
        <w:tc>
          <w:tcPr>
            <w:tcW w:w="1235" w:type="dxa"/>
            <w:noWrap/>
            <w:hideMark/>
          </w:tcPr>
          <w:p w14:paraId="27B4D47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6(17.6)</w:t>
            </w:r>
          </w:p>
        </w:tc>
        <w:tc>
          <w:tcPr>
            <w:tcW w:w="1200" w:type="dxa"/>
            <w:noWrap/>
            <w:hideMark/>
          </w:tcPr>
          <w:p w14:paraId="5F47173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9(33.3)</w:t>
            </w:r>
          </w:p>
        </w:tc>
        <w:tc>
          <w:tcPr>
            <w:tcW w:w="1066" w:type="dxa"/>
            <w:noWrap/>
            <w:hideMark/>
          </w:tcPr>
          <w:p w14:paraId="4552983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8(22.9)</w:t>
            </w:r>
          </w:p>
        </w:tc>
        <w:tc>
          <w:tcPr>
            <w:tcW w:w="903" w:type="dxa"/>
            <w:noWrap/>
            <w:hideMark/>
          </w:tcPr>
          <w:p w14:paraId="0CA6136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5(18.5)</w:t>
            </w:r>
          </w:p>
        </w:tc>
        <w:tc>
          <w:tcPr>
            <w:tcW w:w="967" w:type="dxa"/>
            <w:noWrap/>
            <w:hideMark/>
          </w:tcPr>
          <w:p w14:paraId="5A44253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36(24)</w:t>
            </w:r>
          </w:p>
        </w:tc>
      </w:tr>
      <w:tr w:rsidR="00AF34C1" w:rsidRPr="00062247" w14:paraId="351A7D51" w14:textId="77777777" w:rsidTr="00375104">
        <w:trPr>
          <w:trHeight w:val="300"/>
        </w:trPr>
        <w:tc>
          <w:tcPr>
            <w:tcW w:w="3485" w:type="dxa"/>
            <w:gridSpan w:val="2"/>
            <w:noWrap/>
            <w:hideMark/>
          </w:tcPr>
          <w:p w14:paraId="439A5746" w14:textId="77777777" w:rsidR="00AF34C1" w:rsidRPr="00062247" w:rsidRDefault="00AF34C1" w:rsidP="00255186">
            <w:pPr>
              <w:widowControl w:val="0"/>
              <w:autoSpaceDE w:val="0"/>
              <w:autoSpaceDN w:val="0"/>
              <w:adjustRightInd w:val="0"/>
              <w:spacing w:line="480" w:lineRule="auto"/>
              <w:rPr>
                <w:rFonts w:ascii="Cambria" w:hAnsi="Cambria" w:cs="Cambria"/>
                <w:b/>
                <w:bCs/>
                <w:sz w:val="16"/>
              </w:rPr>
            </w:pPr>
            <w:r w:rsidRPr="00062247">
              <w:rPr>
                <w:rFonts w:ascii="Cambria" w:hAnsi="Cambria" w:cs="Cambria"/>
                <w:b/>
                <w:bCs/>
                <w:sz w:val="16"/>
              </w:rPr>
              <w:t>Place of Death</w:t>
            </w:r>
          </w:p>
        </w:tc>
        <w:tc>
          <w:tcPr>
            <w:tcW w:w="1235" w:type="dxa"/>
            <w:noWrap/>
            <w:hideMark/>
          </w:tcPr>
          <w:p w14:paraId="1312E3BD"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200" w:type="dxa"/>
            <w:noWrap/>
            <w:hideMark/>
          </w:tcPr>
          <w:p w14:paraId="56B782D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1066" w:type="dxa"/>
            <w:noWrap/>
            <w:hideMark/>
          </w:tcPr>
          <w:p w14:paraId="5922EF8F"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03" w:type="dxa"/>
            <w:noWrap/>
            <w:hideMark/>
          </w:tcPr>
          <w:p w14:paraId="2C4D140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c>
          <w:tcPr>
            <w:tcW w:w="967" w:type="dxa"/>
            <w:noWrap/>
            <w:hideMark/>
          </w:tcPr>
          <w:p w14:paraId="2406D4B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p>
        </w:tc>
      </w:tr>
      <w:tr w:rsidR="00AF34C1" w:rsidRPr="00062247" w14:paraId="3E93BB23" w14:textId="77777777" w:rsidTr="00375104">
        <w:trPr>
          <w:trHeight w:val="300"/>
        </w:trPr>
        <w:tc>
          <w:tcPr>
            <w:tcW w:w="2454" w:type="dxa"/>
            <w:noWrap/>
            <w:hideMark/>
          </w:tcPr>
          <w:p w14:paraId="54465F4C"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Home</w:t>
            </w:r>
          </w:p>
        </w:tc>
        <w:tc>
          <w:tcPr>
            <w:tcW w:w="1031" w:type="dxa"/>
            <w:noWrap/>
            <w:hideMark/>
          </w:tcPr>
          <w:p w14:paraId="2AC2BC6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1235" w:type="dxa"/>
            <w:noWrap/>
            <w:hideMark/>
          </w:tcPr>
          <w:p w14:paraId="0BC2947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7(20.6)</w:t>
            </w:r>
          </w:p>
        </w:tc>
        <w:tc>
          <w:tcPr>
            <w:tcW w:w="1200" w:type="dxa"/>
            <w:noWrap/>
            <w:hideMark/>
          </w:tcPr>
          <w:p w14:paraId="42C5381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1066" w:type="dxa"/>
            <w:noWrap/>
            <w:hideMark/>
          </w:tcPr>
          <w:p w14:paraId="2304EAE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7(20)</w:t>
            </w:r>
          </w:p>
        </w:tc>
        <w:tc>
          <w:tcPr>
            <w:tcW w:w="903" w:type="dxa"/>
            <w:noWrap/>
            <w:hideMark/>
          </w:tcPr>
          <w:p w14:paraId="0EB443A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967" w:type="dxa"/>
            <w:noWrap/>
            <w:hideMark/>
          </w:tcPr>
          <w:p w14:paraId="3494768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20(13.3)</w:t>
            </w:r>
          </w:p>
        </w:tc>
      </w:tr>
      <w:tr w:rsidR="00AF34C1" w:rsidRPr="00062247" w14:paraId="7B283A41" w14:textId="77777777" w:rsidTr="00375104">
        <w:trPr>
          <w:trHeight w:val="300"/>
        </w:trPr>
        <w:tc>
          <w:tcPr>
            <w:tcW w:w="2454" w:type="dxa"/>
            <w:noWrap/>
            <w:hideMark/>
          </w:tcPr>
          <w:p w14:paraId="447EF9F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En route</w:t>
            </w:r>
            <w:r w:rsidRPr="00062247">
              <w:rPr>
                <w:rFonts w:ascii="Cambria" w:hAnsi="Cambria" w:cs="Cambria"/>
                <w:bCs/>
                <w:sz w:val="16"/>
              </w:rPr>
              <w:t xml:space="preserve"> to</w:t>
            </w:r>
            <w:r>
              <w:rPr>
                <w:rFonts w:ascii="Cambria" w:hAnsi="Cambria" w:cs="Cambria"/>
                <w:bCs/>
                <w:sz w:val="16"/>
              </w:rPr>
              <w:t xml:space="preserve"> the</w:t>
            </w:r>
            <w:r w:rsidRPr="00062247">
              <w:rPr>
                <w:rFonts w:ascii="Cambria" w:hAnsi="Cambria" w:cs="Cambria"/>
                <w:bCs/>
                <w:sz w:val="16"/>
              </w:rPr>
              <w:t xml:space="preserve"> hospital</w:t>
            </w:r>
          </w:p>
        </w:tc>
        <w:tc>
          <w:tcPr>
            <w:tcW w:w="1031" w:type="dxa"/>
            <w:noWrap/>
            <w:hideMark/>
          </w:tcPr>
          <w:p w14:paraId="56495BA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1(3.7)</w:t>
            </w:r>
          </w:p>
        </w:tc>
        <w:tc>
          <w:tcPr>
            <w:tcW w:w="1235" w:type="dxa"/>
            <w:noWrap/>
            <w:hideMark/>
          </w:tcPr>
          <w:p w14:paraId="574E732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00" w:type="dxa"/>
            <w:noWrap/>
            <w:hideMark/>
          </w:tcPr>
          <w:p w14:paraId="77A49CA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1066" w:type="dxa"/>
            <w:noWrap/>
            <w:hideMark/>
          </w:tcPr>
          <w:p w14:paraId="011B55D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903" w:type="dxa"/>
            <w:noWrap/>
            <w:hideMark/>
          </w:tcPr>
          <w:p w14:paraId="10B8ED8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4(14.8)</w:t>
            </w:r>
          </w:p>
        </w:tc>
        <w:tc>
          <w:tcPr>
            <w:tcW w:w="967" w:type="dxa"/>
            <w:noWrap/>
            <w:hideMark/>
          </w:tcPr>
          <w:p w14:paraId="217E08E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8(5.5)</w:t>
            </w:r>
          </w:p>
        </w:tc>
      </w:tr>
      <w:tr w:rsidR="00AF34C1" w:rsidRPr="00062247" w14:paraId="5797C7B2" w14:textId="77777777" w:rsidTr="00375104">
        <w:trPr>
          <w:trHeight w:val="300"/>
        </w:trPr>
        <w:tc>
          <w:tcPr>
            <w:tcW w:w="2454" w:type="dxa"/>
            <w:noWrap/>
            <w:hideMark/>
          </w:tcPr>
          <w:p w14:paraId="514FB7E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Pr>
                <w:rFonts w:ascii="Cambria" w:hAnsi="Cambria" w:cs="Cambria"/>
                <w:bCs/>
                <w:sz w:val="16"/>
              </w:rPr>
              <w:t>Emergency Department</w:t>
            </w:r>
          </w:p>
        </w:tc>
        <w:tc>
          <w:tcPr>
            <w:tcW w:w="1031" w:type="dxa"/>
            <w:noWrap/>
            <w:hideMark/>
          </w:tcPr>
          <w:p w14:paraId="7A4DEFF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1235" w:type="dxa"/>
            <w:noWrap/>
            <w:hideMark/>
          </w:tcPr>
          <w:p w14:paraId="1AFB4CD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9(26.5)</w:t>
            </w:r>
          </w:p>
        </w:tc>
        <w:tc>
          <w:tcPr>
            <w:tcW w:w="1200" w:type="dxa"/>
            <w:noWrap/>
            <w:hideMark/>
          </w:tcPr>
          <w:p w14:paraId="35BFAED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5(18.5)</w:t>
            </w:r>
          </w:p>
        </w:tc>
        <w:tc>
          <w:tcPr>
            <w:tcW w:w="1066" w:type="dxa"/>
            <w:noWrap/>
            <w:hideMark/>
          </w:tcPr>
          <w:p w14:paraId="15A36D0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5(14.3)</w:t>
            </w:r>
          </w:p>
        </w:tc>
        <w:tc>
          <w:tcPr>
            <w:tcW w:w="903" w:type="dxa"/>
            <w:noWrap/>
            <w:hideMark/>
          </w:tcPr>
          <w:p w14:paraId="399AC092"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967" w:type="dxa"/>
            <w:noWrap/>
            <w:hideMark/>
          </w:tcPr>
          <w:p w14:paraId="00DA73C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25(16.7)</w:t>
            </w:r>
          </w:p>
        </w:tc>
      </w:tr>
      <w:tr w:rsidR="00AF34C1" w:rsidRPr="00062247" w14:paraId="2CCF68E5" w14:textId="77777777" w:rsidTr="00375104">
        <w:trPr>
          <w:trHeight w:val="300"/>
        </w:trPr>
        <w:tc>
          <w:tcPr>
            <w:tcW w:w="2454" w:type="dxa"/>
            <w:noWrap/>
            <w:hideMark/>
          </w:tcPr>
          <w:p w14:paraId="74D4D8E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Ward</w:t>
            </w:r>
          </w:p>
        </w:tc>
        <w:tc>
          <w:tcPr>
            <w:tcW w:w="1031" w:type="dxa"/>
            <w:noWrap/>
            <w:hideMark/>
          </w:tcPr>
          <w:p w14:paraId="2492B23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2(7.4)</w:t>
            </w:r>
          </w:p>
        </w:tc>
        <w:tc>
          <w:tcPr>
            <w:tcW w:w="1235" w:type="dxa"/>
            <w:noWrap/>
            <w:hideMark/>
          </w:tcPr>
          <w:p w14:paraId="2ACB07B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3(8.8)</w:t>
            </w:r>
          </w:p>
        </w:tc>
        <w:tc>
          <w:tcPr>
            <w:tcW w:w="1200" w:type="dxa"/>
            <w:noWrap/>
            <w:hideMark/>
          </w:tcPr>
          <w:p w14:paraId="49F3283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3(11.1)</w:t>
            </w:r>
          </w:p>
        </w:tc>
        <w:tc>
          <w:tcPr>
            <w:tcW w:w="1066" w:type="dxa"/>
            <w:noWrap/>
            <w:hideMark/>
          </w:tcPr>
          <w:p w14:paraId="105A4C5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6(17.1)</w:t>
            </w:r>
          </w:p>
        </w:tc>
        <w:tc>
          <w:tcPr>
            <w:tcW w:w="903" w:type="dxa"/>
            <w:noWrap/>
            <w:hideMark/>
          </w:tcPr>
          <w:p w14:paraId="732FDD0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1(8.3)</w:t>
            </w:r>
          </w:p>
        </w:tc>
        <w:tc>
          <w:tcPr>
            <w:tcW w:w="967" w:type="dxa"/>
            <w:noWrap/>
            <w:hideMark/>
          </w:tcPr>
          <w:p w14:paraId="0E3F489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15(10)</w:t>
            </w:r>
          </w:p>
        </w:tc>
      </w:tr>
      <w:tr w:rsidR="00AF34C1" w:rsidRPr="00062247" w14:paraId="34ACCCEF" w14:textId="77777777" w:rsidTr="00375104">
        <w:trPr>
          <w:trHeight w:val="300"/>
        </w:trPr>
        <w:tc>
          <w:tcPr>
            <w:tcW w:w="2454" w:type="dxa"/>
            <w:noWrap/>
            <w:hideMark/>
          </w:tcPr>
          <w:p w14:paraId="2BF7F5F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PICU</w:t>
            </w:r>
          </w:p>
        </w:tc>
        <w:tc>
          <w:tcPr>
            <w:tcW w:w="1031" w:type="dxa"/>
            <w:noWrap/>
            <w:hideMark/>
          </w:tcPr>
          <w:p w14:paraId="62A3668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10(37)</w:t>
            </w:r>
          </w:p>
        </w:tc>
        <w:tc>
          <w:tcPr>
            <w:tcW w:w="1235" w:type="dxa"/>
            <w:noWrap/>
            <w:hideMark/>
          </w:tcPr>
          <w:p w14:paraId="31A167E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13(38.2)</w:t>
            </w:r>
          </w:p>
        </w:tc>
        <w:tc>
          <w:tcPr>
            <w:tcW w:w="1200" w:type="dxa"/>
            <w:noWrap/>
            <w:hideMark/>
          </w:tcPr>
          <w:p w14:paraId="181B72AB"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16(59.2)</w:t>
            </w:r>
          </w:p>
        </w:tc>
        <w:tc>
          <w:tcPr>
            <w:tcW w:w="1066" w:type="dxa"/>
            <w:noWrap/>
            <w:hideMark/>
          </w:tcPr>
          <w:p w14:paraId="700ABF9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16(45.7)</w:t>
            </w:r>
          </w:p>
        </w:tc>
        <w:tc>
          <w:tcPr>
            <w:tcW w:w="903" w:type="dxa"/>
            <w:noWrap/>
            <w:hideMark/>
          </w:tcPr>
          <w:p w14:paraId="676604C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16(59.3)</w:t>
            </w:r>
          </w:p>
        </w:tc>
        <w:tc>
          <w:tcPr>
            <w:tcW w:w="967" w:type="dxa"/>
            <w:noWrap/>
            <w:hideMark/>
          </w:tcPr>
          <w:p w14:paraId="4FD18A2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71(47.3)</w:t>
            </w:r>
          </w:p>
        </w:tc>
      </w:tr>
      <w:tr w:rsidR="00AF34C1" w:rsidRPr="00062247" w14:paraId="0AE2E540" w14:textId="77777777" w:rsidTr="00375104">
        <w:trPr>
          <w:trHeight w:val="300"/>
        </w:trPr>
        <w:tc>
          <w:tcPr>
            <w:tcW w:w="2454" w:type="dxa"/>
            <w:noWrap/>
            <w:hideMark/>
          </w:tcPr>
          <w:p w14:paraId="643EC876"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NICU</w:t>
            </w:r>
          </w:p>
        </w:tc>
        <w:tc>
          <w:tcPr>
            <w:tcW w:w="1031" w:type="dxa"/>
            <w:noWrap/>
            <w:hideMark/>
          </w:tcPr>
          <w:p w14:paraId="579D365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9(33.3)</w:t>
            </w:r>
          </w:p>
        </w:tc>
        <w:tc>
          <w:tcPr>
            <w:tcW w:w="1235" w:type="dxa"/>
            <w:noWrap/>
            <w:hideMark/>
          </w:tcPr>
          <w:p w14:paraId="4539F7BA"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5BE171C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72D71657"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03" w:type="dxa"/>
            <w:noWrap/>
            <w:hideMark/>
          </w:tcPr>
          <w:p w14:paraId="4080FE24"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67" w:type="dxa"/>
            <w:noWrap/>
            <w:hideMark/>
          </w:tcPr>
          <w:p w14:paraId="2FA292B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10(6.7)</w:t>
            </w:r>
          </w:p>
        </w:tc>
      </w:tr>
      <w:tr w:rsidR="00AF34C1" w:rsidRPr="00062247" w14:paraId="6EB8BAF8" w14:textId="77777777" w:rsidTr="00375104">
        <w:trPr>
          <w:trHeight w:val="300"/>
        </w:trPr>
        <w:tc>
          <w:tcPr>
            <w:tcW w:w="2454" w:type="dxa"/>
            <w:noWrap/>
            <w:hideMark/>
          </w:tcPr>
          <w:p w14:paraId="3D81844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Hospice</w:t>
            </w:r>
          </w:p>
        </w:tc>
        <w:tc>
          <w:tcPr>
            <w:tcW w:w="1031" w:type="dxa"/>
            <w:noWrap/>
            <w:hideMark/>
          </w:tcPr>
          <w:p w14:paraId="2CBC1180"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235" w:type="dxa"/>
            <w:noWrap/>
            <w:hideMark/>
          </w:tcPr>
          <w:p w14:paraId="45F82B73"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1(2.9)</w:t>
            </w:r>
          </w:p>
        </w:tc>
        <w:tc>
          <w:tcPr>
            <w:tcW w:w="1200" w:type="dxa"/>
            <w:noWrap/>
            <w:hideMark/>
          </w:tcPr>
          <w:p w14:paraId="5CA7AD59"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1066" w:type="dxa"/>
            <w:noWrap/>
            <w:hideMark/>
          </w:tcPr>
          <w:p w14:paraId="27B20F9E"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03" w:type="dxa"/>
            <w:noWrap/>
            <w:hideMark/>
          </w:tcPr>
          <w:p w14:paraId="750DE388"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0(0)</w:t>
            </w:r>
          </w:p>
        </w:tc>
        <w:tc>
          <w:tcPr>
            <w:tcW w:w="967" w:type="dxa"/>
            <w:noWrap/>
            <w:hideMark/>
          </w:tcPr>
          <w:p w14:paraId="30DECF05" w14:textId="77777777" w:rsidR="00AF34C1" w:rsidRPr="00062247" w:rsidRDefault="00AF34C1" w:rsidP="00255186">
            <w:pPr>
              <w:widowControl w:val="0"/>
              <w:autoSpaceDE w:val="0"/>
              <w:autoSpaceDN w:val="0"/>
              <w:adjustRightInd w:val="0"/>
              <w:spacing w:line="480" w:lineRule="auto"/>
              <w:rPr>
                <w:rFonts w:ascii="Cambria" w:hAnsi="Cambria" w:cs="Cambria"/>
                <w:bCs/>
                <w:sz w:val="16"/>
              </w:rPr>
            </w:pPr>
            <w:r w:rsidRPr="00062247">
              <w:rPr>
                <w:rFonts w:ascii="Cambria" w:hAnsi="Cambria" w:cs="Cambria"/>
                <w:bCs/>
                <w:sz w:val="16"/>
              </w:rPr>
              <w:t>1(0.6)</w:t>
            </w:r>
          </w:p>
        </w:tc>
      </w:tr>
    </w:tbl>
    <w:p w14:paraId="3FE9B939" w14:textId="1DB2EFAB" w:rsidR="00AF34C1" w:rsidRPr="00113AFC" w:rsidRDefault="00AF34C1" w:rsidP="00AF34C1">
      <w:pPr>
        <w:widowControl w:val="0"/>
        <w:autoSpaceDE w:val="0"/>
        <w:autoSpaceDN w:val="0"/>
        <w:adjustRightInd w:val="0"/>
        <w:spacing w:line="480" w:lineRule="auto"/>
        <w:rPr>
          <w:rFonts w:ascii="Cambria" w:hAnsi="Cambria" w:cs="Cambria"/>
          <w:b/>
          <w:bCs/>
          <w:sz w:val="16"/>
        </w:rPr>
      </w:pPr>
      <w:r w:rsidRPr="00113AFC">
        <w:rPr>
          <w:rFonts w:ascii="Cambria" w:hAnsi="Cambria" w:cs="Cambria"/>
          <w:bCs/>
          <w:sz w:val="16"/>
          <w:szCs w:val="16"/>
          <w:lang w:val="en-US"/>
        </w:rPr>
        <w:t xml:space="preserve">Table 1. </w:t>
      </w:r>
      <w:r w:rsidRPr="00113AFC">
        <w:rPr>
          <w:rFonts w:ascii="Cambria" w:hAnsi="Cambria" w:cs="Cambria"/>
          <w:b/>
          <w:bCs/>
          <w:sz w:val="16"/>
          <w:szCs w:val="16"/>
        </w:rPr>
        <w:t>Ch</w:t>
      </w:r>
      <w:r w:rsidRPr="00062247">
        <w:rPr>
          <w:rFonts w:ascii="Cambria" w:hAnsi="Cambria" w:cs="Cambria"/>
          <w:b/>
          <w:bCs/>
          <w:sz w:val="16"/>
        </w:rPr>
        <w:t xml:space="preserve">aracteristics of </w:t>
      </w:r>
      <w:r w:rsidR="000279DA">
        <w:rPr>
          <w:rFonts w:ascii="Cambria" w:hAnsi="Cambria" w:cs="Cambria"/>
          <w:b/>
          <w:bCs/>
          <w:sz w:val="16"/>
        </w:rPr>
        <w:t xml:space="preserve">IPD death cases in </w:t>
      </w:r>
      <w:r w:rsidRPr="00062247">
        <w:rPr>
          <w:rFonts w:ascii="Cambria" w:hAnsi="Cambria" w:cs="Cambria"/>
          <w:b/>
          <w:bCs/>
          <w:sz w:val="16"/>
        </w:rPr>
        <w:t>children</w:t>
      </w:r>
      <w:r w:rsidR="000279DA">
        <w:rPr>
          <w:rFonts w:ascii="Cambria" w:hAnsi="Cambria" w:cs="Cambria"/>
          <w:b/>
          <w:bCs/>
          <w:sz w:val="16"/>
        </w:rPr>
        <w:t xml:space="preserve"> &lt;5 year </w:t>
      </w:r>
      <w:r w:rsidR="000B1306">
        <w:rPr>
          <w:rFonts w:ascii="Cambria" w:hAnsi="Cambria" w:cs="Cambria"/>
          <w:b/>
          <w:bCs/>
          <w:sz w:val="16"/>
        </w:rPr>
        <w:t>olds in</w:t>
      </w:r>
      <w:r>
        <w:rPr>
          <w:rFonts w:ascii="Cambria" w:hAnsi="Cambria" w:cs="Cambria"/>
          <w:b/>
          <w:bCs/>
          <w:sz w:val="16"/>
        </w:rPr>
        <w:t xml:space="preserve"> England and W</w:t>
      </w:r>
      <w:r w:rsidRPr="00062247">
        <w:rPr>
          <w:rFonts w:ascii="Cambria" w:hAnsi="Cambria" w:cs="Cambria"/>
          <w:b/>
          <w:bCs/>
          <w:sz w:val="16"/>
        </w:rPr>
        <w:t>ales</w:t>
      </w:r>
      <w:r>
        <w:rPr>
          <w:rFonts w:ascii="Cambria" w:hAnsi="Cambria" w:cs="Cambria"/>
          <w:b/>
          <w:bCs/>
          <w:sz w:val="16"/>
        </w:rPr>
        <w:t xml:space="preserve"> between </w:t>
      </w:r>
      <w:r w:rsidRPr="00062247">
        <w:rPr>
          <w:rFonts w:ascii="Cambria" w:hAnsi="Cambria" w:cs="Cambria"/>
          <w:b/>
          <w:bCs/>
          <w:sz w:val="16"/>
        </w:rPr>
        <w:t>04 September 2006 to 03 August 2014</w:t>
      </w:r>
      <w:r>
        <w:rPr>
          <w:rFonts w:ascii="Cambria" w:hAnsi="Cambria" w:cs="Cambria"/>
          <w:b/>
          <w:bCs/>
          <w:sz w:val="16"/>
        </w:rPr>
        <w:t xml:space="preserve">). </w:t>
      </w:r>
      <w:r>
        <w:rPr>
          <w:rFonts w:ascii="Cambria" w:hAnsi="Cambria" w:cs="Cambria"/>
          <w:bCs/>
          <w:sz w:val="16"/>
        </w:rPr>
        <w:t>P</w:t>
      </w:r>
      <w:r w:rsidRPr="00113AFC">
        <w:rPr>
          <w:rFonts w:ascii="Cambria" w:hAnsi="Cambria" w:cs="Cambria"/>
          <w:bCs/>
          <w:sz w:val="16"/>
        </w:rPr>
        <w:t>ICU</w:t>
      </w:r>
      <w:r>
        <w:rPr>
          <w:rFonts w:ascii="Cambria" w:hAnsi="Cambria" w:cs="Cambria"/>
          <w:bCs/>
          <w:sz w:val="16"/>
        </w:rPr>
        <w:t xml:space="preserve"> = paediatric intensive care unit,</w:t>
      </w:r>
      <w:r w:rsidRPr="00113AFC">
        <w:rPr>
          <w:rFonts w:ascii="Cambria" w:hAnsi="Cambria" w:cs="Cambria"/>
          <w:bCs/>
          <w:sz w:val="16"/>
        </w:rPr>
        <w:t xml:space="preserve"> NICU</w:t>
      </w:r>
      <w:r>
        <w:rPr>
          <w:rFonts w:ascii="Cambria" w:hAnsi="Cambria" w:cs="Cambria"/>
          <w:bCs/>
          <w:sz w:val="16"/>
        </w:rPr>
        <w:t xml:space="preserve"> = neonatal intensive care unit</w:t>
      </w:r>
    </w:p>
    <w:p w14:paraId="0473A6BD" w14:textId="77777777" w:rsidR="0015664B" w:rsidRPr="0015664B" w:rsidRDefault="0015664B" w:rsidP="0015664B"/>
    <w:p w14:paraId="63D04AC5" w14:textId="77777777" w:rsidR="0015664B" w:rsidRPr="0015664B" w:rsidRDefault="0015664B" w:rsidP="0015664B"/>
    <w:p w14:paraId="48D1448D" w14:textId="77777777" w:rsidR="0015664B" w:rsidRPr="0015664B" w:rsidRDefault="0015664B" w:rsidP="0015664B"/>
    <w:p w14:paraId="1F3FBF06" w14:textId="77777777" w:rsidR="0015664B" w:rsidRPr="0015664B" w:rsidRDefault="0015664B" w:rsidP="0015664B"/>
    <w:tbl>
      <w:tblPr>
        <w:tblStyle w:val="TableGrid"/>
        <w:tblW w:w="0" w:type="auto"/>
        <w:tblLook w:val="04A0" w:firstRow="1" w:lastRow="0" w:firstColumn="1" w:lastColumn="0" w:noHBand="0" w:noVBand="1"/>
      </w:tblPr>
      <w:tblGrid>
        <w:gridCol w:w="874"/>
        <w:gridCol w:w="900"/>
        <w:gridCol w:w="900"/>
        <w:gridCol w:w="900"/>
        <w:gridCol w:w="900"/>
        <w:gridCol w:w="900"/>
        <w:gridCol w:w="900"/>
        <w:gridCol w:w="900"/>
        <w:gridCol w:w="900"/>
        <w:gridCol w:w="782"/>
      </w:tblGrid>
      <w:tr w:rsidR="00EB186C" w:rsidRPr="00D007FB" w14:paraId="7BDEE240" w14:textId="77777777" w:rsidTr="007F6692">
        <w:trPr>
          <w:trHeight w:val="375"/>
        </w:trPr>
        <w:tc>
          <w:tcPr>
            <w:tcW w:w="941" w:type="dxa"/>
            <w:noWrap/>
            <w:hideMark/>
          </w:tcPr>
          <w:p w14:paraId="6B900EF0" w14:textId="77777777" w:rsidR="00EB186C" w:rsidRPr="00D007FB" w:rsidRDefault="00EB186C" w:rsidP="007F6692">
            <w:pPr>
              <w:widowControl w:val="0"/>
              <w:autoSpaceDE w:val="0"/>
              <w:autoSpaceDN w:val="0"/>
              <w:adjustRightInd w:val="0"/>
              <w:spacing w:line="276" w:lineRule="auto"/>
              <w:rPr>
                <w:rFonts w:ascii="Cambria" w:hAnsi="Cambria" w:cs="Cambria"/>
                <w:b/>
                <w:bCs/>
                <w:sz w:val="16"/>
                <w:szCs w:val="16"/>
              </w:rPr>
            </w:pPr>
          </w:p>
        </w:tc>
        <w:tc>
          <w:tcPr>
            <w:tcW w:w="7915" w:type="dxa"/>
            <w:gridSpan w:val="9"/>
            <w:noWrap/>
            <w:hideMark/>
          </w:tcPr>
          <w:p w14:paraId="1099EB27" w14:textId="77777777" w:rsidR="00EB186C" w:rsidRPr="00D007FB" w:rsidRDefault="00EB186C" w:rsidP="007F6692">
            <w:pPr>
              <w:widowControl w:val="0"/>
              <w:autoSpaceDE w:val="0"/>
              <w:autoSpaceDN w:val="0"/>
              <w:adjustRightInd w:val="0"/>
              <w:spacing w:line="276" w:lineRule="auto"/>
              <w:jc w:val="center"/>
              <w:rPr>
                <w:rFonts w:ascii="Cambria" w:hAnsi="Cambria" w:cs="Cambria"/>
                <w:b/>
                <w:bCs/>
                <w:sz w:val="12"/>
              </w:rPr>
            </w:pPr>
            <w:r>
              <w:rPr>
                <w:rFonts w:ascii="Cambria" w:hAnsi="Cambria" w:cs="Cambria"/>
                <w:b/>
                <w:bCs/>
                <w:sz w:val="16"/>
                <w:szCs w:val="16"/>
              </w:rPr>
              <w:t>Surveillance year</w:t>
            </w:r>
          </w:p>
        </w:tc>
      </w:tr>
      <w:tr w:rsidR="00EB186C" w:rsidRPr="00D007FB" w14:paraId="18E1D931" w14:textId="77777777" w:rsidTr="007F6692">
        <w:trPr>
          <w:trHeight w:val="315"/>
        </w:trPr>
        <w:tc>
          <w:tcPr>
            <w:tcW w:w="941" w:type="dxa"/>
            <w:noWrap/>
            <w:hideMark/>
          </w:tcPr>
          <w:p w14:paraId="309A9C1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p>
        </w:tc>
        <w:tc>
          <w:tcPr>
            <w:tcW w:w="893" w:type="dxa"/>
            <w:noWrap/>
            <w:hideMark/>
          </w:tcPr>
          <w:p w14:paraId="366345D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Sep06/Aug07</w:t>
            </w:r>
          </w:p>
        </w:tc>
        <w:tc>
          <w:tcPr>
            <w:tcW w:w="893" w:type="dxa"/>
            <w:noWrap/>
            <w:hideMark/>
          </w:tcPr>
          <w:p w14:paraId="197A61D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Sep07/Aug08</w:t>
            </w:r>
          </w:p>
        </w:tc>
        <w:tc>
          <w:tcPr>
            <w:tcW w:w="893" w:type="dxa"/>
            <w:noWrap/>
            <w:hideMark/>
          </w:tcPr>
          <w:p w14:paraId="0708DCD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Sep08/Aug09</w:t>
            </w:r>
          </w:p>
        </w:tc>
        <w:tc>
          <w:tcPr>
            <w:tcW w:w="892" w:type="dxa"/>
            <w:noWrap/>
            <w:hideMark/>
          </w:tcPr>
          <w:p w14:paraId="7A0DB6A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Sep09/Aug10</w:t>
            </w:r>
          </w:p>
        </w:tc>
        <w:tc>
          <w:tcPr>
            <w:tcW w:w="892" w:type="dxa"/>
            <w:noWrap/>
            <w:hideMark/>
          </w:tcPr>
          <w:p w14:paraId="7B249FC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Sep10/Aug11</w:t>
            </w:r>
          </w:p>
        </w:tc>
        <w:tc>
          <w:tcPr>
            <w:tcW w:w="892" w:type="dxa"/>
            <w:noWrap/>
            <w:hideMark/>
          </w:tcPr>
          <w:p w14:paraId="4713367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Sep11/Aug12</w:t>
            </w:r>
          </w:p>
        </w:tc>
        <w:tc>
          <w:tcPr>
            <w:tcW w:w="892" w:type="dxa"/>
            <w:noWrap/>
            <w:hideMark/>
          </w:tcPr>
          <w:p w14:paraId="471C651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Sep12/Aug13</w:t>
            </w:r>
          </w:p>
        </w:tc>
        <w:tc>
          <w:tcPr>
            <w:tcW w:w="892" w:type="dxa"/>
            <w:noWrap/>
            <w:hideMark/>
          </w:tcPr>
          <w:p w14:paraId="275F0D9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Sep13/Aug14</w:t>
            </w:r>
          </w:p>
        </w:tc>
        <w:tc>
          <w:tcPr>
            <w:tcW w:w="776" w:type="dxa"/>
            <w:noWrap/>
            <w:hideMark/>
          </w:tcPr>
          <w:p w14:paraId="0499BC8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Total</w:t>
            </w:r>
          </w:p>
        </w:tc>
      </w:tr>
      <w:tr w:rsidR="00EB186C" w:rsidRPr="00D007FB" w14:paraId="350E7871" w14:textId="77777777" w:rsidTr="007F6692">
        <w:trPr>
          <w:trHeight w:val="315"/>
        </w:trPr>
        <w:tc>
          <w:tcPr>
            <w:tcW w:w="941" w:type="dxa"/>
            <w:noWrap/>
            <w:hideMark/>
          </w:tcPr>
          <w:p w14:paraId="2B55D9F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Total (%)</w:t>
            </w:r>
          </w:p>
        </w:tc>
        <w:tc>
          <w:tcPr>
            <w:tcW w:w="893" w:type="dxa"/>
            <w:noWrap/>
            <w:hideMark/>
          </w:tcPr>
          <w:p w14:paraId="1798605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25(16.7)</w:t>
            </w:r>
          </w:p>
        </w:tc>
        <w:tc>
          <w:tcPr>
            <w:tcW w:w="893" w:type="dxa"/>
            <w:noWrap/>
            <w:hideMark/>
          </w:tcPr>
          <w:p w14:paraId="4BB450C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17(11.3)</w:t>
            </w:r>
          </w:p>
        </w:tc>
        <w:tc>
          <w:tcPr>
            <w:tcW w:w="893" w:type="dxa"/>
            <w:noWrap/>
            <w:hideMark/>
          </w:tcPr>
          <w:p w14:paraId="5F8CC3F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24(16)</w:t>
            </w:r>
          </w:p>
        </w:tc>
        <w:tc>
          <w:tcPr>
            <w:tcW w:w="892" w:type="dxa"/>
            <w:noWrap/>
            <w:hideMark/>
          </w:tcPr>
          <w:p w14:paraId="36464EA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21(14)</w:t>
            </w:r>
          </w:p>
        </w:tc>
        <w:tc>
          <w:tcPr>
            <w:tcW w:w="892" w:type="dxa"/>
            <w:noWrap/>
            <w:hideMark/>
          </w:tcPr>
          <w:p w14:paraId="4244C69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25(16.7)</w:t>
            </w:r>
          </w:p>
        </w:tc>
        <w:tc>
          <w:tcPr>
            <w:tcW w:w="892" w:type="dxa"/>
            <w:noWrap/>
            <w:hideMark/>
          </w:tcPr>
          <w:p w14:paraId="6383923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13(8.7)</w:t>
            </w:r>
          </w:p>
        </w:tc>
        <w:tc>
          <w:tcPr>
            <w:tcW w:w="892" w:type="dxa"/>
            <w:noWrap/>
            <w:hideMark/>
          </w:tcPr>
          <w:p w14:paraId="498CBEB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11(7.3)</w:t>
            </w:r>
          </w:p>
        </w:tc>
        <w:tc>
          <w:tcPr>
            <w:tcW w:w="892" w:type="dxa"/>
            <w:noWrap/>
            <w:hideMark/>
          </w:tcPr>
          <w:p w14:paraId="377C520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14(9.3)</w:t>
            </w:r>
          </w:p>
        </w:tc>
        <w:tc>
          <w:tcPr>
            <w:tcW w:w="776" w:type="dxa"/>
            <w:noWrap/>
            <w:hideMark/>
          </w:tcPr>
          <w:p w14:paraId="3764E76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150(100)</w:t>
            </w:r>
          </w:p>
        </w:tc>
      </w:tr>
      <w:tr w:rsidR="00EB186C" w:rsidRPr="00D007FB" w14:paraId="12A3B59B" w14:textId="77777777" w:rsidTr="007F6692">
        <w:trPr>
          <w:trHeight w:val="315"/>
        </w:trPr>
        <w:tc>
          <w:tcPr>
            <w:tcW w:w="941" w:type="dxa"/>
            <w:noWrap/>
            <w:hideMark/>
          </w:tcPr>
          <w:p w14:paraId="072F63F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Population at risk</w:t>
            </w:r>
          </w:p>
        </w:tc>
        <w:tc>
          <w:tcPr>
            <w:tcW w:w="893" w:type="dxa"/>
            <w:noWrap/>
            <w:hideMark/>
          </w:tcPr>
          <w:p w14:paraId="401AB73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2,005,467</w:t>
            </w:r>
          </w:p>
        </w:tc>
        <w:tc>
          <w:tcPr>
            <w:tcW w:w="893" w:type="dxa"/>
            <w:noWrap/>
            <w:hideMark/>
          </w:tcPr>
          <w:p w14:paraId="5BF2E96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2,714,178</w:t>
            </w:r>
          </w:p>
        </w:tc>
        <w:tc>
          <w:tcPr>
            <w:tcW w:w="893" w:type="dxa"/>
            <w:noWrap/>
            <w:hideMark/>
          </w:tcPr>
          <w:p w14:paraId="10F1185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3,420,424</w:t>
            </w:r>
          </w:p>
        </w:tc>
        <w:tc>
          <w:tcPr>
            <w:tcW w:w="892" w:type="dxa"/>
            <w:noWrap/>
            <w:hideMark/>
          </w:tcPr>
          <w:p w14:paraId="0C40A2F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3,497,754</w:t>
            </w:r>
          </w:p>
        </w:tc>
        <w:tc>
          <w:tcPr>
            <w:tcW w:w="892" w:type="dxa"/>
            <w:noWrap/>
            <w:hideMark/>
          </w:tcPr>
          <w:p w14:paraId="26B8CF4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3,552,066</w:t>
            </w:r>
          </w:p>
        </w:tc>
        <w:tc>
          <w:tcPr>
            <w:tcW w:w="892" w:type="dxa"/>
            <w:noWrap/>
            <w:hideMark/>
          </w:tcPr>
          <w:p w14:paraId="1AF384D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3,591,709</w:t>
            </w:r>
          </w:p>
        </w:tc>
        <w:tc>
          <w:tcPr>
            <w:tcW w:w="892" w:type="dxa"/>
            <w:noWrap/>
            <w:hideMark/>
          </w:tcPr>
          <w:p w14:paraId="0B3C2DF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3,581,510</w:t>
            </w:r>
          </w:p>
        </w:tc>
        <w:tc>
          <w:tcPr>
            <w:tcW w:w="892" w:type="dxa"/>
            <w:noWrap/>
            <w:hideMark/>
          </w:tcPr>
          <w:p w14:paraId="1EBBE18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3,570,497</w:t>
            </w:r>
          </w:p>
        </w:tc>
        <w:tc>
          <w:tcPr>
            <w:tcW w:w="776" w:type="dxa"/>
            <w:noWrap/>
            <w:hideMark/>
          </w:tcPr>
          <w:p w14:paraId="28C7C37F"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25,933,596</w:t>
            </w:r>
          </w:p>
        </w:tc>
      </w:tr>
      <w:tr w:rsidR="00EB186C" w:rsidRPr="00D007FB" w14:paraId="0330F236" w14:textId="77777777" w:rsidTr="007F6692">
        <w:trPr>
          <w:trHeight w:val="315"/>
        </w:trPr>
        <w:tc>
          <w:tcPr>
            <w:tcW w:w="941" w:type="dxa"/>
            <w:noWrap/>
            <w:hideMark/>
          </w:tcPr>
          <w:p w14:paraId="2D7AC650"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lastRenderedPageBreak/>
              <w:t>In</w:t>
            </w:r>
            <w:r>
              <w:rPr>
                <w:rFonts w:ascii="Cambria" w:hAnsi="Cambria" w:cs="Cambria"/>
                <w:b/>
                <w:bCs/>
                <w:sz w:val="12"/>
              </w:rPr>
              <w:t xml:space="preserve">cidence per </w:t>
            </w:r>
            <w:r w:rsidRPr="00D007FB">
              <w:rPr>
                <w:rFonts w:ascii="Cambria" w:hAnsi="Cambria" w:cs="Cambria"/>
                <w:b/>
                <w:bCs/>
                <w:sz w:val="12"/>
              </w:rPr>
              <w:t>100,000</w:t>
            </w:r>
          </w:p>
        </w:tc>
        <w:tc>
          <w:tcPr>
            <w:tcW w:w="893" w:type="dxa"/>
            <w:noWrap/>
            <w:hideMark/>
          </w:tcPr>
          <w:p w14:paraId="5A16BE1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1.25</w:t>
            </w:r>
          </w:p>
        </w:tc>
        <w:tc>
          <w:tcPr>
            <w:tcW w:w="893" w:type="dxa"/>
            <w:noWrap/>
            <w:hideMark/>
          </w:tcPr>
          <w:p w14:paraId="35870F5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0.63</w:t>
            </w:r>
          </w:p>
        </w:tc>
        <w:tc>
          <w:tcPr>
            <w:tcW w:w="893" w:type="dxa"/>
            <w:noWrap/>
            <w:hideMark/>
          </w:tcPr>
          <w:p w14:paraId="19650D3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0.7</w:t>
            </w:r>
          </w:p>
        </w:tc>
        <w:tc>
          <w:tcPr>
            <w:tcW w:w="892" w:type="dxa"/>
            <w:noWrap/>
            <w:hideMark/>
          </w:tcPr>
          <w:p w14:paraId="54B809A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0.6</w:t>
            </w:r>
          </w:p>
        </w:tc>
        <w:tc>
          <w:tcPr>
            <w:tcW w:w="892" w:type="dxa"/>
            <w:noWrap/>
            <w:hideMark/>
          </w:tcPr>
          <w:p w14:paraId="335771B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0.7</w:t>
            </w:r>
          </w:p>
        </w:tc>
        <w:tc>
          <w:tcPr>
            <w:tcW w:w="892" w:type="dxa"/>
            <w:noWrap/>
            <w:hideMark/>
          </w:tcPr>
          <w:p w14:paraId="3CB21A6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0.36</w:t>
            </w:r>
          </w:p>
        </w:tc>
        <w:tc>
          <w:tcPr>
            <w:tcW w:w="892" w:type="dxa"/>
            <w:noWrap/>
            <w:hideMark/>
          </w:tcPr>
          <w:p w14:paraId="17AAA4C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0.31</w:t>
            </w:r>
          </w:p>
        </w:tc>
        <w:tc>
          <w:tcPr>
            <w:tcW w:w="892" w:type="dxa"/>
            <w:noWrap/>
            <w:hideMark/>
          </w:tcPr>
          <w:p w14:paraId="087F255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0.39</w:t>
            </w:r>
          </w:p>
        </w:tc>
        <w:tc>
          <w:tcPr>
            <w:tcW w:w="776" w:type="dxa"/>
            <w:noWrap/>
            <w:hideMark/>
          </w:tcPr>
          <w:p w14:paraId="10C8D21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0.58</w:t>
            </w:r>
          </w:p>
        </w:tc>
      </w:tr>
      <w:tr w:rsidR="00EB186C" w:rsidRPr="00D007FB" w14:paraId="38EF55DE" w14:textId="77777777" w:rsidTr="007F6692">
        <w:trPr>
          <w:trHeight w:val="315"/>
        </w:trPr>
        <w:tc>
          <w:tcPr>
            <w:tcW w:w="8856" w:type="dxa"/>
            <w:gridSpan w:val="10"/>
            <w:noWrap/>
            <w:hideMark/>
          </w:tcPr>
          <w:p w14:paraId="07C8AF0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Serotypes</w:t>
            </w:r>
          </w:p>
        </w:tc>
      </w:tr>
      <w:tr w:rsidR="00EB186C" w:rsidRPr="00D007FB" w14:paraId="08A35937" w14:textId="77777777" w:rsidTr="007F6692">
        <w:trPr>
          <w:trHeight w:val="315"/>
        </w:trPr>
        <w:tc>
          <w:tcPr>
            <w:tcW w:w="941" w:type="dxa"/>
            <w:noWrap/>
            <w:hideMark/>
          </w:tcPr>
          <w:p w14:paraId="50BE0A9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PCV7</w:t>
            </w:r>
          </w:p>
        </w:tc>
        <w:tc>
          <w:tcPr>
            <w:tcW w:w="893" w:type="dxa"/>
            <w:noWrap/>
            <w:hideMark/>
          </w:tcPr>
          <w:p w14:paraId="25A840E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10(40)</w:t>
            </w:r>
          </w:p>
        </w:tc>
        <w:tc>
          <w:tcPr>
            <w:tcW w:w="893" w:type="dxa"/>
            <w:noWrap/>
            <w:hideMark/>
          </w:tcPr>
          <w:p w14:paraId="42CFC5A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2(11.8)</w:t>
            </w:r>
          </w:p>
        </w:tc>
        <w:tc>
          <w:tcPr>
            <w:tcW w:w="893" w:type="dxa"/>
            <w:noWrap/>
            <w:hideMark/>
          </w:tcPr>
          <w:p w14:paraId="37DE4D5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2(8.3)</w:t>
            </w:r>
          </w:p>
        </w:tc>
        <w:tc>
          <w:tcPr>
            <w:tcW w:w="892" w:type="dxa"/>
            <w:noWrap/>
            <w:hideMark/>
          </w:tcPr>
          <w:p w14:paraId="6648F85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3(14.3)</w:t>
            </w:r>
          </w:p>
        </w:tc>
        <w:tc>
          <w:tcPr>
            <w:tcW w:w="892" w:type="dxa"/>
            <w:noWrap/>
            <w:hideMark/>
          </w:tcPr>
          <w:p w14:paraId="186CDCC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1(4)</w:t>
            </w:r>
          </w:p>
        </w:tc>
        <w:tc>
          <w:tcPr>
            <w:tcW w:w="892" w:type="dxa"/>
            <w:noWrap/>
            <w:hideMark/>
          </w:tcPr>
          <w:p w14:paraId="235DB13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1(7.7)</w:t>
            </w:r>
          </w:p>
        </w:tc>
        <w:tc>
          <w:tcPr>
            <w:tcW w:w="892" w:type="dxa"/>
            <w:noWrap/>
            <w:hideMark/>
          </w:tcPr>
          <w:p w14:paraId="5C63F09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1(9)</w:t>
            </w:r>
          </w:p>
        </w:tc>
        <w:tc>
          <w:tcPr>
            <w:tcW w:w="892" w:type="dxa"/>
            <w:noWrap/>
            <w:hideMark/>
          </w:tcPr>
          <w:p w14:paraId="0112468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3(21.4)</w:t>
            </w:r>
          </w:p>
        </w:tc>
        <w:tc>
          <w:tcPr>
            <w:tcW w:w="776" w:type="dxa"/>
            <w:noWrap/>
            <w:hideMark/>
          </w:tcPr>
          <w:p w14:paraId="3529335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23(15.4)</w:t>
            </w:r>
          </w:p>
        </w:tc>
      </w:tr>
      <w:tr w:rsidR="00EB186C" w:rsidRPr="00D007FB" w14:paraId="4F6133FF" w14:textId="77777777" w:rsidTr="007F6692">
        <w:trPr>
          <w:trHeight w:val="315"/>
        </w:trPr>
        <w:tc>
          <w:tcPr>
            <w:tcW w:w="941" w:type="dxa"/>
            <w:noWrap/>
            <w:hideMark/>
          </w:tcPr>
          <w:p w14:paraId="7DA2525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PCV13</w:t>
            </w:r>
          </w:p>
        </w:tc>
        <w:tc>
          <w:tcPr>
            <w:tcW w:w="893" w:type="dxa"/>
            <w:noWrap/>
            <w:hideMark/>
          </w:tcPr>
          <w:p w14:paraId="573D63A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5(20)</w:t>
            </w:r>
          </w:p>
        </w:tc>
        <w:tc>
          <w:tcPr>
            <w:tcW w:w="893" w:type="dxa"/>
            <w:noWrap/>
            <w:hideMark/>
          </w:tcPr>
          <w:p w14:paraId="6925CF8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6(35.3)</w:t>
            </w:r>
          </w:p>
        </w:tc>
        <w:tc>
          <w:tcPr>
            <w:tcW w:w="893" w:type="dxa"/>
            <w:noWrap/>
            <w:hideMark/>
          </w:tcPr>
          <w:p w14:paraId="6A96FBD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10(41.7)</w:t>
            </w:r>
          </w:p>
        </w:tc>
        <w:tc>
          <w:tcPr>
            <w:tcW w:w="892" w:type="dxa"/>
            <w:noWrap/>
            <w:hideMark/>
          </w:tcPr>
          <w:p w14:paraId="3D47DE0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12(57.1)</w:t>
            </w:r>
          </w:p>
        </w:tc>
        <w:tc>
          <w:tcPr>
            <w:tcW w:w="892" w:type="dxa"/>
            <w:noWrap/>
            <w:hideMark/>
          </w:tcPr>
          <w:p w14:paraId="091E004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11(44)</w:t>
            </w:r>
          </w:p>
        </w:tc>
        <w:tc>
          <w:tcPr>
            <w:tcW w:w="892" w:type="dxa"/>
            <w:noWrap/>
            <w:hideMark/>
          </w:tcPr>
          <w:p w14:paraId="5EFE353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0(0)</w:t>
            </w:r>
          </w:p>
        </w:tc>
        <w:tc>
          <w:tcPr>
            <w:tcW w:w="892" w:type="dxa"/>
            <w:noWrap/>
            <w:hideMark/>
          </w:tcPr>
          <w:p w14:paraId="594C04A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1(9)</w:t>
            </w:r>
          </w:p>
        </w:tc>
        <w:tc>
          <w:tcPr>
            <w:tcW w:w="892" w:type="dxa"/>
            <w:noWrap/>
            <w:hideMark/>
          </w:tcPr>
          <w:p w14:paraId="545C333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0(0)</w:t>
            </w:r>
          </w:p>
        </w:tc>
        <w:tc>
          <w:tcPr>
            <w:tcW w:w="776" w:type="dxa"/>
            <w:noWrap/>
            <w:hideMark/>
          </w:tcPr>
          <w:p w14:paraId="7024D08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45(30)</w:t>
            </w:r>
          </w:p>
        </w:tc>
      </w:tr>
      <w:tr w:rsidR="00EB186C" w:rsidRPr="00D007FB" w14:paraId="533E0A0D" w14:textId="77777777" w:rsidTr="007F6692">
        <w:trPr>
          <w:trHeight w:val="315"/>
        </w:trPr>
        <w:tc>
          <w:tcPr>
            <w:tcW w:w="941" w:type="dxa"/>
            <w:noWrap/>
            <w:hideMark/>
          </w:tcPr>
          <w:p w14:paraId="5F148CD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Additional PPV</w:t>
            </w:r>
          </w:p>
        </w:tc>
        <w:tc>
          <w:tcPr>
            <w:tcW w:w="893" w:type="dxa"/>
            <w:noWrap/>
            <w:hideMark/>
          </w:tcPr>
          <w:p w14:paraId="326BC75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3(12)</w:t>
            </w:r>
          </w:p>
        </w:tc>
        <w:tc>
          <w:tcPr>
            <w:tcW w:w="893" w:type="dxa"/>
            <w:noWrap/>
            <w:hideMark/>
          </w:tcPr>
          <w:p w14:paraId="6BCBD13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4(25)</w:t>
            </w:r>
          </w:p>
        </w:tc>
        <w:tc>
          <w:tcPr>
            <w:tcW w:w="893" w:type="dxa"/>
            <w:noWrap/>
            <w:hideMark/>
          </w:tcPr>
          <w:p w14:paraId="0525043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4(16.7)</w:t>
            </w:r>
          </w:p>
        </w:tc>
        <w:tc>
          <w:tcPr>
            <w:tcW w:w="892" w:type="dxa"/>
            <w:noWrap/>
            <w:hideMark/>
          </w:tcPr>
          <w:p w14:paraId="781E990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1(4.8)</w:t>
            </w:r>
          </w:p>
        </w:tc>
        <w:tc>
          <w:tcPr>
            <w:tcW w:w="892" w:type="dxa"/>
            <w:noWrap/>
            <w:hideMark/>
          </w:tcPr>
          <w:p w14:paraId="48E26BF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1(4)</w:t>
            </w:r>
          </w:p>
        </w:tc>
        <w:tc>
          <w:tcPr>
            <w:tcW w:w="892" w:type="dxa"/>
            <w:noWrap/>
            <w:hideMark/>
          </w:tcPr>
          <w:p w14:paraId="3155312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5(38.5)</w:t>
            </w:r>
          </w:p>
        </w:tc>
        <w:tc>
          <w:tcPr>
            <w:tcW w:w="892" w:type="dxa"/>
            <w:noWrap/>
            <w:hideMark/>
          </w:tcPr>
          <w:p w14:paraId="2C4BB57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3(27.3)</w:t>
            </w:r>
          </w:p>
        </w:tc>
        <w:tc>
          <w:tcPr>
            <w:tcW w:w="892" w:type="dxa"/>
            <w:noWrap/>
            <w:hideMark/>
          </w:tcPr>
          <w:p w14:paraId="6F7E036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5(35.7)</w:t>
            </w:r>
          </w:p>
        </w:tc>
        <w:tc>
          <w:tcPr>
            <w:tcW w:w="776" w:type="dxa"/>
            <w:noWrap/>
            <w:hideMark/>
          </w:tcPr>
          <w:p w14:paraId="505475F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26(17.3)</w:t>
            </w:r>
          </w:p>
        </w:tc>
      </w:tr>
      <w:tr w:rsidR="00EB186C" w:rsidRPr="00D007FB" w14:paraId="7AEAA6BA" w14:textId="77777777" w:rsidTr="007F6692">
        <w:trPr>
          <w:trHeight w:val="315"/>
        </w:trPr>
        <w:tc>
          <w:tcPr>
            <w:tcW w:w="941" w:type="dxa"/>
            <w:noWrap/>
            <w:hideMark/>
          </w:tcPr>
          <w:p w14:paraId="0E146A98"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Pr>
                <w:rFonts w:ascii="Cambria" w:hAnsi="Cambria" w:cs="Cambria"/>
                <w:b/>
                <w:bCs/>
                <w:sz w:val="12"/>
              </w:rPr>
              <w:t>Non Vaccine Serotypes (NVT)</w:t>
            </w:r>
          </w:p>
        </w:tc>
        <w:tc>
          <w:tcPr>
            <w:tcW w:w="893" w:type="dxa"/>
            <w:noWrap/>
            <w:hideMark/>
          </w:tcPr>
          <w:p w14:paraId="404A02D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4(16)</w:t>
            </w:r>
          </w:p>
        </w:tc>
        <w:tc>
          <w:tcPr>
            <w:tcW w:w="893" w:type="dxa"/>
            <w:noWrap/>
            <w:hideMark/>
          </w:tcPr>
          <w:p w14:paraId="725BBFB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3(17.6)</w:t>
            </w:r>
          </w:p>
        </w:tc>
        <w:tc>
          <w:tcPr>
            <w:tcW w:w="893" w:type="dxa"/>
            <w:noWrap/>
            <w:hideMark/>
          </w:tcPr>
          <w:p w14:paraId="44D749A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5(20.8)</w:t>
            </w:r>
          </w:p>
        </w:tc>
        <w:tc>
          <w:tcPr>
            <w:tcW w:w="892" w:type="dxa"/>
            <w:noWrap/>
            <w:hideMark/>
          </w:tcPr>
          <w:p w14:paraId="1231EBC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4(19)</w:t>
            </w:r>
          </w:p>
        </w:tc>
        <w:tc>
          <w:tcPr>
            <w:tcW w:w="892" w:type="dxa"/>
            <w:noWrap/>
            <w:hideMark/>
          </w:tcPr>
          <w:p w14:paraId="202F162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8(32)</w:t>
            </w:r>
          </w:p>
        </w:tc>
        <w:tc>
          <w:tcPr>
            <w:tcW w:w="892" w:type="dxa"/>
            <w:noWrap/>
            <w:hideMark/>
          </w:tcPr>
          <w:p w14:paraId="4971760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7(53.8)</w:t>
            </w:r>
          </w:p>
        </w:tc>
        <w:tc>
          <w:tcPr>
            <w:tcW w:w="892" w:type="dxa"/>
            <w:noWrap/>
            <w:hideMark/>
          </w:tcPr>
          <w:p w14:paraId="20C9328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4(36.4)</w:t>
            </w:r>
          </w:p>
        </w:tc>
        <w:tc>
          <w:tcPr>
            <w:tcW w:w="892" w:type="dxa"/>
            <w:noWrap/>
            <w:hideMark/>
          </w:tcPr>
          <w:p w14:paraId="61A3111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3(21.4)</w:t>
            </w:r>
          </w:p>
        </w:tc>
        <w:tc>
          <w:tcPr>
            <w:tcW w:w="776" w:type="dxa"/>
            <w:noWrap/>
            <w:hideMark/>
          </w:tcPr>
          <w:p w14:paraId="47D2BEB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38(25.3)</w:t>
            </w:r>
          </w:p>
        </w:tc>
      </w:tr>
      <w:tr w:rsidR="00EB186C" w:rsidRPr="00D007FB" w14:paraId="11A5520B" w14:textId="77777777" w:rsidTr="007F6692">
        <w:trPr>
          <w:trHeight w:val="315"/>
        </w:trPr>
        <w:tc>
          <w:tcPr>
            <w:tcW w:w="941" w:type="dxa"/>
            <w:noWrap/>
            <w:hideMark/>
          </w:tcPr>
          <w:p w14:paraId="170B154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Not Known</w:t>
            </w:r>
            <w:r>
              <w:rPr>
                <w:rFonts w:ascii="Cambria" w:hAnsi="Cambria" w:cs="Cambria"/>
                <w:b/>
                <w:bCs/>
                <w:sz w:val="12"/>
              </w:rPr>
              <w:t xml:space="preserve"> (NK)</w:t>
            </w:r>
          </w:p>
        </w:tc>
        <w:tc>
          <w:tcPr>
            <w:tcW w:w="893" w:type="dxa"/>
            <w:noWrap/>
            <w:hideMark/>
          </w:tcPr>
          <w:p w14:paraId="1F3BE0E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3(12)</w:t>
            </w:r>
          </w:p>
        </w:tc>
        <w:tc>
          <w:tcPr>
            <w:tcW w:w="893" w:type="dxa"/>
            <w:noWrap/>
            <w:hideMark/>
          </w:tcPr>
          <w:p w14:paraId="572F691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2(11.8)</w:t>
            </w:r>
          </w:p>
        </w:tc>
        <w:tc>
          <w:tcPr>
            <w:tcW w:w="893" w:type="dxa"/>
            <w:noWrap/>
            <w:hideMark/>
          </w:tcPr>
          <w:p w14:paraId="50DF5E2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3(12.5)</w:t>
            </w:r>
          </w:p>
        </w:tc>
        <w:tc>
          <w:tcPr>
            <w:tcW w:w="892" w:type="dxa"/>
            <w:noWrap/>
            <w:hideMark/>
          </w:tcPr>
          <w:p w14:paraId="242C3DB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1(4.8)</w:t>
            </w:r>
          </w:p>
        </w:tc>
        <w:tc>
          <w:tcPr>
            <w:tcW w:w="892" w:type="dxa"/>
            <w:noWrap/>
            <w:hideMark/>
          </w:tcPr>
          <w:p w14:paraId="504746E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4(16)</w:t>
            </w:r>
          </w:p>
        </w:tc>
        <w:tc>
          <w:tcPr>
            <w:tcW w:w="892" w:type="dxa"/>
            <w:noWrap/>
            <w:hideMark/>
          </w:tcPr>
          <w:p w14:paraId="5977EE1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8F526C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2(18.2)</w:t>
            </w:r>
          </w:p>
        </w:tc>
        <w:tc>
          <w:tcPr>
            <w:tcW w:w="892" w:type="dxa"/>
            <w:noWrap/>
            <w:hideMark/>
          </w:tcPr>
          <w:p w14:paraId="1FDE160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3(21.4)</w:t>
            </w:r>
          </w:p>
        </w:tc>
        <w:tc>
          <w:tcPr>
            <w:tcW w:w="776" w:type="dxa"/>
            <w:noWrap/>
            <w:hideMark/>
          </w:tcPr>
          <w:p w14:paraId="26010EE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18(12)</w:t>
            </w:r>
          </w:p>
        </w:tc>
      </w:tr>
      <w:tr w:rsidR="00EB186C" w:rsidRPr="00D007FB" w14:paraId="26FF6956" w14:textId="77777777" w:rsidTr="007F6692">
        <w:trPr>
          <w:trHeight w:val="315"/>
        </w:trPr>
        <w:tc>
          <w:tcPr>
            <w:tcW w:w="8856" w:type="dxa"/>
            <w:gridSpan w:val="10"/>
            <w:noWrap/>
            <w:hideMark/>
          </w:tcPr>
          <w:p w14:paraId="0E49243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PCV7 Serotypes</w:t>
            </w:r>
          </w:p>
        </w:tc>
      </w:tr>
      <w:tr w:rsidR="00EB186C" w:rsidRPr="00D007FB" w14:paraId="5EDCEB16" w14:textId="77777777" w:rsidTr="007F6692">
        <w:trPr>
          <w:trHeight w:val="315"/>
        </w:trPr>
        <w:tc>
          <w:tcPr>
            <w:tcW w:w="941" w:type="dxa"/>
            <w:noWrap/>
            <w:hideMark/>
          </w:tcPr>
          <w:p w14:paraId="2F78DEC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19F</w:t>
            </w:r>
          </w:p>
        </w:tc>
        <w:tc>
          <w:tcPr>
            <w:tcW w:w="893" w:type="dxa"/>
            <w:noWrap/>
            <w:hideMark/>
          </w:tcPr>
          <w:p w14:paraId="4B0796F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7D385D2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65B451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2676509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23FF2EA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FAD056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7BB3E56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F747CB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776" w:type="dxa"/>
            <w:noWrap/>
            <w:hideMark/>
          </w:tcPr>
          <w:p w14:paraId="72E1E36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8</w:t>
            </w:r>
          </w:p>
        </w:tc>
      </w:tr>
      <w:tr w:rsidR="00EB186C" w:rsidRPr="00D007FB" w14:paraId="063E3EEE" w14:textId="77777777" w:rsidTr="007F6692">
        <w:trPr>
          <w:trHeight w:val="315"/>
        </w:trPr>
        <w:tc>
          <w:tcPr>
            <w:tcW w:w="941" w:type="dxa"/>
            <w:noWrap/>
            <w:hideMark/>
          </w:tcPr>
          <w:p w14:paraId="5C3385B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14</w:t>
            </w:r>
          </w:p>
        </w:tc>
        <w:tc>
          <w:tcPr>
            <w:tcW w:w="893" w:type="dxa"/>
            <w:noWrap/>
            <w:hideMark/>
          </w:tcPr>
          <w:p w14:paraId="3F9E2F80"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c>
          <w:tcPr>
            <w:tcW w:w="893" w:type="dxa"/>
            <w:noWrap/>
            <w:hideMark/>
          </w:tcPr>
          <w:p w14:paraId="32910FC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217FE3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D7F8C0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12B7D1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C6A29F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FD9411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CA4324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3229BCD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18732CB8" w14:textId="77777777" w:rsidTr="007F6692">
        <w:trPr>
          <w:trHeight w:val="300"/>
        </w:trPr>
        <w:tc>
          <w:tcPr>
            <w:tcW w:w="941" w:type="dxa"/>
            <w:noWrap/>
            <w:hideMark/>
          </w:tcPr>
          <w:p w14:paraId="1D00D42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6B</w:t>
            </w:r>
          </w:p>
        </w:tc>
        <w:tc>
          <w:tcPr>
            <w:tcW w:w="893" w:type="dxa"/>
            <w:noWrap/>
            <w:hideMark/>
          </w:tcPr>
          <w:p w14:paraId="43D6BB2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1FD66D6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002F148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93272C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F6A14F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3B1F87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D96507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A9AA21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79499F5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r>
      <w:tr w:rsidR="00EB186C" w:rsidRPr="00D007FB" w14:paraId="5267F8F3" w14:textId="77777777" w:rsidTr="007F6692">
        <w:trPr>
          <w:trHeight w:val="315"/>
        </w:trPr>
        <w:tc>
          <w:tcPr>
            <w:tcW w:w="941" w:type="dxa"/>
            <w:noWrap/>
            <w:hideMark/>
          </w:tcPr>
          <w:p w14:paraId="15874D6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18C</w:t>
            </w:r>
          </w:p>
        </w:tc>
        <w:tc>
          <w:tcPr>
            <w:tcW w:w="893" w:type="dxa"/>
            <w:noWrap/>
            <w:hideMark/>
          </w:tcPr>
          <w:p w14:paraId="02B1825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6EE1611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5755F53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17AD0B5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498993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D3B9F7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360633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3CAA1B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2FAB1C4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r>
      <w:tr w:rsidR="00EB186C" w:rsidRPr="00D007FB" w14:paraId="4D44CFB1" w14:textId="77777777" w:rsidTr="007F6692">
        <w:trPr>
          <w:trHeight w:val="300"/>
        </w:trPr>
        <w:tc>
          <w:tcPr>
            <w:tcW w:w="941" w:type="dxa"/>
            <w:noWrap/>
            <w:hideMark/>
          </w:tcPr>
          <w:p w14:paraId="79C66E78"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9V</w:t>
            </w:r>
          </w:p>
        </w:tc>
        <w:tc>
          <w:tcPr>
            <w:tcW w:w="893" w:type="dxa"/>
            <w:noWrap/>
            <w:hideMark/>
          </w:tcPr>
          <w:p w14:paraId="4C88FCE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c>
          <w:tcPr>
            <w:tcW w:w="893" w:type="dxa"/>
            <w:noWrap/>
            <w:hideMark/>
          </w:tcPr>
          <w:p w14:paraId="3E5A5DB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2BCA19B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34A1C7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D339D0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01D246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909D5F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961283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7F50792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r>
      <w:tr w:rsidR="00EB186C" w:rsidRPr="00D007FB" w14:paraId="7E771425" w14:textId="77777777" w:rsidTr="007F6692">
        <w:trPr>
          <w:trHeight w:val="300"/>
        </w:trPr>
        <w:tc>
          <w:tcPr>
            <w:tcW w:w="941" w:type="dxa"/>
            <w:noWrap/>
            <w:hideMark/>
          </w:tcPr>
          <w:p w14:paraId="63E0A35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23F</w:t>
            </w:r>
          </w:p>
        </w:tc>
        <w:tc>
          <w:tcPr>
            <w:tcW w:w="893" w:type="dxa"/>
            <w:noWrap/>
            <w:hideMark/>
          </w:tcPr>
          <w:p w14:paraId="3BE681D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150F008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B93E71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415A2C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D13113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F87A81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2478C9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DE92C5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3557A58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608A5F08" w14:textId="77777777" w:rsidTr="007F6692">
        <w:trPr>
          <w:trHeight w:val="300"/>
        </w:trPr>
        <w:tc>
          <w:tcPr>
            <w:tcW w:w="941" w:type="dxa"/>
            <w:noWrap/>
            <w:hideMark/>
          </w:tcPr>
          <w:p w14:paraId="394CCE4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c>
          <w:tcPr>
            <w:tcW w:w="893" w:type="dxa"/>
            <w:noWrap/>
            <w:hideMark/>
          </w:tcPr>
          <w:p w14:paraId="5293010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6C9AD44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ACDF81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AB2630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88E5FA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8F9896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81808A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D11EF2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040F786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5B603DB8" w14:textId="77777777" w:rsidTr="007F6692">
        <w:trPr>
          <w:trHeight w:val="315"/>
        </w:trPr>
        <w:tc>
          <w:tcPr>
            <w:tcW w:w="8856" w:type="dxa"/>
            <w:gridSpan w:val="10"/>
            <w:noWrap/>
            <w:hideMark/>
          </w:tcPr>
          <w:p w14:paraId="376C936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PCV13 Serotypes</w:t>
            </w:r>
          </w:p>
        </w:tc>
      </w:tr>
      <w:tr w:rsidR="00EB186C" w:rsidRPr="00D007FB" w14:paraId="20204FB5" w14:textId="77777777" w:rsidTr="007F6692">
        <w:trPr>
          <w:trHeight w:val="300"/>
        </w:trPr>
        <w:tc>
          <w:tcPr>
            <w:tcW w:w="941" w:type="dxa"/>
            <w:noWrap/>
            <w:hideMark/>
          </w:tcPr>
          <w:p w14:paraId="162CB17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c>
          <w:tcPr>
            <w:tcW w:w="893" w:type="dxa"/>
            <w:noWrap/>
            <w:hideMark/>
          </w:tcPr>
          <w:p w14:paraId="4BA19C4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11F4BBB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c>
          <w:tcPr>
            <w:tcW w:w="893" w:type="dxa"/>
            <w:noWrap/>
            <w:hideMark/>
          </w:tcPr>
          <w:p w14:paraId="74D21B3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c>
          <w:tcPr>
            <w:tcW w:w="892" w:type="dxa"/>
            <w:noWrap/>
            <w:hideMark/>
          </w:tcPr>
          <w:p w14:paraId="3B6C0978"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c>
          <w:tcPr>
            <w:tcW w:w="892" w:type="dxa"/>
            <w:noWrap/>
            <w:hideMark/>
          </w:tcPr>
          <w:p w14:paraId="3AB4027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c>
          <w:tcPr>
            <w:tcW w:w="892" w:type="dxa"/>
            <w:noWrap/>
            <w:hideMark/>
          </w:tcPr>
          <w:p w14:paraId="26CF0F6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08DE40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E7136E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2853563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13</w:t>
            </w:r>
          </w:p>
        </w:tc>
      </w:tr>
      <w:tr w:rsidR="00EB186C" w:rsidRPr="00D007FB" w14:paraId="27E2F8D7" w14:textId="77777777" w:rsidTr="007F6692">
        <w:trPr>
          <w:trHeight w:val="315"/>
        </w:trPr>
        <w:tc>
          <w:tcPr>
            <w:tcW w:w="941" w:type="dxa"/>
            <w:noWrap/>
            <w:hideMark/>
          </w:tcPr>
          <w:p w14:paraId="129E9BA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19A</w:t>
            </w:r>
          </w:p>
        </w:tc>
        <w:tc>
          <w:tcPr>
            <w:tcW w:w="893" w:type="dxa"/>
            <w:noWrap/>
            <w:hideMark/>
          </w:tcPr>
          <w:p w14:paraId="69C6721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7D14CCE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22068CBF"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c>
          <w:tcPr>
            <w:tcW w:w="892" w:type="dxa"/>
            <w:noWrap/>
            <w:hideMark/>
          </w:tcPr>
          <w:p w14:paraId="70523D8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c>
          <w:tcPr>
            <w:tcW w:w="892" w:type="dxa"/>
            <w:noWrap/>
            <w:hideMark/>
          </w:tcPr>
          <w:p w14:paraId="1E100C9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c>
          <w:tcPr>
            <w:tcW w:w="892" w:type="dxa"/>
            <w:noWrap/>
            <w:hideMark/>
          </w:tcPr>
          <w:p w14:paraId="68C0941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EFEF56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619343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1FF57DA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11</w:t>
            </w:r>
          </w:p>
        </w:tc>
      </w:tr>
      <w:tr w:rsidR="00EB186C" w:rsidRPr="00D007FB" w14:paraId="3C80C95C" w14:textId="77777777" w:rsidTr="007F6692">
        <w:trPr>
          <w:trHeight w:val="300"/>
        </w:trPr>
        <w:tc>
          <w:tcPr>
            <w:tcW w:w="941" w:type="dxa"/>
            <w:noWrap/>
            <w:hideMark/>
          </w:tcPr>
          <w:p w14:paraId="4971234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7F</w:t>
            </w:r>
          </w:p>
        </w:tc>
        <w:tc>
          <w:tcPr>
            <w:tcW w:w="893" w:type="dxa"/>
            <w:noWrap/>
            <w:hideMark/>
          </w:tcPr>
          <w:p w14:paraId="1463261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3" w:type="dxa"/>
            <w:noWrap/>
            <w:hideMark/>
          </w:tcPr>
          <w:p w14:paraId="3AB9559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3163B4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c>
          <w:tcPr>
            <w:tcW w:w="892" w:type="dxa"/>
            <w:noWrap/>
            <w:hideMark/>
          </w:tcPr>
          <w:p w14:paraId="36ED0B6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c>
          <w:tcPr>
            <w:tcW w:w="892" w:type="dxa"/>
            <w:noWrap/>
            <w:hideMark/>
          </w:tcPr>
          <w:p w14:paraId="3EDC3F8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c>
          <w:tcPr>
            <w:tcW w:w="892" w:type="dxa"/>
            <w:noWrap/>
            <w:hideMark/>
          </w:tcPr>
          <w:p w14:paraId="227DB2E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B4401E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c>
          <w:tcPr>
            <w:tcW w:w="892" w:type="dxa"/>
            <w:noWrap/>
            <w:hideMark/>
          </w:tcPr>
          <w:p w14:paraId="0B09120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7605184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9</w:t>
            </w:r>
          </w:p>
        </w:tc>
      </w:tr>
      <w:tr w:rsidR="00EB186C" w:rsidRPr="00D007FB" w14:paraId="55DFD586" w14:textId="77777777" w:rsidTr="007F6692">
        <w:trPr>
          <w:trHeight w:val="315"/>
        </w:trPr>
        <w:tc>
          <w:tcPr>
            <w:tcW w:w="941" w:type="dxa"/>
            <w:noWrap/>
            <w:hideMark/>
          </w:tcPr>
          <w:p w14:paraId="33B9B48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c>
          <w:tcPr>
            <w:tcW w:w="893" w:type="dxa"/>
            <w:noWrap/>
            <w:hideMark/>
          </w:tcPr>
          <w:p w14:paraId="76504EC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01EBF68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545E3E3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E867A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48214C9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4083C89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AB4431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07EC69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6A9449C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7</w:t>
            </w:r>
          </w:p>
        </w:tc>
      </w:tr>
      <w:tr w:rsidR="00EB186C" w:rsidRPr="00D007FB" w14:paraId="34FB1733" w14:textId="77777777" w:rsidTr="007F6692">
        <w:trPr>
          <w:trHeight w:val="300"/>
        </w:trPr>
        <w:tc>
          <w:tcPr>
            <w:tcW w:w="941" w:type="dxa"/>
            <w:noWrap/>
            <w:hideMark/>
          </w:tcPr>
          <w:p w14:paraId="070F5B4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6A</w:t>
            </w:r>
          </w:p>
        </w:tc>
        <w:tc>
          <w:tcPr>
            <w:tcW w:w="893" w:type="dxa"/>
            <w:noWrap/>
            <w:hideMark/>
          </w:tcPr>
          <w:p w14:paraId="732DBEA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3CF91E2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3C05E12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89C91F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9981B3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B5954E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D1A79F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BC6732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573C079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r>
      <w:tr w:rsidR="00EB186C" w:rsidRPr="00D007FB" w14:paraId="56DB024A" w14:textId="77777777" w:rsidTr="007F6692">
        <w:trPr>
          <w:trHeight w:val="300"/>
        </w:trPr>
        <w:tc>
          <w:tcPr>
            <w:tcW w:w="941" w:type="dxa"/>
            <w:noWrap/>
            <w:hideMark/>
          </w:tcPr>
          <w:p w14:paraId="1FB5CAF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c>
          <w:tcPr>
            <w:tcW w:w="893" w:type="dxa"/>
            <w:noWrap/>
            <w:hideMark/>
          </w:tcPr>
          <w:p w14:paraId="1C38D5A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4B6932A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1DC9C38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05E0F9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3890AF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B7784C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32D52E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CD16F5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09A9EC4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622E1E43" w14:textId="77777777" w:rsidTr="007F6692">
        <w:trPr>
          <w:trHeight w:val="315"/>
        </w:trPr>
        <w:tc>
          <w:tcPr>
            <w:tcW w:w="8856" w:type="dxa"/>
            <w:gridSpan w:val="10"/>
            <w:noWrap/>
            <w:hideMark/>
          </w:tcPr>
          <w:p w14:paraId="2AF3B33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Additional PPV</w:t>
            </w:r>
          </w:p>
        </w:tc>
      </w:tr>
      <w:tr w:rsidR="00EB186C" w:rsidRPr="00D007FB" w14:paraId="44331F60" w14:textId="77777777" w:rsidTr="007F6692">
        <w:trPr>
          <w:trHeight w:val="300"/>
        </w:trPr>
        <w:tc>
          <w:tcPr>
            <w:tcW w:w="941" w:type="dxa"/>
            <w:noWrap/>
            <w:hideMark/>
          </w:tcPr>
          <w:p w14:paraId="1E4BEAC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33F</w:t>
            </w:r>
          </w:p>
        </w:tc>
        <w:tc>
          <w:tcPr>
            <w:tcW w:w="893" w:type="dxa"/>
            <w:noWrap/>
            <w:hideMark/>
          </w:tcPr>
          <w:p w14:paraId="617A802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33922F6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A3266B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A9AD5C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10799E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BA7A9E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A2ECAB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024356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7821CFF0"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6BCCBCAA" w14:textId="77777777" w:rsidTr="007F6692">
        <w:trPr>
          <w:trHeight w:val="300"/>
        </w:trPr>
        <w:tc>
          <w:tcPr>
            <w:tcW w:w="941" w:type="dxa"/>
            <w:noWrap/>
            <w:hideMark/>
          </w:tcPr>
          <w:p w14:paraId="7847830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8</w:t>
            </w:r>
          </w:p>
        </w:tc>
        <w:tc>
          <w:tcPr>
            <w:tcW w:w="893" w:type="dxa"/>
            <w:noWrap/>
            <w:hideMark/>
          </w:tcPr>
          <w:p w14:paraId="6A79DB7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FE521E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4523AD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11A80C1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6E5B5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57BC68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587BC8B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1FD0CE2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2880AF2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3CDBC733" w14:textId="77777777" w:rsidTr="007F6692">
        <w:trPr>
          <w:trHeight w:val="300"/>
        </w:trPr>
        <w:tc>
          <w:tcPr>
            <w:tcW w:w="941" w:type="dxa"/>
            <w:noWrap/>
            <w:hideMark/>
          </w:tcPr>
          <w:p w14:paraId="286EC0D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22F</w:t>
            </w:r>
          </w:p>
        </w:tc>
        <w:tc>
          <w:tcPr>
            <w:tcW w:w="893" w:type="dxa"/>
            <w:noWrap/>
            <w:hideMark/>
          </w:tcPr>
          <w:p w14:paraId="3BE9C8E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12CD585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3" w:type="dxa"/>
            <w:noWrap/>
            <w:hideMark/>
          </w:tcPr>
          <w:p w14:paraId="6AC2658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EBD01A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3F4F37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72D75A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608261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1AB368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6058770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192CF5D4" w14:textId="77777777" w:rsidTr="007F6692">
        <w:trPr>
          <w:trHeight w:val="315"/>
        </w:trPr>
        <w:tc>
          <w:tcPr>
            <w:tcW w:w="941" w:type="dxa"/>
            <w:noWrap/>
            <w:hideMark/>
          </w:tcPr>
          <w:p w14:paraId="5675C01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11A</w:t>
            </w:r>
          </w:p>
        </w:tc>
        <w:tc>
          <w:tcPr>
            <w:tcW w:w="893" w:type="dxa"/>
            <w:noWrap/>
            <w:hideMark/>
          </w:tcPr>
          <w:p w14:paraId="7E567CD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5700C33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534EC15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F5D148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0EA6A8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C054F7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2C6C90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F1AB7F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0F10F8FF"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r>
      <w:tr w:rsidR="00EB186C" w:rsidRPr="00D007FB" w14:paraId="4A98464F" w14:textId="77777777" w:rsidTr="007F6692">
        <w:trPr>
          <w:trHeight w:val="315"/>
        </w:trPr>
        <w:tc>
          <w:tcPr>
            <w:tcW w:w="941" w:type="dxa"/>
            <w:noWrap/>
            <w:hideMark/>
          </w:tcPr>
          <w:p w14:paraId="6CDF796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15B</w:t>
            </w:r>
          </w:p>
        </w:tc>
        <w:tc>
          <w:tcPr>
            <w:tcW w:w="893" w:type="dxa"/>
            <w:noWrap/>
            <w:hideMark/>
          </w:tcPr>
          <w:p w14:paraId="5441C89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7AB88CF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15059AB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30DC31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20203F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25E5CC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9199CB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69E570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776" w:type="dxa"/>
            <w:noWrap/>
            <w:hideMark/>
          </w:tcPr>
          <w:p w14:paraId="137D57A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r>
      <w:tr w:rsidR="00EB186C" w:rsidRPr="00D007FB" w14:paraId="1D2095C6" w14:textId="77777777" w:rsidTr="007F6692">
        <w:trPr>
          <w:trHeight w:val="315"/>
        </w:trPr>
        <w:tc>
          <w:tcPr>
            <w:tcW w:w="941" w:type="dxa"/>
            <w:noWrap/>
            <w:hideMark/>
          </w:tcPr>
          <w:p w14:paraId="4ECE17B8"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17F</w:t>
            </w:r>
          </w:p>
        </w:tc>
        <w:tc>
          <w:tcPr>
            <w:tcW w:w="893" w:type="dxa"/>
            <w:noWrap/>
            <w:hideMark/>
          </w:tcPr>
          <w:p w14:paraId="5370D19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2A24C52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FAD21D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FF834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00DCA4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C15D5A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CB2CCB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264B9B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3D345EA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72ECCF01" w14:textId="77777777" w:rsidTr="007F6692">
        <w:trPr>
          <w:trHeight w:val="315"/>
        </w:trPr>
        <w:tc>
          <w:tcPr>
            <w:tcW w:w="941" w:type="dxa"/>
            <w:noWrap/>
            <w:hideMark/>
          </w:tcPr>
          <w:p w14:paraId="061E83A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10A</w:t>
            </w:r>
          </w:p>
        </w:tc>
        <w:tc>
          <w:tcPr>
            <w:tcW w:w="893" w:type="dxa"/>
            <w:noWrap/>
            <w:hideMark/>
          </w:tcPr>
          <w:p w14:paraId="5BAC81E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3FFEFD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CA0765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2E9287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5C2724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FA6590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BB2F0A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AC6576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06151C5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5F631030" w14:textId="77777777" w:rsidTr="007F6692">
        <w:trPr>
          <w:trHeight w:val="315"/>
        </w:trPr>
        <w:tc>
          <w:tcPr>
            <w:tcW w:w="941" w:type="dxa"/>
            <w:noWrap/>
            <w:hideMark/>
          </w:tcPr>
          <w:p w14:paraId="01CE494F"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12F</w:t>
            </w:r>
          </w:p>
        </w:tc>
        <w:tc>
          <w:tcPr>
            <w:tcW w:w="893" w:type="dxa"/>
            <w:noWrap/>
            <w:hideMark/>
          </w:tcPr>
          <w:p w14:paraId="61DF1D8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477DEA3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448E323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1E294EB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1BD50B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6CE69F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7C3779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0CF3C9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4955106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673F0EEC" w14:textId="77777777" w:rsidTr="007F6692">
        <w:trPr>
          <w:trHeight w:val="315"/>
        </w:trPr>
        <w:tc>
          <w:tcPr>
            <w:tcW w:w="8856" w:type="dxa"/>
            <w:gridSpan w:val="10"/>
            <w:noWrap/>
            <w:hideMark/>
          </w:tcPr>
          <w:p w14:paraId="7670FA4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Non Vaccine Serotypes</w:t>
            </w:r>
            <w:r>
              <w:rPr>
                <w:rFonts w:ascii="Cambria" w:hAnsi="Cambria" w:cs="Cambria"/>
                <w:b/>
                <w:bCs/>
                <w:sz w:val="12"/>
              </w:rPr>
              <w:t xml:space="preserve"> (NVT)</w:t>
            </w:r>
          </w:p>
        </w:tc>
      </w:tr>
      <w:tr w:rsidR="00EB186C" w:rsidRPr="00D007FB" w14:paraId="3BF40E21" w14:textId="77777777" w:rsidTr="007F6692">
        <w:trPr>
          <w:trHeight w:val="300"/>
        </w:trPr>
        <w:tc>
          <w:tcPr>
            <w:tcW w:w="941" w:type="dxa"/>
            <w:noWrap/>
            <w:hideMark/>
          </w:tcPr>
          <w:p w14:paraId="792C615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23B</w:t>
            </w:r>
          </w:p>
        </w:tc>
        <w:tc>
          <w:tcPr>
            <w:tcW w:w="893" w:type="dxa"/>
            <w:noWrap/>
            <w:hideMark/>
          </w:tcPr>
          <w:p w14:paraId="369FAFE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272D2F9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B870CB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5700B5E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514F59C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6C34E31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43F9C0F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F6D10F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7630748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6</w:t>
            </w:r>
          </w:p>
        </w:tc>
      </w:tr>
      <w:tr w:rsidR="00EB186C" w:rsidRPr="00D007FB" w14:paraId="2AD98FF8" w14:textId="77777777" w:rsidTr="007F6692">
        <w:trPr>
          <w:trHeight w:val="300"/>
        </w:trPr>
        <w:tc>
          <w:tcPr>
            <w:tcW w:w="941" w:type="dxa"/>
            <w:noWrap/>
            <w:hideMark/>
          </w:tcPr>
          <w:p w14:paraId="1CCED7C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24F</w:t>
            </w:r>
          </w:p>
        </w:tc>
        <w:tc>
          <w:tcPr>
            <w:tcW w:w="893" w:type="dxa"/>
            <w:noWrap/>
            <w:hideMark/>
          </w:tcPr>
          <w:p w14:paraId="4639250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194DF2F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E6F499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E663D5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634BB0C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69CAC14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22649C1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8C561D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1747717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23846AFD" w14:textId="77777777" w:rsidTr="007F6692">
        <w:trPr>
          <w:trHeight w:val="300"/>
        </w:trPr>
        <w:tc>
          <w:tcPr>
            <w:tcW w:w="941" w:type="dxa"/>
            <w:noWrap/>
            <w:hideMark/>
          </w:tcPr>
          <w:p w14:paraId="7774E27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6C</w:t>
            </w:r>
          </w:p>
        </w:tc>
        <w:tc>
          <w:tcPr>
            <w:tcW w:w="893" w:type="dxa"/>
            <w:noWrap/>
            <w:hideMark/>
          </w:tcPr>
          <w:p w14:paraId="5A2143C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3" w:type="dxa"/>
            <w:noWrap/>
            <w:hideMark/>
          </w:tcPr>
          <w:p w14:paraId="4932F57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42FF1E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04CCEF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DAD0B0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28C42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9EB0AE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090E6A1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776" w:type="dxa"/>
            <w:noWrap/>
            <w:hideMark/>
          </w:tcPr>
          <w:p w14:paraId="09086E8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3599515F" w14:textId="77777777" w:rsidTr="007F6692">
        <w:trPr>
          <w:trHeight w:val="300"/>
        </w:trPr>
        <w:tc>
          <w:tcPr>
            <w:tcW w:w="941" w:type="dxa"/>
            <w:noWrap/>
            <w:hideMark/>
          </w:tcPr>
          <w:p w14:paraId="2A0925C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38</w:t>
            </w:r>
          </w:p>
        </w:tc>
        <w:tc>
          <w:tcPr>
            <w:tcW w:w="893" w:type="dxa"/>
            <w:noWrap/>
            <w:hideMark/>
          </w:tcPr>
          <w:p w14:paraId="3BFA3FA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A68715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63CFD1C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6AF45E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7D18EEB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w:t>
            </w:r>
          </w:p>
        </w:tc>
        <w:tc>
          <w:tcPr>
            <w:tcW w:w="892" w:type="dxa"/>
            <w:noWrap/>
            <w:hideMark/>
          </w:tcPr>
          <w:p w14:paraId="408A560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613B82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D8C163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523E283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5</w:t>
            </w:r>
          </w:p>
        </w:tc>
      </w:tr>
      <w:tr w:rsidR="00EB186C" w:rsidRPr="00D007FB" w14:paraId="09650F87" w14:textId="77777777" w:rsidTr="007F6692">
        <w:trPr>
          <w:trHeight w:val="315"/>
        </w:trPr>
        <w:tc>
          <w:tcPr>
            <w:tcW w:w="941" w:type="dxa"/>
            <w:noWrap/>
            <w:hideMark/>
          </w:tcPr>
          <w:p w14:paraId="55D3745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15C</w:t>
            </w:r>
          </w:p>
        </w:tc>
        <w:tc>
          <w:tcPr>
            <w:tcW w:w="893" w:type="dxa"/>
            <w:noWrap/>
            <w:hideMark/>
          </w:tcPr>
          <w:p w14:paraId="2C23FF3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C03666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297C73C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6737F6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7EA620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5BFDD2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1C93A12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69AC87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5B09288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4</w:t>
            </w:r>
          </w:p>
        </w:tc>
      </w:tr>
      <w:tr w:rsidR="00EB186C" w:rsidRPr="00D007FB" w14:paraId="2E36A570" w14:textId="77777777" w:rsidTr="007F6692">
        <w:trPr>
          <w:trHeight w:val="315"/>
        </w:trPr>
        <w:tc>
          <w:tcPr>
            <w:tcW w:w="941" w:type="dxa"/>
            <w:noWrap/>
            <w:hideMark/>
          </w:tcPr>
          <w:p w14:paraId="051155E9"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15A</w:t>
            </w:r>
          </w:p>
        </w:tc>
        <w:tc>
          <w:tcPr>
            <w:tcW w:w="893" w:type="dxa"/>
            <w:noWrap/>
            <w:hideMark/>
          </w:tcPr>
          <w:p w14:paraId="0519710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3C12323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211E7BC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97F091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98C66A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A4A464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E77853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0A3F2E6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34E41CE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w:t>
            </w:r>
          </w:p>
        </w:tc>
      </w:tr>
      <w:tr w:rsidR="00EB186C" w:rsidRPr="00D007FB" w14:paraId="71F2444C" w14:textId="77777777" w:rsidTr="007F6692">
        <w:trPr>
          <w:trHeight w:val="300"/>
        </w:trPr>
        <w:tc>
          <w:tcPr>
            <w:tcW w:w="941" w:type="dxa"/>
            <w:noWrap/>
            <w:hideMark/>
          </w:tcPr>
          <w:p w14:paraId="01757E67"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35B</w:t>
            </w:r>
          </w:p>
        </w:tc>
        <w:tc>
          <w:tcPr>
            <w:tcW w:w="893" w:type="dxa"/>
            <w:noWrap/>
            <w:hideMark/>
          </w:tcPr>
          <w:p w14:paraId="137ED83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43867B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02EF479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0990F0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AE1779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6B5A30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713B0FA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1D3DBD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37A5E29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r>
      <w:tr w:rsidR="00EB186C" w:rsidRPr="00D007FB" w14:paraId="6EE1AE6C" w14:textId="77777777" w:rsidTr="007F6692">
        <w:trPr>
          <w:trHeight w:val="300"/>
        </w:trPr>
        <w:tc>
          <w:tcPr>
            <w:tcW w:w="941" w:type="dxa"/>
            <w:noWrap/>
            <w:hideMark/>
          </w:tcPr>
          <w:p w14:paraId="7633041A"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35F</w:t>
            </w:r>
          </w:p>
        </w:tc>
        <w:tc>
          <w:tcPr>
            <w:tcW w:w="893" w:type="dxa"/>
            <w:noWrap/>
            <w:hideMark/>
          </w:tcPr>
          <w:p w14:paraId="1E315A4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6660060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CD3AD3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FA8975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1C3546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6D88CA4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3C5EDAD"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B3BC98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4FAE5AE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w:t>
            </w:r>
          </w:p>
        </w:tc>
      </w:tr>
      <w:tr w:rsidR="00EB186C" w:rsidRPr="00D007FB" w14:paraId="40915E1A" w14:textId="77777777" w:rsidTr="007F6692">
        <w:trPr>
          <w:trHeight w:val="315"/>
        </w:trPr>
        <w:tc>
          <w:tcPr>
            <w:tcW w:w="941" w:type="dxa"/>
            <w:noWrap/>
            <w:hideMark/>
          </w:tcPr>
          <w:p w14:paraId="62ED5E0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16F</w:t>
            </w:r>
          </w:p>
        </w:tc>
        <w:tc>
          <w:tcPr>
            <w:tcW w:w="893" w:type="dxa"/>
            <w:noWrap/>
            <w:hideMark/>
          </w:tcPr>
          <w:p w14:paraId="473CB82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7F71EEA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0DCB2B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3DC0E5A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C381DD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FDD0AC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DF3806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192096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3A7F4BF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7459B5F4" w14:textId="77777777" w:rsidTr="007F6692">
        <w:trPr>
          <w:trHeight w:val="300"/>
        </w:trPr>
        <w:tc>
          <w:tcPr>
            <w:tcW w:w="941" w:type="dxa"/>
            <w:noWrap/>
            <w:hideMark/>
          </w:tcPr>
          <w:p w14:paraId="23D3E77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31</w:t>
            </w:r>
          </w:p>
        </w:tc>
        <w:tc>
          <w:tcPr>
            <w:tcW w:w="893" w:type="dxa"/>
            <w:noWrap/>
            <w:hideMark/>
          </w:tcPr>
          <w:p w14:paraId="13634F72"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63EB770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B41D3E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76B440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391C69E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121680D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45A1A2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FAA977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1E81CB1C"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5AD9E7FF" w14:textId="77777777" w:rsidTr="007F6692">
        <w:trPr>
          <w:trHeight w:val="300"/>
        </w:trPr>
        <w:tc>
          <w:tcPr>
            <w:tcW w:w="941" w:type="dxa"/>
            <w:noWrap/>
            <w:hideMark/>
          </w:tcPr>
          <w:p w14:paraId="30A6481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27</w:t>
            </w:r>
          </w:p>
        </w:tc>
        <w:tc>
          <w:tcPr>
            <w:tcW w:w="893" w:type="dxa"/>
            <w:noWrap/>
            <w:hideMark/>
          </w:tcPr>
          <w:p w14:paraId="7628EE0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1B40618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0FEB445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FA9FA46"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6F3378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BA5352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BF57C4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3AD788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10F67B0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488FEE27" w14:textId="77777777" w:rsidTr="007F6692">
        <w:trPr>
          <w:trHeight w:val="300"/>
        </w:trPr>
        <w:tc>
          <w:tcPr>
            <w:tcW w:w="941" w:type="dxa"/>
            <w:noWrap/>
            <w:hideMark/>
          </w:tcPr>
          <w:p w14:paraId="74A60D88"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23A</w:t>
            </w:r>
          </w:p>
        </w:tc>
        <w:tc>
          <w:tcPr>
            <w:tcW w:w="893" w:type="dxa"/>
            <w:noWrap/>
            <w:hideMark/>
          </w:tcPr>
          <w:p w14:paraId="216209D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3" w:type="dxa"/>
            <w:noWrap/>
            <w:hideMark/>
          </w:tcPr>
          <w:p w14:paraId="491FC16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624AD5B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BF5DD1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230A99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2FE773C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D5081C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48FF194"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5133BAB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5D92B900" w14:textId="77777777" w:rsidTr="007F6692">
        <w:trPr>
          <w:trHeight w:val="300"/>
        </w:trPr>
        <w:tc>
          <w:tcPr>
            <w:tcW w:w="941" w:type="dxa"/>
            <w:noWrap/>
            <w:hideMark/>
          </w:tcPr>
          <w:p w14:paraId="54B033E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22A</w:t>
            </w:r>
          </w:p>
        </w:tc>
        <w:tc>
          <w:tcPr>
            <w:tcW w:w="893" w:type="dxa"/>
            <w:noWrap/>
            <w:hideMark/>
          </w:tcPr>
          <w:p w14:paraId="06C4B1D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42E7350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3AEB63E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73638A00"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CB204FB"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475E91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1A7B5A3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0940C16E"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14495D7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61B1E4FE" w14:textId="77777777" w:rsidTr="007F6692">
        <w:trPr>
          <w:trHeight w:val="315"/>
        </w:trPr>
        <w:tc>
          <w:tcPr>
            <w:tcW w:w="941" w:type="dxa"/>
            <w:noWrap/>
            <w:hideMark/>
          </w:tcPr>
          <w:p w14:paraId="60D025FD"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21</w:t>
            </w:r>
          </w:p>
        </w:tc>
        <w:tc>
          <w:tcPr>
            <w:tcW w:w="893" w:type="dxa"/>
            <w:noWrap/>
            <w:hideMark/>
          </w:tcPr>
          <w:p w14:paraId="2C4E57D1"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548BBEE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3" w:type="dxa"/>
            <w:noWrap/>
            <w:hideMark/>
          </w:tcPr>
          <w:p w14:paraId="10274C7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4EACE23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5970582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45F21AF8"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401774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7749E12A"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776" w:type="dxa"/>
            <w:noWrap/>
            <w:hideMark/>
          </w:tcPr>
          <w:p w14:paraId="68500A8E"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w:t>
            </w:r>
          </w:p>
        </w:tc>
      </w:tr>
      <w:tr w:rsidR="00EB186C" w:rsidRPr="00D007FB" w14:paraId="24B1B57C" w14:textId="77777777" w:rsidTr="007F6692">
        <w:trPr>
          <w:trHeight w:val="300"/>
        </w:trPr>
        <w:tc>
          <w:tcPr>
            <w:tcW w:w="941" w:type="dxa"/>
            <w:noWrap/>
            <w:hideMark/>
          </w:tcPr>
          <w:p w14:paraId="00AAC456"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lastRenderedPageBreak/>
              <w:t>Serotypes Not Known</w:t>
            </w:r>
            <w:r>
              <w:rPr>
                <w:rFonts w:ascii="Cambria" w:hAnsi="Cambria" w:cs="Cambria"/>
                <w:b/>
                <w:bCs/>
                <w:sz w:val="12"/>
              </w:rPr>
              <w:t xml:space="preserve"> (NK)</w:t>
            </w:r>
          </w:p>
        </w:tc>
        <w:tc>
          <w:tcPr>
            <w:tcW w:w="893" w:type="dxa"/>
            <w:noWrap/>
            <w:hideMark/>
          </w:tcPr>
          <w:p w14:paraId="323AC57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w:t>
            </w:r>
          </w:p>
        </w:tc>
        <w:tc>
          <w:tcPr>
            <w:tcW w:w="893" w:type="dxa"/>
            <w:noWrap/>
            <w:hideMark/>
          </w:tcPr>
          <w:p w14:paraId="13B68F93"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3" w:type="dxa"/>
            <w:noWrap/>
            <w:hideMark/>
          </w:tcPr>
          <w:p w14:paraId="5DAEA67F"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w:t>
            </w:r>
          </w:p>
        </w:tc>
        <w:tc>
          <w:tcPr>
            <w:tcW w:w="892" w:type="dxa"/>
            <w:noWrap/>
            <w:hideMark/>
          </w:tcPr>
          <w:p w14:paraId="10363F27"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1</w:t>
            </w:r>
          </w:p>
        </w:tc>
        <w:tc>
          <w:tcPr>
            <w:tcW w:w="892" w:type="dxa"/>
            <w:noWrap/>
            <w:hideMark/>
          </w:tcPr>
          <w:p w14:paraId="0C21714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4</w:t>
            </w:r>
          </w:p>
        </w:tc>
        <w:tc>
          <w:tcPr>
            <w:tcW w:w="892" w:type="dxa"/>
            <w:noWrap/>
            <w:hideMark/>
          </w:tcPr>
          <w:p w14:paraId="7A031D15"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0</w:t>
            </w:r>
          </w:p>
        </w:tc>
        <w:tc>
          <w:tcPr>
            <w:tcW w:w="892" w:type="dxa"/>
            <w:noWrap/>
            <w:hideMark/>
          </w:tcPr>
          <w:p w14:paraId="647FB799"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2</w:t>
            </w:r>
          </w:p>
        </w:tc>
        <w:tc>
          <w:tcPr>
            <w:tcW w:w="892" w:type="dxa"/>
            <w:noWrap/>
            <w:hideMark/>
          </w:tcPr>
          <w:p w14:paraId="12B343EC" w14:textId="77777777" w:rsidR="00EB186C" w:rsidRPr="00D007FB" w:rsidRDefault="00EB186C" w:rsidP="007F6692">
            <w:pPr>
              <w:widowControl w:val="0"/>
              <w:autoSpaceDE w:val="0"/>
              <w:autoSpaceDN w:val="0"/>
              <w:adjustRightInd w:val="0"/>
              <w:spacing w:line="276" w:lineRule="auto"/>
              <w:rPr>
                <w:rFonts w:ascii="Cambria" w:hAnsi="Cambria" w:cs="Cambria"/>
                <w:bCs/>
                <w:sz w:val="12"/>
              </w:rPr>
            </w:pPr>
            <w:r w:rsidRPr="00D007FB">
              <w:rPr>
                <w:rFonts w:ascii="Cambria" w:hAnsi="Cambria" w:cs="Cambria"/>
                <w:bCs/>
                <w:sz w:val="12"/>
              </w:rPr>
              <w:t>3</w:t>
            </w:r>
          </w:p>
        </w:tc>
        <w:tc>
          <w:tcPr>
            <w:tcW w:w="776" w:type="dxa"/>
            <w:noWrap/>
            <w:hideMark/>
          </w:tcPr>
          <w:p w14:paraId="0241785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18</w:t>
            </w:r>
          </w:p>
        </w:tc>
      </w:tr>
      <w:tr w:rsidR="00EB186C" w:rsidRPr="00D007FB" w14:paraId="4339CEC2" w14:textId="77777777" w:rsidTr="007F6692">
        <w:trPr>
          <w:trHeight w:val="300"/>
        </w:trPr>
        <w:tc>
          <w:tcPr>
            <w:tcW w:w="941" w:type="dxa"/>
            <w:noWrap/>
            <w:hideMark/>
          </w:tcPr>
          <w:p w14:paraId="508C2BC4"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 xml:space="preserve">Total </w:t>
            </w:r>
          </w:p>
        </w:tc>
        <w:tc>
          <w:tcPr>
            <w:tcW w:w="893" w:type="dxa"/>
            <w:noWrap/>
            <w:hideMark/>
          </w:tcPr>
          <w:p w14:paraId="2C77E74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25</w:t>
            </w:r>
          </w:p>
        </w:tc>
        <w:tc>
          <w:tcPr>
            <w:tcW w:w="893" w:type="dxa"/>
            <w:noWrap/>
            <w:hideMark/>
          </w:tcPr>
          <w:p w14:paraId="0EEF756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17</w:t>
            </w:r>
          </w:p>
        </w:tc>
        <w:tc>
          <w:tcPr>
            <w:tcW w:w="893" w:type="dxa"/>
            <w:noWrap/>
            <w:hideMark/>
          </w:tcPr>
          <w:p w14:paraId="1378445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24</w:t>
            </w:r>
          </w:p>
        </w:tc>
        <w:tc>
          <w:tcPr>
            <w:tcW w:w="892" w:type="dxa"/>
            <w:noWrap/>
            <w:hideMark/>
          </w:tcPr>
          <w:p w14:paraId="07E1A4FB"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21</w:t>
            </w:r>
          </w:p>
        </w:tc>
        <w:tc>
          <w:tcPr>
            <w:tcW w:w="892" w:type="dxa"/>
            <w:noWrap/>
            <w:hideMark/>
          </w:tcPr>
          <w:p w14:paraId="7682E495"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25</w:t>
            </w:r>
          </w:p>
        </w:tc>
        <w:tc>
          <w:tcPr>
            <w:tcW w:w="892" w:type="dxa"/>
            <w:noWrap/>
            <w:hideMark/>
          </w:tcPr>
          <w:p w14:paraId="16881933"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13</w:t>
            </w:r>
          </w:p>
        </w:tc>
        <w:tc>
          <w:tcPr>
            <w:tcW w:w="892" w:type="dxa"/>
            <w:noWrap/>
            <w:hideMark/>
          </w:tcPr>
          <w:p w14:paraId="7E3B70BF"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11</w:t>
            </w:r>
          </w:p>
        </w:tc>
        <w:tc>
          <w:tcPr>
            <w:tcW w:w="892" w:type="dxa"/>
            <w:noWrap/>
            <w:hideMark/>
          </w:tcPr>
          <w:p w14:paraId="49614A92"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14</w:t>
            </w:r>
          </w:p>
        </w:tc>
        <w:tc>
          <w:tcPr>
            <w:tcW w:w="776" w:type="dxa"/>
            <w:noWrap/>
            <w:hideMark/>
          </w:tcPr>
          <w:p w14:paraId="34768E31" w14:textId="77777777" w:rsidR="00EB186C" w:rsidRPr="00D007FB" w:rsidRDefault="00EB186C" w:rsidP="007F6692">
            <w:pPr>
              <w:widowControl w:val="0"/>
              <w:autoSpaceDE w:val="0"/>
              <w:autoSpaceDN w:val="0"/>
              <w:adjustRightInd w:val="0"/>
              <w:spacing w:line="276" w:lineRule="auto"/>
              <w:rPr>
                <w:rFonts w:ascii="Cambria" w:hAnsi="Cambria" w:cs="Cambria"/>
                <w:b/>
                <w:bCs/>
                <w:sz w:val="12"/>
              </w:rPr>
            </w:pPr>
            <w:r w:rsidRPr="00D007FB">
              <w:rPr>
                <w:rFonts w:ascii="Cambria" w:hAnsi="Cambria" w:cs="Cambria"/>
                <w:b/>
                <w:bCs/>
                <w:sz w:val="12"/>
              </w:rPr>
              <w:t>150</w:t>
            </w:r>
          </w:p>
        </w:tc>
      </w:tr>
    </w:tbl>
    <w:p w14:paraId="1BBDC3F7" w14:textId="4F0F5A82" w:rsidR="00EB186C" w:rsidRPr="00EB186C" w:rsidRDefault="00EB186C" w:rsidP="00EB186C">
      <w:pPr>
        <w:widowControl w:val="0"/>
        <w:autoSpaceDE w:val="0"/>
        <w:autoSpaceDN w:val="0"/>
        <w:adjustRightInd w:val="0"/>
        <w:spacing w:line="480" w:lineRule="auto"/>
        <w:rPr>
          <w:rFonts w:ascii="Cambria" w:hAnsi="Cambria" w:cs="Cambria"/>
          <w:b/>
          <w:bCs/>
          <w:sz w:val="16"/>
          <w:szCs w:val="16"/>
        </w:rPr>
      </w:pPr>
      <w:r>
        <w:rPr>
          <w:rFonts w:ascii="Cambria" w:hAnsi="Cambria" w:cs="Cambria"/>
          <w:b/>
          <w:bCs/>
          <w:sz w:val="16"/>
          <w:lang w:val="en-US"/>
        </w:rPr>
        <w:t>SUPPLEMENT TABLE S1</w:t>
      </w:r>
      <w:r w:rsidRPr="00EB186C">
        <w:rPr>
          <w:rFonts w:ascii="Cambria" w:hAnsi="Cambria" w:cs="Cambria"/>
          <w:b/>
          <w:bCs/>
          <w:sz w:val="16"/>
          <w:lang w:val="en-US"/>
        </w:rPr>
        <w:t xml:space="preserve">. </w:t>
      </w:r>
      <w:r w:rsidRPr="00D007FB">
        <w:rPr>
          <w:rFonts w:ascii="Cambria" w:hAnsi="Cambria" w:cs="Cambria"/>
          <w:b/>
          <w:bCs/>
          <w:sz w:val="16"/>
          <w:szCs w:val="16"/>
        </w:rPr>
        <w:t xml:space="preserve">Serotype Distribution in </w:t>
      </w:r>
      <w:r w:rsidR="00891ED5">
        <w:rPr>
          <w:rFonts w:ascii="Cambria" w:hAnsi="Cambria" w:cs="Cambria"/>
          <w:b/>
          <w:bCs/>
          <w:sz w:val="16"/>
          <w:szCs w:val="16"/>
        </w:rPr>
        <w:t xml:space="preserve">IPD death cases in </w:t>
      </w:r>
      <w:r w:rsidRPr="00D007FB">
        <w:rPr>
          <w:rFonts w:ascii="Cambria" w:hAnsi="Cambria" w:cs="Cambria"/>
          <w:b/>
          <w:bCs/>
          <w:sz w:val="16"/>
          <w:szCs w:val="16"/>
        </w:rPr>
        <w:t>Chil</w:t>
      </w:r>
      <w:r>
        <w:rPr>
          <w:rFonts w:ascii="Cambria" w:hAnsi="Cambria" w:cs="Cambria"/>
          <w:b/>
          <w:bCs/>
          <w:sz w:val="16"/>
          <w:szCs w:val="16"/>
        </w:rPr>
        <w:t>dren</w:t>
      </w:r>
      <w:r w:rsidR="00891ED5">
        <w:rPr>
          <w:rFonts w:ascii="Cambria" w:hAnsi="Cambria" w:cs="Cambria"/>
          <w:b/>
          <w:bCs/>
          <w:sz w:val="16"/>
          <w:szCs w:val="16"/>
        </w:rPr>
        <w:t xml:space="preserve"> &lt; 5 year </w:t>
      </w:r>
      <w:r w:rsidR="000B1306">
        <w:rPr>
          <w:rFonts w:ascii="Cambria" w:hAnsi="Cambria" w:cs="Cambria"/>
          <w:b/>
          <w:bCs/>
          <w:sz w:val="16"/>
          <w:szCs w:val="16"/>
        </w:rPr>
        <w:t>olds by</w:t>
      </w:r>
      <w:r>
        <w:rPr>
          <w:rFonts w:ascii="Cambria" w:hAnsi="Cambria" w:cs="Cambria"/>
          <w:b/>
          <w:bCs/>
          <w:sz w:val="16"/>
          <w:szCs w:val="16"/>
        </w:rPr>
        <w:t xml:space="preserve"> s</w:t>
      </w:r>
      <w:r w:rsidRPr="00D007FB">
        <w:rPr>
          <w:rFonts w:ascii="Cambria" w:hAnsi="Cambria" w:cs="Cambria"/>
          <w:b/>
          <w:bCs/>
          <w:sz w:val="16"/>
          <w:szCs w:val="16"/>
        </w:rPr>
        <w:t>ero</w:t>
      </w:r>
      <w:r>
        <w:rPr>
          <w:rFonts w:ascii="Cambria" w:hAnsi="Cambria" w:cs="Cambria"/>
          <w:b/>
          <w:bCs/>
          <w:sz w:val="16"/>
          <w:szCs w:val="16"/>
        </w:rPr>
        <w:t xml:space="preserve">type </w:t>
      </w:r>
      <w:r w:rsidRPr="00D007FB">
        <w:rPr>
          <w:rFonts w:ascii="Cambria" w:hAnsi="Cambria" w:cs="Cambria"/>
          <w:b/>
          <w:bCs/>
          <w:sz w:val="16"/>
          <w:szCs w:val="16"/>
        </w:rPr>
        <w:t xml:space="preserve">group and year </w:t>
      </w:r>
      <w:r>
        <w:rPr>
          <w:rFonts w:ascii="Cambria" w:hAnsi="Cambria" w:cs="Cambria"/>
          <w:b/>
          <w:bCs/>
          <w:sz w:val="16"/>
          <w:szCs w:val="16"/>
        </w:rPr>
        <w:t xml:space="preserve">of </w:t>
      </w:r>
      <w:r w:rsidRPr="00D007FB">
        <w:rPr>
          <w:rFonts w:ascii="Cambria" w:hAnsi="Cambria" w:cs="Cambria"/>
          <w:b/>
          <w:bCs/>
          <w:sz w:val="16"/>
          <w:szCs w:val="16"/>
        </w:rPr>
        <w:t xml:space="preserve">death in England and Wales </w:t>
      </w:r>
      <w:r>
        <w:rPr>
          <w:rFonts w:ascii="Cambria" w:hAnsi="Cambria" w:cs="Cambria"/>
          <w:b/>
          <w:bCs/>
          <w:sz w:val="16"/>
          <w:szCs w:val="16"/>
        </w:rPr>
        <w:t xml:space="preserve">between </w:t>
      </w:r>
      <w:r w:rsidRPr="00D007FB">
        <w:rPr>
          <w:rFonts w:ascii="Cambria" w:hAnsi="Cambria" w:cs="Cambria"/>
          <w:b/>
          <w:bCs/>
          <w:sz w:val="16"/>
          <w:szCs w:val="16"/>
        </w:rPr>
        <w:t>03 September 2006 to 04 August 2014</w:t>
      </w:r>
    </w:p>
    <w:p w14:paraId="5A13AC40" w14:textId="77777777" w:rsidR="0015664B" w:rsidRPr="0015664B" w:rsidRDefault="0015664B" w:rsidP="0015664B"/>
    <w:p w14:paraId="3FC40511" w14:textId="77777777" w:rsidR="0015664B" w:rsidRPr="0015664B" w:rsidRDefault="0015664B" w:rsidP="0015664B"/>
    <w:p w14:paraId="5E0333A4" w14:textId="77777777" w:rsidR="00475D90" w:rsidRDefault="00475D90" w:rsidP="00475D90">
      <w:pPr>
        <w:widowControl w:val="0"/>
        <w:autoSpaceDE w:val="0"/>
        <w:autoSpaceDN w:val="0"/>
        <w:adjustRightInd w:val="0"/>
        <w:rPr>
          <w:rFonts w:ascii="Cambria" w:hAnsi="Cambria" w:cs="Cambria"/>
          <w:lang w:val="en-US"/>
        </w:rPr>
      </w:pPr>
    </w:p>
    <w:p w14:paraId="3BE10BF2" w14:textId="40FDBDB3" w:rsidR="00740F1E" w:rsidRPr="0015664B" w:rsidRDefault="00740F1E" w:rsidP="00475D90">
      <w:pPr>
        <w:tabs>
          <w:tab w:val="left" w:pos="4808"/>
        </w:tabs>
      </w:pPr>
    </w:p>
    <w:sectPr w:rsidR="00740F1E" w:rsidRPr="0015664B" w:rsidSect="00BE23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6855" w14:textId="77777777" w:rsidR="009157E5" w:rsidRDefault="009157E5" w:rsidP="00EE2D0A">
      <w:r>
        <w:separator/>
      </w:r>
    </w:p>
  </w:endnote>
  <w:endnote w:type="continuationSeparator" w:id="0">
    <w:p w14:paraId="2BF4DC40" w14:textId="77777777" w:rsidR="009157E5" w:rsidRDefault="009157E5" w:rsidP="00EE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C49F" w14:textId="77777777" w:rsidR="009157E5" w:rsidRDefault="009157E5" w:rsidP="00EE2D0A">
      <w:r>
        <w:separator/>
      </w:r>
    </w:p>
  </w:footnote>
  <w:footnote w:type="continuationSeparator" w:id="0">
    <w:p w14:paraId="5DEA00FE" w14:textId="77777777" w:rsidR="009157E5" w:rsidRDefault="009157E5" w:rsidP="00EE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E41A4"/>
    <w:multiLevelType w:val="hybridMultilevel"/>
    <w:tmpl w:val="8558E4BA"/>
    <w:lvl w:ilvl="0" w:tplc="D69260E4">
      <w:start w:val="7"/>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3E8A"/>
    <w:multiLevelType w:val="hybridMultilevel"/>
    <w:tmpl w:val="537E9E62"/>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1414A"/>
    <w:multiLevelType w:val="hybridMultilevel"/>
    <w:tmpl w:val="B164F622"/>
    <w:lvl w:ilvl="0" w:tplc="78586518">
      <w:start w:val="2007"/>
      <w:numFmt w:val="bullet"/>
      <w:lvlText w:val="-"/>
      <w:lvlJc w:val="left"/>
      <w:pPr>
        <w:ind w:left="720" w:hanging="360"/>
      </w:pPr>
      <w:rPr>
        <w:rFonts w:ascii="Cambria" w:eastAsiaTheme="minorEastAs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4E66"/>
    <w:multiLevelType w:val="multilevel"/>
    <w:tmpl w:val="C9DE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6764C"/>
    <w:multiLevelType w:val="hybridMultilevel"/>
    <w:tmpl w:val="7BB2EA16"/>
    <w:lvl w:ilvl="0" w:tplc="E1C2727C">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3D7F"/>
    <w:multiLevelType w:val="hybridMultilevel"/>
    <w:tmpl w:val="6110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2A6E"/>
    <w:multiLevelType w:val="hybridMultilevel"/>
    <w:tmpl w:val="071C0D76"/>
    <w:lvl w:ilvl="0" w:tplc="C128AA9E">
      <w:start w:val="1"/>
      <w:numFmt w:val="bullet"/>
      <w:lvlText w:val="•"/>
      <w:lvlJc w:val="left"/>
      <w:pPr>
        <w:tabs>
          <w:tab w:val="num" w:pos="720"/>
        </w:tabs>
        <w:ind w:left="720" w:hanging="360"/>
      </w:pPr>
      <w:rPr>
        <w:rFonts w:ascii="Arial" w:hAnsi="Arial" w:hint="default"/>
      </w:rPr>
    </w:lvl>
    <w:lvl w:ilvl="1" w:tplc="DD5C8D26" w:tentative="1">
      <w:start w:val="1"/>
      <w:numFmt w:val="bullet"/>
      <w:lvlText w:val="•"/>
      <w:lvlJc w:val="left"/>
      <w:pPr>
        <w:tabs>
          <w:tab w:val="num" w:pos="1440"/>
        </w:tabs>
        <w:ind w:left="1440" w:hanging="360"/>
      </w:pPr>
      <w:rPr>
        <w:rFonts w:ascii="Arial" w:hAnsi="Arial" w:hint="default"/>
      </w:rPr>
    </w:lvl>
    <w:lvl w:ilvl="2" w:tplc="69FA2E12" w:tentative="1">
      <w:start w:val="1"/>
      <w:numFmt w:val="bullet"/>
      <w:lvlText w:val="•"/>
      <w:lvlJc w:val="left"/>
      <w:pPr>
        <w:tabs>
          <w:tab w:val="num" w:pos="2160"/>
        </w:tabs>
        <w:ind w:left="2160" w:hanging="360"/>
      </w:pPr>
      <w:rPr>
        <w:rFonts w:ascii="Arial" w:hAnsi="Arial" w:hint="default"/>
      </w:rPr>
    </w:lvl>
    <w:lvl w:ilvl="3" w:tplc="DC729614" w:tentative="1">
      <w:start w:val="1"/>
      <w:numFmt w:val="bullet"/>
      <w:lvlText w:val="•"/>
      <w:lvlJc w:val="left"/>
      <w:pPr>
        <w:tabs>
          <w:tab w:val="num" w:pos="2880"/>
        </w:tabs>
        <w:ind w:left="2880" w:hanging="360"/>
      </w:pPr>
      <w:rPr>
        <w:rFonts w:ascii="Arial" w:hAnsi="Arial" w:hint="default"/>
      </w:rPr>
    </w:lvl>
    <w:lvl w:ilvl="4" w:tplc="1DBE69CC" w:tentative="1">
      <w:start w:val="1"/>
      <w:numFmt w:val="bullet"/>
      <w:lvlText w:val="•"/>
      <w:lvlJc w:val="left"/>
      <w:pPr>
        <w:tabs>
          <w:tab w:val="num" w:pos="3600"/>
        </w:tabs>
        <w:ind w:left="3600" w:hanging="360"/>
      </w:pPr>
      <w:rPr>
        <w:rFonts w:ascii="Arial" w:hAnsi="Arial" w:hint="default"/>
      </w:rPr>
    </w:lvl>
    <w:lvl w:ilvl="5" w:tplc="5440A142" w:tentative="1">
      <w:start w:val="1"/>
      <w:numFmt w:val="bullet"/>
      <w:lvlText w:val="•"/>
      <w:lvlJc w:val="left"/>
      <w:pPr>
        <w:tabs>
          <w:tab w:val="num" w:pos="4320"/>
        </w:tabs>
        <w:ind w:left="4320" w:hanging="360"/>
      </w:pPr>
      <w:rPr>
        <w:rFonts w:ascii="Arial" w:hAnsi="Arial" w:hint="default"/>
      </w:rPr>
    </w:lvl>
    <w:lvl w:ilvl="6" w:tplc="037CE772" w:tentative="1">
      <w:start w:val="1"/>
      <w:numFmt w:val="bullet"/>
      <w:lvlText w:val="•"/>
      <w:lvlJc w:val="left"/>
      <w:pPr>
        <w:tabs>
          <w:tab w:val="num" w:pos="5040"/>
        </w:tabs>
        <w:ind w:left="5040" w:hanging="360"/>
      </w:pPr>
      <w:rPr>
        <w:rFonts w:ascii="Arial" w:hAnsi="Arial" w:hint="default"/>
      </w:rPr>
    </w:lvl>
    <w:lvl w:ilvl="7" w:tplc="89920D98" w:tentative="1">
      <w:start w:val="1"/>
      <w:numFmt w:val="bullet"/>
      <w:lvlText w:val="•"/>
      <w:lvlJc w:val="left"/>
      <w:pPr>
        <w:tabs>
          <w:tab w:val="num" w:pos="5760"/>
        </w:tabs>
        <w:ind w:left="5760" w:hanging="360"/>
      </w:pPr>
      <w:rPr>
        <w:rFonts w:ascii="Arial" w:hAnsi="Arial" w:hint="default"/>
      </w:rPr>
    </w:lvl>
    <w:lvl w:ilvl="8" w:tplc="F2762B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F97E87"/>
    <w:multiLevelType w:val="hybridMultilevel"/>
    <w:tmpl w:val="9034B308"/>
    <w:lvl w:ilvl="0" w:tplc="E0C0D3A0">
      <w:start w:val="1"/>
      <w:numFmt w:val="bullet"/>
      <w:lvlText w:val=""/>
      <w:lvlJc w:val="left"/>
      <w:pPr>
        <w:tabs>
          <w:tab w:val="num" w:pos="720"/>
        </w:tabs>
        <w:ind w:left="720" w:hanging="360"/>
      </w:pPr>
      <w:rPr>
        <w:rFonts w:ascii="Wingdings" w:hAnsi="Wingdings" w:hint="default"/>
      </w:rPr>
    </w:lvl>
    <w:lvl w:ilvl="1" w:tplc="5A062950" w:tentative="1">
      <w:start w:val="1"/>
      <w:numFmt w:val="bullet"/>
      <w:lvlText w:val=""/>
      <w:lvlJc w:val="left"/>
      <w:pPr>
        <w:tabs>
          <w:tab w:val="num" w:pos="1440"/>
        </w:tabs>
        <w:ind w:left="1440" w:hanging="360"/>
      </w:pPr>
      <w:rPr>
        <w:rFonts w:ascii="Wingdings" w:hAnsi="Wingdings" w:hint="default"/>
      </w:rPr>
    </w:lvl>
    <w:lvl w:ilvl="2" w:tplc="279E4F26">
      <w:start w:val="1"/>
      <w:numFmt w:val="bullet"/>
      <w:lvlText w:val=""/>
      <w:lvlJc w:val="left"/>
      <w:pPr>
        <w:tabs>
          <w:tab w:val="num" w:pos="2160"/>
        </w:tabs>
        <w:ind w:left="2160" w:hanging="360"/>
      </w:pPr>
      <w:rPr>
        <w:rFonts w:ascii="Wingdings" w:hAnsi="Wingdings" w:hint="default"/>
      </w:rPr>
    </w:lvl>
    <w:lvl w:ilvl="3" w:tplc="F25682AC" w:tentative="1">
      <w:start w:val="1"/>
      <w:numFmt w:val="bullet"/>
      <w:lvlText w:val=""/>
      <w:lvlJc w:val="left"/>
      <w:pPr>
        <w:tabs>
          <w:tab w:val="num" w:pos="2880"/>
        </w:tabs>
        <w:ind w:left="2880" w:hanging="360"/>
      </w:pPr>
      <w:rPr>
        <w:rFonts w:ascii="Wingdings" w:hAnsi="Wingdings" w:hint="default"/>
      </w:rPr>
    </w:lvl>
    <w:lvl w:ilvl="4" w:tplc="7A78DEEA" w:tentative="1">
      <w:start w:val="1"/>
      <w:numFmt w:val="bullet"/>
      <w:lvlText w:val=""/>
      <w:lvlJc w:val="left"/>
      <w:pPr>
        <w:tabs>
          <w:tab w:val="num" w:pos="3600"/>
        </w:tabs>
        <w:ind w:left="3600" w:hanging="360"/>
      </w:pPr>
      <w:rPr>
        <w:rFonts w:ascii="Wingdings" w:hAnsi="Wingdings" w:hint="default"/>
      </w:rPr>
    </w:lvl>
    <w:lvl w:ilvl="5" w:tplc="3132A676" w:tentative="1">
      <w:start w:val="1"/>
      <w:numFmt w:val="bullet"/>
      <w:lvlText w:val=""/>
      <w:lvlJc w:val="left"/>
      <w:pPr>
        <w:tabs>
          <w:tab w:val="num" w:pos="4320"/>
        </w:tabs>
        <w:ind w:left="4320" w:hanging="360"/>
      </w:pPr>
      <w:rPr>
        <w:rFonts w:ascii="Wingdings" w:hAnsi="Wingdings" w:hint="default"/>
      </w:rPr>
    </w:lvl>
    <w:lvl w:ilvl="6" w:tplc="7DEEA69A" w:tentative="1">
      <w:start w:val="1"/>
      <w:numFmt w:val="bullet"/>
      <w:lvlText w:val=""/>
      <w:lvlJc w:val="left"/>
      <w:pPr>
        <w:tabs>
          <w:tab w:val="num" w:pos="5040"/>
        </w:tabs>
        <w:ind w:left="5040" w:hanging="360"/>
      </w:pPr>
      <w:rPr>
        <w:rFonts w:ascii="Wingdings" w:hAnsi="Wingdings" w:hint="default"/>
      </w:rPr>
    </w:lvl>
    <w:lvl w:ilvl="7" w:tplc="E270908C" w:tentative="1">
      <w:start w:val="1"/>
      <w:numFmt w:val="bullet"/>
      <w:lvlText w:val=""/>
      <w:lvlJc w:val="left"/>
      <w:pPr>
        <w:tabs>
          <w:tab w:val="num" w:pos="5760"/>
        </w:tabs>
        <w:ind w:left="5760" w:hanging="360"/>
      </w:pPr>
      <w:rPr>
        <w:rFonts w:ascii="Wingdings" w:hAnsi="Wingdings" w:hint="default"/>
      </w:rPr>
    </w:lvl>
    <w:lvl w:ilvl="8" w:tplc="D69A60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C4B49"/>
    <w:multiLevelType w:val="hybridMultilevel"/>
    <w:tmpl w:val="EB0268D6"/>
    <w:lvl w:ilvl="0" w:tplc="68ECC04A">
      <w:start w:val="1"/>
      <w:numFmt w:val="bullet"/>
      <w:lvlText w:val="-"/>
      <w:lvlJc w:val="left"/>
      <w:pPr>
        <w:tabs>
          <w:tab w:val="num" w:pos="720"/>
        </w:tabs>
        <w:ind w:left="720" w:hanging="360"/>
      </w:pPr>
      <w:rPr>
        <w:rFonts w:ascii="Times" w:hAnsi="Times" w:hint="default"/>
      </w:rPr>
    </w:lvl>
    <w:lvl w:ilvl="1" w:tplc="5DE0E296">
      <w:start w:val="1"/>
      <w:numFmt w:val="bullet"/>
      <w:lvlText w:val="-"/>
      <w:lvlJc w:val="left"/>
      <w:pPr>
        <w:tabs>
          <w:tab w:val="num" w:pos="1440"/>
        </w:tabs>
        <w:ind w:left="1440" w:hanging="360"/>
      </w:pPr>
      <w:rPr>
        <w:rFonts w:ascii="Times" w:hAnsi="Times" w:hint="default"/>
      </w:rPr>
    </w:lvl>
    <w:lvl w:ilvl="2" w:tplc="1BEED1E0" w:tentative="1">
      <w:start w:val="1"/>
      <w:numFmt w:val="bullet"/>
      <w:lvlText w:val="-"/>
      <w:lvlJc w:val="left"/>
      <w:pPr>
        <w:tabs>
          <w:tab w:val="num" w:pos="2160"/>
        </w:tabs>
        <w:ind w:left="2160" w:hanging="360"/>
      </w:pPr>
      <w:rPr>
        <w:rFonts w:ascii="Times" w:hAnsi="Times" w:hint="default"/>
      </w:rPr>
    </w:lvl>
    <w:lvl w:ilvl="3" w:tplc="27DA54DE" w:tentative="1">
      <w:start w:val="1"/>
      <w:numFmt w:val="bullet"/>
      <w:lvlText w:val="-"/>
      <w:lvlJc w:val="left"/>
      <w:pPr>
        <w:tabs>
          <w:tab w:val="num" w:pos="2880"/>
        </w:tabs>
        <w:ind w:left="2880" w:hanging="360"/>
      </w:pPr>
      <w:rPr>
        <w:rFonts w:ascii="Times" w:hAnsi="Times" w:hint="default"/>
      </w:rPr>
    </w:lvl>
    <w:lvl w:ilvl="4" w:tplc="2D465CC2" w:tentative="1">
      <w:start w:val="1"/>
      <w:numFmt w:val="bullet"/>
      <w:lvlText w:val="-"/>
      <w:lvlJc w:val="left"/>
      <w:pPr>
        <w:tabs>
          <w:tab w:val="num" w:pos="3600"/>
        </w:tabs>
        <w:ind w:left="3600" w:hanging="360"/>
      </w:pPr>
      <w:rPr>
        <w:rFonts w:ascii="Times" w:hAnsi="Times" w:hint="default"/>
      </w:rPr>
    </w:lvl>
    <w:lvl w:ilvl="5" w:tplc="D1CC385C" w:tentative="1">
      <w:start w:val="1"/>
      <w:numFmt w:val="bullet"/>
      <w:lvlText w:val="-"/>
      <w:lvlJc w:val="left"/>
      <w:pPr>
        <w:tabs>
          <w:tab w:val="num" w:pos="4320"/>
        </w:tabs>
        <w:ind w:left="4320" w:hanging="360"/>
      </w:pPr>
      <w:rPr>
        <w:rFonts w:ascii="Times" w:hAnsi="Times" w:hint="default"/>
      </w:rPr>
    </w:lvl>
    <w:lvl w:ilvl="6" w:tplc="A93AAB68" w:tentative="1">
      <w:start w:val="1"/>
      <w:numFmt w:val="bullet"/>
      <w:lvlText w:val="-"/>
      <w:lvlJc w:val="left"/>
      <w:pPr>
        <w:tabs>
          <w:tab w:val="num" w:pos="5040"/>
        </w:tabs>
        <w:ind w:left="5040" w:hanging="360"/>
      </w:pPr>
      <w:rPr>
        <w:rFonts w:ascii="Times" w:hAnsi="Times" w:hint="default"/>
      </w:rPr>
    </w:lvl>
    <w:lvl w:ilvl="7" w:tplc="553EA1DA" w:tentative="1">
      <w:start w:val="1"/>
      <w:numFmt w:val="bullet"/>
      <w:lvlText w:val="-"/>
      <w:lvlJc w:val="left"/>
      <w:pPr>
        <w:tabs>
          <w:tab w:val="num" w:pos="5760"/>
        </w:tabs>
        <w:ind w:left="5760" w:hanging="360"/>
      </w:pPr>
      <w:rPr>
        <w:rFonts w:ascii="Times" w:hAnsi="Times" w:hint="default"/>
      </w:rPr>
    </w:lvl>
    <w:lvl w:ilvl="8" w:tplc="D87A795C"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5A45F3A"/>
    <w:multiLevelType w:val="hybridMultilevel"/>
    <w:tmpl w:val="1476551E"/>
    <w:lvl w:ilvl="0" w:tplc="D7DCA1C2">
      <w:start w:val="1"/>
      <w:numFmt w:val="decimal"/>
      <w:lvlText w:val="%1."/>
      <w:lvlJc w:val="left"/>
      <w:pPr>
        <w:tabs>
          <w:tab w:val="num" w:pos="720"/>
        </w:tabs>
        <w:ind w:left="720" w:hanging="360"/>
      </w:pPr>
    </w:lvl>
    <w:lvl w:ilvl="1" w:tplc="23A4CEB2" w:tentative="1">
      <w:start w:val="1"/>
      <w:numFmt w:val="decimal"/>
      <w:lvlText w:val="%2."/>
      <w:lvlJc w:val="left"/>
      <w:pPr>
        <w:tabs>
          <w:tab w:val="num" w:pos="1440"/>
        </w:tabs>
        <w:ind w:left="1440" w:hanging="360"/>
      </w:pPr>
    </w:lvl>
    <w:lvl w:ilvl="2" w:tplc="2230EDCE" w:tentative="1">
      <w:start w:val="1"/>
      <w:numFmt w:val="decimal"/>
      <w:lvlText w:val="%3."/>
      <w:lvlJc w:val="left"/>
      <w:pPr>
        <w:tabs>
          <w:tab w:val="num" w:pos="2160"/>
        </w:tabs>
        <w:ind w:left="2160" w:hanging="360"/>
      </w:pPr>
    </w:lvl>
    <w:lvl w:ilvl="3" w:tplc="909C2282" w:tentative="1">
      <w:start w:val="1"/>
      <w:numFmt w:val="decimal"/>
      <w:lvlText w:val="%4."/>
      <w:lvlJc w:val="left"/>
      <w:pPr>
        <w:tabs>
          <w:tab w:val="num" w:pos="2880"/>
        </w:tabs>
        <w:ind w:left="2880" w:hanging="360"/>
      </w:pPr>
    </w:lvl>
    <w:lvl w:ilvl="4" w:tplc="54187A62" w:tentative="1">
      <w:start w:val="1"/>
      <w:numFmt w:val="decimal"/>
      <w:lvlText w:val="%5."/>
      <w:lvlJc w:val="left"/>
      <w:pPr>
        <w:tabs>
          <w:tab w:val="num" w:pos="3600"/>
        </w:tabs>
        <w:ind w:left="3600" w:hanging="360"/>
      </w:pPr>
    </w:lvl>
    <w:lvl w:ilvl="5" w:tplc="7EDAE65A" w:tentative="1">
      <w:start w:val="1"/>
      <w:numFmt w:val="decimal"/>
      <w:lvlText w:val="%6."/>
      <w:lvlJc w:val="left"/>
      <w:pPr>
        <w:tabs>
          <w:tab w:val="num" w:pos="4320"/>
        </w:tabs>
        <w:ind w:left="4320" w:hanging="360"/>
      </w:pPr>
    </w:lvl>
    <w:lvl w:ilvl="6" w:tplc="AE7ECB72" w:tentative="1">
      <w:start w:val="1"/>
      <w:numFmt w:val="decimal"/>
      <w:lvlText w:val="%7."/>
      <w:lvlJc w:val="left"/>
      <w:pPr>
        <w:tabs>
          <w:tab w:val="num" w:pos="5040"/>
        </w:tabs>
        <w:ind w:left="5040" w:hanging="360"/>
      </w:pPr>
    </w:lvl>
    <w:lvl w:ilvl="7" w:tplc="8DF45E5C" w:tentative="1">
      <w:start w:val="1"/>
      <w:numFmt w:val="decimal"/>
      <w:lvlText w:val="%8."/>
      <w:lvlJc w:val="left"/>
      <w:pPr>
        <w:tabs>
          <w:tab w:val="num" w:pos="5760"/>
        </w:tabs>
        <w:ind w:left="5760" w:hanging="360"/>
      </w:pPr>
    </w:lvl>
    <w:lvl w:ilvl="8" w:tplc="4922FC4C" w:tentative="1">
      <w:start w:val="1"/>
      <w:numFmt w:val="decimal"/>
      <w:lvlText w:val="%9."/>
      <w:lvlJc w:val="left"/>
      <w:pPr>
        <w:tabs>
          <w:tab w:val="num" w:pos="6480"/>
        </w:tabs>
        <w:ind w:left="6480" w:hanging="360"/>
      </w:pPr>
    </w:lvl>
  </w:abstractNum>
  <w:num w:numId="1">
    <w:abstractNumId w:val="8"/>
  </w:num>
  <w:num w:numId="2">
    <w:abstractNumId w:val="10"/>
  </w:num>
  <w:num w:numId="3">
    <w:abstractNumId w:val="11"/>
  </w:num>
  <w:num w:numId="4">
    <w:abstractNumId w:val="9"/>
  </w:num>
  <w:num w:numId="5">
    <w:abstractNumId w:val="0"/>
  </w:num>
  <w:num w:numId="6">
    <w:abstractNumId w:val="1"/>
  </w:num>
  <w:num w:numId="7">
    <w:abstractNumId w:val="7"/>
  </w:num>
  <w:num w:numId="8">
    <w:abstractNumId w:val="3"/>
  </w:num>
  <w:num w:numId="9">
    <w:abstractNumId w:val="2"/>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74"/>
    <w:rsid w:val="000016D2"/>
    <w:rsid w:val="00004346"/>
    <w:rsid w:val="00005F1B"/>
    <w:rsid w:val="00006752"/>
    <w:rsid w:val="00012CA7"/>
    <w:rsid w:val="00012EEA"/>
    <w:rsid w:val="000141D9"/>
    <w:rsid w:val="00014EA7"/>
    <w:rsid w:val="00022695"/>
    <w:rsid w:val="000230F7"/>
    <w:rsid w:val="0002762E"/>
    <w:rsid w:val="00027745"/>
    <w:rsid w:val="000279DA"/>
    <w:rsid w:val="0003064B"/>
    <w:rsid w:val="00030B28"/>
    <w:rsid w:val="00031877"/>
    <w:rsid w:val="00031E32"/>
    <w:rsid w:val="00032503"/>
    <w:rsid w:val="00032EC2"/>
    <w:rsid w:val="00033104"/>
    <w:rsid w:val="0003567B"/>
    <w:rsid w:val="00035BB9"/>
    <w:rsid w:val="00046E5F"/>
    <w:rsid w:val="0004711A"/>
    <w:rsid w:val="00047481"/>
    <w:rsid w:val="000478FB"/>
    <w:rsid w:val="000505D5"/>
    <w:rsid w:val="000511BE"/>
    <w:rsid w:val="000524DA"/>
    <w:rsid w:val="00053D68"/>
    <w:rsid w:val="00054707"/>
    <w:rsid w:val="00061F2A"/>
    <w:rsid w:val="00062220"/>
    <w:rsid w:val="00062247"/>
    <w:rsid w:val="00062BB1"/>
    <w:rsid w:val="000640CB"/>
    <w:rsid w:val="00065D44"/>
    <w:rsid w:val="00071B41"/>
    <w:rsid w:val="00071DFD"/>
    <w:rsid w:val="000747EC"/>
    <w:rsid w:val="00074C9C"/>
    <w:rsid w:val="00075307"/>
    <w:rsid w:val="00077D80"/>
    <w:rsid w:val="00081A03"/>
    <w:rsid w:val="00081CA7"/>
    <w:rsid w:val="00083403"/>
    <w:rsid w:val="0008359B"/>
    <w:rsid w:val="00084C9B"/>
    <w:rsid w:val="00086370"/>
    <w:rsid w:val="00093945"/>
    <w:rsid w:val="000A070D"/>
    <w:rsid w:val="000A1B3F"/>
    <w:rsid w:val="000A3F58"/>
    <w:rsid w:val="000A4056"/>
    <w:rsid w:val="000A7317"/>
    <w:rsid w:val="000A7EB0"/>
    <w:rsid w:val="000B01FE"/>
    <w:rsid w:val="000B1306"/>
    <w:rsid w:val="000B322B"/>
    <w:rsid w:val="000B4B5C"/>
    <w:rsid w:val="000B5826"/>
    <w:rsid w:val="000B63A6"/>
    <w:rsid w:val="000B7511"/>
    <w:rsid w:val="000B7DF8"/>
    <w:rsid w:val="000C065D"/>
    <w:rsid w:val="000C2653"/>
    <w:rsid w:val="000C4A43"/>
    <w:rsid w:val="000C4CCD"/>
    <w:rsid w:val="000C4FCE"/>
    <w:rsid w:val="000D438E"/>
    <w:rsid w:val="000D4F00"/>
    <w:rsid w:val="000D7010"/>
    <w:rsid w:val="000E39B7"/>
    <w:rsid w:val="000E3B45"/>
    <w:rsid w:val="000E40C6"/>
    <w:rsid w:val="000E41C1"/>
    <w:rsid w:val="000E49C1"/>
    <w:rsid w:val="000E5DDE"/>
    <w:rsid w:val="000F0448"/>
    <w:rsid w:val="000F102A"/>
    <w:rsid w:val="000F1218"/>
    <w:rsid w:val="000F2FEE"/>
    <w:rsid w:val="000F3D34"/>
    <w:rsid w:val="0010489A"/>
    <w:rsid w:val="00112BE7"/>
    <w:rsid w:val="00112F36"/>
    <w:rsid w:val="00113AFC"/>
    <w:rsid w:val="00113D19"/>
    <w:rsid w:val="00114B59"/>
    <w:rsid w:val="00124A90"/>
    <w:rsid w:val="00125B5E"/>
    <w:rsid w:val="00130A93"/>
    <w:rsid w:val="0013229B"/>
    <w:rsid w:val="001325ED"/>
    <w:rsid w:val="0013298A"/>
    <w:rsid w:val="00132F89"/>
    <w:rsid w:val="00136626"/>
    <w:rsid w:val="00136E6B"/>
    <w:rsid w:val="00137630"/>
    <w:rsid w:val="0014080A"/>
    <w:rsid w:val="001413AF"/>
    <w:rsid w:val="001440AE"/>
    <w:rsid w:val="00144CBE"/>
    <w:rsid w:val="00152AC3"/>
    <w:rsid w:val="001547AC"/>
    <w:rsid w:val="0015664B"/>
    <w:rsid w:val="00157B1C"/>
    <w:rsid w:val="001608E5"/>
    <w:rsid w:val="001610C2"/>
    <w:rsid w:val="00163277"/>
    <w:rsid w:val="001649CF"/>
    <w:rsid w:val="00166423"/>
    <w:rsid w:val="00166CB4"/>
    <w:rsid w:val="00172179"/>
    <w:rsid w:val="00175649"/>
    <w:rsid w:val="001763F2"/>
    <w:rsid w:val="00176B54"/>
    <w:rsid w:val="001820C3"/>
    <w:rsid w:val="00183F21"/>
    <w:rsid w:val="00184BD3"/>
    <w:rsid w:val="00191853"/>
    <w:rsid w:val="00191D3D"/>
    <w:rsid w:val="00192063"/>
    <w:rsid w:val="00192A66"/>
    <w:rsid w:val="001937A5"/>
    <w:rsid w:val="00194BE0"/>
    <w:rsid w:val="001971F1"/>
    <w:rsid w:val="00197E6C"/>
    <w:rsid w:val="001A2FE4"/>
    <w:rsid w:val="001A32D5"/>
    <w:rsid w:val="001A5B75"/>
    <w:rsid w:val="001A6E79"/>
    <w:rsid w:val="001B0648"/>
    <w:rsid w:val="001B4769"/>
    <w:rsid w:val="001B6AA5"/>
    <w:rsid w:val="001C019F"/>
    <w:rsid w:val="001C19CB"/>
    <w:rsid w:val="001C5D00"/>
    <w:rsid w:val="001C5EF0"/>
    <w:rsid w:val="001C7B4A"/>
    <w:rsid w:val="001D19B5"/>
    <w:rsid w:val="001D7B2A"/>
    <w:rsid w:val="001E23AA"/>
    <w:rsid w:val="001E356F"/>
    <w:rsid w:val="001E35BC"/>
    <w:rsid w:val="001E733A"/>
    <w:rsid w:val="001F1525"/>
    <w:rsid w:val="001F1B4C"/>
    <w:rsid w:val="001F2859"/>
    <w:rsid w:val="001F2981"/>
    <w:rsid w:val="001F3409"/>
    <w:rsid w:val="001F4A4F"/>
    <w:rsid w:val="001F7ACA"/>
    <w:rsid w:val="00201328"/>
    <w:rsid w:val="00201397"/>
    <w:rsid w:val="00203215"/>
    <w:rsid w:val="00204B28"/>
    <w:rsid w:val="002061F9"/>
    <w:rsid w:val="00206846"/>
    <w:rsid w:val="00206A03"/>
    <w:rsid w:val="00206A05"/>
    <w:rsid w:val="00206C42"/>
    <w:rsid w:val="00206D13"/>
    <w:rsid w:val="00206DC0"/>
    <w:rsid w:val="00206EB0"/>
    <w:rsid w:val="002078D8"/>
    <w:rsid w:val="00210A5E"/>
    <w:rsid w:val="00210F18"/>
    <w:rsid w:val="00214628"/>
    <w:rsid w:val="00215F62"/>
    <w:rsid w:val="00220F47"/>
    <w:rsid w:val="0022287A"/>
    <w:rsid w:val="002309B4"/>
    <w:rsid w:val="00231E7E"/>
    <w:rsid w:val="002358DC"/>
    <w:rsid w:val="002408F3"/>
    <w:rsid w:val="0024612C"/>
    <w:rsid w:val="00246D84"/>
    <w:rsid w:val="002515FB"/>
    <w:rsid w:val="00254A37"/>
    <w:rsid w:val="00255186"/>
    <w:rsid w:val="0025582A"/>
    <w:rsid w:val="00257473"/>
    <w:rsid w:val="002576D3"/>
    <w:rsid w:val="00260F53"/>
    <w:rsid w:val="002629EA"/>
    <w:rsid w:val="0026340D"/>
    <w:rsid w:val="0026403D"/>
    <w:rsid w:val="00264C80"/>
    <w:rsid w:val="00265B4D"/>
    <w:rsid w:val="00266B43"/>
    <w:rsid w:val="00266FB9"/>
    <w:rsid w:val="00270EEC"/>
    <w:rsid w:val="00272E4B"/>
    <w:rsid w:val="0027499C"/>
    <w:rsid w:val="00281208"/>
    <w:rsid w:val="00283070"/>
    <w:rsid w:val="00290384"/>
    <w:rsid w:val="00295A5A"/>
    <w:rsid w:val="00296355"/>
    <w:rsid w:val="002A1ED2"/>
    <w:rsid w:val="002A2933"/>
    <w:rsid w:val="002A443C"/>
    <w:rsid w:val="002A44DA"/>
    <w:rsid w:val="002A6FC6"/>
    <w:rsid w:val="002B0096"/>
    <w:rsid w:val="002B25A6"/>
    <w:rsid w:val="002B44B8"/>
    <w:rsid w:val="002B5308"/>
    <w:rsid w:val="002B7DEC"/>
    <w:rsid w:val="002D18E0"/>
    <w:rsid w:val="002D1F2C"/>
    <w:rsid w:val="002D2205"/>
    <w:rsid w:val="002D6364"/>
    <w:rsid w:val="002E1599"/>
    <w:rsid w:val="002E1DF7"/>
    <w:rsid w:val="002E651B"/>
    <w:rsid w:val="002F0236"/>
    <w:rsid w:val="002F439E"/>
    <w:rsid w:val="002F4F03"/>
    <w:rsid w:val="002F6F6E"/>
    <w:rsid w:val="003004F8"/>
    <w:rsid w:val="00300924"/>
    <w:rsid w:val="003013F3"/>
    <w:rsid w:val="00301592"/>
    <w:rsid w:val="0030203F"/>
    <w:rsid w:val="0030290B"/>
    <w:rsid w:val="00304E72"/>
    <w:rsid w:val="003059BD"/>
    <w:rsid w:val="00305B1E"/>
    <w:rsid w:val="003065FA"/>
    <w:rsid w:val="0031100B"/>
    <w:rsid w:val="003110FC"/>
    <w:rsid w:val="00311544"/>
    <w:rsid w:val="0031302A"/>
    <w:rsid w:val="00314B2B"/>
    <w:rsid w:val="003216D1"/>
    <w:rsid w:val="00322078"/>
    <w:rsid w:val="0032346D"/>
    <w:rsid w:val="00323D9E"/>
    <w:rsid w:val="0032558E"/>
    <w:rsid w:val="0033251F"/>
    <w:rsid w:val="00335BA4"/>
    <w:rsid w:val="00341971"/>
    <w:rsid w:val="003420A5"/>
    <w:rsid w:val="00344B32"/>
    <w:rsid w:val="00345203"/>
    <w:rsid w:val="00346AD6"/>
    <w:rsid w:val="00350155"/>
    <w:rsid w:val="0035085D"/>
    <w:rsid w:val="00353DC7"/>
    <w:rsid w:val="00355003"/>
    <w:rsid w:val="0036255D"/>
    <w:rsid w:val="00366A6E"/>
    <w:rsid w:val="00371092"/>
    <w:rsid w:val="00372C62"/>
    <w:rsid w:val="00372E3B"/>
    <w:rsid w:val="00373756"/>
    <w:rsid w:val="003746E0"/>
    <w:rsid w:val="00375104"/>
    <w:rsid w:val="00375314"/>
    <w:rsid w:val="00376499"/>
    <w:rsid w:val="0037733F"/>
    <w:rsid w:val="003831B0"/>
    <w:rsid w:val="0038471B"/>
    <w:rsid w:val="003849FC"/>
    <w:rsid w:val="00384E7D"/>
    <w:rsid w:val="00385187"/>
    <w:rsid w:val="00385B94"/>
    <w:rsid w:val="00385DF1"/>
    <w:rsid w:val="00387580"/>
    <w:rsid w:val="00387C87"/>
    <w:rsid w:val="00391FF4"/>
    <w:rsid w:val="00392B1F"/>
    <w:rsid w:val="00393001"/>
    <w:rsid w:val="0039630E"/>
    <w:rsid w:val="00396B25"/>
    <w:rsid w:val="0039723E"/>
    <w:rsid w:val="003976BE"/>
    <w:rsid w:val="003A0F83"/>
    <w:rsid w:val="003A16F2"/>
    <w:rsid w:val="003A22FD"/>
    <w:rsid w:val="003B24F0"/>
    <w:rsid w:val="003B2E50"/>
    <w:rsid w:val="003C07FE"/>
    <w:rsid w:val="003C08D7"/>
    <w:rsid w:val="003C08E9"/>
    <w:rsid w:val="003C397A"/>
    <w:rsid w:val="003C4043"/>
    <w:rsid w:val="003D0C94"/>
    <w:rsid w:val="003D1E3C"/>
    <w:rsid w:val="003D23E2"/>
    <w:rsid w:val="003D342F"/>
    <w:rsid w:val="003D4031"/>
    <w:rsid w:val="003D6EED"/>
    <w:rsid w:val="003E01AB"/>
    <w:rsid w:val="003E0ADA"/>
    <w:rsid w:val="003E1CAD"/>
    <w:rsid w:val="003E2610"/>
    <w:rsid w:val="003E3689"/>
    <w:rsid w:val="003F28EE"/>
    <w:rsid w:val="003F4F47"/>
    <w:rsid w:val="003F544C"/>
    <w:rsid w:val="003F6C60"/>
    <w:rsid w:val="004021ED"/>
    <w:rsid w:val="004023CC"/>
    <w:rsid w:val="0040294F"/>
    <w:rsid w:val="00403CA7"/>
    <w:rsid w:val="00404E34"/>
    <w:rsid w:val="004101A1"/>
    <w:rsid w:val="00410CC7"/>
    <w:rsid w:val="0041172D"/>
    <w:rsid w:val="00411D2F"/>
    <w:rsid w:val="004123C5"/>
    <w:rsid w:val="00415520"/>
    <w:rsid w:val="00425915"/>
    <w:rsid w:val="0043048D"/>
    <w:rsid w:val="004307BD"/>
    <w:rsid w:val="0043285F"/>
    <w:rsid w:val="0043507C"/>
    <w:rsid w:val="00435B62"/>
    <w:rsid w:val="00443263"/>
    <w:rsid w:val="00443D04"/>
    <w:rsid w:val="004441DE"/>
    <w:rsid w:val="004451D3"/>
    <w:rsid w:val="00445970"/>
    <w:rsid w:val="00445D15"/>
    <w:rsid w:val="00446278"/>
    <w:rsid w:val="004465A4"/>
    <w:rsid w:val="00447CE0"/>
    <w:rsid w:val="00451DB2"/>
    <w:rsid w:val="00452757"/>
    <w:rsid w:val="00452FD0"/>
    <w:rsid w:val="00456C82"/>
    <w:rsid w:val="00462874"/>
    <w:rsid w:val="00463026"/>
    <w:rsid w:val="00463D82"/>
    <w:rsid w:val="00465416"/>
    <w:rsid w:val="0046722E"/>
    <w:rsid w:val="004673D0"/>
    <w:rsid w:val="004712FC"/>
    <w:rsid w:val="0047271D"/>
    <w:rsid w:val="00475D90"/>
    <w:rsid w:val="00477388"/>
    <w:rsid w:val="00480D10"/>
    <w:rsid w:val="004813C3"/>
    <w:rsid w:val="004850E7"/>
    <w:rsid w:val="00485587"/>
    <w:rsid w:val="00486345"/>
    <w:rsid w:val="00490176"/>
    <w:rsid w:val="00491DAB"/>
    <w:rsid w:val="00496153"/>
    <w:rsid w:val="00497859"/>
    <w:rsid w:val="00497C64"/>
    <w:rsid w:val="004A1812"/>
    <w:rsid w:val="004A5869"/>
    <w:rsid w:val="004A5CD7"/>
    <w:rsid w:val="004A725B"/>
    <w:rsid w:val="004B0E71"/>
    <w:rsid w:val="004B199A"/>
    <w:rsid w:val="004B289F"/>
    <w:rsid w:val="004B3ED5"/>
    <w:rsid w:val="004B43E7"/>
    <w:rsid w:val="004B5106"/>
    <w:rsid w:val="004C0282"/>
    <w:rsid w:val="004C18E3"/>
    <w:rsid w:val="004C4CEE"/>
    <w:rsid w:val="004C60A8"/>
    <w:rsid w:val="004C6119"/>
    <w:rsid w:val="004D1AB5"/>
    <w:rsid w:val="004D45EF"/>
    <w:rsid w:val="004D5B29"/>
    <w:rsid w:val="004D5FAD"/>
    <w:rsid w:val="004D6318"/>
    <w:rsid w:val="004E02DB"/>
    <w:rsid w:val="004E0960"/>
    <w:rsid w:val="004E33CC"/>
    <w:rsid w:val="004E649A"/>
    <w:rsid w:val="004E7BED"/>
    <w:rsid w:val="004F17EB"/>
    <w:rsid w:val="004F2EFD"/>
    <w:rsid w:val="004F3331"/>
    <w:rsid w:val="004F4181"/>
    <w:rsid w:val="004F59D8"/>
    <w:rsid w:val="004F7AE3"/>
    <w:rsid w:val="005002A2"/>
    <w:rsid w:val="00500760"/>
    <w:rsid w:val="005034BF"/>
    <w:rsid w:val="00507D89"/>
    <w:rsid w:val="00511C6C"/>
    <w:rsid w:val="00524934"/>
    <w:rsid w:val="00524ED9"/>
    <w:rsid w:val="00526098"/>
    <w:rsid w:val="00526BEA"/>
    <w:rsid w:val="00530395"/>
    <w:rsid w:val="0053343E"/>
    <w:rsid w:val="00533B37"/>
    <w:rsid w:val="005342F8"/>
    <w:rsid w:val="00534EEC"/>
    <w:rsid w:val="005351A5"/>
    <w:rsid w:val="005355F4"/>
    <w:rsid w:val="00541904"/>
    <w:rsid w:val="00542266"/>
    <w:rsid w:val="005440FA"/>
    <w:rsid w:val="00546852"/>
    <w:rsid w:val="005532C0"/>
    <w:rsid w:val="00554ADE"/>
    <w:rsid w:val="005612F2"/>
    <w:rsid w:val="00566415"/>
    <w:rsid w:val="00566C19"/>
    <w:rsid w:val="00566D41"/>
    <w:rsid w:val="00566E02"/>
    <w:rsid w:val="00587C66"/>
    <w:rsid w:val="0059281D"/>
    <w:rsid w:val="0059781D"/>
    <w:rsid w:val="00597C6C"/>
    <w:rsid w:val="005A4833"/>
    <w:rsid w:val="005A5278"/>
    <w:rsid w:val="005A64EA"/>
    <w:rsid w:val="005B2856"/>
    <w:rsid w:val="005B3D4B"/>
    <w:rsid w:val="005B3DD3"/>
    <w:rsid w:val="005B59A8"/>
    <w:rsid w:val="005B6353"/>
    <w:rsid w:val="005B75F4"/>
    <w:rsid w:val="005B79BE"/>
    <w:rsid w:val="005C1354"/>
    <w:rsid w:val="005C1D62"/>
    <w:rsid w:val="005C1FFD"/>
    <w:rsid w:val="005C6B37"/>
    <w:rsid w:val="005D1DB1"/>
    <w:rsid w:val="005D2651"/>
    <w:rsid w:val="005D3641"/>
    <w:rsid w:val="005D4D2F"/>
    <w:rsid w:val="005D5778"/>
    <w:rsid w:val="005D7D9B"/>
    <w:rsid w:val="005E7FB3"/>
    <w:rsid w:val="005F09AF"/>
    <w:rsid w:val="005F273A"/>
    <w:rsid w:val="005F3648"/>
    <w:rsid w:val="005F40E0"/>
    <w:rsid w:val="005F48A2"/>
    <w:rsid w:val="00601378"/>
    <w:rsid w:val="00601C85"/>
    <w:rsid w:val="00602A6B"/>
    <w:rsid w:val="00602DCA"/>
    <w:rsid w:val="00604C4F"/>
    <w:rsid w:val="0060675F"/>
    <w:rsid w:val="00610802"/>
    <w:rsid w:val="00610C0C"/>
    <w:rsid w:val="0061252B"/>
    <w:rsid w:val="00612658"/>
    <w:rsid w:val="00612772"/>
    <w:rsid w:val="00612EB5"/>
    <w:rsid w:val="006161BD"/>
    <w:rsid w:val="00616EA3"/>
    <w:rsid w:val="0062032B"/>
    <w:rsid w:val="00620386"/>
    <w:rsid w:val="006208EA"/>
    <w:rsid w:val="00621A06"/>
    <w:rsid w:val="00623D4D"/>
    <w:rsid w:val="00625E17"/>
    <w:rsid w:val="00626233"/>
    <w:rsid w:val="00631777"/>
    <w:rsid w:val="006334A5"/>
    <w:rsid w:val="0063451E"/>
    <w:rsid w:val="00636D7E"/>
    <w:rsid w:val="006372E9"/>
    <w:rsid w:val="00641A2F"/>
    <w:rsid w:val="006422EF"/>
    <w:rsid w:val="00644B6A"/>
    <w:rsid w:val="006456E2"/>
    <w:rsid w:val="00645710"/>
    <w:rsid w:val="00653A7B"/>
    <w:rsid w:val="006558FF"/>
    <w:rsid w:val="0065789F"/>
    <w:rsid w:val="006608D4"/>
    <w:rsid w:val="00663E70"/>
    <w:rsid w:val="00666BFC"/>
    <w:rsid w:val="00667426"/>
    <w:rsid w:val="006707FB"/>
    <w:rsid w:val="00671655"/>
    <w:rsid w:val="00671C86"/>
    <w:rsid w:val="00671E03"/>
    <w:rsid w:val="00672A89"/>
    <w:rsid w:val="006736AF"/>
    <w:rsid w:val="006736BC"/>
    <w:rsid w:val="00680745"/>
    <w:rsid w:val="00680F6A"/>
    <w:rsid w:val="0068528B"/>
    <w:rsid w:val="00687029"/>
    <w:rsid w:val="00690A1B"/>
    <w:rsid w:val="00690E1B"/>
    <w:rsid w:val="00690E71"/>
    <w:rsid w:val="00691C1F"/>
    <w:rsid w:val="00695FA2"/>
    <w:rsid w:val="006A0629"/>
    <w:rsid w:val="006A06F4"/>
    <w:rsid w:val="006A0AE6"/>
    <w:rsid w:val="006A16A5"/>
    <w:rsid w:val="006A35B8"/>
    <w:rsid w:val="006A385B"/>
    <w:rsid w:val="006A470A"/>
    <w:rsid w:val="006A56CD"/>
    <w:rsid w:val="006A5F56"/>
    <w:rsid w:val="006A7981"/>
    <w:rsid w:val="006B1FFA"/>
    <w:rsid w:val="006B4E2F"/>
    <w:rsid w:val="006B5680"/>
    <w:rsid w:val="006B65F4"/>
    <w:rsid w:val="006B777B"/>
    <w:rsid w:val="006C45C1"/>
    <w:rsid w:val="006C5666"/>
    <w:rsid w:val="006C58D1"/>
    <w:rsid w:val="006C6732"/>
    <w:rsid w:val="006C7819"/>
    <w:rsid w:val="006D1DFC"/>
    <w:rsid w:val="006D2024"/>
    <w:rsid w:val="006D36CD"/>
    <w:rsid w:val="006D6524"/>
    <w:rsid w:val="006E4106"/>
    <w:rsid w:val="006E5B91"/>
    <w:rsid w:val="006F2379"/>
    <w:rsid w:val="006F3A12"/>
    <w:rsid w:val="006F6A1C"/>
    <w:rsid w:val="006F77CF"/>
    <w:rsid w:val="00700C6E"/>
    <w:rsid w:val="00700D30"/>
    <w:rsid w:val="00701797"/>
    <w:rsid w:val="00701A6A"/>
    <w:rsid w:val="007041DF"/>
    <w:rsid w:val="00706EC5"/>
    <w:rsid w:val="00713CDB"/>
    <w:rsid w:val="0071492E"/>
    <w:rsid w:val="00715749"/>
    <w:rsid w:val="00721A4D"/>
    <w:rsid w:val="00724AA1"/>
    <w:rsid w:val="00733E9F"/>
    <w:rsid w:val="00736991"/>
    <w:rsid w:val="00740F1E"/>
    <w:rsid w:val="00741A5B"/>
    <w:rsid w:val="00741E48"/>
    <w:rsid w:val="00742E2C"/>
    <w:rsid w:val="00743492"/>
    <w:rsid w:val="00745A0A"/>
    <w:rsid w:val="007503E9"/>
    <w:rsid w:val="007511E2"/>
    <w:rsid w:val="00751D0C"/>
    <w:rsid w:val="00752721"/>
    <w:rsid w:val="0075301A"/>
    <w:rsid w:val="0075317A"/>
    <w:rsid w:val="00753ECA"/>
    <w:rsid w:val="00754F5B"/>
    <w:rsid w:val="007551E4"/>
    <w:rsid w:val="00756247"/>
    <w:rsid w:val="007602A2"/>
    <w:rsid w:val="0076263E"/>
    <w:rsid w:val="007633BB"/>
    <w:rsid w:val="0076570D"/>
    <w:rsid w:val="00765C63"/>
    <w:rsid w:val="00770BF1"/>
    <w:rsid w:val="007732B8"/>
    <w:rsid w:val="00774114"/>
    <w:rsid w:val="00775B69"/>
    <w:rsid w:val="00776346"/>
    <w:rsid w:val="00781B05"/>
    <w:rsid w:val="00783372"/>
    <w:rsid w:val="007841D9"/>
    <w:rsid w:val="00786A6E"/>
    <w:rsid w:val="00787230"/>
    <w:rsid w:val="00794DE8"/>
    <w:rsid w:val="00795236"/>
    <w:rsid w:val="007A1E8F"/>
    <w:rsid w:val="007A5AEA"/>
    <w:rsid w:val="007B3798"/>
    <w:rsid w:val="007C13A3"/>
    <w:rsid w:val="007C196C"/>
    <w:rsid w:val="007C2C96"/>
    <w:rsid w:val="007C4D24"/>
    <w:rsid w:val="007C5FAC"/>
    <w:rsid w:val="007D14DF"/>
    <w:rsid w:val="007D18CD"/>
    <w:rsid w:val="007D2D3D"/>
    <w:rsid w:val="007D3C4A"/>
    <w:rsid w:val="007D4053"/>
    <w:rsid w:val="007D5F72"/>
    <w:rsid w:val="007E11F9"/>
    <w:rsid w:val="007E19C6"/>
    <w:rsid w:val="007E4622"/>
    <w:rsid w:val="007E4B07"/>
    <w:rsid w:val="007E52BC"/>
    <w:rsid w:val="007F09FE"/>
    <w:rsid w:val="007F0BD7"/>
    <w:rsid w:val="007F1906"/>
    <w:rsid w:val="007F3072"/>
    <w:rsid w:val="007F3844"/>
    <w:rsid w:val="007F410A"/>
    <w:rsid w:val="007F4603"/>
    <w:rsid w:val="007F6692"/>
    <w:rsid w:val="007F76E4"/>
    <w:rsid w:val="008007FF"/>
    <w:rsid w:val="00801422"/>
    <w:rsid w:val="00802EBB"/>
    <w:rsid w:val="00806B41"/>
    <w:rsid w:val="008072EE"/>
    <w:rsid w:val="00811074"/>
    <w:rsid w:val="0081173D"/>
    <w:rsid w:val="00812F6E"/>
    <w:rsid w:val="00814A57"/>
    <w:rsid w:val="00815317"/>
    <w:rsid w:val="00821643"/>
    <w:rsid w:val="00824FC0"/>
    <w:rsid w:val="00825533"/>
    <w:rsid w:val="00827162"/>
    <w:rsid w:val="00827801"/>
    <w:rsid w:val="00830AA3"/>
    <w:rsid w:val="00832205"/>
    <w:rsid w:val="0083374D"/>
    <w:rsid w:val="0083633E"/>
    <w:rsid w:val="00836C3C"/>
    <w:rsid w:val="00842B74"/>
    <w:rsid w:val="00843365"/>
    <w:rsid w:val="00843C70"/>
    <w:rsid w:val="008442D4"/>
    <w:rsid w:val="00844B87"/>
    <w:rsid w:val="008451A7"/>
    <w:rsid w:val="0084722B"/>
    <w:rsid w:val="00847587"/>
    <w:rsid w:val="00847E8C"/>
    <w:rsid w:val="00851D79"/>
    <w:rsid w:val="00860FBD"/>
    <w:rsid w:val="00865076"/>
    <w:rsid w:val="00867F44"/>
    <w:rsid w:val="00876294"/>
    <w:rsid w:val="00876A1C"/>
    <w:rsid w:val="00881757"/>
    <w:rsid w:val="008824AA"/>
    <w:rsid w:val="0088526F"/>
    <w:rsid w:val="00886485"/>
    <w:rsid w:val="00890922"/>
    <w:rsid w:val="00891E2F"/>
    <w:rsid w:val="00891ED5"/>
    <w:rsid w:val="00892734"/>
    <w:rsid w:val="00893DA5"/>
    <w:rsid w:val="00893F60"/>
    <w:rsid w:val="00897A88"/>
    <w:rsid w:val="008A1AAD"/>
    <w:rsid w:val="008A1BB2"/>
    <w:rsid w:val="008A31A5"/>
    <w:rsid w:val="008A33E8"/>
    <w:rsid w:val="008A4F7E"/>
    <w:rsid w:val="008A710D"/>
    <w:rsid w:val="008B1BD2"/>
    <w:rsid w:val="008B4476"/>
    <w:rsid w:val="008B52BA"/>
    <w:rsid w:val="008B5347"/>
    <w:rsid w:val="008B7330"/>
    <w:rsid w:val="008C1121"/>
    <w:rsid w:val="008C1E0F"/>
    <w:rsid w:val="008C335C"/>
    <w:rsid w:val="008C38C8"/>
    <w:rsid w:val="008C3920"/>
    <w:rsid w:val="008C43EB"/>
    <w:rsid w:val="008C7395"/>
    <w:rsid w:val="008D2730"/>
    <w:rsid w:val="008D5CCD"/>
    <w:rsid w:val="008D6AFF"/>
    <w:rsid w:val="008E584E"/>
    <w:rsid w:val="008E5B7D"/>
    <w:rsid w:val="008E5BA3"/>
    <w:rsid w:val="008E6E14"/>
    <w:rsid w:val="008E76AA"/>
    <w:rsid w:val="008F2AA4"/>
    <w:rsid w:val="008F43D2"/>
    <w:rsid w:val="008F5EB8"/>
    <w:rsid w:val="008F6511"/>
    <w:rsid w:val="00901745"/>
    <w:rsid w:val="00902052"/>
    <w:rsid w:val="00902E0C"/>
    <w:rsid w:val="00903029"/>
    <w:rsid w:val="00903149"/>
    <w:rsid w:val="0090456A"/>
    <w:rsid w:val="00907E1C"/>
    <w:rsid w:val="0091098E"/>
    <w:rsid w:val="00912E10"/>
    <w:rsid w:val="00913068"/>
    <w:rsid w:val="00913448"/>
    <w:rsid w:val="00914DC1"/>
    <w:rsid w:val="00914E1B"/>
    <w:rsid w:val="00915761"/>
    <w:rsid w:val="009157E5"/>
    <w:rsid w:val="009176E4"/>
    <w:rsid w:val="00923023"/>
    <w:rsid w:val="00925E64"/>
    <w:rsid w:val="0092695F"/>
    <w:rsid w:val="00927500"/>
    <w:rsid w:val="00927853"/>
    <w:rsid w:val="00927F46"/>
    <w:rsid w:val="00933877"/>
    <w:rsid w:val="00934A59"/>
    <w:rsid w:val="00941EA1"/>
    <w:rsid w:val="009466E9"/>
    <w:rsid w:val="00952A3C"/>
    <w:rsid w:val="0095318F"/>
    <w:rsid w:val="00953914"/>
    <w:rsid w:val="0095523B"/>
    <w:rsid w:val="0095530C"/>
    <w:rsid w:val="00957583"/>
    <w:rsid w:val="0096456D"/>
    <w:rsid w:val="00964CC1"/>
    <w:rsid w:val="00967FF5"/>
    <w:rsid w:val="0097196D"/>
    <w:rsid w:val="009749CB"/>
    <w:rsid w:val="00975559"/>
    <w:rsid w:val="009755BC"/>
    <w:rsid w:val="00975AB7"/>
    <w:rsid w:val="00975B58"/>
    <w:rsid w:val="00976DA5"/>
    <w:rsid w:val="009779AC"/>
    <w:rsid w:val="00983525"/>
    <w:rsid w:val="009836DF"/>
    <w:rsid w:val="00986CE6"/>
    <w:rsid w:val="00990B31"/>
    <w:rsid w:val="00992496"/>
    <w:rsid w:val="00994176"/>
    <w:rsid w:val="009A17DC"/>
    <w:rsid w:val="009B21D3"/>
    <w:rsid w:val="009B436F"/>
    <w:rsid w:val="009B740A"/>
    <w:rsid w:val="009C374F"/>
    <w:rsid w:val="009C5580"/>
    <w:rsid w:val="009C6959"/>
    <w:rsid w:val="009C6D59"/>
    <w:rsid w:val="009D0B7D"/>
    <w:rsid w:val="009D0F08"/>
    <w:rsid w:val="009D16BA"/>
    <w:rsid w:val="009D3643"/>
    <w:rsid w:val="009D3887"/>
    <w:rsid w:val="009D4390"/>
    <w:rsid w:val="009D49CE"/>
    <w:rsid w:val="009D548C"/>
    <w:rsid w:val="009D65F9"/>
    <w:rsid w:val="009D751B"/>
    <w:rsid w:val="009E0328"/>
    <w:rsid w:val="009E3B58"/>
    <w:rsid w:val="009E4458"/>
    <w:rsid w:val="009E5189"/>
    <w:rsid w:val="009E57CA"/>
    <w:rsid w:val="009E7E73"/>
    <w:rsid w:val="009F2CC2"/>
    <w:rsid w:val="009F436E"/>
    <w:rsid w:val="00A02D82"/>
    <w:rsid w:val="00A03355"/>
    <w:rsid w:val="00A05B2C"/>
    <w:rsid w:val="00A06466"/>
    <w:rsid w:val="00A1568A"/>
    <w:rsid w:val="00A21996"/>
    <w:rsid w:val="00A226CD"/>
    <w:rsid w:val="00A2287C"/>
    <w:rsid w:val="00A27030"/>
    <w:rsid w:val="00A27AB5"/>
    <w:rsid w:val="00A3236D"/>
    <w:rsid w:val="00A34B9A"/>
    <w:rsid w:val="00A366F1"/>
    <w:rsid w:val="00A3735E"/>
    <w:rsid w:val="00A377F3"/>
    <w:rsid w:val="00A41F8D"/>
    <w:rsid w:val="00A42353"/>
    <w:rsid w:val="00A431B6"/>
    <w:rsid w:val="00A4340B"/>
    <w:rsid w:val="00A54605"/>
    <w:rsid w:val="00A56FB5"/>
    <w:rsid w:val="00A57F80"/>
    <w:rsid w:val="00A62EBC"/>
    <w:rsid w:val="00A646BF"/>
    <w:rsid w:val="00A6704D"/>
    <w:rsid w:val="00A6752F"/>
    <w:rsid w:val="00A737CB"/>
    <w:rsid w:val="00A73BCF"/>
    <w:rsid w:val="00A74956"/>
    <w:rsid w:val="00A75446"/>
    <w:rsid w:val="00A774F3"/>
    <w:rsid w:val="00A8119F"/>
    <w:rsid w:val="00A8141F"/>
    <w:rsid w:val="00A82F19"/>
    <w:rsid w:val="00A83635"/>
    <w:rsid w:val="00A839D4"/>
    <w:rsid w:val="00A83F34"/>
    <w:rsid w:val="00A857D4"/>
    <w:rsid w:val="00A86FE5"/>
    <w:rsid w:val="00A904F4"/>
    <w:rsid w:val="00A95030"/>
    <w:rsid w:val="00A967C8"/>
    <w:rsid w:val="00A97DBA"/>
    <w:rsid w:val="00AB10F7"/>
    <w:rsid w:val="00AB1CBD"/>
    <w:rsid w:val="00AB3A4E"/>
    <w:rsid w:val="00AB4DC0"/>
    <w:rsid w:val="00AB5567"/>
    <w:rsid w:val="00AB7DB4"/>
    <w:rsid w:val="00AC49EF"/>
    <w:rsid w:val="00AD3601"/>
    <w:rsid w:val="00AD7B4D"/>
    <w:rsid w:val="00AE04D2"/>
    <w:rsid w:val="00AE0817"/>
    <w:rsid w:val="00AE125E"/>
    <w:rsid w:val="00AE1838"/>
    <w:rsid w:val="00AE3803"/>
    <w:rsid w:val="00AE5DB9"/>
    <w:rsid w:val="00AE5F37"/>
    <w:rsid w:val="00AE6BAF"/>
    <w:rsid w:val="00AE7567"/>
    <w:rsid w:val="00AE7C53"/>
    <w:rsid w:val="00AF0401"/>
    <w:rsid w:val="00AF12D0"/>
    <w:rsid w:val="00AF3093"/>
    <w:rsid w:val="00AF34C1"/>
    <w:rsid w:val="00AF3E84"/>
    <w:rsid w:val="00AF54EC"/>
    <w:rsid w:val="00AF7833"/>
    <w:rsid w:val="00AF7A68"/>
    <w:rsid w:val="00B0004E"/>
    <w:rsid w:val="00B0061F"/>
    <w:rsid w:val="00B03849"/>
    <w:rsid w:val="00B044EA"/>
    <w:rsid w:val="00B13C79"/>
    <w:rsid w:val="00B15723"/>
    <w:rsid w:val="00B163B8"/>
    <w:rsid w:val="00B20C54"/>
    <w:rsid w:val="00B216F4"/>
    <w:rsid w:val="00B224D2"/>
    <w:rsid w:val="00B24192"/>
    <w:rsid w:val="00B25AD6"/>
    <w:rsid w:val="00B26BF9"/>
    <w:rsid w:val="00B27F69"/>
    <w:rsid w:val="00B306EF"/>
    <w:rsid w:val="00B31198"/>
    <w:rsid w:val="00B318C1"/>
    <w:rsid w:val="00B31C6C"/>
    <w:rsid w:val="00B31D34"/>
    <w:rsid w:val="00B31D5F"/>
    <w:rsid w:val="00B35A2A"/>
    <w:rsid w:val="00B370AE"/>
    <w:rsid w:val="00B37132"/>
    <w:rsid w:val="00B4003E"/>
    <w:rsid w:val="00B4046E"/>
    <w:rsid w:val="00B42279"/>
    <w:rsid w:val="00B435AB"/>
    <w:rsid w:val="00B4363A"/>
    <w:rsid w:val="00B43C28"/>
    <w:rsid w:val="00B452E1"/>
    <w:rsid w:val="00B46C9E"/>
    <w:rsid w:val="00B46F12"/>
    <w:rsid w:val="00B472A9"/>
    <w:rsid w:val="00B472FD"/>
    <w:rsid w:val="00B50074"/>
    <w:rsid w:val="00B5198C"/>
    <w:rsid w:val="00B5310C"/>
    <w:rsid w:val="00B53E25"/>
    <w:rsid w:val="00B540C0"/>
    <w:rsid w:val="00B556C8"/>
    <w:rsid w:val="00B626F1"/>
    <w:rsid w:val="00B64F43"/>
    <w:rsid w:val="00B6690E"/>
    <w:rsid w:val="00B66AD4"/>
    <w:rsid w:val="00B67653"/>
    <w:rsid w:val="00B7217F"/>
    <w:rsid w:val="00B72921"/>
    <w:rsid w:val="00B72FDD"/>
    <w:rsid w:val="00B754BD"/>
    <w:rsid w:val="00B7798F"/>
    <w:rsid w:val="00B81D07"/>
    <w:rsid w:val="00B85AB3"/>
    <w:rsid w:val="00B90860"/>
    <w:rsid w:val="00B9116C"/>
    <w:rsid w:val="00B94E1B"/>
    <w:rsid w:val="00B96BB9"/>
    <w:rsid w:val="00B973BA"/>
    <w:rsid w:val="00BA0174"/>
    <w:rsid w:val="00BA0C81"/>
    <w:rsid w:val="00BA0E34"/>
    <w:rsid w:val="00BA1C3E"/>
    <w:rsid w:val="00BA332A"/>
    <w:rsid w:val="00BA36B0"/>
    <w:rsid w:val="00BA3896"/>
    <w:rsid w:val="00BA3991"/>
    <w:rsid w:val="00BA5653"/>
    <w:rsid w:val="00BA56B3"/>
    <w:rsid w:val="00BA596E"/>
    <w:rsid w:val="00BB0876"/>
    <w:rsid w:val="00BB21E3"/>
    <w:rsid w:val="00BB3F42"/>
    <w:rsid w:val="00BB5A34"/>
    <w:rsid w:val="00BB64D0"/>
    <w:rsid w:val="00BB6709"/>
    <w:rsid w:val="00BB759D"/>
    <w:rsid w:val="00BB7C8D"/>
    <w:rsid w:val="00BC1E5D"/>
    <w:rsid w:val="00BC3848"/>
    <w:rsid w:val="00BC62B9"/>
    <w:rsid w:val="00BD0DCC"/>
    <w:rsid w:val="00BD1738"/>
    <w:rsid w:val="00BD18C7"/>
    <w:rsid w:val="00BD1DCF"/>
    <w:rsid w:val="00BD24CC"/>
    <w:rsid w:val="00BE1126"/>
    <w:rsid w:val="00BE1852"/>
    <w:rsid w:val="00BE1A65"/>
    <w:rsid w:val="00BE2312"/>
    <w:rsid w:val="00BE2853"/>
    <w:rsid w:val="00BE5C00"/>
    <w:rsid w:val="00BE6000"/>
    <w:rsid w:val="00BF18A8"/>
    <w:rsid w:val="00BF2724"/>
    <w:rsid w:val="00BF395A"/>
    <w:rsid w:val="00BF4EBF"/>
    <w:rsid w:val="00BF6691"/>
    <w:rsid w:val="00BF6DD7"/>
    <w:rsid w:val="00C002BB"/>
    <w:rsid w:val="00C00874"/>
    <w:rsid w:val="00C00B59"/>
    <w:rsid w:val="00C00D0E"/>
    <w:rsid w:val="00C02FC3"/>
    <w:rsid w:val="00C035D5"/>
    <w:rsid w:val="00C05D5E"/>
    <w:rsid w:val="00C1046D"/>
    <w:rsid w:val="00C1325A"/>
    <w:rsid w:val="00C13863"/>
    <w:rsid w:val="00C16D68"/>
    <w:rsid w:val="00C178AF"/>
    <w:rsid w:val="00C210AD"/>
    <w:rsid w:val="00C21B07"/>
    <w:rsid w:val="00C229A3"/>
    <w:rsid w:val="00C240DD"/>
    <w:rsid w:val="00C25AE7"/>
    <w:rsid w:val="00C3037F"/>
    <w:rsid w:val="00C30E96"/>
    <w:rsid w:val="00C31747"/>
    <w:rsid w:val="00C33101"/>
    <w:rsid w:val="00C40138"/>
    <w:rsid w:val="00C402CE"/>
    <w:rsid w:val="00C405BC"/>
    <w:rsid w:val="00C40B78"/>
    <w:rsid w:val="00C43541"/>
    <w:rsid w:val="00C44D0C"/>
    <w:rsid w:val="00C468DC"/>
    <w:rsid w:val="00C46C94"/>
    <w:rsid w:val="00C46D0D"/>
    <w:rsid w:val="00C53B41"/>
    <w:rsid w:val="00C61981"/>
    <w:rsid w:val="00C62D1E"/>
    <w:rsid w:val="00C71364"/>
    <w:rsid w:val="00C74726"/>
    <w:rsid w:val="00C7503E"/>
    <w:rsid w:val="00C76564"/>
    <w:rsid w:val="00C80774"/>
    <w:rsid w:val="00C818C9"/>
    <w:rsid w:val="00C821B8"/>
    <w:rsid w:val="00C82DC2"/>
    <w:rsid w:val="00C83D65"/>
    <w:rsid w:val="00C86300"/>
    <w:rsid w:val="00C86FF1"/>
    <w:rsid w:val="00C97013"/>
    <w:rsid w:val="00C977EA"/>
    <w:rsid w:val="00CA0FA0"/>
    <w:rsid w:val="00CA497C"/>
    <w:rsid w:val="00CA5A1C"/>
    <w:rsid w:val="00CA6165"/>
    <w:rsid w:val="00CA7AA4"/>
    <w:rsid w:val="00CB62A1"/>
    <w:rsid w:val="00CB655E"/>
    <w:rsid w:val="00CB7D0A"/>
    <w:rsid w:val="00CC0192"/>
    <w:rsid w:val="00CC0D0A"/>
    <w:rsid w:val="00CC0DAF"/>
    <w:rsid w:val="00CC2FB4"/>
    <w:rsid w:val="00CC33E7"/>
    <w:rsid w:val="00CC3BAB"/>
    <w:rsid w:val="00CC411A"/>
    <w:rsid w:val="00CD5A32"/>
    <w:rsid w:val="00CD5C65"/>
    <w:rsid w:val="00CD673A"/>
    <w:rsid w:val="00CE5628"/>
    <w:rsid w:val="00CE6EF9"/>
    <w:rsid w:val="00CF0D35"/>
    <w:rsid w:val="00CF198D"/>
    <w:rsid w:val="00CF2E60"/>
    <w:rsid w:val="00CF3B62"/>
    <w:rsid w:val="00CF3BE4"/>
    <w:rsid w:val="00CF3FBB"/>
    <w:rsid w:val="00CF4D47"/>
    <w:rsid w:val="00D007FB"/>
    <w:rsid w:val="00D01DE1"/>
    <w:rsid w:val="00D0210F"/>
    <w:rsid w:val="00D02662"/>
    <w:rsid w:val="00D03CE8"/>
    <w:rsid w:val="00D0615C"/>
    <w:rsid w:val="00D07331"/>
    <w:rsid w:val="00D07E4B"/>
    <w:rsid w:val="00D110C2"/>
    <w:rsid w:val="00D112EF"/>
    <w:rsid w:val="00D12D3E"/>
    <w:rsid w:val="00D12E01"/>
    <w:rsid w:val="00D163CD"/>
    <w:rsid w:val="00D20C2F"/>
    <w:rsid w:val="00D21B08"/>
    <w:rsid w:val="00D239C8"/>
    <w:rsid w:val="00D2631E"/>
    <w:rsid w:val="00D267AC"/>
    <w:rsid w:val="00D27E63"/>
    <w:rsid w:val="00D30426"/>
    <w:rsid w:val="00D30686"/>
    <w:rsid w:val="00D335D7"/>
    <w:rsid w:val="00D33B53"/>
    <w:rsid w:val="00D3436B"/>
    <w:rsid w:val="00D349FA"/>
    <w:rsid w:val="00D34C16"/>
    <w:rsid w:val="00D35044"/>
    <w:rsid w:val="00D352A1"/>
    <w:rsid w:val="00D3591B"/>
    <w:rsid w:val="00D37C7F"/>
    <w:rsid w:val="00D43559"/>
    <w:rsid w:val="00D43950"/>
    <w:rsid w:val="00D439F8"/>
    <w:rsid w:val="00D43BEF"/>
    <w:rsid w:val="00D43EBC"/>
    <w:rsid w:val="00D44CE5"/>
    <w:rsid w:val="00D53FB3"/>
    <w:rsid w:val="00D54D6D"/>
    <w:rsid w:val="00D55921"/>
    <w:rsid w:val="00D56D83"/>
    <w:rsid w:val="00D603F4"/>
    <w:rsid w:val="00D62E1A"/>
    <w:rsid w:val="00D63D4C"/>
    <w:rsid w:val="00D6447C"/>
    <w:rsid w:val="00D658F2"/>
    <w:rsid w:val="00D751B9"/>
    <w:rsid w:val="00D76994"/>
    <w:rsid w:val="00D76D8C"/>
    <w:rsid w:val="00D811BA"/>
    <w:rsid w:val="00D81550"/>
    <w:rsid w:val="00D83C11"/>
    <w:rsid w:val="00D8538E"/>
    <w:rsid w:val="00D8602C"/>
    <w:rsid w:val="00D94A35"/>
    <w:rsid w:val="00D96214"/>
    <w:rsid w:val="00DA003A"/>
    <w:rsid w:val="00DA2BE8"/>
    <w:rsid w:val="00DA43CF"/>
    <w:rsid w:val="00DA543A"/>
    <w:rsid w:val="00DB0331"/>
    <w:rsid w:val="00DB0C1F"/>
    <w:rsid w:val="00DB2A34"/>
    <w:rsid w:val="00DB69DF"/>
    <w:rsid w:val="00DB72CC"/>
    <w:rsid w:val="00DB745D"/>
    <w:rsid w:val="00DC441E"/>
    <w:rsid w:val="00DC5B06"/>
    <w:rsid w:val="00DC5DF2"/>
    <w:rsid w:val="00DC693F"/>
    <w:rsid w:val="00DC7B9A"/>
    <w:rsid w:val="00DC7E15"/>
    <w:rsid w:val="00DD3D31"/>
    <w:rsid w:val="00DD4BE5"/>
    <w:rsid w:val="00DE037A"/>
    <w:rsid w:val="00DE0545"/>
    <w:rsid w:val="00DE0610"/>
    <w:rsid w:val="00DE13AB"/>
    <w:rsid w:val="00DE211A"/>
    <w:rsid w:val="00DE3689"/>
    <w:rsid w:val="00DE60C2"/>
    <w:rsid w:val="00DE69B9"/>
    <w:rsid w:val="00DE79EF"/>
    <w:rsid w:val="00DE7AE2"/>
    <w:rsid w:val="00DF08DE"/>
    <w:rsid w:val="00DF1C4A"/>
    <w:rsid w:val="00DF3FD5"/>
    <w:rsid w:val="00DF4D8C"/>
    <w:rsid w:val="00E01513"/>
    <w:rsid w:val="00E01670"/>
    <w:rsid w:val="00E020A6"/>
    <w:rsid w:val="00E03D06"/>
    <w:rsid w:val="00E049BD"/>
    <w:rsid w:val="00E06911"/>
    <w:rsid w:val="00E070DF"/>
    <w:rsid w:val="00E1166F"/>
    <w:rsid w:val="00E11CD7"/>
    <w:rsid w:val="00E14257"/>
    <w:rsid w:val="00E14AEF"/>
    <w:rsid w:val="00E15983"/>
    <w:rsid w:val="00E16AE5"/>
    <w:rsid w:val="00E16BCD"/>
    <w:rsid w:val="00E16D06"/>
    <w:rsid w:val="00E21474"/>
    <w:rsid w:val="00E22D8A"/>
    <w:rsid w:val="00E24A7C"/>
    <w:rsid w:val="00E320C5"/>
    <w:rsid w:val="00E32FAF"/>
    <w:rsid w:val="00E343B1"/>
    <w:rsid w:val="00E35C93"/>
    <w:rsid w:val="00E3616D"/>
    <w:rsid w:val="00E36F78"/>
    <w:rsid w:val="00E41367"/>
    <w:rsid w:val="00E41469"/>
    <w:rsid w:val="00E41BFA"/>
    <w:rsid w:val="00E45643"/>
    <w:rsid w:val="00E467D0"/>
    <w:rsid w:val="00E46FEC"/>
    <w:rsid w:val="00E47C4C"/>
    <w:rsid w:val="00E47F3B"/>
    <w:rsid w:val="00E51C67"/>
    <w:rsid w:val="00E52E2B"/>
    <w:rsid w:val="00E544F3"/>
    <w:rsid w:val="00E565FD"/>
    <w:rsid w:val="00E56B60"/>
    <w:rsid w:val="00E60184"/>
    <w:rsid w:val="00E6121D"/>
    <w:rsid w:val="00E6332F"/>
    <w:rsid w:val="00E6476E"/>
    <w:rsid w:val="00E64C5E"/>
    <w:rsid w:val="00E65F46"/>
    <w:rsid w:val="00E65FE7"/>
    <w:rsid w:val="00E6655C"/>
    <w:rsid w:val="00E67111"/>
    <w:rsid w:val="00E671E5"/>
    <w:rsid w:val="00E708A6"/>
    <w:rsid w:val="00E737FD"/>
    <w:rsid w:val="00E753FA"/>
    <w:rsid w:val="00E75E8C"/>
    <w:rsid w:val="00E83B1F"/>
    <w:rsid w:val="00E857EB"/>
    <w:rsid w:val="00E91298"/>
    <w:rsid w:val="00E91728"/>
    <w:rsid w:val="00E91F71"/>
    <w:rsid w:val="00E9340A"/>
    <w:rsid w:val="00E945B8"/>
    <w:rsid w:val="00E94F82"/>
    <w:rsid w:val="00E95C7A"/>
    <w:rsid w:val="00E961C4"/>
    <w:rsid w:val="00EA12A7"/>
    <w:rsid w:val="00EA3BE2"/>
    <w:rsid w:val="00EA5448"/>
    <w:rsid w:val="00EA5639"/>
    <w:rsid w:val="00EA5C54"/>
    <w:rsid w:val="00EA65E6"/>
    <w:rsid w:val="00EA743E"/>
    <w:rsid w:val="00EB186C"/>
    <w:rsid w:val="00EB2D1A"/>
    <w:rsid w:val="00EB6BD0"/>
    <w:rsid w:val="00EB6C74"/>
    <w:rsid w:val="00EB727E"/>
    <w:rsid w:val="00EB72D5"/>
    <w:rsid w:val="00EB7D9F"/>
    <w:rsid w:val="00EC10CF"/>
    <w:rsid w:val="00EC12D6"/>
    <w:rsid w:val="00EC2A0E"/>
    <w:rsid w:val="00EC4CB5"/>
    <w:rsid w:val="00EC7875"/>
    <w:rsid w:val="00ED21FA"/>
    <w:rsid w:val="00ED2477"/>
    <w:rsid w:val="00ED2781"/>
    <w:rsid w:val="00ED4844"/>
    <w:rsid w:val="00ED6C95"/>
    <w:rsid w:val="00ED6D96"/>
    <w:rsid w:val="00EE0A1D"/>
    <w:rsid w:val="00EE2D0A"/>
    <w:rsid w:val="00EE3401"/>
    <w:rsid w:val="00EE36F9"/>
    <w:rsid w:val="00EE3A60"/>
    <w:rsid w:val="00EE3B2C"/>
    <w:rsid w:val="00EE4157"/>
    <w:rsid w:val="00EE4D01"/>
    <w:rsid w:val="00EE544F"/>
    <w:rsid w:val="00EE59BA"/>
    <w:rsid w:val="00EE6FCB"/>
    <w:rsid w:val="00EE704A"/>
    <w:rsid w:val="00EE74CA"/>
    <w:rsid w:val="00EF1B38"/>
    <w:rsid w:val="00EF3D02"/>
    <w:rsid w:val="00EF40DB"/>
    <w:rsid w:val="00EF6809"/>
    <w:rsid w:val="00EF6B5B"/>
    <w:rsid w:val="00F016D1"/>
    <w:rsid w:val="00F04B83"/>
    <w:rsid w:val="00F04BF7"/>
    <w:rsid w:val="00F0727D"/>
    <w:rsid w:val="00F105EE"/>
    <w:rsid w:val="00F13358"/>
    <w:rsid w:val="00F13E0B"/>
    <w:rsid w:val="00F16428"/>
    <w:rsid w:val="00F167BA"/>
    <w:rsid w:val="00F2084C"/>
    <w:rsid w:val="00F20992"/>
    <w:rsid w:val="00F232B7"/>
    <w:rsid w:val="00F25D12"/>
    <w:rsid w:val="00F26BFB"/>
    <w:rsid w:val="00F26D59"/>
    <w:rsid w:val="00F278FE"/>
    <w:rsid w:val="00F3172E"/>
    <w:rsid w:val="00F3270D"/>
    <w:rsid w:val="00F36A20"/>
    <w:rsid w:val="00F36C3E"/>
    <w:rsid w:val="00F40EAF"/>
    <w:rsid w:val="00F412B8"/>
    <w:rsid w:val="00F413F6"/>
    <w:rsid w:val="00F41540"/>
    <w:rsid w:val="00F46A32"/>
    <w:rsid w:val="00F477C9"/>
    <w:rsid w:val="00F5218D"/>
    <w:rsid w:val="00F55676"/>
    <w:rsid w:val="00F619DE"/>
    <w:rsid w:val="00F64D5E"/>
    <w:rsid w:val="00F6672C"/>
    <w:rsid w:val="00F66781"/>
    <w:rsid w:val="00F728AD"/>
    <w:rsid w:val="00F72971"/>
    <w:rsid w:val="00F749BB"/>
    <w:rsid w:val="00F84960"/>
    <w:rsid w:val="00F900DD"/>
    <w:rsid w:val="00F91F52"/>
    <w:rsid w:val="00F927D6"/>
    <w:rsid w:val="00F96B82"/>
    <w:rsid w:val="00FA0AFF"/>
    <w:rsid w:val="00FA133C"/>
    <w:rsid w:val="00FA5081"/>
    <w:rsid w:val="00FA7C18"/>
    <w:rsid w:val="00FB045D"/>
    <w:rsid w:val="00FB07FF"/>
    <w:rsid w:val="00FB2266"/>
    <w:rsid w:val="00FB2427"/>
    <w:rsid w:val="00FB5802"/>
    <w:rsid w:val="00FC3847"/>
    <w:rsid w:val="00FC52AE"/>
    <w:rsid w:val="00FC687A"/>
    <w:rsid w:val="00FC7349"/>
    <w:rsid w:val="00FD1C8E"/>
    <w:rsid w:val="00FD3F84"/>
    <w:rsid w:val="00FD7449"/>
    <w:rsid w:val="00FD7FA6"/>
    <w:rsid w:val="00FE0096"/>
    <w:rsid w:val="00FE03B9"/>
    <w:rsid w:val="00FE1935"/>
    <w:rsid w:val="00FE2AAC"/>
    <w:rsid w:val="00FF0082"/>
    <w:rsid w:val="00FF2143"/>
    <w:rsid w:val="00FF2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02A66"/>
  <w15:docId w15:val="{3F866B12-1493-4C60-BED2-A61C423C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F7"/>
  </w:style>
  <w:style w:type="paragraph" w:styleId="Heading1">
    <w:name w:val="heading 1"/>
    <w:basedOn w:val="Normal"/>
    <w:next w:val="Normal"/>
    <w:link w:val="Heading1Char"/>
    <w:uiPriority w:val="9"/>
    <w:qFormat/>
    <w:rsid w:val="00E601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01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F1E"/>
    <w:rPr>
      <w:color w:val="0000FF"/>
      <w:u w:val="single"/>
    </w:rPr>
  </w:style>
  <w:style w:type="paragraph" w:customStyle="1" w:styleId="Normal115pt">
    <w:name w:val="Normal + 11.5 pt"/>
    <w:basedOn w:val="Normal"/>
    <w:rsid w:val="00740F1E"/>
    <w:pPr>
      <w:autoSpaceDE w:val="0"/>
      <w:autoSpaceDN w:val="0"/>
      <w:adjustRightInd w:val="0"/>
    </w:pPr>
    <w:rPr>
      <w:rFonts w:ascii="Arial" w:eastAsia="Times New Roman" w:hAnsi="Arial" w:cs="Arial"/>
      <w:sz w:val="23"/>
      <w:szCs w:val="23"/>
    </w:rPr>
  </w:style>
  <w:style w:type="character" w:styleId="HTMLCite">
    <w:name w:val="HTML Cite"/>
    <w:basedOn w:val="DefaultParagraphFont"/>
    <w:rsid w:val="00740F1E"/>
    <w:rPr>
      <w:i w:val="0"/>
      <w:iCs w:val="0"/>
      <w:color w:val="008000"/>
    </w:rPr>
  </w:style>
  <w:style w:type="paragraph" w:styleId="ListParagraph">
    <w:name w:val="List Paragraph"/>
    <w:basedOn w:val="Normal"/>
    <w:uiPriority w:val="34"/>
    <w:qFormat/>
    <w:rsid w:val="0044326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926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95F"/>
    <w:rPr>
      <w:rFonts w:ascii="Lucida Grande" w:hAnsi="Lucida Grande" w:cs="Lucida Grande"/>
      <w:sz w:val="18"/>
      <w:szCs w:val="18"/>
    </w:rPr>
  </w:style>
  <w:style w:type="paragraph" w:styleId="Header">
    <w:name w:val="header"/>
    <w:basedOn w:val="Normal"/>
    <w:link w:val="HeaderChar"/>
    <w:uiPriority w:val="99"/>
    <w:unhideWhenUsed/>
    <w:rsid w:val="00EE2D0A"/>
    <w:pPr>
      <w:tabs>
        <w:tab w:val="center" w:pos="4320"/>
        <w:tab w:val="right" w:pos="8640"/>
      </w:tabs>
    </w:pPr>
  </w:style>
  <w:style w:type="character" w:customStyle="1" w:styleId="HeaderChar">
    <w:name w:val="Header Char"/>
    <w:basedOn w:val="DefaultParagraphFont"/>
    <w:link w:val="Header"/>
    <w:uiPriority w:val="99"/>
    <w:rsid w:val="00EE2D0A"/>
  </w:style>
  <w:style w:type="paragraph" w:styleId="Footer">
    <w:name w:val="footer"/>
    <w:basedOn w:val="Normal"/>
    <w:link w:val="FooterChar"/>
    <w:uiPriority w:val="99"/>
    <w:unhideWhenUsed/>
    <w:rsid w:val="00EE2D0A"/>
    <w:pPr>
      <w:tabs>
        <w:tab w:val="center" w:pos="4320"/>
        <w:tab w:val="right" w:pos="8640"/>
      </w:tabs>
    </w:pPr>
  </w:style>
  <w:style w:type="character" w:customStyle="1" w:styleId="FooterChar">
    <w:name w:val="Footer Char"/>
    <w:basedOn w:val="DefaultParagraphFont"/>
    <w:link w:val="Footer"/>
    <w:uiPriority w:val="99"/>
    <w:rsid w:val="00EE2D0A"/>
  </w:style>
  <w:style w:type="paragraph" w:styleId="NoSpacing">
    <w:name w:val="No Spacing"/>
    <w:uiPriority w:val="1"/>
    <w:qFormat/>
    <w:rsid w:val="00E9340A"/>
  </w:style>
  <w:style w:type="paragraph" w:styleId="NormalWeb">
    <w:name w:val="Normal (Web)"/>
    <w:basedOn w:val="Normal"/>
    <w:uiPriority w:val="99"/>
    <w:semiHidden/>
    <w:unhideWhenUsed/>
    <w:rsid w:val="007C13A3"/>
    <w:pPr>
      <w:spacing w:before="100" w:beforeAutospacing="1" w:after="100" w:afterAutospacing="1"/>
    </w:pPr>
    <w:rPr>
      <w:rFonts w:ascii="Times" w:hAnsi="Times" w:cs="Times New Roman"/>
      <w:sz w:val="20"/>
      <w:szCs w:val="20"/>
    </w:rPr>
  </w:style>
  <w:style w:type="paragraph" w:customStyle="1" w:styleId="EndNoteBibliography">
    <w:name w:val="EndNote Bibliography"/>
    <w:basedOn w:val="Normal"/>
    <w:link w:val="EndNoteBibliographyChar"/>
    <w:rsid w:val="00C33101"/>
    <w:pPr>
      <w:spacing w:after="200"/>
    </w:pPr>
    <w:rPr>
      <w:rFonts w:ascii="Calibri" w:eastAsiaTheme="minorHAnsi" w:hAnsi="Calibri"/>
      <w:noProof/>
      <w:sz w:val="22"/>
      <w:szCs w:val="22"/>
      <w:lang w:val="en-US"/>
    </w:rPr>
  </w:style>
  <w:style w:type="character" w:customStyle="1" w:styleId="EndNoteBibliographyChar">
    <w:name w:val="EndNote Bibliography Char"/>
    <w:basedOn w:val="DefaultParagraphFont"/>
    <w:link w:val="EndNoteBibliography"/>
    <w:rsid w:val="00C33101"/>
    <w:rPr>
      <w:rFonts w:ascii="Calibri" w:eastAsiaTheme="minorHAnsi" w:hAnsi="Calibri"/>
      <w:noProof/>
      <w:sz w:val="22"/>
      <w:szCs w:val="22"/>
      <w:lang w:val="en-US"/>
    </w:rPr>
  </w:style>
  <w:style w:type="character" w:customStyle="1" w:styleId="Heading1Char">
    <w:name w:val="Heading 1 Char"/>
    <w:basedOn w:val="DefaultParagraphFont"/>
    <w:link w:val="Heading1"/>
    <w:uiPriority w:val="9"/>
    <w:rsid w:val="00E601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01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3B62"/>
    <w:rPr>
      <w:sz w:val="18"/>
      <w:szCs w:val="18"/>
    </w:rPr>
  </w:style>
  <w:style w:type="paragraph" w:styleId="CommentText">
    <w:name w:val="annotation text"/>
    <w:basedOn w:val="Normal"/>
    <w:link w:val="CommentTextChar"/>
    <w:uiPriority w:val="99"/>
    <w:semiHidden/>
    <w:unhideWhenUsed/>
    <w:rsid w:val="00CF3B62"/>
  </w:style>
  <w:style w:type="character" w:customStyle="1" w:styleId="CommentTextChar">
    <w:name w:val="Comment Text Char"/>
    <w:basedOn w:val="DefaultParagraphFont"/>
    <w:link w:val="CommentText"/>
    <w:uiPriority w:val="99"/>
    <w:semiHidden/>
    <w:rsid w:val="00CF3B62"/>
  </w:style>
  <w:style w:type="paragraph" w:styleId="CommentSubject">
    <w:name w:val="annotation subject"/>
    <w:basedOn w:val="CommentText"/>
    <w:next w:val="CommentText"/>
    <w:link w:val="CommentSubjectChar"/>
    <w:uiPriority w:val="99"/>
    <w:semiHidden/>
    <w:unhideWhenUsed/>
    <w:rsid w:val="00CF3B62"/>
    <w:rPr>
      <w:b/>
      <w:bCs/>
      <w:sz w:val="20"/>
      <w:szCs w:val="20"/>
    </w:rPr>
  </w:style>
  <w:style w:type="character" w:customStyle="1" w:styleId="CommentSubjectChar">
    <w:name w:val="Comment Subject Char"/>
    <w:basedOn w:val="CommentTextChar"/>
    <w:link w:val="CommentSubject"/>
    <w:uiPriority w:val="99"/>
    <w:semiHidden/>
    <w:rsid w:val="00CF3B62"/>
    <w:rPr>
      <w:b/>
      <w:bCs/>
      <w:sz w:val="20"/>
      <w:szCs w:val="20"/>
    </w:rPr>
  </w:style>
  <w:style w:type="table" w:styleId="TableGrid">
    <w:name w:val="Table Grid"/>
    <w:basedOn w:val="TableNormal"/>
    <w:uiPriority w:val="59"/>
    <w:rsid w:val="0050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6CD"/>
  </w:style>
  <w:style w:type="paragraph" w:styleId="PlainText">
    <w:name w:val="Plain Text"/>
    <w:basedOn w:val="Normal"/>
    <w:link w:val="PlainTextChar"/>
    <w:uiPriority w:val="99"/>
    <w:semiHidden/>
    <w:unhideWhenUsed/>
    <w:rsid w:val="0014080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4080A"/>
    <w:rPr>
      <w:rFonts w:ascii="Calibri" w:eastAsiaTheme="minorHAnsi" w:hAnsi="Calibri"/>
      <w:sz w:val="22"/>
      <w:szCs w:val="21"/>
    </w:rPr>
  </w:style>
  <w:style w:type="character" w:styleId="FollowedHyperlink">
    <w:name w:val="FollowedHyperlink"/>
    <w:basedOn w:val="DefaultParagraphFont"/>
    <w:uiPriority w:val="99"/>
    <w:semiHidden/>
    <w:unhideWhenUsed/>
    <w:rsid w:val="00137630"/>
    <w:rPr>
      <w:color w:val="800080" w:themeColor="followedHyperlink"/>
      <w:u w:val="single"/>
    </w:rPr>
  </w:style>
  <w:style w:type="character" w:styleId="PlaceholderText">
    <w:name w:val="Placeholder Text"/>
    <w:basedOn w:val="DefaultParagraphFont"/>
    <w:uiPriority w:val="99"/>
    <w:semiHidden/>
    <w:rsid w:val="00533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2886">
      <w:bodyDiv w:val="1"/>
      <w:marLeft w:val="0"/>
      <w:marRight w:val="0"/>
      <w:marTop w:val="0"/>
      <w:marBottom w:val="0"/>
      <w:divBdr>
        <w:top w:val="none" w:sz="0" w:space="0" w:color="auto"/>
        <w:left w:val="none" w:sz="0" w:space="0" w:color="auto"/>
        <w:bottom w:val="none" w:sz="0" w:space="0" w:color="auto"/>
        <w:right w:val="none" w:sz="0" w:space="0" w:color="auto"/>
      </w:divBdr>
    </w:div>
    <w:div w:id="125046139">
      <w:bodyDiv w:val="1"/>
      <w:marLeft w:val="0"/>
      <w:marRight w:val="0"/>
      <w:marTop w:val="0"/>
      <w:marBottom w:val="0"/>
      <w:divBdr>
        <w:top w:val="none" w:sz="0" w:space="0" w:color="auto"/>
        <w:left w:val="none" w:sz="0" w:space="0" w:color="auto"/>
        <w:bottom w:val="none" w:sz="0" w:space="0" w:color="auto"/>
        <w:right w:val="none" w:sz="0" w:space="0" w:color="auto"/>
      </w:divBdr>
    </w:div>
    <w:div w:id="313531011">
      <w:bodyDiv w:val="1"/>
      <w:marLeft w:val="0"/>
      <w:marRight w:val="0"/>
      <w:marTop w:val="0"/>
      <w:marBottom w:val="0"/>
      <w:divBdr>
        <w:top w:val="none" w:sz="0" w:space="0" w:color="auto"/>
        <w:left w:val="none" w:sz="0" w:space="0" w:color="auto"/>
        <w:bottom w:val="none" w:sz="0" w:space="0" w:color="auto"/>
        <w:right w:val="none" w:sz="0" w:space="0" w:color="auto"/>
      </w:divBdr>
    </w:div>
    <w:div w:id="323975089">
      <w:bodyDiv w:val="1"/>
      <w:marLeft w:val="0"/>
      <w:marRight w:val="0"/>
      <w:marTop w:val="0"/>
      <w:marBottom w:val="0"/>
      <w:divBdr>
        <w:top w:val="none" w:sz="0" w:space="0" w:color="auto"/>
        <w:left w:val="none" w:sz="0" w:space="0" w:color="auto"/>
        <w:bottom w:val="none" w:sz="0" w:space="0" w:color="auto"/>
        <w:right w:val="none" w:sz="0" w:space="0" w:color="auto"/>
      </w:divBdr>
    </w:div>
    <w:div w:id="339628773">
      <w:bodyDiv w:val="1"/>
      <w:marLeft w:val="0"/>
      <w:marRight w:val="0"/>
      <w:marTop w:val="0"/>
      <w:marBottom w:val="0"/>
      <w:divBdr>
        <w:top w:val="none" w:sz="0" w:space="0" w:color="auto"/>
        <w:left w:val="none" w:sz="0" w:space="0" w:color="auto"/>
        <w:bottom w:val="none" w:sz="0" w:space="0" w:color="auto"/>
        <w:right w:val="none" w:sz="0" w:space="0" w:color="auto"/>
      </w:divBdr>
    </w:div>
    <w:div w:id="472719633">
      <w:bodyDiv w:val="1"/>
      <w:marLeft w:val="0"/>
      <w:marRight w:val="0"/>
      <w:marTop w:val="0"/>
      <w:marBottom w:val="0"/>
      <w:divBdr>
        <w:top w:val="none" w:sz="0" w:space="0" w:color="auto"/>
        <w:left w:val="none" w:sz="0" w:space="0" w:color="auto"/>
        <w:bottom w:val="none" w:sz="0" w:space="0" w:color="auto"/>
        <w:right w:val="none" w:sz="0" w:space="0" w:color="auto"/>
      </w:divBdr>
      <w:divsChild>
        <w:div w:id="399987405">
          <w:marLeft w:val="878"/>
          <w:marRight w:val="0"/>
          <w:marTop w:val="120"/>
          <w:marBottom w:val="0"/>
          <w:divBdr>
            <w:top w:val="none" w:sz="0" w:space="0" w:color="auto"/>
            <w:left w:val="none" w:sz="0" w:space="0" w:color="auto"/>
            <w:bottom w:val="none" w:sz="0" w:space="0" w:color="auto"/>
            <w:right w:val="none" w:sz="0" w:space="0" w:color="auto"/>
          </w:divBdr>
        </w:div>
        <w:div w:id="774714482">
          <w:marLeft w:val="878"/>
          <w:marRight w:val="0"/>
          <w:marTop w:val="120"/>
          <w:marBottom w:val="0"/>
          <w:divBdr>
            <w:top w:val="none" w:sz="0" w:space="0" w:color="auto"/>
            <w:left w:val="none" w:sz="0" w:space="0" w:color="auto"/>
            <w:bottom w:val="none" w:sz="0" w:space="0" w:color="auto"/>
            <w:right w:val="none" w:sz="0" w:space="0" w:color="auto"/>
          </w:divBdr>
        </w:div>
        <w:div w:id="1699162866">
          <w:marLeft w:val="878"/>
          <w:marRight w:val="0"/>
          <w:marTop w:val="120"/>
          <w:marBottom w:val="0"/>
          <w:divBdr>
            <w:top w:val="none" w:sz="0" w:space="0" w:color="auto"/>
            <w:left w:val="none" w:sz="0" w:space="0" w:color="auto"/>
            <w:bottom w:val="none" w:sz="0" w:space="0" w:color="auto"/>
            <w:right w:val="none" w:sz="0" w:space="0" w:color="auto"/>
          </w:divBdr>
        </w:div>
        <w:div w:id="1781490571">
          <w:marLeft w:val="878"/>
          <w:marRight w:val="0"/>
          <w:marTop w:val="120"/>
          <w:marBottom w:val="0"/>
          <w:divBdr>
            <w:top w:val="none" w:sz="0" w:space="0" w:color="auto"/>
            <w:left w:val="none" w:sz="0" w:space="0" w:color="auto"/>
            <w:bottom w:val="none" w:sz="0" w:space="0" w:color="auto"/>
            <w:right w:val="none" w:sz="0" w:space="0" w:color="auto"/>
          </w:divBdr>
        </w:div>
      </w:divsChild>
    </w:div>
    <w:div w:id="567300997">
      <w:bodyDiv w:val="1"/>
      <w:marLeft w:val="0"/>
      <w:marRight w:val="0"/>
      <w:marTop w:val="0"/>
      <w:marBottom w:val="0"/>
      <w:divBdr>
        <w:top w:val="none" w:sz="0" w:space="0" w:color="auto"/>
        <w:left w:val="none" w:sz="0" w:space="0" w:color="auto"/>
        <w:bottom w:val="none" w:sz="0" w:space="0" w:color="auto"/>
        <w:right w:val="none" w:sz="0" w:space="0" w:color="auto"/>
      </w:divBdr>
    </w:div>
    <w:div w:id="646125337">
      <w:bodyDiv w:val="1"/>
      <w:marLeft w:val="0"/>
      <w:marRight w:val="0"/>
      <w:marTop w:val="0"/>
      <w:marBottom w:val="0"/>
      <w:divBdr>
        <w:top w:val="none" w:sz="0" w:space="0" w:color="auto"/>
        <w:left w:val="none" w:sz="0" w:space="0" w:color="auto"/>
        <w:bottom w:val="none" w:sz="0" w:space="0" w:color="auto"/>
        <w:right w:val="none" w:sz="0" w:space="0" w:color="auto"/>
      </w:divBdr>
    </w:div>
    <w:div w:id="696663128">
      <w:bodyDiv w:val="1"/>
      <w:marLeft w:val="0"/>
      <w:marRight w:val="0"/>
      <w:marTop w:val="0"/>
      <w:marBottom w:val="0"/>
      <w:divBdr>
        <w:top w:val="none" w:sz="0" w:space="0" w:color="auto"/>
        <w:left w:val="none" w:sz="0" w:space="0" w:color="auto"/>
        <w:bottom w:val="none" w:sz="0" w:space="0" w:color="auto"/>
        <w:right w:val="none" w:sz="0" w:space="0" w:color="auto"/>
      </w:divBdr>
      <w:divsChild>
        <w:div w:id="692153152">
          <w:marLeft w:val="547"/>
          <w:marRight w:val="0"/>
          <w:marTop w:val="240"/>
          <w:marBottom w:val="0"/>
          <w:divBdr>
            <w:top w:val="none" w:sz="0" w:space="0" w:color="auto"/>
            <w:left w:val="none" w:sz="0" w:space="0" w:color="auto"/>
            <w:bottom w:val="none" w:sz="0" w:space="0" w:color="auto"/>
            <w:right w:val="none" w:sz="0" w:space="0" w:color="auto"/>
          </w:divBdr>
        </w:div>
      </w:divsChild>
    </w:div>
    <w:div w:id="996107503">
      <w:bodyDiv w:val="1"/>
      <w:marLeft w:val="0"/>
      <w:marRight w:val="0"/>
      <w:marTop w:val="0"/>
      <w:marBottom w:val="0"/>
      <w:divBdr>
        <w:top w:val="none" w:sz="0" w:space="0" w:color="auto"/>
        <w:left w:val="none" w:sz="0" w:space="0" w:color="auto"/>
        <w:bottom w:val="none" w:sz="0" w:space="0" w:color="auto"/>
        <w:right w:val="none" w:sz="0" w:space="0" w:color="auto"/>
      </w:divBdr>
    </w:div>
    <w:div w:id="1030378179">
      <w:bodyDiv w:val="1"/>
      <w:marLeft w:val="0"/>
      <w:marRight w:val="0"/>
      <w:marTop w:val="0"/>
      <w:marBottom w:val="0"/>
      <w:divBdr>
        <w:top w:val="none" w:sz="0" w:space="0" w:color="auto"/>
        <w:left w:val="none" w:sz="0" w:space="0" w:color="auto"/>
        <w:bottom w:val="none" w:sz="0" w:space="0" w:color="auto"/>
        <w:right w:val="none" w:sz="0" w:space="0" w:color="auto"/>
      </w:divBdr>
    </w:div>
    <w:div w:id="1519126608">
      <w:bodyDiv w:val="1"/>
      <w:marLeft w:val="0"/>
      <w:marRight w:val="0"/>
      <w:marTop w:val="0"/>
      <w:marBottom w:val="0"/>
      <w:divBdr>
        <w:top w:val="none" w:sz="0" w:space="0" w:color="auto"/>
        <w:left w:val="none" w:sz="0" w:space="0" w:color="auto"/>
        <w:bottom w:val="none" w:sz="0" w:space="0" w:color="auto"/>
        <w:right w:val="none" w:sz="0" w:space="0" w:color="auto"/>
      </w:divBdr>
      <w:divsChild>
        <w:div w:id="135028865">
          <w:marLeft w:val="0"/>
          <w:marRight w:val="0"/>
          <w:marTop w:val="0"/>
          <w:marBottom w:val="0"/>
          <w:divBdr>
            <w:top w:val="none" w:sz="0" w:space="0" w:color="auto"/>
            <w:left w:val="none" w:sz="0" w:space="0" w:color="auto"/>
            <w:bottom w:val="none" w:sz="0" w:space="0" w:color="auto"/>
            <w:right w:val="none" w:sz="0" w:space="0" w:color="auto"/>
          </w:divBdr>
          <w:divsChild>
            <w:div w:id="796797191">
              <w:marLeft w:val="0"/>
              <w:marRight w:val="0"/>
              <w:marTop w:val="0"/>
              <w:marBottom w:val="0"/>
              <w:divBdr>
                <w:top w:val="none" w:sz="0" w:space="0" w:color="auto"/>
                <w:left w:val="none" w:sz="0" w:space="0" w:color="auto"/>
                <w:bottom w:val="none" w:sz="0" w:space="0" w:color="auto"/>
                <w:right w:val="none" w:sz="0" w:space="0" w:color="auto"/>
              </w:divBdr>
              <w:divsChild>
                <w:div w:id="1126657667">
                  <w:marLeft w:val="0"/>
                  <w:marRight w:val="0"/>
                  <w:marTop w:val="0"/>
                  <w:marBottom w:val="0"/>
                  <w:divBdr>
                    <w:top w:val="none" w:sz="0" w:space="0" w:color="auto"/>
                    <w:left w:val="none" w:sz="0" w:space="0" w:color="auto"/>
                    <w:bottom w:val="none" w:sz="0" w:space="0" w:color="auto"/>
                    <w:right w:val="none" w:sz="0" w:space="0" w:color="auto"/>
                  </w:divBdr>
                  <w:divsChild>
                    <w:div w:id="2023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3475">
      <w:bodyDiv w:val="1"/>
      <w:marLeft w:val="0"/>
      <w:marRight w:val="0"/>
      <w:marTop w:val="0"/>
      <w:marBottom w:val="0"/>
      <w:divBdr>
        <w:top w:val="none" w:sz="0" w:space="0" w:color="auto"/>
        <w:left w:val="none" w:sz="0" w:space="0" w:color="auto"/>
        <w:bottom w:val="none" w:sz="0" w:space="0" w:color="auto"/>
        <w:right w:val="none" w:sz="0" w:space="0" w:color="auto"/>
      </w:divBdr>
    </w:div>
    <w:div w:id="1794130824">
      <w:bodyDiv w:val="1"/>
      <w:marLeft w:val="0"/>
      <w:marRight w:val="0"/>
      <w:marTop w:val="0"/>
      <w:marBottom w:val="0"/>
      <w:divBdr>
        <w:top w:val="none" w:sz="0" w:space="0" w:color="auto"/>
        <w:left w:val="none" w:sz="0" w:space="0" w:color="auto"/>
        <w:bottom w:val="none" w:sz="0" w:space="0" w:color="auto"/>
        <w:right w:val="none" w:sz="0" w:space="0" w:color="auto"/>
      </w:divBdr>
      <w:divsChild>
        <w:div w:id="170266838">
          <w:marLeft w:val="720"/>
          <w:marRight w:val="0"/>
          <w:marTop w:val="240"/>
          <w:marBottom w:val="0"/>
          <w:divBdr>
            <w:top w:val="none" w:sz="0" w:space="0" w:color="auto"/>
            <w:left w:val="none" w:sz="0" w:space="0" w:color="auto"/>
            <w:bottom w:val="none" w:sz="0" w:space="0" w:color="auto"/>
            <w:right w:val="none" w:sz="0" w:space="0" w:color="auto"/>
          </w:divBdr>
        </w:div>
      </w:divsChild>
    </w:div>
    <w:div w:id="1862931858">
      <w:bodyDiv w:val="1"/>
      <w:marLeft w:val="0"/>
      <w:marRight w:val="0"/>
      <w:marTop w:val="0"/>
      <w:marBottom w:val="0"/>
      <w:divBdr>
        <w:top w:val="none" w:sz="0" w:space="0" w:color="auto"/>
        <w:left w:val="none" w:sz="0" w:space="0" w:color="auto"/>
        <w:bottom w:val="none" w:sz="0" w:space="0" w:color="auto"/>
        <w:right w:val="none" w:sz="0" w:space="0" w:color="auto"/>
      </w:divBdr>
    </w:div>
    <w:div w:id="1920406184">
      <w:bodyDiv w:val="1"/>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120"/>
          <w:marBottom w:val="0"/>
          <w:divBdr>
            <w:top w:val="none" w:sz="0" w:space="0" w:color="auto"/>
            <w:left w:val="none" w:sz="0" w:space="0" w:color="auto"/>
            <w:bottom w:val="none" w:sz="0" w:space="0" w:color="auto"/>
            <w:right w:val="none" w:sz="0" w:space="0" w:color="auto"/>
          </w:divBdr>
        </w:div>
      </w:divsChild>
    </w:div>
    <w:div w:id="2023313259">
      <w:bodyDiv w:val="1"/>
      <w:marLeft w:val="0"/>
      <w:marRight w:val="0"/>
      <w:marTop w:val="0"/>
      <w:marBottom w:val="0"/>
      <w:divBdr>
        <w:top w:val="none" w:sz="0" w:space="0" w:color="auto"/>
        <w:left w:val="none" w:sz="0" w:space="0" w:color="auto"/>
        <w:bottom w:val="none" w:sz="0" w:space="0" w:color="auto"/>
        <w:right w:val="none" w:sz="0" w:space="0" w:color="auto"/>
      </w:divBdr>
      <w:divsChild>
        <w:div w:id="1485973286">
          <w:marLeft w:val="0"/>
          <w:marRight w:val="0"/>
          <w:marTop w:val="0"/>
          <w:marBottom w:val="0"/>
          <w:divBdr>
            <w:top w:val="none" w:sz="0" w:space="0" w:color="auto"/>
            <w:left w:val="none" w:sz="0" w:space="0" w:color="auto"/>
            <w:bottom w:val="none" w:sz="0" w:space="0" w:color="auto"/>
            <w:right w:val="none" w:sz="0" w:space="0" w:color="auto"/>
          </w:divBdr>
          <w:divsChild>
            <w:div w:id="1979719371">
              <w:marLeft w:val="0"/>
              <w:marRight w:val="0"/>
              <w:marTop w:val="0"/>
              <w:marBottom w:val="0"/>
              <w:divBdr>
                <w:top w:val="none" w:sz="0" w:space="0" w:color="auto"/>
                <w:left w:val="none" w:sz="0" w:space="0" w:color="auto"/>
                <w:bottom w:val="none" w:sz="0" w:space="0" w:color="auto"/>
                <w:right w:val="none" w:sz="0" w:space="0" w:color="auto"/>
              </w:divBdr>
              <w:divsChild>
                <w:div w:id="283969936">
                  <w:marLeft w:val="0"/>
                  <w:marRight w:val="0"/>
                  <w:marTop w:val="0"/>
                  <w:marBottom w:val="0"/>
                  <w:divBdr>
                    <w:top w:val="none" w:sz="0" w:space="0" w:color="auto"/>
                    <w:left w:val="none" w:sz="0" w:space="0" w:color="auto"/>
                    <w:bottom w:val="none" w:sz="0" w:space="0" w:color="auto"/>
                    <w:right w:val="none" w:sz="0" w:space="0" w:color="auto"/>
                  </w:divBdr>
                  <w:divsChild>
                    <w:div w:id="2869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emographics"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079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02/1438/regulation/3/made" TargetMode="External"/><Relationship Id="rId4" Type="http://schemas.openxmlformats.org/officeDocument/2006/relationships/settings" Target="settings.xml"/><Relationship Id="rId9" Type="http://schemas.openxmlformats.org/officeDocument/2006/relationships/hyperlink" Target="http://www.statistics.gov.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hamezladhani:Documents:USBsynch:Godwin:IPDdeaths:PIDmort2016_shamez(3)_repai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hamezladhani:Documents:USBsynch:Godwin:IPDdeaths:PIDmort2016_shamez(3)_repai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52104041895401"/>
          <c:y val="6.3835924275359807E-2"/>
          <c:w val="0.81374701584008302"/>
          <c:h val="0.73314125272651298"/>
        </c:manualLayout>
      </c:layout>
      <c:barChart>
        <c:barDir val="col"/>
        <c:grouping val="stacked"/>
        <c:varyColors val="0"/>
        <c:ser>
          <c:idx val="1"/>
          <c:order val="0"/>
          <c:tx>
            <c:strRef>
              <c:f>shamez!$T$58</c:f>
              <c:strCache>
                <c:ptCount val="1"/>
                <c:pt idx="0">
                  <c:v>PCV7</c:v>
                </c:pt>
              </c:strCache>
            </c:strRef>
          </c:tx>
          <c:invertIfNegative val="0"/>
          <c:cat>
            <c:strRef>
              <c:f>shamez!$R$59:$R$66</c:f>
              <c:strCache>
                <c:ptCount val="8"/>
                <c:pt idx="0">
                  <c:v>2006/07</c:v>
                </c:pt>
                <c:pt idx="1">
                  <c:v>2007/08</c:v>
                </c:pt>
                <c:pt idx="2">
                  <c:v>2008/09</c:v>
                </c:pt>
                <c:pt idx="3">
                  <c:v>2009/10</c:v>
                </c:pt>
                <c:pt idx="4">
                  <c:v>2010/11</c:v>
                </c:pt>
                <c:pt idx="5">
                  <c:v>2011/12</c:v>
                </c:pt>
                <c:pt idx="6">
                  <c:v>2012/13</c:v>
                </c:pt>
                <c:pt idx="7">
                  <c:v>2013/14</c:v>
                </c:pt>
              </c:strCache>
            </c:strRef>
          </c:cat>
          <c:val>
            <c:numRef>
              <c:f>shamez!$T$59:$T$66</c:f>
              <c:numCache>
                <c:formatCode>General</c:formatCode>
                <c:ptCount val="8"/>
                <c:pt idx="0">
                  <c:v>0.49863697582657801</c:v>
                </c:pt>
                <c:pt idx="1">
                  <c:v>7.3687134742084007E-2</c:v>
                </c:pt>
                <c:pt idx="2">
                  <c:v>5.8472282968427297E-2</c:v>
                </c:pt>
                <c:pt idx="3">
                  <c:v>8.5769325115488501E-2</c:v>
                </c:pt>
                <c:pt idx="4">
                  <c:v>2.81526300468516E-2</c:v>
                </c:pt>
                <c:pt idx="5">
                  <c:v>2.7841899218450001E-2</c:v>
                </c:pt>
                <c:pt idx="6">
                  <c:v>2.7921184081574499E-2</c:v>
                </c:pt>
                <c:pt idx="7">
                  <c:v>8.4021916276641601E-2</c:v>
                </c:pt>
              </c:numCache>
            </c:numRef>
          </c:val>
        </c:ser>
        <c:ser>
          <c:idx val="2"/>
          <c:order val="1"/>
          <c:tx>
            <c:strRef>
              <c:f>shamez!$U$58</c:f>
              <c:strCache>
                <c:ptCount val="1"/>
                <c:pt idx="0">
                  <c:v>PCV13</c:v>
                </c:pt>
              </c:strCache>
            </c:strRef>
          </c:tx>
          <c:invertIfNegative val="0"/>
          <c:cat>
            <c:strRef>
              <c:f>shamez!$R$59:$R$66</c:f>
              <c:strCache>
                <c:ptCount val="8"/>
                <c:pt idx="0">
                  <c:v>2006/07</c:v>
                </c:pt>
                <c:pt idx="1">
                  <c:v>2007/08</c:v>
                </c:pt>
                <c:pt idx="2">
                  <c:v>2008/09</c:v>
                </c:pt>
                <c:pt idx="3">
                  <c:v>2009/10</c:v>
                </c:pt>
                <c:pt idx="4">
                  <c:v>2010/11</c:v>
                </c:pt>
                <c:pt idx="5">
                  <c:v>2011/12</c:v>
                </c:pt>
                <c:pt idx="6">
                  <c:v>2012/13</c:v>
                </c:pt>
                <c:pt idx="7">
                  <c:v>2013/14</c:v>
                </c:pt>
              </c:strCache>
            </c:strRef>
          </c:cat>
          <c:val>
            <c:numRef>
              <c:f>shamez!$U$59:$U$66</c:f>
              <c:numCache>
                <c:formatCode>General</c:formatCode>
                <c:ptCount val="8"/>
                <c:pt idx="0">
                  <c:v>0.24931848791328901</c:v>
                </c:pt>
                <c:pt idx="1">
                  <c:v>0.22106140422625201</c:v>
                </c:pt>
                <c:pt idx="2">
                  <c:v>0.29236141484213601</c:v>
                </c:pt>
                <c:pt idx="3">
                  <c:v>0.343077300461954</c:v>
                </c:pt>
                <c:pt idx="4">
                  <c:v>0.30967893051536799</c:v>
                </c:pt>
                <c:pt idx="5">
                  <c:v>0</c:v>
                </c:pt>
                <c:pt idx="6">
                  <c:v>2.7921184081574499E-2</c:v>
                </c:pt>
                <c:pt idx="7">
                  <c:v>0</c:v>
                </c:pt>
              </c:numCache>
            </c:numRef>
          </c:val>
        </c:ser>
        <c:ser>
          <c:idx val="0"/>
          <c:order val="2"/>
          <c:tx>
            <c:strRef>
              <c:f>shamez!$S$58</c:f>
              <c:strCache>
                <c:ptCount val="1"/>
                <c:pt idx="0">
                  <c:v>Other</c:v>
                </c:pt>
              </c:strCache>
            </c:strRef>
          </c:tx>
          <c:invertIfNegative val="0"/>
          <c:cat>
            <c:strRef>
              <c:f>shamez!$R$59:$R$66</c:f>
              <c:strCache>
                <c:ptCount val="8"/>
                <c:pt idx="0">
                  <c:v>2006/07</c:v>
                </c:pt>
                <c:pt idx="1">
                  <c:v>2007/08</c:v>
                </c:pt>
                <c:pt idx="2">
                  <c:v>2008/09</c:v>
                </c:pt>
                <c:pt idx="3">
                  <c:v>2009/10</c:v>
                </c:pt>
                <c:pt idx="4">
                  <c:v>2010/11</c:v>
                </c:pt>
                <c:pt idx="5">
                  <c:v>2011/12</c:v>
                </c:pt>
                <c:pt idx="6">
                  <c:v>2012/13</c:v>
                </c:pt>
                <c:pt idx="7">
                  <c:v>2013/14</c:v>
                </c:pt>
              </c:strCache>
            </c:strRef>
          </c:cat>
          <c:val>
            <c:numRef>
              <c:f>shamez!$S$59:$S$66</c:f>
              <c:numCache>
                <c:formatCode>General</c:formatCode>
                <c:ptCount val="8"/>
                <c:pt idx="0">
                  <c:v>0.34904588307860501</c:v>
                </c:pt>
                <c:pt idx="1">
                  <c:v>0.25790497159729397</c:v>
                </c:pt>
                <c:pt idx="2">
                  <c:v>0.26312527335792302</c:v>
                </c:pt>
                <c:pt idx="3">
                  <c:v>0.14294887519248101</c:v>
                </c:pt>
                <c:pt idx="4">
                  <c:v>0.25337367042166398</c:v>
                </c:pt>
                <c:pt idx="5">
                  <c:v>0.33410279062140003</c:v>
                </c:pt>
                <c:pt idx="6">
                  <c:v>0.19544828857102201</c:v>
                </c:pt>
                <c:pt idx="7">
                  <c:v>0.224058443404378</c:v>
                </c:pt>
              </c:numCache>
            </c:numRef>
          </c:val>
        </c:ser>
        <c:ser>
          <c:idx val="3"/>
          <c:order val="3"/>
          <c:tx>
            <c:strRef>
              <c:f>shamez!$V$58</c:f>
              <c:strCache>
                <c:ptCount val="1"/>
                <c:pt idx="0">
                  <c:v>Not Known</c:v>
                </c:pt>
              </c:strCache>
            </c:strRef>
          </c:tx>
          <c:invertIfNegative val="0"/>
          <c:cat>
            <c:strRef>
              <c:f>shamez!$R$59:$R$66</c:f>
              <c:strCache>
                <c:ptCount val="8"/>
                <c:pt idx="0">
                  <c:v>2006/07</c:v>
                </c:pt>
                <c:pt idx="1">
                  <c:v>2007/08</c:v>
                </c:pt>
                <c:pt idx="2">
                  <c:v>2008/09</c:v>
                </c:pt>
                <c:pt idx="3">
                  <c:v>2009/10</c:v>
                </c:pt>
                <c:pt idx="4">
                  <c:v>2010/11</c:v>
                </c:pt>
                <c:pt idx="5">
                  <c:v>2011/12</c:v>
                </c:pt>
                <c:pt idx="6">
                  <c:v>2012/13</c:v>
                </c:pt>
                <c:pt idx="7">
                  <c:v>2013/14</c:v>
                </c:pt>
              </c:strCache>
            </c:strRef>
          </c:cat>
          <c:val>
            <c:numRef>
              <c:f>shamez!$V$59:$V$66</c:f>
              <c:numCache>
                <c:formatCode>General</c:formatCode>
                <c:ptCount val="8"/>
                <c:pt idx="0">
                  <c:v>0.149591092747973</c:v>
                </c:pt>
                <c:pt idx="1">
                  <c:v>7.3687134742084007E-2</c:v>
                </c:pt>
                <c:pt idx="2">
                  <c:v>8.7708424452640904E-2</c:v>
                </c:pt>
                <c:pt idx="3">
                  <c:v>2.85897750384961E-2</c:v>
                </c:pt>
                <c:pt idx="4">
                  <c:v>0.112610520187406</c:v>
                </c:pt>
                <c:pt idx="5">
                  <c:v>0</c:v>
                </c:pt>
                <c:pt idx="6">
                  <c:v>5.5842368163149102E-2</c:v>
                </c:pt>
                <c:pt idx="7">
                  <c:v>8.4021916276641601E-2</c:v>
                </c:pt>
              </c:numCache>
            </c:numRef>
          </c:val>
        </c:ser>
        <c:dLbls>
          <c:showLegendKey val="0"/>
          <c:showVal val="0"/>
          <c:showCatName val="0"/>
          <c:showSerName val="0"/>
          <c:showPercent val="0"/>
          <c:showBubbleSize val="0"/>
        </c:dLbls>
        <c:gapWidth val="150"/>
        <c:overlap val="100"/>
        <c:axId val="309201520"/>
        <c:axId val="308108032"/>
      </c:barChart>
      <c:catAx>
        <c:axId val="309201520"/>
        <c:scaling>
          <c:orientation val="minMax"/>
        </c:scaling>
        <c:delete val="0"/>
        <c:axPos val="b"/>
        <c:title>
          <c:tx>
            <c:rich>
              <a:bodyPr/>
              <a:lstStyle/>
              <a:p>
                <a:pPr>
                  <a:defRPr/>
                </a:pPr>
                <a:r>
                  <a:rPr lang="en-US"/>
                  <a:t>Surveillance Year</a:t>
                </a:r>
              </a:p>
            </c:rich>
          </c:tx>
          <c:layout/>
          <c:overlay val="0"/>
        </c:title>
        <c:numFmt formatCode="General" sourceLinked="0"/>
        <c:majorTickMark val="out"/>
        <c:minorTickMark val="none"/>
        <c:tickLblPos val="nextTo"/>
        <c:crossAx val="308108032"/>
        <c:crosses val="autoZero"/>
        <c:auto val="1"/>
        <c:lblAlgn val="ctr"/>
        <c:lblOffset val="100"/>
        <c:noMultiLvlLbl val="0"/>
      </c:catAx>
      <c:valAx>
        <c:axId val="308108032"/>
        <c:scaling>
          <c:orientation val="minMax"/>
        </c:scaling>
        <c:delete val="0"/>
        <c:axPos val="l"/>
        <c:majorGridlines/>
        <c:title>
          <c:tx>
            <c:rich>
              <a:bodyPr rot="-5400000" vert="horz"/>
              <a:lstStyle/>
              <a:p>
                <a:pPr>
                  <a:defRPr/>
                </a:pPr>
                <a:r>
                  <a:rPr lang="en-US"/>
                  <a:t>Incidence per 100,000 children</a:t>
                </a:r>
              </a:p>
            </c:rich>
          </c:tx>
          <c:layout/>
          <c:overlay val="0"/>
        </c:title>
        <c:numFmt formatCode="General" sourceLinked="1"/>
        <c:majorTickMark val="out"/>
        <c:minorTickMark val="none"/>
        <c:tickLblPos val="nextTo"/>
        <c:crossAx val="309201520"/>
        <c:crosses val="autoZero"/>
        <c:crossBetween val="between"/>
      </c:valAx>
    </c:plotArea>
    <c:legend>
      <c:legendPos val="r"/>
      <c:layout>
        <c:manualLayout>
          <c:xMode val="edge"/>
          <c:yMode val="edge"/>
          <c:x val="0.77521779041637096"/>
          <c:y val="9.1824748542135903E-2"/>
          <c:w val="0.16465985934733299"/>
          <c:h val="0.33977917641991401"/>
        </c:manualLayout>
      </c:layout>
      <c:overlay val="0"/>
      <c:spPr>
        <a:solidFill>
          <a:schemeClr val="bg1"/>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119247594050699"/>
          <c:y val="6.0185185185185203E-2"/>
          <c:w val="0.77478718285214299"/>
          <c:h val="0.71598789734616497"/>
        </c:manualLayout>
      </c:layout>
      <c:barChart>
        <c:barDir val="col"/>
        <c:grouping val="percentStacked"/>
        <c:varyColors val="0"/>
        <c:ser>
          <c:idx val="0"/>
          <c:order val="0"/>
          <c:tx>
            <c:strRef>
              <c:f>presentation!$C$55</c:f>
              <c:strCache>
                <c:ptCount val="1"/>
                <c:pt idx="0">
                  <c:v>Meningitis</c:v>
                </c:pt>
              </c:strCache>
            </c:strRef>
          </c:tx>
          <c:invertIfNegative val="0"/>
          <c:cat>
            <c:strRef>
              <c:f>presentation!$B$56:$B$59</c:f>
              <c:strCache>
                <c:ptCount val="4"/>
                <c:pt idx="0">
                  <c:v>PCV7 </c:v>
                </c:pt>
                <c:pt idx="1">
                  <c:v>PCV13</c:v>
                </c:pt>
                <c:pt idx="2">
                  <c:v>Other</c:v>
                </c:pt>
                <c:pt idx="3">
                  <c:v>Not Known</c:v>
                </c:pt>
              </c:strCache>
            </c:strRef>
          </c:cat>
          <c:val>
            <c:numRef>
              <c:f>presentation!$C$56:$C$59</c:f>
              <c:numCache>
                <c:formatCode>General</c:formatCode>
                <c:ptCount val="4"/>
                <c:pt idx="0">
                  <c:v>11</c:v>
                </c:pt>
                <c:pt idx="1">
                  <c:v>20</c:v>
                </c:pt>
                <c:pt idx="2">
                  <c:v>31</c:v>
                </c:pt>
                <c:pt idx="3">
                  <c:v>9</c:v>
                </c:pt>
              </c:numCache>
            </c:numRef>
          </c:val>
        </c:ser>
        <c:ser>
          <c:idx val="1"/>
          <c:order val="1"/>
          <c:tx>
            <c:strRef>
              <c:f>presentation!$D$55</c:f>
              <c:strCache>
                <c:ptCount val="1"/>
                <c:pt idx="0">
                  <c:v>Pneumonia</c:v>
                </c:pt>
              </c:strCache>
            </c:strRef>
          </c:tx>
          <c:invertIfNegative val="0"/>
          <c:cat>
            <c:strRef>
              <c:f>presentation!$B$56:$B$59</c:f>
              <c:strCache>
                <c:ptCount val="4"/>
                <c:pt idx="0">
                  <c:v>PCV7 </c:v>
                </c:pt>
                <c:pt idx="1">
                  <c:v>PCV13</c:v>
                </c:pt>
                <c:pt idx="2">
                  <c:v>Other</c:v>
                </c:pt>
                <c:pt idx="3">
                  <c:v>Not Known</c:v>
                </c:pt>
              </c:strCache>
            </c:strRef>
          </c:cat>
          <c:val>
            <c:numRef>
              <c:f>presentation!$D$56:$D$59</c:f>
              <c:numCache>
                <c:formatCode>General</c:formatCode>
                <c:ptCount val="4"/>
                <c:pt idx="0">
                  <c:v>7</c:v>
                </c:pt>
                <c:pt idx="1">
                  <c:v>17</c:v>
                </c:pt>
                <c:pt idx="2">
                  <c:v>14</c:v>
                </c:pt>
                <c:pt idx="3">
                  <c:v>5</c:v>
                </c:pt>
              </c:numCache>
            </c:numRef>
          </c:val>
        </c:ser>
        <c:ser>
          <c:idx val="2"/>
          <c:order val="2"/>
          <c:tx>
            <c:strRef>
              <c:f>presentation!$E$55</c:f>
              <c:strCache>
                <c:ptCount val="1"/>
                <c:pt idx="0">
                  <c:v>Septicaemia</c:v>
                </c:pt>
              </c:strCache>
            </c:strRef>
          </c:tx>
          <c:invertIfNegative val="0"/>
          <c:cat>
            <c:strRef>
              <c:f>presentation!$B$56:$B$59</c:f>
              <c:strCache>
                <c:ptCount val="4"/>
                <c:pt idx="0">
                  <c:v>PCV7 </c:v>
                </c:pt>
                <c:pt idx="1">
                  <c:v>PCV13</c:v>
                </c:pt>
                <c:pt idx="2">
                  <c:v>Other</c:v>
                </c:pt>
                <c:pt idx="3">
                  <c:v>Not Known</c:v>
                </c:pt>
              </c:strCache>
            </c:strRef>
          </c:cat>
          <c:val>
            <c:numRef>
              <c:f>presentation!$E$56:$E$59</c:f>
              <c:numCache>
                <c:formatCode>General</c:formatCode>
                <c:ptCount val="4"/>
                <c:pt idx="0">
                  <c:v>6</c:v>
                </c:pt>
                <c:pt idx="1">
                  <c:v>8</c:v>
                </c:pt>
                <c:pt idx="2">
                  <c:v>19</c:v>
                </c:pt>
                <c:pt idx="3">
                  <c:v>4</c:v>
                </c:pt>
              </c:numCache>
            </c:numRef>
          </c:val>
        </c:ser>
        <c:dLbls>
          <c:showLegendKey val="0"/>
          <c:showVal val="0"/>
          <c:showCatName val="0"/>
          <c:showSerName val="0"/>
          <c:showPercent val="0"/>
          <c:showBubbleSize val="0"/>
        </c:dLbls>
        <c:gapWidth val="150"/>
        <c:overlap val="100"/>
        <c:axId val="308108816"/>
        <c:axId val="308109208"/>
      </c:barChart>
      <c:catAx>
        <c:axId val="308108816"/>
        <c:scaling>
          <c:orientation val="minMax"/>
        </c:scaling>
        <c:delete val="0"/>
        <c:axPos val="b"/>
        <c:title>
          <c:tx>
            <c:rich>
              <a:bodyPr/>
              <a:lstStyle/>
              <a:p>
                <a:pPr>
                  <a:defRPr/>
                </a:pPr>
                <a:r>
                  <a:rPr lang="en-US"/>
                  <a:t>Serotype</a:t>
                </a:r>
              </a:p>
            </c:rich>
          </c:tx>
          <c:layout>
            <c:manualLayout>
              <c:xMode val="edge"/>
              <c:yMode val="edge"/>
              <c:x val="0.49398643919510099"/>
              <c:y val="0.89814814814814803"/>
            </c:manualLayout>
          </c:layout>
          <c:overlay val="0"/>
        </c:title>
        <c:numFmt formatCode="General" sourceLinked="0"/>
        <c:majorTickMark val="out"/>
        <c:minorTickMark val="none"/>
        <c:tickLblPos val="nextTo"/>
        <c:crossAx val="308109208"/>
        <c:crosses val="autoZero"/>
        <c:auto val="1"/>
        <c:lblAlgn val="ctr"/>
        <c:lblOffset val="100"/>
        <c:noMultiLvlLbl val="0"/>
      </c:catAx>
      <c:valAx>
        <c:axId val="308109208"/>
        <c:scaling>
          <c:orientation val="minMax"/>
        </c:scaling>
        <c:delete val="0"/>
        <c:axPos val="l"/>
        <c:majorGridlines/>
        <c:title>
          <c:tx>
            <c:rich>
              <a:bodyPr rot="-5400000" vert="horz"/>
              <a:lstStyle/>
              <a:p>
                <a:pPr>
                  <a:defRPr/>
                </a:pPr>
                <a:r>
                  <a:rPr lang="en-US"/>
                  <a:t>Proportion</a:t>
                </a:r>
                <a:r>
                  <a:rPr lang="en-US" baseline="0"/>
                  <a:t> of Deaths</a:t>
                </a:r>
                <a:endParaRPr lang="en-US"/>
              </a:p>
            </c:rich>
          </c:tx>
          <c:layout>
            <c:manualLayout>
              <c:xMode val="edge"/>
              <c:yMode val="edge"/>
              <c:x val="1.6666666666666701E-2"/>
              <c:y val="0.251046952464275"/>
            </c:manualLayout>
          </c:layout>
          <c:overlay val="0"/>
        </c:title>
        <c:numFmt formatCode="0%" sourceLinked="1"/>
        <c:majorTickMark val="out"/>
        <c:minorTickMark val="none"/>
        <c:tickLblPos val="nextTo"/>
        <c:crossAx val="308108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55B1-3FEA-4BCF-B967-D060D80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31081</Words>
  <Characters>177162</Characters>
  <Application>Microsoft Office Word</Application>
  <DocSecurity>4</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207828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Oligbu</dc:creator>
  <cp:lastModifiedBy>Isabelle Hubbard</cp:lastModifiedBy>
  <cp:revision>2</cp:revision>
  <dcterms:created xsi:type="dcterms:W3CDTF">2017-04-24T10:59:00Z</dcterms:created>
  <dcterms:modified xsi:type="dcterms:W3CDTF">2017-04-24T10:59:00Z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a1e0f663-5406-3c46-95ee-e0d3dda60818</vt:lpwstr>
  </property>
</Properties>
</file>