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AC405" w14:textId="62DF3824" w:rsidR="00711222" w:rsidRPr="00711222" w:rsidRDefault="005049EB" w:rsidP="000D3622">
      <w:pPr>
        <w:autoSpaceDE w:val="0"/>
        <w:autoSpaceDN w:val="0"/>
        <w:adjustRightInd w:val="0"/>
        <w:spacing w:after="0" w:line="320" w:lineRule="exact"/>
        <w:jc w:val="center"/>
        <w:rPr>
          <w:rFonts w:cs="Calibri"/>
          <w:b/>
          <w:sz w:val="24"/>
          <w:szCs w:val="24"/>
        </w:rPr>
      </w:pPr>
      <w:bookmarkStart w:id="0" w:name="_GoBack"/>
      <w:r>
        <w:rPr>
          <w:rFonts w:cs="Calibri"/>
          <w:b/>
          <w:sz w:val="24"/>
          <w:szCs w:val="24"/>
        </w:rPr>
        <w:t>Preventable</w:t>
      </w:r>
      <w:r w:rsidR="00711222" w:rsidRPr="00711222">
        <w:rPr>
          <w:rFonts w:cs="Calibri"/>
          <w:b/>
          <w:sz w:val="24"/>
          <w:szCs w:val="24"/>
        </w:rPr>
        <w:t xml:space="preserve"> Emergency Hospital Admissions among Adults with Intellectual Disability</w:t>
      </w:r>
      <w:r w:rsidR="00040CDD">
        <w:rPr>
          <w:rFonts w:cs="Calibri"/>
          <w:b/>
          <w:sz w:val="24"/>
          <w:szCs w:val="24"/>
        </w:rPr>
        <w:t>: comparisons with the general population in England</w:t>
      </w:r>
    </w:p>
    <w:p w14:paraId="56EED778" w14:textId="77777777" w:rsidR="00711222" w:rsidRPr="00711222" w:rsidRDefault="00711222" w:rsidP="000D3622">
      <w:pPr>
        <w:autoSpaceDE w:val="0"/>
        <w:autoSpaceDN w:val="0"/>
        <w:adjustRightInd w:val="0"/>
        <w:spacing w:after="0" w:line="320" w:lineRule="exact"/>
        <w:rPr>
          <w:rFonts w:cs="Calibri"/>
          <w:sz w:val="24"/>
          <w:szCs w:val="24"/>
        </w:rPr>
      </w:pPr>
    </w:p>
    <w:bookmarkEnd w:id="0"/>
    <w:p w14:paraId="07945E3B" w14:textId="647C264E" w:rsidR="00711222" w:rsidRPr="00711222" w:rsidRDefault="00711222" w:rsidP="000D3622">
      <w:pPr>
        <w:autoSpaceDE w:val="0"/>
        <w:autoSpaceDN w:val="0"/>
        <w:adjustRightInd w:val="0"/>
        <w:spacing w:after="0" w:line="320" w:lineRule="exact"/>
        <w:rPr>
          <w:rFonts w:cs="Calibri"/>
          <w:sz w:val="24"/>
          <w:szCs w:val="24"/>
        </w:rPr>
      </w:pPr>
      <w:r w:rsidRPr="00711222">
        <w:rPr>
          <w:rFonts w:cs="Calibri"/>
          <w:sz w:val="24"/>
          <w:szCs w:val="24"/>
        </w:rPr>
        <w:t xml:space="preserve">Fay J Hosking, Iain M Carey, </w:t>
      </w:r>
      <w:r w:rsidR="00472A1A" w:rsidRPr="00711222">
        <w:rPr>
          <w:rFonts w:cs="Calibri"/>
          <w:sz w:val="24"/>
          <w:szCs w:val="24"/>
        </w:rPr>
        <w:t>Stephen DeWilde</w:t>
      </w:r>
      <w:r w:rsidR="00472A1A">
        <w:rPr>
          <w:rFonts w:cs="Calibri"/>
          <w:sz w:val="24"/>
          <w:szCs w:val="24"/>
        </w:rPr>
        <w:t>,</w:t>
      </w:r>
      <w:r w:rsidR="00472A1A" w:rsidRPr="00711222">
        <w:rPr>
          <w:rFonts w:cs="Calibri"/>
          <w:sz w:val="24"/>
          <w:szCs w:val="24"/>
        </w:rPr>
        <w:t xml:space="preserve"> </w:t>
      </w:r>
      <w:r w:rsidRPr="00711222">
        <w:rPr>
          <w:rFonts w:cs="Calibri"/>
          <w:sz w:val="24"/>
          <w:szCs w:val="24"/>
        </w:rPr>
        <w:t>Tess Harris, Carole Beighton, Derek G Cook</w:t>
      </w:r>
    </w:p>
    <w:p w14:paraId="61EFA299" w14:textId="77777777" w:rsidR="00711222" w:rsidRPr="00711222" w:rsidRDefault="00711222" w:rsidP="000D3622">
      <w:pPr>
        <w:autoSpaceDE w:val="0"/>
        <w:autoSpaceDN w:val="0"/>
        <w:adjustRightInd w:val="0"/>
        <w:spacing w:after="0" w:line="320" w:lineRule="exact"/>
        <w:rPr>
          <w:rFonts w:cs="Calibri"/>
          <w:sz w:val="24"/>
          <w:szCs w:val="24"/>
        </w:rPr>
      </w:pPr>
    </w:p>
    <w:p w14:paraId="62843187" w14:textId="22D0C9F5" w:rsidR="000D3622" w:rsidRDefault="00711222" w:rsidP="00D9627D">
      <w:pPr>
        <w:spacing w:line="240" w:lineRule="exact"/>
        <w:rPr>
          <w:rFonts w:cs="Calibri"/>
          <w:sz w:val="24"/>
          <w:szCs w:val="24"/>
        </w:rPr>
      </w:pPr>
      <w:r w:rsidRPr="00711222">
        <w:rPr>
          <w:rFonts w:cs="Calibri"/>
          <w:sz w:val="24"/>
          <w:szCs w:val="24"/>
        </w:rPr>
        <w:t xml:space="preserve">Fay J Hosking, </w:t>
      </w:r>
      <w:r w:rsidR="000D3622">
        <w:rPr>
          <w:rFonts w:cs="Calibri"/>
          <w:sz w:val="24"/>
          <w:szCs w:val="24"/>
        </w:rPr>
        <w:t>Ph.D.</w:t>
      </w:r>
    </w:p>
    <w:p w14:paraId="23F7C05D" w14:textId="77777777" w:rsidR="000D3622" w:rsidRDefault="000D3622" w:rsidP="00D9627D">
      <w:pPr>
        <w:spacing w:line="240" w:lineRule="exac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Iain M Carey, Ph.D.</w:t>
      </w:r>
    </w:p>
    <w:p w14:paraId="79716CC3" w14:textId="77777777" w:rsidR="00472A1A" w:rsidRDefault="00472A1A" w:rsidP="00D9627D">
      <w:pPr>
        <w:spacing w:line="240" w:lineRule="exac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Stephen DeWilde, MD</w:t>
      </w:r>
    </w:p>
    <w:p w14:paraId="6654F279" w14:textId="64490410" w:rsidR="000D3622" w:rsidRDefault="00711222" w:rsidP="00D9627D">
      <w:pPr>
        <w:spacing w:line="240" w:lineRule="exact"/>
        <w:rPr>
          <w:rFonts w:cs="Calibri"/>
          <w:sz w:val="24"/>
          <w:szCs w:val="24"/>
        </w:rPr>
      </w:pPr>
      <w:r w:rsidRPr="00711222">
        <w:rPr>
          <w:rFonts w:cs="Calibri"/>
          <w:sz w:val="24"/>
          <w:szCs w:val="24"/>
        </w:rPr>
        <w:t xml:space="preserve">Tess Harris, </w:t>
      </w:r>
      <w:r w:rsidR="000D3622">
        <w:rPr>
          <w:rFonts w:cs="Calibri"/>
          <w:sz w:val="24"/>
          <w:szCs w:val="24"/>
        </w:rPr>
        <w:t>MD</w:t>
      </w:r>
    </w:p>
    <w:p w14:paraId="0485454C" w14:textId="07C03799" w:rsidR="000D3622" w:rsidRDefault="000D3622" w:rsidP="00D9627D">
      <w:pPr>
        <w:spacing w:line="240" w:lineRule="exac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Carole Beighton, M.Sc.</w:t>
      </w:r>
    </w:p>
    <w:p w14:paraId="1D0A5F76" w14:textId="59BB6101" w:rsidR="000D3622" w:rsidRDefault="00711222" w:rsidP="00D9627D">
      <w:pPr>
        <w:spacing w:line="240" w:lineRule="exact"/>
        <w:rPr>
          <w:rFonts w:cs="Calibri"/>
          <w:sz w:val="24"/>
          <w:szCs w:val="24"/>
        </w:rPr>
      </w:pPr>
      <w:r w:rsidRPr="00711222">
        <w:rPr>
          <w:rFonts w:cs="Calibri"/>
          <w:sz w:val="24"/>
          <w:szCs w:val="24"/>
        </w:rPr>
        <w:t xml:space="preserve">Derek G Cook, </w:t>
      </w:r>
      <w:r w:rsidR="000D3622">
        <w:rPr>
          <w:rFonts w:cs="Calibri"/>
          <w:sz w:val="24"/>
          <w:szCs w:val="24"/>
        </w:rPr>
        <w:t>PhD</w:t>
      </w:r>
    </w:p>
    <w:p w14:paraId="74F077B2" w14:textId="7148591E" w:rsidR="00711222" w:rsidRPr="00711222" w:rsidRDefault="000D3622" w:rsidP="000D3622">
      <w:pPr>
        <w:spacing w:line="320" w:lineRule="exac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All at: </w:t>
      </w:r>
      <w:r w:rsidR="00711222" w:rsidRPr="00711222">
        <w:rPr>
          <w:rFonts w:cs="Calibri"/>
          <w:sz w:val="24"/>
          <w:szCs w:val="24"/>
        </w:rPr>
        <w:t>Population Health Research Institute, St George’s University of London, SW17 0RE</w:t>
      </w:r>
    </w:p>
    <w:p w14:paraId="7142CD73" w14:textId="67D4448B" w:rsidR="00711222" w:rsidRPr="00711222" w:rsidRDefault="00711222" w:rsidP="00472A1A">
      <w:pPr>
        <w:spacing w:line="320" w:lineRule="exact"/>
        <w:jc w:val="both"/>
        <w:rPr>
          <w:rFonts w:cstheme="minorHAnsi"/>
          <w:sz w:val="24"/>
          <w:szCs w:val="24"/>
          <w:lang w:val="fr-FR"/>
        </w:rPr>
      </w:pPr>
      <w:r w:rsidRPr="00711222">
        <w:rPr>
          <w:rFonts w:cstheme="minorHAnsi"/>
          <w:sz w:val="24"/>
          <w:szCs w:val="24"/>
        </w:rPr>
        <w:t xml:space="preserve">Corresponding author:  Dr Iain M Carey, </w:t>
      </w:r>
      <w:r w:rsidRPr="00711222">
        <w:rPr>
          <w:rFonts w:cs="Calibri"/>
          <w:sz w:val="24"/>
          <w:szCs w:val="24"/>
        </w:rPr>
        <w:t xml:space="preserve">Population Health Research Institute, St George’s University of London, SW17 0RE  </w:t>
      </w:r>
      <w:r w:rsidRPr="00711222">
        <w:rPr>
          <w:rFonts w:cstheme="minorHAnsi"/>
          <w:sz w:val="24"/>
          <w:szCs w:val="24"/>
        </w:rPr>
        <w:t xml:space="preserve"> Tel: 0208 725 </w:t>
      </w:r>
      <w:r w:rsidR="00040CDD">
        <w:rPr>
          <w:rFonts w:cstheme="minorHAnsi"/>
          <w:sz w:val="24"/>
          <w:szCs w:val="24"/>
        </w:rPr>
        <w:t>5426</w:t>
      </w:r>
      <w:r w:rsidRPr="00711222">
        <w:rPr>
          <w:rFonts w:cstheme="minorHAnsi"/>
          <w:sz w:val="24"/>
          <w:szCs w:val="24"/>
        </w:rPr>
        <w:t xml:space="preserve"> </w:t>
      </w:r>
      <w:r w:rsidRPr="00711222">
        <w:rPr>
          <w:rFonts w:cstheme="minorHAnsi"/>
          <w:sz w:val="24"/>
          <w:szCs w:val="24"/>
          <w:lang w:val="fr-FR"/>
        </w:rPr>
        <w:t xml:space="preserve">Fax: 0208 725 </w:t>
      </w:r>
      <w:r w:rsidR="00040CDD">
        <w:rPr>
          <w:rFonts w:cstheme="minorHAnsi"/>
          <w:sz w:val="24"/>
          <w:szCs w:val="24"/>
          <w:lang w:val="fr-FR"/>
        </w:rPr>
        <w:t>0066</w:t>
      </w:r>
      <w:r w:rsidRPr="00711222">
        <w:rPr>
          <w:rFonts w:cstheme="minorHAnsi"/>
          <w:sz w:val="24"/>
          <w:szCs w:val="24"/>
          <w:lang w:val="fr-FR"/>
        </w:rPr>
        <w:t xml:space="preserve">. email: </w:t>
      </w:r>
      <w:hyperlink r:id="rId8" w:history="1">
        <w:r w:rsidR="00ED45F2" w:rsidRPr="00590B48">
          <w:rPr>
            <w:rStyle w:val="Hyperlink"/>
            <w:rFonts w:cstheme="minorHAnsi"/>
            <w:sz w:val="24"/>
            <w:szCs w:val="24"/>
            <w:lang w:val="fr-FR"/>
          </w:rPr>
          <w:t>i.carey@sgul.ac.uk</w:t>
        </w:r>
      </w:hyperlink>
    </w:p>
    <w:p w14:paraId="224BE37C" w14:textId="77777777" w:rsidR="00711222" w:rsidRPr="00711222" w:rsidRDefault="00711222" w:rsidP="000D3622">
      <w:pPr>
        <w:spacing w:after="0" w:line="320" w:lineRule="exact"/>
        <w:rPr>
          <w:rFonts w:ascii="Calibri" w:hAnsi="Calibri"/>
          <w:color w:val="000000"/>
          <w:sz w:val="24"/>
          <w:szCs w:val="24"/>
        </w:rPr>
      </w:pPr>
      <w:r w:rsidRPr="00711222">
        <w:rPr>
          <w:sz w:val="24"/>
          <w:szCs w:val="24"/>
        </w:rPr>
        <w:t xml:space="preserve">Footnote: </w:t>
      </w:r>
      <w:r w:rsidRPr="00711222">
        <w:rPr>
          <w:rFonts w:ascii="Calibri" w:hAnsi="Calibri"/>
          <w:color w:val="000000"/>
          <w:sz w:val="24"/>
          <w:szCs w:val="24"/>
        </w:rPr>
        <w:t xml:space="preserve">Prior to </w:t>
      </w:r>
      <w:r>
        <w:rPr>
          <w:rFonts w:ascii="Calibri" w:hAnsi="Calibri"/>
          <w:color w:val="000000"/>
          <w:sz w:val="24"/>
          <w:szCs w:val="24"/>
        </w:rPr>
        <w:t>writing this paper</w:t>
      </w:r>
      <w:r w:rsidRPr="00711222">
        <w:rPr>
          <w:rFonts w:ascii="Calibri" w:hAnsi="Calibri"/>
          <w:color w:val="000000"/>
          <w:sz w:val="24"/>
          <w:szCs w:val="24"/>
        </w:rPr>
        <w:t xml:space="preserve"> Dr Shah passed away. His co-authors would like to pay tribute to him, who as the principal investigator on this study successfully led it from inception</w:t>
      </w:r>
      <w:r w:rsidR="00ED45F2">
        <w:rPr>
          <w:rFonts w:ascii="Calibri" w:hAnsi="Calibri"/>
          <w:color w:val="000000"/>
          <w:sz w:val="24"/>
          <w:szCs w:val="24"/>
        </w:rPr>
        <w:t>.</w:t>
      </w:r>
    </w:p>
    <w:p w14:paraId="5462E2D0" w14:textId="77777777" w:rsidR="00711222" w:rsidRDefault="00711222" w:rsidP="000D3622">
      <w:pPr>
        <w:spacing w:after="0" w:line="320" w:lineRule="exact"/>
        <w:rPr>
          <w:rFonts w:ascii="Calibri" w:hAnsi="Calibri"/>
          <w:color w:val="000000"/>
          <w:sz w:val="24"/>
          <w:szCs w:val="24"/>
        </w:rPr>
      </w:pPr>
    </w:p>
    <w:p w14:paraId="096075F4" w14:textId="5499BD06" w:rsidR="000D3622" w:rsidRPr="000D3622" w:rsidRDefault="000D3622" w:rsidP="000D3622">
      <w:pPr>
        <w:spacing w:after="0" w:line="320" w:lineRule="exact"/>
        <w:rPr>
          <w:rFonts w:ascii="Calibri" w:hAnsi="Calibri"/>
          <w:b/>
          <w:color w:val="000000"/>
          <w:sz w:val="24"/>
          <w:szCs w:val="24"/>
        </w:rPr>
      </w:pPr>
      <w:r w:rsidRPr="000D3622">
        <w:rPr>
          <w:rFonts w:ascii="Calibri" w:hAnsi="Calibri"/>
          <w:b/>
          <w:color w:val="000000"/>
          <w:sz w:val="24"/>
          <w:szCs w:val="24"/>
        </w:rPr>
        <w:t>Support:</w:t>
      </w:r>
    </w:p>
    <w:p w14:paraId="3F2568B0" w14:textId="77777777" w:rsidR="000D3622" w:rsidRDefault="000D3622" w:rsidP="000D3622">
      <w:pPr>
        <w:spacing w:after="0" w:line="320" w:lineRule="exact"/>
        <w:jc w:val="both"/>
        <w:outlineLvl w:val="0"/>
        <w:rPr>
          <w:rFonts w:eastAsia="Times New Roman" w:cs="Times New Roman"/>
          <w:bCs/>
          <w:kern w:val="36"/>
          <w:sz w:val="24"/>
          <w:szCs w:val="24"/>
          <w:u w:val="single"/>
          <w:lang w:eastAsia="en-GB"/>
        </w:rPr>
      </w:pPr>
      <w:r w:rsidRPr="000D3622">
        <w:rPr>
          <w:rFonts w:eastAsia="Times New Roman" w:cs="Times New Roman"/>
          <w:bCs/>
          <w:kern w:val="36"/>
          <w:sz w:val="24"/>
          <w:szCs w:val="24"/>
          <w:u w:val="single"/>
          <w:lang w:eastAsia="en-GB"/>
        </w:rPr>
        <w:t>Acknowledgements</w:t>
      </w:r>
    </w:p>
    <w:p w14:paraId="192E02C1" w14:textId="1982EB5B" w:rsidR="000D3622" w:rsidRPr="002F137C" w:rsidRDefault="00472A1A" w:rsidP="00472A1A">
      <w:pPr>
        <w:spacing w:after="0" w:line="320" w:lineRule="exact"/>
        <w:jc w:val="both"/>
        <w:rPr>
          <w:color w:val="000000" w:themeColor="text1"/>
          <w:sz w:val="24"/>
          <w:szCs w:val="24"/>
        </w:rPr>
      </w:pPr>
      <w:r w:rsidRPr="00040CDD">
        <w:rPr>
          <w:rFonts w:ascii="Calibri" w:hAnsi="Calibri"/>
          <w:color w:val="000000"/>
          <w:sz w:val="24"/>
          <w:szCs w:val="24"/>
        </w:rPr>
        <w:t>We would like to acknowledge the dedication and work of the original principal investigator Dr Sunil M. Shah, who passed away prior to the writing of this paper.</w:t>
      </w:r>
      <w:r w:rsidRPr="00711222">
        <w:rPr>
          <w:rFonts w:ascii="Calibri" w:hAnsi="Calibri"/>
          <w:color w:val="000000"/>
          <w:sz w:val="24"/>
          <w:szCs w:val="24"/>
        </w:rPr>
        <w:t xml:space="preserve"> </w:t>
      </w:r>
      <w:r w:rsidR="000D3622" w:rsidRPr="002F137C">
        <w:rPr>
          <w:color w:val="000000" w:themeColor="text1"/>
          <w:sz w:val="24"/>
          <w:szCs w:val="24"/>
        </w:rPr>
        <w:t xml:space="preserve">We would </w:t>
      </w:r>
      <w:r>
        <w:rPr>
          <w:color w:val="000000" w:themeColor="text1"/>
          <w:sz w:val="24"/>
          <w:szCs w:val="24"/>
        </w:rPr>
        <w:t xml:space="preserve">also </w:t>
      </w:r>
      <w:r w:rsidR="000D3622" w:rsidRPr="002F137C">
        <w:rPr>
          <w:color w:val="000000" w:themeColor="text1"/>
          <w:sz w:val="24"/>
          <w:szCs w:val="24"/>
        </w:rPr>
        <w:t xml:space="preserve">like to thank the members of ResearchNet, a service user network for people with intellectual disability, and the Merton Carers Partnership Group, </w:t>
      </w:r>
      <w:r w:rsidR="000D3622" w:rsidRPr="002F137C">
        <w:rPr>
          <w:rFonts w:ascii="Calibri" w:eastAsia="Times New Roman" w:hAnsi="Calibri"/>
          <w:sz w:val="24"/>
          <w:szCs w:val="24"/>
        </w:rPr>
        <w:t>a group of family carers of adults with intellectual disability linked to the Learning Disability Partnership Board</w:t>
      </w:r>
      <w:r w:rsidR="00E75A0E">
        <w:rPr>
          <w:rFonts w:ascii="Calibri" w:eastAsia="Times New Roman" w:hAnsi="Calibri"/>
          <w:sz w:val="24"/>
          <w:szCs w:val="24"/>
        </w:rPr>
        <w:t xml:space="preserve">. </w:t>
      </w:r>
      <w:r w:rsidR="00E75A0E" w:rsidRPr="00E75A0E">
        <w:rPr>
          <w:rFonts w:ascii="Calibri" w:eastAsia="Times New Roman" w:hAnsi="Calibri"/>
          <w:sz w:val="24"/>
          <w:szCs w:val="24"/>
        </w:rPr>
        <w:t>Th</w:t>
      </w:r>
      <w:r w:rsidR="00E75A0E">
        <w:rPr>
          <w:rFonts w:ascii="Calibri" w:eastAsia="Times New Roman" w:hAnsi="Calibri"/>
          <w:sz w:val="24"/>
          <w:szCs w:val="24"/>
        </w:rPr>
        <w:t>eir</w:t>
      </w:r>
      <w:r w:rsidR="00E75A0E" w:rsidRPr="00E75A0E">
        <w:rPr>
          <w:rFonts w:ascii="Calibri" w:eastAsia="Times New Roman" w:hAnsi="Calibri"/>
          <w:sz w:val="24"/>
          <w:szCs w:val="24"/>
        </w:rPr>
        <w:t xml:space="preserve"> involvement subsequently contributed to the design of the study in terms of choice of outcomes, examination of potential modifying factors and help in interpreting and disseminating findings</w:t>
      </w:r>
      <w:r w:rsidR="00A91CCA">
        <w:rPr>
          <w:color w:val="000000" w:themeColor="text1"/>
          <w:sz w:val="24"/>
          <w:szCs w:val="24"/>
        </w:rPr>
        <w:t>.</w:t>
      </w:r>
    </w:p>
    <w:p w14:paraId="62503DB2" w14:textId="77777777" w:rsidR="000D3622" w:rsidRPr="000D3622" w:rsidRDefault="000D3622" w:rsidP="00472A1A">
      <w:pPr>
        <w:autoSpaceDE w:val="0"/>
        <w:autoSpaceDN w:val="0"/>
        <w:adjustRightInd w:val="0"/>
        <w:spacing w:after="0" w:line="320" w:lineRule="exact"/>
        <w:jc w:val="both"/>
        <w:rPr>
          <w:rFonts w:cs="ArialMT"/>
          <w:sz w:val="24"/>
          <w:szCs w:val="24"/>
          <w:u w:val="single"/>
        </w:rPr>
      </w:pPr>
      <w:r w:rsidRPr="000D3622">
        <w:rPr>
          <w:rFonts w:cs="ArialMT"/>
          <w:sz w:val="24"/>
          <w:szCs w:val="24"/>
          <w:u w:val="single"/>
        </w:rPr>
        <w:t>Funding</w:t>
      </w:r>
    </w:p>
    <w:p w14:paraId="3B5BCF20" w14:textId="77777777" w:rsidR="000D3622" w:rsidRPr="002F137C" w:rsidRDefault="000D3622" w:rsidP="00472A1A">
      <w:pPr>
        <w:autoSpaceDE w:val="0"/>
        <w:autoSpaceDN w:val="0"/>
        <w:adjustRightInd w:val="0"/>
        <w:spacing w:after="0" w:line="320" w:lineRule="exact"/>
        <w:jc w:val="both"/>
        <w:rPr>
          <w:rFonts w:cs="ArialMT"/>
          <w:sz w:val="24"/>
          <w:szCs w:val="24"/>
        </w:rPr>
      </w:pPr>
      <w:r w:rsidRPr="002F137C">
        <w:rPr>
          <w:rFonts w:cs="ArialMT"/>
          <w:sz w:val="24"/>
          <w:szCs w:val="24"/>
        </w:rPr>
        <w:t>This project was funded by the National Institute for Health Research Health Services and Delivery Research Programme (project number 12/64/154).</w:t>
      </w:r>
      <w:r>
        <w:rPr>
          <w:rFonts w:cs="ArialMT"/>
          <w:sz w:val="24"/>
          <w:szCs w:val="24"/>
        </w:rPr>
        <w:t xml:space="preserve"> </w:t>
      </w:r>
      <w:r w:rsidRPr="002F137C">
        <w:rPr>
          <w:rFonts w:cs="ArialMT"/>
          <w:sz w:val="24"/>
          <w:szCs w:val="24"/>
        </w:rPr>
        <w:t>The views and opinions expressed herein are those of the authors and do not necessarily reflect those of the HS&amp;DR Programme, NIHR, NHS or the Department of Health.</w:t>
      </w:r>
    </w:p>
    <w:p w14:paraId="6887DC90" w14:textId="77777777" w:rsidR="000D3622" w:rsidRPr="00711222" w:rsidRDefault="000D3622" w:rsidP="000D3622">
      <w:pPr>
        <w:spacing w:after="0" w:line="360" w:lineRule="exact"/>
        <w:rPr>
          <w:rFonts w:ascii="Calibri" w:hAnsi="Calibri"/>
          <w:color w:val="000000"/>
          <w:sz w:val="24"/>
          <w:szCs w:val="24"/>
        </w:rPr>
      </w:pPr>
    </w:p>
    <w:p w14:paraId="70A42C70" w14:textId="25046CB0" w:rsidR="00711222" w:rsidRPr="00D9627D" w:rsidRDefault="000D3622" w:rsidP="000D3622">
      <w:pPr>
        <w:spacing w:after="0" w:line="360" w:lineRule="exact"/>
        <w:rPr>
          <w:rFonts w:ascii="Calibri" w:hAnsi="Calibri"/>
          <w:color w:val="000000"/>
        </w:rPr>
      </w:pPr>
      <w:r w:rsidRPr="00D9627D">
        <w:rPr>
          <w:rFonts w:ascii="Calibri" w:hAnsi="Calibri"/>
          <w:b/>
          <w:color w:val="000000"/>
        </w:rPr>
        <w:t>Number of Tables:</w:t>
      </w:r>
      <w:r w:rsidRPr="00D9627D">
        <w:rPr>
          <w:rFonts w:ascii="Calibri" w:hAnsi="Calibri"/>
          <w:color w:val="000000"/>
        </w:rPr>
        <w:t xml:space="preserve"> 4</w:t>
      </w:r>
    </w:p>
    <w:p w14:paraId="14C3579A" w14:textId="31323AB1" w:rsidR="000D3622" w:rsidRPr="00D9627D" w:rsidRDefault="000D3622" w:rsidP="000D3622">
      <w:pPr>
        <w:spacing w:after="0" w:line="360" w:lineRule="exact"/>
        <w:rPr>
          <w:rFonts w:ascii="Calibri" w:hAnsi="Calibri"/>
          <w:color w:val="000000"/>
        </w:rPr>
      </w:pPr>
      <w:r w:rsidRPr="00D9627D">
        <w:rPr>
          <w:rFonts w:ascii="Calibri" w:hAnsi="Calibri"/>
          <w:b/>
          <w:color w:val="000000"/>
        </w:rPr>
        <w:t>Number of Figures:</w:t>
      </w:r>
      <w:r w:rsidRPr="00D9627D">
        <w:rPr>
          <w:rFonts w:ascii="Calibri" w:hAnsi="Calibri"/>
          <w:color w:val="000000"/>
        </w:rPr>
        <w:t xml:space="preserve"> 1</w:t>
      </w:r>
    </w:p>
    <w:p w14:paraId="35CA6931" w14:textId="6F02737C" w:rsidR="000D3622" w:rsidRPr="00D9627D" w:rsidRDefault="000D3622" w:rsidP="000D3622">
      <w:pPr>
        <w:spacing w:after="0" w:line="360" w:lineRule="exact"/>
        <w:rPr>
          <w:rFonts w:ascii="Calibri" w:hAnsi="Calibri"/>
          <w:color w:val="000000"/>
        </w:rPr>
      </w:pPr>
      <w:r w:rsidRPr="00D9627D">
        <w:rPr>
          <w:rFonts w:ascii="Calibri" w:hAnsi="Calibri"/>
          <w:b/>
          <w:color w:val="000000"/>
        </w:rPr>
        <w:t>Number of e-Tables:</w:t>
      </w:r>
      <w:r w:rsidRPr="00D9627D">
        <w:rPr>
          <w:rFonts w:ascii="Calibri" w:hAnsi="Calibri"/>
          <w:color w:val="000000"/>
        </w:rPr>
        <w:t xml:space="preserve"> 1</w:t>
      </w:r>
    </w:p>
    <w:p w14:paraId="68A6C4FE" w14:textId="6E28E2D1" w:rsidR="00711222" w:rsidRDefault="006A532F" w:rsidP="00040CDD">
      <w:pPr>
        <w:spacing w:after="0" w:line="360" w:lineRule="exact"/>
        <w:rPr>
          <w:rFonts w:cs="Calibri"/>
          <w:b/>
          <w:sz w:val="24"/>
          <w:szCs w:val="24"/>
        </w:rPr>
      </w:pPr>
      <w:r w:rsidRPr="00D9627D">
        <w:rPr>
          <w:b/>
        </w:rPr>
        <w:t>Text Word Count:</w:t>
      </w:r>
      <w:r w:rsidR="00355ACC" w:rsidRPr="00D9627D">
        <w:t xml:space="preserve"> </w:t>
      </w:r>
      <w:r w:rsidR="00370022">
        <w:t>2,500</w:t>
      </w:r>
      <w:r w:rsidR="00711222">
        <w:rPr>
          <w:rFonts w:cs="Calibri"/>
          <w:b/>
          <w:sz w:val="24"/>
          <w:szCs w:val="24"/>
        </w:rPr>
        <w:br w:type="page"/>
      </w:r>
    </w:p>
    <w:p w14:paraId="7C52C948" w14:textId="77777777" w:rsidR="00040CDD" w:rsidRPr="00711222" w:rsidRDefault="00040CDD" w:rsidP="00040CDD">
      <w:pPr>
        <w:autoSpaceDE w:val="0"/>
        <w:autoSpaceDN w:val="0"/>
        <w:adjustRightInd w:val="0"/>
        <w:spacing w:after="0" w:line="320" w:lineRule="exact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lastRenderedPageBreak/>
        <w:t>Preventable</w:t>
      </w:r>
      <w:r w:rsidRPr="00711222">
        <w:rPr>
          <w:rFonts w:cs="Calibri"/>
          <w:b/>
          <w:sz w:val="24"/>
          <w:szCs w:val="24"/>
        </w:rPr>
        <w:t xml:space="preserve"> Emergency Hospital Admissions among Adults with Intellectual Disability</w:t>
      </w:r>
      <w:r>
        <w:rPr>
          <w:rFonts w:cs="Calibri"/>
          <w:b/>
          <w:sz w:val="24"/>
          <w:szCs w:val="24"/>
        </w:rPr>
        <w:t>: comparisons with the general population in England</w:t>
      </w:r>
    </w:p>
    <w:p w14:paraId="11FB642F" w14:textId="77777777" w:rsidR="005F719D" w:rsidRPr="004C60CD" w:rsidRDefault="005F719D" w:rsidP="001D1600">
      <w:pPr>
        <w:spacing w:after="0" w:line="480" w:lineRule="auto"/>
        <w:jc w:val="both"/>
        <w:rPr>
          <w:b/>
          <w:sz w:val="24"/>
          <w:szCs w:val="24"/>
        </w:rPr>
      </w:pPr>
    </w:p>
    <w:p w14:paraId="05F75BD4" w14:textId="7D8A7C06" w:rsidR="00685BAF" w:rsidRPr="00D02ED6" w:rsidRDefault="00685BAF" w:rsidP="001D1600">
      <w:pPr>
        <w:spacing w:after="0" w:line="480" w:lineRule="auto"/>
        <w:jc w:val="both"/>
        <w:rPr>
          <w:b/>
          <w:sz w:val="24"/>
          <w:szCs w:val="24"/>
        </w:rPr>
      </w:pPr>
      <w:r w:rsidRPr="00D02ED6">
        <w:rPr>
          <w:b/>
          <w:sz w:val="24"/>
          <w:szCs w:val="24"/>
        </w:rPr>
        <w:t>Purpose</w:t>
      </w:r>
    </w:p>
    <w:p w14:paraId="200EC156" w14:textId="28DBE05D" w:rsidR="007B0482" w:rsidRPr="00D02ED6" w:rsidRDefault="00D02ED6" w:rsidP="001D1600">
      <w:pPr>
        <w:spacing w:after="0" w:line="480" w:lineRule="auto"/>
        <w:jc w:val="both"/>
        <w:rPr>
          <w:sz w:val="24"/>
          <w:szCs w:val="24"/>
        </w:rPr>
      </w:pPr>
      <w:r w:rsidRPr="00D02ED6">
        <w:rPr>
          <w:sz w:val="24"/>
          <w:szCs w:val="24"/>
        </w:rPr>
        <w:t>Adults</w:t>
      </w:r>
      <w:r w:rsidR="007B0482" w:rsidRPr="00D02ED6">
        <w:rPr>
          <w:sz w:val="24"/>
          <w:szCs w:val="24"/>
        </w:rPr>
        <w:t xml:space="preserve"> with intellectual disabilities (ID) experience poorer physical health and healthcare quality</w:t>
      </w:r>
      <w:r w:rsidR="0007357E" w:rsidRPr="00D02ED6">
        <w:rPr>
          <w:sz w:val="24"/>
          <w:szCs w:val="24"/>
        </w:rPr>
        <w:t>,</w:t>
      </w:r>
      <w:r w:rsidR="007B0482" w:rsidRPr="00D02ED6">
        <w:rPr>
          <w:sz w:val="24"/>
          <w:szCs w:val="24"/>
        </w:rPr>
        <w:t xml:space="preserve"> but there is limited information on the scope for redu</w:t>
      </w:r>
      <w:r w:rsidR="006A6835" w:rsidRPr="00D02ED6">
        <w:rPr>
          <w:sz w:val="24"/>
          <w:szCs w:val="24"/>
        </w:rPr>
        <w:t xml:space="preserve">cing emergency </w:t>
      </w:r>
      <w:r w:rsidR="00AA279B" w:rsidRPr="00D02ED6">
        <w:rPr>
          <w:sz w:val="24"/>
          <w:szCs w:val="24"/>
        </w:rPr>
        <w:t>hospital admissions</w:t>
      </w:r>
      <w:r w:rsidR="006A6835" w:rsidRPr="00D02ED6">
        <w:rPr>
          <w:sz w:val="24"/>
          <w:szCs w:val="24"/>
        </w:rPr>
        <w:t xml:space="preserve">. We </w:t>
      </w:r>
      <w:r w:rsidR="0007357E" w:rsidRPr="00D02ED6">
        <w:rPr>
          <w:sz w:val="24"/>
          <w:szCs w:val="24"/>
        </w:rPr>
        <w:t>d</w:t>
      </w:r>
      <w:r w:rsidR="007B0482" w:rsidRPr="00D02ED6">
        <w:rPr>
          <w:sz w:val="24"/>
          <w:szCs w:val="24"/>
        </w:rPr>
        <w:t xml:space="preserve">escribe </w:t>
      </w:r>
      <w:r w:rsidR="0007357E" w:rsidRPr="00D02ED6">
        <w:rPr>
          <w:sz w:val="24"/>
          <w:szCs w:val="24"/>
        </w:rPr>
        <w:t xml:space="preserve">overall and </w:t>
      </w:r>
      <w:r w:rsidR="00C70430" w:rsidRPr="00D02ED6">
        <w:rPr>
          <w:sz w:val="24"/>
          <w:szCs w:val="24"/>
        </w:rPr>
        <w:t>preventable</w:t>
      </w:r>
      <w:r w:rsidR="0007357E" w:rsidRPr="00D02ED6">
        <w:rPr>
          <w:sz w:val="24"/>
          <w:szCs w:val="24"/>
        </w:rPr>
        <w:t xml:space="preserve"> </w:t>
      </w:r>
      <w:r w:rsidR="00190C9A" w:rsidRPr="00D02ED6">
        <w:rPr>
          <w:sz w:val="24"/>
          <w:szCs w:val="24"/>
        </w:rPr>
        <w:t xml:space="preserve">emergency </w:t>
      </w:r>
      <w:r w:rsidR="00AA279B" w:rsidRPr="00D02ED6">
        <w:rPr>
          <w:sz w:val="24"/>
          <w:szCs w:val="24"/>
        </w:rPr>
        <w:t>admission</w:t>
      </w:r>
      <w:r w:rsidR="00190C9A" w:rsidRPr="00D02ED6">
        <w:rPr>
          <w:sz w:val="24"/>
          <w:szCs w:val="24"/>
        </w:rPr>
        <w:t xml:space="preserve">s </w:t>
      </w:r>
      <w:r w:rsidR="007B0482" w:rsidRPr="00D02ED6">
        <w:rPr>
          <w:sz w:val="24"/>
          <w:szCs w:val="24"/>
        </w:rPr>
        <w:t>for adults with ID compared to t</w:t>
      </w:r>
      <w:r w:rsidR="006A6835" w:rsidRPr="00D02ED6">
        <w:rPr>
          <w:sz w:val="24"/>
          <w:szCs w:val="24"/>
        </w:rPr>
        <w:t xml:space="preserve">he general population </w:t>
      </w:r>
      <w:r w:rsidR="007B0482" w:rsidRPr="00D02ED6">
        <w:rPr>
          <w:sz w:val="24"/>
          <w:szCs w:val="24"/>
        </w:rPr>
        <w:t xml:space="preserve">and </w:t>
      </w:r>
      <w:r w:rsidR="0007357E" w:rsidRPr="00D02ED6">
        <w:rPr>
          <w:sz w:val="24"/>
          <w:szCs w:val="24"/>
        </w:rPr>
        <w:t>assess</w:t>
      </w:r>
      <w:r w:rsidR="007B0482" w:rsidRPr="00D02ED6">
        <w:rPr>
          <w:sz w:val="24"/>
          <w:szCs w:val="24"/>
        </w:rPr>
        <w:t xml:space="preserve"> differences in primary care management before admission</w:t>
      </w:r>
      <w:r w:rsidR="0007357E" w:rsidRPr="00D02ED6">
        <w:rPr>
          <w:sz w:val="24"/>
          <w:szCs w:val="24"/>
        </w:rPr>
        <w:t xml:space="preserve"> for two common </w:t>
      </w:r>
      <w:r w:rsidR="0006171A" w:rsidRPr="00D02ED6">
        <w:rPr>
          <w:sz w:val="24"/>
          <w:szCs w:val="24"/>
        </w:rPr>
        <w:t xml:space="preserve">Ambulatory Care Sensitive </w:t>
      </w:r>
      <w:r w:rsidR="00D86192" w:rsidRPr="00D02ED6">
        <w:rPr>
          <w:sz w:val="24"/>
          <w:szCs w:val="24"/>
        </w:rPr>
        <w:t xml:space="preserve">conditions </w:t>
      </w:r>
      <w:r w:rsidR="0006171A" w:rsidRPr="00D02ED6">
        <w:rPr>
          <w:sz w:val="24"/>
          <w:szCs w:val="24"/>
        </w:rPr>
        <w:t>(</w:t>
      </w:r>
      <w:r w:rsidR="0007357E" w:rsidRPr="00D02ED6">
        <w:rPr>
          <w:sz w:val="24"/>
          <w:szCs w:val="24"/>
        </w:rPr>
        <w:t>ACS</w:t>
      </w:r>
      <w:r w:rsidR="00D86192" w:rsidRPr="00D02ED6">
        <w:rPr>
          <w:sz w:val="24"/>
          <w:szCs w:val="24"/>
        </w:rPr>
        <w:t>Cs)</w:t>
      </w:r>
      <w:r w:rsidR="0007357E" w:rsidRPr="00D02ED6">
        <w:rPr>
          <w:sz w:val="24"/>
          <w:szCs w:val="24"/>
        </w:rPr>
        <w:t>.</w:t>
      </w:r>
    </w:p>
    <w:p w14:paraId="711BBAD5" w14:textId="77777777" w:rsidR="007B0482" w:rsidRPr="00D02ED6" w:rsidRDefault="007B0482" w:rsidP="001D1600">
      <w:pPr>
        <w:spacing w:after="0" w:line="480" w:lineRule="auto"/>
        <w:jc w:val="both"/>
        <w:rPr>
          <w:sz w:val="24"/>
          <w:szCs w:val="24"/>
        </w:rPr>
      </w:pPr>
    </w:p>
    <w:p w14:paraId="143765DD" w14:textId="77777777" w:rsidR="007B0482" w:rsidRPr="00D02ED6" w:rsidRDefault="007B0482" w:rsidP="001D1600">
      <w:pPr>
        <w:spacing w:after="0" w:line="480" w:lineRule="auto"/>
        <w:jc w:val="both"/>
        <w:rPr>
          <w:b/>
          <w:sz w:val="24"/>
          <w:szCs w:val="24"/>
        </w:rPr>
      </w:pPr>
      <w:r w:rsidRPr="00D02ED6">
        <w:rPr>
          <w:b/>
          <w:sz w:val="24"/>
          <w:szCs w:val="24"/>
        </w:rPr>
        <w:t>Methods</w:t>
      </w:r>
    </w:p>
    <w:p w14:paraId="3ACCAF78" w14:textId="77777777" w:rsidR="00584FC6" w:rsidRPr="00D02ED6" w:rsidRDefault="00584FC6" w:rsidP="001D1600">
      <w:pPr>
        <w:spacing w:after="0" w:line="480" w:lineRule="auto"/>
        <w:jc w:val="both"/>
        <w:rPr>
          <w:b/>
          <w:sz w:val="24"/>
          <w:szCs w:val="24"/>
        </w:rPr>
      </w:pPr>
    </w:p>
    <w:p w14:paraId="2C4B9AAA" w14:textId="36D6472D" w:rsidR="007B0482" w:rsidRPr="00D02ED6" w:rsidRDefault="006A6835" w:rsidP="001D1600">
      <w:pPr>
        <w:spacing w:after="0" w:line="480" w:lineRule="auto"/>
        <w:jc w:val="both"/>
        <w:rPr>
          <w:sz w:val="24"/>
          <w:szCs w:val="24"/>
        </w:rPr>
      </w:pPr>
      <w:r w:rsidRPr="00D02ED6">
        <w:rPr>
          <w:sz w:val="24"/>
          <w:szCs w:val="24"/>
        </w:rPr>
        <w:t xml:space="preserve">We used </w:t>
      </w:r>
      <w:r w:rsidR="00C70430" w:rsidRPr="00D02ED6">
        <w:rPr>
          <w:sz w:val="24"/>
          <w:szCs w:val="24"/>
        </w:rPr>
        <w:t>electronic records to study a</w:t>
      </w:r>
      <w:r w:rsidRPr="00D02ED6">
        <w:rPr>
          <w:sz w:val="24"/>
          <w:szCs w:val="24"/>
        </w:rPr>
        <w:t xml:space="preserve"> matched cohort of </w:t>
      </w:r>
      <w:r w:rsidR="007B0482" w:rsidRPr="00D02ED6">
        <w:rPr>
          <w:sz w:val="24"/>
          <w:szCs w:val="24"/>
        </w:rPr>
        <w:t xml:space="preserve">16,666 adults with ID </w:t>
      </w:r>
      <w:r w:rsidRPr="00D02ED6">
        <w:rPr>
          <w:sz w:val="24"/>
          <w:szCs w:val="24"/>
        </w:rPr>
        <w:t>and</w:t>
      </w:r>
      <w:r w:rsidR="007B0482" w:rsidRPr="00D02ED6">
        <w:rPr>
          <w:sz w:val="24"/>
          <w:szCs w:val="24"/>
        </w:rPr>
        <w:t xml:space="preserve"> 113,562 age, sex</w:t>
      </w:r>
      <w:r w:rsidRPr="00D02ED6">
        <w:rPr>
          <w:sz w:val="24"/>
          <w:szCs w:val="24"/>
        </w:rPr>
        <w:t xml:space="preserve"> and practice matched controls from 343 English </w:t>
      </w:r>
      <w:r w:rsidR="00E37A96" w:rsidRPr="00D02ED6">
        <w:rPr>
          <w:sz w:val="24"/>
          <w:szCs w:val="24"/>
        </w:rPr>
        <w:t>family</w:t>
      </w:r>
      <w:r w:rsidR="00C70430" w:rsidRPr="00D02ED6">
        <w:rPr>
          <w:sz w:val="24"/>
          <w:szCs w:val="24"/>
        </w:rPr>
        <w:t xml:space="preserve"> practices</w:t>
      </w:r>
      <w:r w:rsidRPr="00D02ED6">
        <w:rPr>
          <w:sz w:val="24"/>
          <w:szCs w:val="24"/>
        </w:rPr>
        <w:t xml:space="preserve">. </w:t>
      </w:r>
      <w:r w:rsidR="007B0482" w:rsidRPr="00D02ED6">
        <w:rPr>
          <w:sz w:val="24"/>
          <w:szCs w:val="24"/>
        </w:rPr>
        <w:t xml:space="preserve">Incident rate ratios (IRR) from conditional Poisson regression are </w:t>
      </w:r>
      <w:r w:rsidR="00C70430" w:rsidRPr="00D02ED6">
        <w:rPr>
          <w:sz w:val="24"/>
          <w:szCs w:val="24"/>
        </w:rPr>
        <w:t>analysed</w:t>
      </w:r>
      <w:r w:rsidRPr="00D02ED6">
        <w:rPr>
          <w:sz w:val="24"/>
          <w:szCs w:val="24"/>
        </w:rPr>
        <w:t xml:space="preserve"> for all emergency and </w:t>
      </w:r>
      <w:r w:rsidR="00C70430" w:rsidRPr="00D02ED6">
        <w:rPr>
          <w:sz w:val="24"/>
          <w:szCs w:val="24"/>
        </w:rPr>
        <w:t xml:space="preserve">preventable </w:t>
      </w:r>
      <w:r w:rsidR="00AA279B" w:rsidRPr="00D02ED6">
        <w:rPr>
          <w:sz w:val="24"/>
          <w:szCs w:val="24"/>
        </w:rPr>
        <w:t>(</w:t>
      </w:r>
      <w:r w:rsidR="00D86192" w:rsidRPr="00D02ED6">
        <w:rPr>
          <w:sz w:val="24"/>
          <w:szCs w:val="24"/>
        </w:rPr>
        <w:t>ACSC</w:t>
      </w:r>
      <w:r w:rsidR="00AA279B" w:rsidRPr="00D02ED6">
        <w:rPr>
          <w:sz w:val="24"/>
          <w:szCs w:val="24"/>
        </w:rPr>
        <w:t xml:space="preserve">) </w:t>
      </w:r>
      <w:r w:rsidR="0039473B" w:rsidRPr="00D02ED6">
        <w:rPr>
          <w:sz w:val="24"/>
          <w:szCs w:val="24"/>
        </w:rPr>
        <w:t>emergency admissions</w:t>
      </w:r>
      <w:r w:rsidR="0007357E" w:rsidRPr="00D02ED6">
        <w:rPr>
          <w:sz w:val="24"/>
          <w:szCs w:val="24"/>
        </w:rPr>
        <w:t xml:space="preserve">. Primary care management of </w:t>
      </w:r>
      <w:r w:rsidR="0081717E" w:rsidRPr="00D02ED6">
        <w:rPr>
          <w:sz w:val="24"/>
          <w:szCs w:val="24"/>
        </w:rPr>
        <w:t>lower respirator</w:t>
      </w:r>
      <w:r w:rsidR="00C70430" w:rsidRPr="00D02ED6">
        <w:rPr>
          <w:sz w:val="24"/>
          <w:szCs w:val="24"/>
        </w:rPr>
        <w:t>y (LRTI)</w:t>
      </w:r>
      <w:r w:rsidR="0081717E" w:rsidRPr="00D02ED6">
        <w:rPr>
          <w:sz w:val="24"/>
          <w:szCs w:val="24"/>
        </w:rPr>
        <w:t xml:space="preserve"> and urinary tract</w:t>
      </w:r>
      <w:r w:rsidR="00C70430" w:rsidRPr="00D02ED6">
        <w:rPr>
          <w:sz w:val="24"/>
          <w:szCs w:val="24"/>
        </w:rPr>
        <w:t xml:space="preserve"> (UTI)</w:t>
      </w:r>
      <w:r w:rsidR="0081717E" w:rsidRPr="00D02ED6">
        <w:rPr>
          <w:sz w:val="24"/>
          <w:szCs w:val="24"/>
        </w:rPr>
        <w:t xml:space="preserve"> infections</w:t>
      </w:r>
      <w:r w:rsidR="00A27EC1" w:rsidRPr="00D02ED6">
        <w:rPr>
          <w:sz w:val="24"/>
          <w:szCs w:val="24"/>
        </w:rPr>
        <w:t>, as exemplar ACSC</w:t>
      </w:r>
      <w:r w:rsidR="00AA279B" w:rsidRPr="00D02ED6">
        <w:rPr>
          <w:sz w:val="24"/>
          <w:szCs w:val="24"/>
        </w:rPr>
        <w:t xml:space="preserve">s, </w:t>
      </w:r>
      <w:r w:rsidR="00C70430" w:rsidRPr="00D02ED6">
        <w:rPr>
          <w:sz w:val="24"/>
          <w:szCs w:val="24"/>
        </w:rPr>
        <w:t>prior to admission</w:t>
      </w:r>
      <w:r w:rsidR="00AA279B" w:rsidRPr="00D02ED6">
        <w:rPr>
          <w:sz w:val="24"/>
          <w:szCs w:val="24"/>
        </w:rPr>
        <w:t xml:space="preserve"> </w:t>
      </w:r>
      <w:r w:rsidR="0007357E" w:rsidRPr="00D02ED6">
        <w:rPr>
          <w:sz w:val="24"/>
          <w:szCs w:val="24"/>
        </w:rPr>
        <w:t>are compared</w:t>
      </w:r>
      <w:r w:rsidR="00C70430" w:rsidRPr="00D02ED6">
        <w:rPr>
          <w:sz w:val="24"/>
          <w:szCs w:val="24"/>
        </w:rPr>
        <w:t xml:space="preserve"> in unmatched </w:t>
      </w:r>
      <w:r w:rsidR="00AA279B" w:rsidRPr="00D02ED6">
        <w:rPr>
          <w:sz w:val="24"/>
          <w:szCs w:val="24"/>
        </w:rPr>
        <w:t>analysis</w:t>
      </w:r>
      <w:r w:rsidR="00C70430" w:rsidRPr="00D02ED6">
        <w:rPr>
          <w:sz w:val="24"/>
          <w:szCs w:val="24"/>
        </w:rPr>
        <w:t xml:space="preserve"> between adults with and without ID</w:t>
      </w:r>
      <w:r w:rsidR="007B0482" w:rsidRPr="00D02ED6">
        <w:rPr>
          <w:sz w:val="24"/>
          <w:szCs w:val="24"/>
        </w:rPr>
        <w:t>.</w:t>
      </w:r>
    </w:p>
    <w:p w14:paraId="6B793B41" w14:textId="77777777" w:rsidR="007B0482" w:rsidRPr="00D02ED6" w:rsidRDefault="007B0482" w:rsidP="001D1600">
      <w:pPr>
        <w:spacing w:after="0" w:line="480" w:lineRule="auto"/>
        <w:jc w:val="both"/>
        <w:rPr>
          <w:sz w:val="24"/>
          <w:szCs w:val="24"/>
        </w:rPr>
      </w:pPr>
    </w:p>
    <w:p w14:paraId="24E3221A" w14:textId="77777777" w:rsidR="007B0482" w:rsidRPr="00D02ED6" w:rsidRDefault="007B0482" w:rsidP="001D1600">
      <w:pPr>
        <w:spacing w:after="0" w:line="480" w:lineRule="auto"/>
        <w:jc w:val="both"/>
        <w:rPr>
          <w:b/>
          <w:sz w:val="24"/>
          <w:szCs w:val="24"/>
        </w:rPr>
      </w:pPr>
      <w:r w:rsidRPr="00D02ED6">
        <w:rPr>
          <w:b/>
          <w:sz w:val="24"/>
          <w:szCs w:val="24"/>
        </w:rPr>
        <w:t>Results</w:t>
      </w:r>
    </w:p>
    <w:p w14:paraId="38A01218" w14:textId="095BF434" w:rsidR="007B0482" w:rsidRPr="00D02ED6" w:rsidRDefault="007B0482" w:rsidP="001D1600">
      <w:pPr>
        <w:spacing w:after="0" w:line="480" w:lineRule="auto"/>
        <w:jc w:val="both"/>
        <w:rPr>
          <w:sz w:val="24"/>
          <w:szCs w:val="24"/>
        </w:rPr>
      </w:pPr>
      <w:r w:rsidRPr="00D02ED6">
        <w:rPr>
          <w:sz w:val="24"/>
          <w:szCs w:val="24"/>
        </w:rPr>
        <w:t xml:space="preserve">The overall rate for emergency </w:t>
      </w:r>
      <w:r w:rsidR="00AA279B" w:rsidRPr="00D02ED6">
        <w:rPr>
          <w:sz w:val="24"/>
          <w:szCs w:val="24"/>
        </w:rPr>
        <w:t>admissions</w:t>
      </w:r>
      <w:r w:rsidRPr="00D02ED6">
        <w:rPr>
          <w:sz w:val="24"/>
          <w:szCs w:val="24"/>
        </w:rPr>
        <w:t xml:space="preserve"> for adults with ID </w:t>
      </w:r>
      <w:r w:rsidR="00C70430" w:rsidRPr="00D02ED6">
        <w:rPr>
          <w:sz w:val="24"/>
          <w:szCs w:val="24"/>
        </w:rPr>
        <w:t xml:space="preserve">versus controls </w:t>
      </w:r>
      <w:r w:rsidRPr="00D02ED6">
        <w:rPr>
          <w:sz w:val="24"/>
          <w:szCs w:val="24"/>
        </w:rPr>
        <w:t xml:space="preserve">was 182 </w:t>
      </w:r>
      <w:r w:rsidR="00C70430" w:rsidRPr="00D02ED6">
        <w:rPr>
          <w:sz w:val="24"/>
          <w:szCs w:val="24"/>
        </w:rPr>
        <w:t xml:space="preserve">vs. 68 </w:t>
      </w:r>
      <w:r w:rsidRPr="00D02ED6">
        <w:rPr>
          <w:sz w:val="24"/>
          <w:szCs w:val="24"/>
        </w:rPr>
        <w:t>per 1000/</w:t>
      </w:r>
      <w:r w:rsidR="00C70430" w:rsidRPr="00D02ED6">
        <w:rPr>
          <w:sz w:val="24"/>
          <w:szCs w:val="24"/>
        </w:rPr>
        <w:t>year</w:t>
      </w:r>
      <w:r w:rsidR="008B4915" w:rsidRPr="00D02ED6">
        <w:rPr>
          <w:sz w:val="24"/>
          <w:szCs w:val="24"/>
        </w:rPr>
        <w:t xml:space="preserve"> (IRR</w:t>
      </w:r>
      <w:r w:rsidR="006A6835" w:rsidRPr="00D02ED6">
        <w:rPr>
          <w:sz w:val="24"/>
          <w:szCs w:val="24"/>
        </w:rPr>
        <w:t>=2.82, 95%</w:t>
      </w:r>
      <w:r w:rsidR="00D86192" w:rsidRPr="00D02ED6">
        <w:rPr>
          <w:sz w:val="24"/>
          <w:szCs w:val="24"/>
        </w:rPr>
        <w:t>CI: 2.66–2.98). ACSC</w:t>
      </w:r>
      <w:r w:rsidR="00542238" w:rsidRPr="00D02ED6">
        <w:rPr>
          <w:sz w:val="24"/>
          <w:szCs w:val="24"/>
        </w:rPr>
        <w:t>s</w:t>
      </w:r>
      <w:r w:rsidRPr="00D02ED6">
        <w:rPr>
          <w:sz w:val="24"/>
          <w:szCs w:val="24"/>
        </w:rPr>
        <w:t xml:space="preserve"> accounted</w:t>
      </w:r>
      <w:r w:rsidR="00476B6A" w:rsidRPr="00D02ED6">
        <w:rPr>
          <w:sz w:val="24"/>
          <w:szCs w:val="24"/>
        </w:rPr>
        <w:t xml:space="preserve"> for </w:t>
      </w:r>
      <w:r w:rsidR="00AA028C" w:rsidRPr="00D02ED6">
        <w:rPr>
          <w:sz w:val="24"/>
          <w:szCs w:val="24"/>
        </w:rPr>
        <w:t>33.7</w:t>
      </w:r>
      <w:r w:rsidRPr="00D02ED6">
        <w:rPr>
          <w:sz w:val="24"/>
          <w:szCs w:val="24"/>
        </w:rPr>
        <w:t xml:space="preserve">% of emergency admissions compared to </w:t>
      </w:r>
      <w:r w:rsidR="00476B6A" w:rsidRPr="00D02ED6">
        <w:rPr>
          <w:sz w:val="24"/>
          <w:szCs w:val="24"/>
        </w:rPr>
        <w:t>17.</w:t>
      </w:r>
      <w:r w:rsidR="00AA028C" w:rsidRPr="00D02ED6">
        <w:rPr>
          <w:sz w:val="24"/>
          <w:szCs w:val="24"/>
        </w:rPr>
        <w:t>3</w:t>
      </w:r>
      <w:r w:rsidRPr="00D02ED6">
        <w:rPr>
          <w:sz w:val="24"/>
          <w:szCs w:val="24"/>
        </w:rPr>
        <w:t>% in controls</w:t>
      </w:r>
      <w:r w:rsidR="002679D1" w:rsidRPr="00D02ED6">
        <w:rPr>
          <w:sz w:val="24"/>
          <w:szCs w:val="24"/>
        </w:rPr>
        <w:t xml:space="preserve"> </w:t>
      </w:r>
      <w:r w:rsidR="00233E40" w:rsidRPr="00D02ED6">
        <w:rPr>
          <w:sz w:val="24"/>
          <w:szCs w:val="24"/>
        </w:rPr>
        <w:t>(IRR=5.62</w:t>
      </w:r>
      <w:r w:rsidR="008B4915" w:rsidRPr="00D02ED6">
        <w:rPr>
          <w:sz w:val="24"/>
          <w:szCs w:val="24"/>
        </w:rPr>
        <w:t xml:space="preserve">, </w:t>
      </w:r>
      <w:r w:rsidR="002679D1" w:rsidRPr="00D02ED6">
        <w:rPr>
          <w:sz w:val="24"/>
          <w:szCs w:val="24"/>
        </w:rPr>
        <w:t>5.14-6.13)</w:t>
      </w:r>
      <w:r w:rsidR="00C70430" w:rsidRPr="00D02ED6">
        <w:rPr>
          <w:sz w:val="24"/>
          <w:szCs w:val="24"/>
        </w:rPr>
        <w:t>;</w:t>
      </w:r>
      <w:r w:rsidR="005373EB" w:rsidRPr="00D02ED6">
        <w:rPr>
          <w:sz w:val="24"/>
          <w:szCs w:val="24"/>
        </w:rPr>
        <w:t xml:space="preserve"> adjusting for co</w:t>
      </w:r>
      <w:r w:rsidR="002679D1" w:rsidRPr="00D02ED6">
        <w:rPr>
          <w:sz w:val="24"/>
          <w:szCs w:val="24"/>
        </w:rPr>
        <w:t>morbidity, smoking and deprivation did not explain the difference (</w:t>
      </w:r>
      <w:r w:rsidR="00233E40" w:rsidRPr="00D02ED6">
        <w:rPr>
          <w:sz w:val="24"/>
          <w:szCs w:val="24"/>
        </w:rPr>
        <w:t>IRR=3.60, 3.25–3.99</w:t>
      </w:r>
      <w:r w:rsidR="002679D1" w:rsidRPr="00D02ED6">
        <w:rPr>
          <w:sz w:val="24"/>
          <w:szCs w:val="24"/>
        </w:rPr>
        <w:t xml:space="preserve">). Despite </w:t>
      </w:r>
      <w:r w:rsidR="00F20A07" w:rsidRPr="00D02ED6">
        <w:rPr>
          <w:sz w:val="24"/>
          <w:szCs w:val="24"/>
        </w:rPr>
        <w:t xml:space="preserve">adults with ID </w:t>
      </w:r>
      <w:r w:rsidR="002679D1" w:rsidRPr="00D02ED6">
        <w:rPr>
          <w:sz w:val="24"/>
          <w:szCs w:val="24"/>
        </w:rPr>
        <w:t xml:space="preserve">being at </w:t>
      </w:r>
      <w:r w:rsidR="00C70430" w:rsidRPr="00D02ED6">
        <w:rPr>
          <w:sz w:val="24"/>
          <w:szCs w:val="24"/>
        </w:rPr>
        <w:t xml:space="preserve">nearly five times </w:t>
      </w:r>
      <w:r w:rsidR="002679D1" w:rsidRPr="00D02ED6">
        <w:rPr>
          <w:sz w:val="24"/>
          <w:szCs w:val="24"/>
        </w:rPr>
        <w:t xml:space="preserve">higher risk </w:t>
      </w:r>
      <w:r w:rsidR="00610A3A" w:rsidRPr="00D02ED6">
        <w:rPr>
          <w:sz w:val="24"/>
          <w:szCs w:val="24"/>
        </w:rPr>
        <w:t>f</w:t>
      </w:r>
      <w:r w:rsidR="0039473B" w:rsidRPr="00D02ED6">
        <w:rPr>
          <w:sz w:val="24"/>
          <w:szCs w:val="24"/>
        </w:rPr>
        <w:t xml:space="preserve">or </w:t>
      </w:r>
      <w:r w:rsidR="00E37A96" w:rsidRPr="00D02ED6">
        <w:rPr>
          <w:sz w:val="24"/>
          <w:szCs w:val="24"/>
        </w:rPr>
        <w:t xml:space="preserve">admissions </w:t>
      </w:r>
      <w:r w:rsidR="0007357E" w:rsidRPr="00D02ED6">
        <w:rPr>
          <w:sz w:val="24"/>
          <w:szCs w:val="24"/>
        </w:rPr>
        <w:t>fr</w:t>
      </w:r>
      <w:r w:rsidR="00F20A07" w:rsidRPr="00D02ED6">
        <w:rPr>
          <w:sz w:val="24"/>
          <w:szCs w:val="24"/>
        </w:rPr>
        <w:t>om</w:t>
      </w:r>
      <w:r w:rsidR="00E37A96" w:rsidRPr="00D02ED6">
        <w:rPr>
          <w:sz w:val="24"/>
          <w:szCs w:val="24"/>
        </w:rPr>
        <w:t xml:space="preserve"> </w:t>
      </w:r>
      <w:r w:rsidR="00C70430" w:rsidRPr="00D02ED6">
        <w:rPr>
          <w:sz w:val="24"/>
          <w:szCs w:val="24"/>
        </w:rPr>
        <w:t>LRTI and UTI</w:t>
      </w:r>
      <w:r w:rsidR="0039473B" w:rsidRPr="00D02ED6">
        <w:rPr>
          <w:sz w:val="24"/>
          <w:szCs w:val="24"/>
        </w:rPr>
        <w:t xml:space="preserve">, </w:t>
      </w:r>
      <w:r w:rsidR="00F20A07" w:rsidRPr="00D02ED6">
        <w:rPr>
          <w:sz w:val="24"/>
          <w:szCs w:val="24"/>
        </w:rPr>
        <w:t xml:space="preserve">they have </w:t>
      </w:r>
      <w:r w:rsidR="00F20A07" w:rsidRPr="00D02ED6">
        <w:rPr>
          <w:sz w:val="24"/>
          <w:szCs w:val="24"/>
        </w:rPr>
        <w:lastRenderedPageBreak/>
        <w:t>similar</w:t>
      </w:r>
      <w:r w:rsidR="0039473B" w:rsidRPr="00D02ED6">
        <w:rPr>
          <w:sz w:val="24"/>
          <w:szCs w:val="24"/>
        </w:rPr>
        <w:t xml:space="preserve"> primary care utilisation, investigation and management preceding </w:t>
      </w:r>
      <w:r w:rsidR="00AA279B" w:rsidRPr="00D02ED6">
        <w:rPr>
          <w:sz w:val="24"/>
          <w:szCs w:val="24"/>
        </w:rPr>
        <w:t>admission</w:t>
      </w:r>
      <w:r w:rsidR="00F20A07" w:rsidRPr="00D02ED6">
        <w:rPr>
          <w:sz w:val="24"/>
          <w:szCs w:val="24"/>
        </w:rPr>
        <w:t>, as the general population</w:t>
      </w:r>
      <w:r w:rsidR="0039473B" w:rsidRPr="00D02ED6">
        <w:rPr>
          <w:sz w:val="24"/>
          <w:szCs w:val="24"/>
        </w:rPr>
        <w:t>.</w:t>
      </w:r>
    </w:p>
    <w:p w14:paraId="6FE2E39B" w14:textId="77777777" w:rsidR="007B0482" w:rsidRPr="00D02ED6" w:rsidRDefault="007B0482" w:rsidP="001D1600">
      <w:pPr>
        <w:spacing w:after="0" w:line="480" w:lineRule="auto"/>
        <w:jc w:val="both"/>
        <w:rPr>
          <w:b/>
          <w:sz w:val="24"/>
          <w:szCs w:val="24"/>
        </w:rPr>
      </w:pPr>
    </w:p>
    <w:p w14:paraId="6E4296AF" w14:textId="77777777" w:rsidR="007B0482" w:rsidRPr="00D02ED6" w:rsidRDefault="007B0482" w:rsidP="001D1600">
      <w:pPr>
        <w:spacing w:after="0" w:line="480" w:lineRule="auto"/>
        <w:jc w:val="both"/>
        <w:rPr>
          <w:b/>
          <w:sz w:val="24"/>
          <w:szCs w:val="24"/>
        </w:rPr>
      </w:pPr>
      <w:r w:rsidRPr="00D02ED6">
        <w:rPr>
          <w:b/>
          <w:sz w:val="24"/>
          <w:szCs w:val="24"/>
        </w:rPr>
        <w:t>Conclusion</w:t>
      </w:r>
    </w:p>
    <w:p w14:paraId="0B9BAEA4" w14:textId="557564AF" w:rsidR="007B0482" w:rsidRPr="00D02ED6" w:rsidRDefault="007B0482" w:rsidP="001D1600">
      <w:pPr>
        <w:spacing w:after="0" w:line="480" w:lineRule="auto"/>
        <w:jc w:val="both"/>
        <w:rPr>
          <w:sz w:val="24"/>
          <w:szCs w:val="24"/>
        </w:rPr>
      </w:pPr>
      <w:r w:rsidRPr="00D02ED6">
        <w:rPr>
          <w:sz w:val="24"/>
          <w:szCs w:val="24"/>
        </w:rPr>
        <w:t xml:space="preserve">Adults with ID </w:t>
      </w:r>
      <w:r w:rsidR="00B353D5" w:rsidRPr="00D02ED6">
        <w:rPr>
          <w:sz w:val="24"/>
          <w:szCs w:val="24"/>
        </w:rPr>
        <w:t>are at high risk</w:t>
      </w:r>
      <w:r w:rsidRPr="00D02ED6">
        <w:rPr>
          <w:sz w:val="24"/>
          <w:szCs w:val="24"/>
        </w:rPr>
        <w:t xml:space="preserve"> of </w:t>
      </w:r>
      <w:r w:rsidR="005049EB" w:rsidRPr="00D02ED6">
        <w:rPr>
          <w:sz w:val="24"/>
          <w:szCs w:val="24"/>
        </w:rPr>
        <w:t>preventable</w:t>
      </w:r>
      <w:r w:rsidR="00B353D5" w:rsidRPr="00D02ED6">
        <w:rPr>
          <w:sz w:val="24"/>
          <w:szCs w:val="24"/>
        </w:rPr>
        <w:t xml:space="preserve"> </w:t>
      </w:r>
      <w:r w:rsidR="00F20A07" w:rsidRPr="00D02ED6">
        <w:rPr>
          <w:sz w:val="24"/>
          <w:szCs w:val="24"/>
        </w:rPr>
        <w:t xml:space="preserve">emergency </w:t>
      </w:r>
      <w:r w:rsidR="00AA279B" w:rsidRPr="00D02ED6">
        <w:rPr>
          <w:sz w:val="24"/>
          <w:szCs w:val="24"/>
        </w:rPr>
        <w:t>admissio</w:t>
      </w:r>
      <w:r w:rsidR="00F20A07" w:rsidRPr="00D02ED6">
        <w:rPr>
          <w:sz w:val="24"/>
          <w:szCs w:val="24"/>
        </w:rPr>
        <w:t>n</w:t>
      </w:r>
      <w:r w:rsidR="00B353D5" w:rsidRPr="00D02ED6">
        <w:rPr>
          <w:sz w:val="24"/>
          <w:szCs w:val="24"/>
        </w:rPr>
        <w:t>s</w:t>
      </w:r>
      <w:r w:rsidR="006A6835" w:rsidRPr="00D02ED6">
        <w:rPr>
          <w:sz w:val="24"/>
          <w:szCs w:val="24"/>
        </w:rPr>
        <w:t xml:space="preserve">. </w:t>
      </w:r>
      <w:r w:rsidR="00D02ED6" w:rsidRPr="00D02ED6">
        <w:rPr>
          <w:rStyle w:val="Strong"/>
          <w:b w:val="0"/>
          <w:color w:val="000000"/>
          <w:sz w:val="24"/>
          <w:szCs w:val="24"/>
        </w:rPr>
        <w:t>Identifying improvements for detection and management of ACSCs in primary care, including lower respiratory and urinary tract infections, could reduce hospitalisations</w:t>
      </w:r>
      <w:r w:rsidR="00D02ED6">
        <w:rPr>
          <w:rStyle w:val="Strong"/>
          <w:b w:val="0"/>
          <w:color w:val="000000"/>
          <w:sz w:val="24"/>
          <w:szCs w:val="24"/>
        </w:rPr>
        <w:t>.</w:t>
      </w:r>
    </w:p>
    <w:p w14:paraId="0ACF2271" w14:textId="77777777" w:rsidR="00AA028C" w:rsidRDefault="00AA028C" w:rsidP="001D1600">
      <w:pPr>
        <w:spacing w:after="0" w:line="480" w:lineRule="auto"/>
        <w:jc w:val="both"/>
        <w:rPr>
          <w:sz w:val="24"/>
          <w:szCs w:val="24"/>
        </w:rPr>
      </w:pPr>
    </w:p>
    <w:p w14:paraId="60075D10" w14:textId="31D8A2C3" w:rsidR="0081717E" w:rsidRDefault="0081717E" w:rsidP="001D1600">
      <w:pPr>
        <w:spacing w:after="0" w:line="480" w:lineRule="auto"/>
        <w:rPr>
          <w:sz w:val="24"/>
          <w:szCs w:val="24"/>
        </w:rPr>
      </w:pPr>
      <w:r w:rsidRPr="006A532F">
        <w:rPr>
          <w:b/>
          <w:sz w:val="24"/>
          <w:szCs w:val="24"/>
        </w:rPr>
        <w:t>Abstract</w:t>
      </w:r>
      <w:r w:rsidR="006A532F" w:rsidRPr="006A532F">
        <w:rPr>
          <w:b/>
          <w:sz w:val="24"/>
          <w:szCs w:val="24"/>
        </w:rPr>
        <w:t xml:space="preserve"> word count:</w:t>
      </w:r>
      <w:r w:rsidRPr="006A532F">
        <w:rPr>
          <w:sz w:val="24"/>
          <w:szCs w:val="24"/>
        </w:rPr>
        <w:t xml:space="preserve"> </w:t>
      </w:r>
      <w:r w:rsidR="00422DDC" w:rsidRPr="006A532F">
        <w:rPr>
          <w:sz w:val="24"/>
          <w:szCs w:val="24"/>
        </w:rPr>
        <w:t>2</w:t>
      </w:r>
      <w:r w:rsidR="00D02ED6" w:rsidRPr="006A532F">
        <w:rPr>
          <w:sz w:val="24"/>
          <w:szCs w:val="24"/>
        </w:rPr>
        <w:t>50</w:t>
      </w:r>
      <w:r w:rsidRPr="006A532F">
        <w:rPr>
          <w:sz w:val="24"/>
          <w:szCs w:val="24"/>
        </w:rPr>
        <w:t xml:space="preserve"> words</w:t>
      </w:r>
    </w:p>
    <w:p w14:paraId="7FC4EA9A" w14:textId="77777777" w:rsidR="006A532F" w:rsidRDefault="006A532F" w:rsidP="001D1600">
      <w:pPr>
        <w:spacing w:after="0" w:line="480" w:lineRule="auto"/>
        <w:rPr>
          <w:sz w:val="24"/>
          <w:szCs w:val="24"/>
        </w:rPr>
      </w:pPr>
    </w:p>
    <w:p w14:paraId="40690E0E" w14:textId="77777777" w:rsidR="006A532F" w:rsidRDefault="006A532F" w:rsidP="001D1600">
      <w:pPr>
        <w:spacing w:after="0" w:line="480" w:lineRule="auto"/>
        <w:rPr>
          <w:sz w:val="24"/>
          <w:szCs w:val="24"/>
        </w:rPr>
      </w:pPr>
    </w:p>
    <w:p w14:paraId="4168755B" w14:textId="28B1DA2C" w:rsidR="006A532F" w:rsidRDefault="006A532F" w:rsidP="001D1600">
      <w:pPr>
        <w:spacing w:after="0" w:line="48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Keywords: </w:t>
      </w:r>
      <w:r w:rsidRPr="006A532F">
        <w:rPr>
          <w:rFonts w:cs="Calibri"/>
          <w:sz w:val="24"/>
          <w:szCs w:val="24"/>
        </w:rPr>
        <w:t>Intellectual disability, acute hospitalisation, ambulatory care sensitive conditions</w:t>
      </w:r>
    </w:p>
    <w:p w14:paraId="2B4485EF" w14:textId="2401BA5F" w:rsidR="002679D1" w:rsidRDefault="00847133" w:rsidP="001D1600">
      <w:pPr>
        <w:spacing w:after="0" w:line="480" w:lineRule="auto"/>
        <w:jc w:val="both"/>
        <w:rPr>
          <w:sz w:val="24"/>
          <w:szCs w:val="24"/>
        </w:rPr>
      </w:pPr>
      <w:r w:rsidRPr="00847133">
        <w:rPr>
          <w:b/>
          <w:sz w:val="24"/>
          <w:szCs w:val="24"/>
        </w:rPr>
        <w:t>Abbreviations:</w:t>
      </w:r>
      <w:r>
        <w:rPr>
          <w:sz w:val="24"/>
          <w:szCs w:val="24"/>
        </w:rPr>
        <w:t xml:space="preserve"> All are defined within the main text.</w:t>
      </w:r>
      <w:r w:rsidR="00FA2A9C" w:rsidRPr="004C60CD">
        <w:rPr>
          <w:sz w:val="24"/>
          <w:szCs w:val="24"/>
        </w:rPr>
        <w:br w:type="page"/>
      </w:r>
    </w:p>
    <w:p w14:paraId="60B87BA3" w14:textId="77777777" w:rsidR="00D269D2" w:rsidRPr="004C60CD" w:rsidRDefault="00D269D2" w:rsidP="001D1600">
      <w:pPr>
        <w:spacing w:after="0" w:line="480" w:lineRule="auto"/>
        <w:jc w:val="both"/>
        <w:rPr>
          <w:b/>
          <w:sz w:val="24"/>
          <w:szCs w:val="24"/>
        </w:rPr>
      </w:pPr>
      <w:r w:rsidRPr="004C60CD">
        <w:rPr>
          <w:b/>
          <w:sz w:val="24"/>
          <w:szCs w:val="24"/>
        </w:rPr>
        <w:lastRenderedPageBreak/>
        <w:t>Introduction</w:t>
      </w:r>
    </w:p>
    <w:p w14:paraId="206C165A" w14:textId="77777777" w:rsidR="00D269D2" w:rsidRDefault="00D269D2" w:rsidP="001D1600">
      <w:pPr>
        <w:spacing w:after="0" w:line="480" w:lineRule="auto"/>
        <w:jc w:val="both"/>
        <w:rPr>
          <w:b/>
          <w:sz w:val="24"/>
          <w:szCs w:val="24"/>
        </w:rPr>
      </w:pPr>
    </w:p>
    <w:p w14:paraId="0194403C" w14:textId="06C90FDC" w:rsidR="009C6B1B" w:rsidRDefault="001C4717" w:rsidP="001D1600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Adults with intellectual disabilities (ID) experience poorer health outcomes than their general population peers and have higher levels of morbidity and mortality</w:t>
      </w:r>
      <w:r w:rsidR="00682B53">
        <w:rPr>
          <w:sz w:val="24"/>
          <w:szCs w:val="24"/>
        </w:rPr>
        <w:fldChar w:fldCharType="begin"/>
      </w:r>
      <w:r w:rsidR="00665267">
        <w:rPr>
          <w:sz w:val="24"/>
          <w:szCs w:val="24"/>
        </w:rPr>
        <w:instrText xml:space="preserve"> ADDIN EN.CITE &lt;EndNote&gt;&lt;Cite&gt;&lt;Author&gt;Emerson&lt;/Author&gt;&lt;Year&gt;2010&lt;/Year&gt;&lt;RecNum&gt;545&lt;/RecNum&gt;&lt;DisplayText&gt;&lt;style face="superscript"&gt;1&lt;/style&gt;&lt;/DisplayText&gt;&lt;record&gt;&lt;rec-number&gt;545&lt;/rec-number&gt;&lt;foreign-keys&gt;&lt;key app="EN" db-id="9vd5rfe5s0azere5pfyx0xrzazafratsxvvv" timestamp="1466420144"&gt;545&lt;/key&gt;&lt;key app="ENWeb" db-id=""&gt;0&lt;/key&gt;&lt;/foreign-keys&gt;&lt;ref-type name="Electronic Book"&gt;44&lt;/ref-type&gt;&lt;contributors&gt;&lt;authors&gt;&lt;author&gt;Emerson, E.; Baines, S.&lt;/author&gt;&lt;/authors&gt;&lt;/contributors&gt;&lt;titles&gt;&lt;title&gt;Health Inequalities &amp;amp; People with Learning Disabilities in the UK: 2010.&lt;/title&gt;&lt;/titles&gt;&lt;dates&gt;&lt;year&gt;2010&lt;/year&gt;&lt;pub-dates&gt;&lt;date&gt;29-02-2016&lt;/date&gt;&lt;/pub-dates&gt;&lt;/dates&gt;&lt;pub-location&gt;United Kingdom&lt;/pub-location&gt;&lt;publisher&gt;Improving Health and Lives: Learning Disabilities Observatory&lt;/publisher&gt;&lt;urls&gt;&lt;related-urls&gt;&lt;url&gt;https://www.improvinghealthandlives.org.uk/uploads/doc/vid_7479_IHaL2010-3HealthInequality2010.pdf&lt;/url&gt;&lt;/related-urls&gt;&lt;/urls&gt;&lt;/record&gt;&lt;/Cite&gt;&lt;/EndNote&gt;</w:instrText>
      </w:r>
      <w:r w:rsidR="00682B53">
        <w:rPr>
          <w:sz w:val="24"/>
          <w:szCs w:val="24"/>
        </w:rPr>
        <w:fldChar w:fldCharType="separate"/>
      </w:r>
      <w:r w:rsidR="00682B53" w:rsidRPr="00682B53">
        <w:rPr>
          <w:noProof/>
          <w:sz w:val="24"/>
          <w:szCs w:val="24"/>
          <w:vertAlign w:val="superscript"/>
        </w:rPr>
        <w:t>1</w:t>
      </w:r>
      <w:r w:rsidR="00682B5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. </w:t>
      </w:r>
      <w:r w:rsidR="00212C9C">
        <w:rPr>
          <w:sz w:val="24"/>
          <w:szCs w:val="24"/>
        </w:rPr>
        <w:t>They</w:t>
      </w:r>
      <w:r w:rsidR="002F2F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also </w:t>
      </w:r>
      <w:r w:rsidR="001543DF">
        <w:rPr>
          <w:sz w:val="24"/>
          <w:szCs w:val="24"/>
        </w:rPr>
        <w:t>receive poorer quality healthcare for a range of reasons including discrimination</w:t>
      </w:r>
      <w:r>
        <w:rPr>
          <w:sz w:val="24"/>
          <w:szCs w:val="24"/>
        </w:rPr>
        <w:t>, communicati</w:t>
      </w:r>
      <w:r w:rsidR="006D4AA4">
        <w:rPr>
          <w:sz w:val="24"/>
          <w:szCs w:val="24"/>
        </w:rPr>
        <w:t>on</w:t>
      </w:r>
      <w:r w:rsidR="004303B5">
        <w:rPr>
          <w:sz w:val="24"/>
          <w:szCs w:val="24"/>
        </w:rPr>
        <w:t xml:space="preserve"> difficulties</w:t>
      </w:r>
      <w:r w:rsidR="006D4AA4">
        <w:rPr>
          <w:sz w:val="24"/>
          <w:szCs w:val="24"/>
        </w:rPr>
        <w:t xml:space="preserve"> and access</w:t>
      </w:r>
      <w:r w:rsidR="00682B53">
        <w:rPr>
          <w:sz w:val="24"/>
          <w:szCs w:val="24"/>
        </w:rPr>
        <w:fldChar w:fldCharType="begin"/>
      </w:r>
      <w:r w:rsidR="00665267">
        <w:rPr>
          <w:sz w:val="24"/>
          <w:szCs w:val="24"/>
        </w:rPr>
        <w:instrText xml:space="preserve"> ADDIN EN.CITE &lt;EndNote&gt;&lt;Cite&gt;&lt;Author&gt;Michael&lt;/Author&gt;&lt;Year&gt;2008&lt;/Year&gt;&lt;RecNum&gt;507&lt;/RecNum&gt;&lt;IDText&gt;Healthcare for All. Report of the independent inquiry into access to healthcare for people with learning disabilities.&lt;/IDText&gt;&lt;DisplayText&gt;&lt;style face="superscript"&gt;2&lt;/style&gt;&lt;/DisplayText&gt;&lt;record&gt;&lt;rec-number&gt;507&lt;/rec-number&gt;&lt;foreign-keys&gt;&lt;key app="EN" db-id="9vd5rfe5s0azere5pfyx0xrzazafratsxvvv" timestamp="1466420109"&gt;507&lt;/key&gt;&lt;/foreign-keys&gt;&lt;ref-type name="Electronic Book"&gt;44&lt;/ref-type&gt;&lt;contributors&gt;&lt;authors&gt;&lt;author&gt;Michael, J.&lt;/author&gt;&lt;/authors&gt;&lt;/contributors&gt;&lt;titles&gt;&lt;title&gt;Healthcare for All. Report of the independent inquiry into access to healthcare for people with learning disabilities.&lt;/title&gt;&lt;/titles&gt;&lt;dates&gt;&lt;year&gt;2008&lt;/year&gt;&lt;pub-dates&gt;&lt;date&gt;15-10-2015&lt;/date&gt;&lt;/pub-dates&gt;&lt;/dates&gt;&lt;pub-location&gt;London&lt;/pub-location&gt;&lt;publisher&gt;Department of Health&lt;/publisher&gt;&lt;urls&gt;&lt;related-urls&gt;&lt;url&gt;http://webarchive.nationalarchives.gov.uk/20130107105354/http://www.dh.gov.uk/en/Publicationsandstatistics/Publications/PublicationsPolicyAndGuidance/DH_099255&lt;/url&gt;&lt;/related-urls&gt;&lt;/urls&gt;&lt;/record&gt;&lt;/Cite&gt;&lt;/EndNote&gt;</w:instrText>
      </w:r>
      <w:r w:rsidR="00682B53">
        <w:rPr>
          <w:sz w:val="24"/>
          <w:szCs w:val="24"/>
        </w:rPr>
        <w:fldChar w:fldCharType="separate"/>
      </w:r>
      <w:r w:rsidR="00682B53" w:rsidRPr="00682B53">
        <w:rPr>
          <w:noProof/>
          <w:sz w:val="24"/>
          <w:szCs w:val="24"/>
          <w:vertAlign w:val="superscript"/>
        </w:rPr>
        <w:t>2</w:t>
      </w:r>
      <w:r w:rsidR="00682B53">
        <w:rPr>
          <w:sz w:val="24"/>
          <w:szCs w:val="24"/>
        </w:rPr>
        <w:fldChar w:fldCharType="end"/>
      </w:r>
      <w:r w:rsidR="001543DF">
        <w:rPr>
          <w:sz w:val="24"/>
          <w:szCs w:val="24"/>
        </w:rPr>
        <w:t>. However,</w:t>
      </w:r>
      <w:r w:rsidR="004A288F">
        <w:rPr>
          <w:sz w:val="24"/>
          <w:szCs w:val="24"/>
        </w:rPr>
        <w:t xml:space="preserve"> despite international recommendations</w:t>
      </w:r>
      <w:r w:rsidR="00682B53">
        <w:rPr>
          <w:sz w:val="24"/>
          <w:szCs w:val="24"/>
        </w:rPr>
        <w:fldChar w:fldCharType="begin">
          <w:fldData xml:space="preserve">PEVuZE5vdGU+PENpdGU+PEF1dGhvcj5NaWNoYWVsPC9BdXRob3I+PFllYXI+MjAwODwvWWVhcj48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</w:fldData>
        </w:fldChar>
      </w:r>
      <w:r w:rsidR="00665267">
        <w:rPr>
          <w:sz w:val="24"/>
          <w:szCs w:val="24"/>
        </w:rPr>
        <w:instrText xml:space="preserve"> ADDIN EN.CITE </w:instrText>
      </w:r>
      <w:r w:rsidR="00665267">
        <w:rPr>
          <w:sz w:val="24"/>
          <w:szCs w:val="24"/>
        </w:rPr>
        <w:fldChar w:fldCharType="begin">
          <w:fldData xml:space="preserve">PEVuZE5vdGU+PENpdGU+PEF1dGhvcj5NaWNoYWVsPC9BdXRob3I+PFllYXI+MjAwODwvWWVhcj48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</w:fldData>
        </w:fldChar>
      </w:r>
      <w:r w:rsidR="00665267">
        <w:rPr>
          <w:sz w:val="24"/>
          <w:szCs w:val="24"/>
        </w:rPr>
        <w:instrText xml:space="preserve"> ADDIN EN.CITE.DATA </w:instrText>
      </w:r>
      <w:r w:rsidR="00665267">
        <w:rPr>
          <w:sz w:val="24"/>
          <w:szCs w:val="24"/>
        </w:rPr>
      </w:r>
      <w:r w:rsidR="00665267">
        <w:rPr>
          <w:sz w:val="24"/>
          <w:szCs w:val="24"/>
        </w:rPr>
        <w:fldChar w:fldCharType="end"/>
      </w:r>
      <w:r w:rsidR="00682B53">
        <w:rPr>
          <w:sz w:val="24"/>
          <w:szCs w:val="24"/>
        </w:rPr>
      </w:r>
      <w:r w:rsidR="00682B53">
        <w:rPr>
          <w:sz w:val="24"/>
          <w:szCs w:val="24"/>
        </w:rPr>
        <w:fldChar w:fldCharType="separate"/>
      </w:r>
      <w:r w:rsidR="00682B53" w:rsidRPr="00682B53">
        <w:rPr>
          <w:noProof/>
          <w:sz w:val="24"/>
          <w:szCs w:val="24"/>
          <w:vertAlign w:val="superscript"/>
        </w:rPr>
        <w:t>2,3</w:t>
      </w:r>
      <w:r w:rsidR="00682B53">
        <w:rPr>
          <w:sz w:val="24"/>
          <w:szCs w:val="24"/>
        </w:rPr>
        <w:fldChar w:fldCharType="end"/>
      </w:r>
      <w:r w:rsidR="004A288F">
        <w:rPr>
          <w:sz w:val="24"/>
          <w:szCs w:val="24"/>
        </w:rPr>
        <w:t>,</w:t>
      </w:r>
      <w:r w:rsidR="001543DF">
        <w:rPr>
          <w:sz w:val="24"/>
          <w:szCs w:val="24"/>
        </w:rPr>
        <w:t xml:space="preserve"> </w:t>
      </w:r>
      <w:r w:rsidR="002D58DD">
        <w:rPr>
          <w:sz w:val="24"/>
          <w:szCs w:val="24"/>
        </w:rPr>
        <w:t>this group remains largely invisible to routi</w:t>
      </w:r>
      <w:r w:rsidR="00497109">
        <w:rPr>
          <w:sz w:val="24"/>
          <w:szCs w:val="24"/>
        </w:rPr>
        <w:t>ne data collection and analysis</w:t>
      </w:r>
      <w:r w:rsidR="00682B53">
        <w:rPr>
          <w:sz w:val="24"/>
          <w:szCs w:val="24"/>
        </w:rPr>
        <w:fldChar w:fldCharType="begin"/>
      </w:r>
      <w:r w:rsidR="00665267">
        <w:rPr>
          <w:sz w:val="24"/>
          <w:szCs w:val="24"/>
        </w:rPr>
        <w:instrText xml:space="preserve"> ADDIN EN.CITE &lt;EndNote&gt;&lt;Cite&gt;&lt;Author&gt;Glover&lt;/Author&gt;&lt;Year&gt;2011&lt;/Year&gt;&lt;RecNum&gt;558&lt;/RecNum&gt;&lt;IDText&gt;NHS Data Gaps for Learning Disabilities&lt;/IDText&gt;&lt;DisplayText&gt;&lt;style face="superscript"&gt;4&lt;/style&gt;&lt;/DisplayText&gt;&lt;record&gt;&lt;rec-number&gt;558&lt;/rec-number&gt;&lt;foreign-keys&gt;&lt;key app="EN" db-id="9vd5rfe5s0azere5pfyx0xrzazafratsxvvv" timestamp="1466420164"&gt;558&lt;/key&gt;&lt;key app="ENWeb" db-id=""&gt;0&lt;/key&gt;&lt;/foreign-keys&gt;&lt;ref-type name="Electronic Book"&gt;44&lt;/ref-type&gt;&lt;contributors&gt;&lt;authors&gt;&lt;author&gt;Glover, G.&lt;/author&gt;&lt;author&gt;Emerson, E.&lt;/author&gt;&lt;author&gt;Baines, S.&lt;/author&gt;&lt;/authors&gt;&lt;/contributors&gt;&lt;titles&gt;&lt;title&gt;NHS Data Gaps for Learning Disabilities&lt;/title&gt;&lt;/titles&gt;&lt;dates&gt;&lt;year&gt;2011&lt;/year&gt;&lt;pub-dates&gt;&lt;date&gt;28-04-2016&lt;/date&gt;&lt;/pub-dates&gt;&lt;/dates&gt;&lt;pub-location&gt;United Kingdom&lt;/pub-location&gt;&lt;publisher&gt;Improving Health and Lives: Learning Disabilities Observatory&lt;/publisher&gt;&lt;urls&gt;&lt;related-urls&gt;&lt;url&gt;http://www.improvinghealthandlives.org.uk/uploads/doc/vid_11422_IHAL2011-06-NHSDataGaps.pdf&lt;/url&gt;&lt;/related-urls&gt;&lt;/urls&gt;&lt;/record&gt;&lt;/Cite&gt;&lt;/EndNote&gt;</w:instrText>
      </w:r>
      <w:r w:rsidR="00682B53">
        <w:rPr>
          <w:sz w:val="24"/>
          <w:szCs w:val="24"/>
        </w:rPr>
        <w:fldChar w:fldCharType="separate"/>
      </w:r>
      <w:r w:rsidR="00682B53" w:rsidRPr="00682B53">
        <w:rPr>
          <w:noProof/>
          <w:sz w:val="24"/>
          <w:szCs w:val="24"/>
          <w:vertAlign w:val="superscript"/>
        </w:rPr>
        <w:t>4</w:t>
      </w:r>
      <w:r w:rsidR="00682B53">
        <w:rPr>
          <w:sz w:val="24"/>
          <w:szCs w:val="24"/>
        </w:rPr>
        <w:fldChar w:fldCharType="end"/>
      </w:r>
      <w:r w:rsidR="001543DF">
        <w:rPr>
          <w:sz w:val="24"/>
          <w:szCs w:val="24"/>
        </w:rPr>
        <w:t>.</w:t>
      </w:r>
      <w:r w:rsidR="009C6B1B">
        <w:rPr>
          <w:sz w:val="24"/>
          <w:szCs w:val="24"/>
        </w:rPr>
        <w:t xml:space="preserve"> </w:t>
      </w:r>
      <w:r w:rsidR="001543DF">
        <w:rPr>
          <w:sz w:val="24"/>
          <w:szCs w:val="24"/>
        </w:rPr>
        <w:t xml:space="preserve"> </w:t>
      </w:r>
      <w:r w:rsidR="007C5F24">
        <w:rPr>
          <w:sz w:val="24"/>
          <w:szCs w:val="24"/>
        </w:rPr>
        <w:t>Acute h</w:t>
      </w:r>
      <w:r w:rsidR="009C6B1B">
        <w:rPr>
          <w:sz w:val="24"/>
          <w:szCs w:val="24"/>
        </w:rPr>
        <w:t xml:space="preserve">ospitalisation is </w:t>
      </w:r>
      <w:r w:rsidR="00793F07">
        <w:rPr>
          <w:sz w:val="24"/>
          <w:szCs w:val="24"/>
        </w:rPr>
        <w:t>highly</w:t>
      </w:r>
      <w:r w:rsidR="009C6B1B">
        <w:rPr>
          <w:sz w:val="24"/>
          <w:szCs w:val="24"/>
        </w:rPr>
        <w:t xml:space="preserve"> undesi</w:t>
      </w:r>
      <w:r w:rsidR="00084149">
        <w:rPr>
          <w:sz w:val="24"/>
          <w:szCs w:val="24"/>
        </w:rPr>
        <w:t xml:space="preserve">rable for this group </w:t>
      </w:r>
      <w:r w:rsidR="009C6B1B">
        <w:rPr>
          <w:sz w:val="24"/>
          <w:szCs w:val="24"/>
        </w:rPr>
        <w:t xml:space="preserve">and </w:t>
      </w:r>
      <w:r w:rsidR="00825CFB">
        <w:rPr>
          <w:sz w:val="24"/>
          <w:szCs w:val="24"/>
        </w:rPr>
        <w:t xml:space="preserve">reducing preventable admissions is </w:t>
      </w:r>
      <w:r w:rsidR="003150E0">
        <w:rPr>
          <w:sz w:val="24"/>
          <w:szCs w:val="24"/>
        </w:rPr>
        <w:t>particularly important</w:t>
      </w:r>
      <w:r w:rsidR="009C6B1B">
        <w:rPr>
          <w:sz w:val="24"/>
          <w:szCs w:val="24"/>
        </w:rPr>
        <w:t>.</w:t>
      </w:r>
    </w:p>
    <w:p w14:paraId="719517A0" w14:textId="77777777" w:rsidR="00793392" w:rsidRDefault="00793392" w:rsidP="001D1600">
      <w:pPr>
        <w:spacing w:after="0" w:line="480" w:lineRule="auto"/>
        <w:jc w:val="both"/>
        <w:rPr>
          <w:sz w:val="24"/>
          <w:szCs w:val="24"/>
        </w:rPr>
      </w:pPr>
    </w:p>
    <w:p w14:paraId="59AFC3A5" w14:textId="5590AAAC" w:rsidR="00774308" w:rsidRDefault="00825CFB" w:rsidP="001D1600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Ambulatory care sensitive </w:t>
      </w:r>
      <w:r w:rsidR="00D86192">
        <w:rPr>
          <w:sz w:val="24"/>
          <w:szCs w:val="24"/>
        </w:rPr>
        <w:t xml:space="preserve">conditions </w:t>
      </w:r>
      <w:r>
        <w:rPr>
          <w:sz w:val="24"/>
          <w:szCs w:val="24"/>
        </w:rPr>
        <w:t>(</w:t>
      </w:r>
      <w:r w:rsidR="0039473B">
        <w:rPr>
          <w:sz w:val="24"/>
          <w:szCs w:val="24"/>
        </w:rPr>
        <w:t>ACS</w:t>
      </w:r>
      <w:r w:rsidR="00D86192">
        <w:rPr>
          <w:sz w:val="24"/>
          <w:szCs w:val="24"/>
        </w:rPr>
        <w:t>Cs</w:t>
      </w:r>
      <w:r>
        <w:rPr>
          <w:sz w:val="24"/>
          <w:szCs w:val="24"/>
        </w:rPr>
        <w:t>)</w:t>
      </w:r>
      <w:r w:rsidR="0039473B">
        <w:rPr>
          <w:sz w:val="24"/>
          <w:szCs w:val="24"/>
        </w:rPr>
        <w:t xml:space="preserve"> </w:t>
      </w:r>
      <w:r w:rsidR="00C107FE">
        <w:rPr>
          <w:sz w:val="24"/>
          <w:szCs w:val="24"/>
        </w:rPr>
        <w:t>are</w:t>
      </w:r>
      <w:r w:rsidR="0039473B">
        <w:rPr>
          <w:sz w:val="24"/>
          <w:szCs w:val="24"/>
        </w:rPr>
        <w:t xml:space="preserve"> those for which prevention or effective management in primary care should decrease the risk of </w:t>
      </w:r>
      <w:r w:rsidR="00ED1FF7">
        <w:rPr>
          <w:sz w:val="24"/>
          <w:szCs w:val="24"/>
        </w:rPr>
        <w:t xml:space="preserve">acute hospitalisation </w:t>
      </w:r>
      <w:r w:rsidR="009C6B1B">
        <w:rPr>
          <w:sz w:val="24"/>
          <w:szCs w:val="24"/>
        </w:rPr>
        <w:t>and are widely used as an indicator of access to, and quality of, primary care</w:t>
      </w:r>
      <w:r w:rsidR="00682B53">
        <w:rPr>
          <w:sz w:val="24"/>
          <w:szCs w:val="24"/>
        </w:rPr>
        <w:fldChar w:fldCharType="begin">
          <w:fldData xml:space="preserve">PEVuZE5vdGU+PENpdGU+PEF1dGhvcj5QdXJkeTwvQXV0aG9yPjxZZWFyPjIwMDk8L1llYXI+PFJl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</w:fldData>
        </w:fldChar>
      </w:r>
      <w:r w:rsidR="00370022">
        <w:rPr>
          <w:sz w:val="24"/>
          <w:szCs w:val="24"/>
        </w:rPr>
        <w:instrText xml:space="preserve"> ADDIN EN.CITE </w:instrText>
      </w:r>
      <w:r w:rsidR="00370022">
        <w:rPr>
          <w:sz w:val="24"/>
          <w:szCs w:val="24"/>
        </w:rPr>
        <w:fldChar w:fldCharType="begin">
          <w:fldData xml:space="preserve">PEVuZE5vdGU+PENpdGU+PEF1dGhvcj5QdXJkeTwvQXV0aG9yPjxZZWFyPjIwMDk8L1llYXI+PFJl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</w:fldData>
        </w:fldChar>
      </w:r>
      <w:r w:rsidR="00370022">
        <w:rPr>
          <w:sz w:val="24"/>
          <w:szCs w:val="24"/>
        </w:rPr>
        <w:instrText xml:space="preserve"> ADDIN EN.CITE.DATA </w:instrText>
      </w:r>
      <w:r w:rsidR="00370022">
        <w:rPr>
          <w:sz w:val="24"/>
          <w:szCs w:val="24"/>
        </w:rPr>
      </w:r>
      <w:r w:rsidR="00370022">
        <w:rPr>
          <w:sz w:val="24"/>
          <w:szCs w:val="24"/>
        </w:rPr>
        <w:fldChar w:fldCharType="end"/>
      </w:r>
      <w:r w:rsidR="00682B53">
        <w:rPr>
          <w:sz w:val="24"/>
          <w:szCs w:val="24"/>
        </w:rPr>
      </w:r>
      <w:r w:rsidR="00682B53">
        <w:rPr>
          <w:sz w:val="24"/>
          <w:szCs w:val="24"/>
        </w:rPr>
        <w:fldChar w:fldCharType="separate"/>
      </w:r>
      <w:r w:rsidR="00682B53" w:rsidRPr="00682B53">
        <w:rPr>
          <w:noProof/>
          <w:sz w:val="24"/>
          <w:szCs w:val="24"/>
          <w:vertAlign w:val="superscript"/>
        </w:rPr>
        <w:t>5-7</w:t>
      </w:r>
      <w:r w:rsidR="00682B53">
        <w:rPr>
          <w:sz w:val="24"/>
          <w:szCs w:val="24"/>
        </w:rPr>
        <w:fldChar w:fldCharType="end"/>
      </w:r>
      <w:r w:rsidR="00BA5685" w:rsidRPr="00095F7C">
        <w:rPr>
          <w:sz w:val="24"/>
          <w:szCs w:val="24"/>
        </w:rPr>
        <w:t>.</w:t>
      </w:r>
      <w:r w:rsidR="00BA5685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774308">
        <w:rPr>
          <w:sz w:val="24"/>
          <w:szCs w:val="24"/>
        </w:rPr>
        <w:t xml:space="preserve">tudies </w:t>
      </w:r>
      <w:r w:rsidR="00370022">
        <w:rPr>
          <w:sz w:val="24"/>
          <w:szCs w:val="24"/>
        </w:rPr>
        <w:t xml:space="preserve">of </w:t>
      </w:r>
      <w:r w:rsidR="00774308">
        <w:rPr>
          <w:sz w:val="24"/>
          <w:szCs w:val="24"/>
        </w:rPr>
        <w:t>admissions</w:t>
      </w:r>
      <w:r w:rsidR="00D86192">
        <w:rPr>
          <w:sz w:val="24"/>
          <w:szCs w:val="24"/>
        </w:rPr>
        <w:t xml:space="preserve"> for ACSC</w:t>
      </w:r>
      <w:r w:rsidR="00732872">
        <w:rPr>
          <w:sz w:val="24"/>
          <w:szCs w:val="24"/>
        </w:rPr>
        <w:t>s</w:t>
      </w:r>
      <w:r w:rsidR="00774308">
        <w:rPr>
          <w:sz w:val="24"/>
          <w:szCs w:val="24"/>
        </w:rPr>
        <w:t xml:space="preserve"> in people with ID show consistently higher rate</w:t>
      </w:r>
      <w:r w:rsidR="008C1BC0">
        <w:rPr>
          <w:sz w:val="24"/>
          <w:szCs w:val="24"/>
        </w:rPr>
        <w:t>s</w:t>
      </w:r>
      <w:r w:rsidR="00774308">
        <w:rPr>
          <w:sz w:val="24"/>
          <w:szCs w:val="24"/>
        </w:rPr>
        <w:t xml:space="preserve">, however </w:t>
      </w:r>
      <w:r w:rsidR="00E56499">
        <w:rPr>
          <w:sz w:val="24"/>
          <w:szCs w:val="24"/>
        </w:rPr>
        <w:t>one relied solely on recording of ID during hospitalisation, which is incomplete</w:t>
      </w:r>
      <w:r w:rsidR="00682B53">
        <w:rPr>
          <w:sz w:val="24"/>
          <w:szCs w:val="24"/>
        </w:rPr>
        <w:fldChar w:fldCharType="begin"/>
      </w:r>
      <w:r w:rsidR="007C5F24">
        <w:rPr>
          <w:sz w:val="24"/>
          <w:szCs w:val="24"/>
        </w:rPr>
        <w:instrText xml:space="preserve"> ADDIN EN.CITE &lt;EndNote&gt;&lt;Cite&gt;&lt;Author&gt;Glover&lt;/Author&gt;&lt;Year&gt;2013&lt;/Year&gt;&lt;RecNum&gt;560&lt;/RecNum&gt;&lt;IDText&gt;Hospital admissions that should not happen&lt;/IDText&gt;&lt;DisplayText&gt;&lt;style face="superscript"&gt;8&lt;/style&gt;&lt;/DisplayText&gt;&lt;record&gt;&lt;rec-number&gt;560&lt;/rec-number&gt;&lt;foreign-keys&gt;&lt;key app="EN" db-id="9vd5rfe5s0azere5pfyx0xrzazafratsxvvv" timestamp="1466420169"&gt;560&lt;/key&gt;&lt;key app="ENWeb" db-id=""&gt;0&lt;/key&gt;&lt;/foreign-keys&gt;&lt;ref-type name="Electronic Book"&gt;44&lt;/ref-type&gt;&lt;contributors&gt;&lt;authors&gt;&lt;author&gt;Glover, Gyles&lt;/author&gt;&lt;author&gt;Evison, Felicity&lt;/author&gt;&lt;/authors&gt;&lt;/contributors&gt;&lt;titles&gt;&lt;title&gt;Hospital admissions that should not happen&lt;/title&gt;&lt;/titles&gt;&lt;dates&gt;&lt;year&gt;2013&lt;/year&gt;&lt;pub-dates&gt;&lt;date&gt;03/11/2015&lt;/date&gt;&lt;/pub-dates&gt;&lt;/dates&gt;&lt;pub-location&gt;United Kingdom&lt;/pub-location&gt;&lt;publisher&gt;Improving Health and Lives: Learning Disabilities Observatory&lt;/publisher&gt;&lt;urls&gt;&lt;related-urls&gt;&lt;url&gt;http://www.ndti.org.uk/uploads/files/IHAL-2013-02_Hospital_admissions_that_should_not_happen_ii.pdf&lt;/url&gt;&lt;/related-urls&gt;&lt;/urls&gt;&lt;/record&gt;&lt;/Cite&gt;&lt;/EndNote&gt;</w:instrText>
      </w:r>
      <w:r w:rsidR="00682B53">
        <w:rPr>
          <w:sz w:val="24"/>
          <w:szCs w:val="24"/>
        </w:rPr>
        <w:fldChar w:fldCharType="separate"/>
      </w:r>
      <w:r w:rsidR="007C5F24" w:rsidRPr="007C5F24">
        <w:rPr>
          <w:noProof/>
          <w:sz w:val="24"/>
          <w:szCs w:val="24"/>
          <w:vertAlign w:val="superscript"/>
        </w:rPr>
        <w:t>8</w:t>
      </w:r>
      <w:r w:rsidR="00682B53">
        <w:rPr>
          <w:sz w:val="24"/>
          <w:szCs w:val="24"/>
        </w:rPr>
        <w:fldChar w:fldCharType="end"/>
      </w:r>
      <w:r w:rsidR="00E56499">
        <w:rPr>
          <w:sz w:val="24"/>
          <w:szCs w:val="24"/>
        </w:rPr>
        <w:t xml:space="preserve"> </w:t>
      </w:r>
      <w:r w:rsidR="00357511">
        <w:rPr>
          <w:sz w:val="24"/>
          <w:szCs w:val="24"/>
        </w:rPr>
        <w:t>and</w:t>
      </w:r>
      <w:r w:rsidR="00E56499">
        <w:rPr>
          <w:sz w:val="24"/>
          <w:szCs w:val="24"/>
        </w:rPr>
        <w:t xml:space="preserve"> </w:t>
      </w:r>
      <w:r w:rsidR="006C36F2">
        <w:rPr>
          <w:sz w:val="24"/>
          <w:szCs w:val="24"/>
        </w:rPr>
        <w:t>others</w:t>
      </w:r>
      <w:r w:rsidR="00357511">
        <w:rPr>
          <w:sz w:val="24"/>
          <w:szCs w:val="24"/>
        </w:rPr>
        <w:t xml:space="preserve"> do</w:t>
      </w:r>
      <w:r w:rsidR="00E56499">
        <w:rPr>
          <w:sz w:val="24"/>
          <w:szCs w:val="24"/>
        </w:rPr>
        <w:t xml:space="preserve"> not distinguish between </w:t>
      </w:r>
      <w:r w:rsidR="00497109">
        <w:rPr>
          <w:sz w:val="24"/>
          <w:szCs w:val="24"/>
        </w:rPr>
        <w:t>acute</w:t>
      </w:r>
      <w:r w:rsidR="00E56499">
        <w:rPr>
          <w:sz w:val="24"/>
          <w:szCs w:val="24"/>
        </w:rPr>
        <w:t xml:space="preserve"> and planned admissions</w:t>
      </w:r>
      <w:r w:rsidR="00357511">
        <w:rPr>
          <w:sz w:val="24"/>
          <w:szCs w:val="24"/>
        </w:rPr>
        <w:t>,</w:t>
      </w:r>
      <w:r w:rsidR="00E56499">
        <w:rPr>
          <w:sz w:val="24"/>
          <w:szCs w:val="24"/>
        </w:rPr>
        <w:t xml:space="preserve"> thereby including </w:t>
      </w:r>
      <w:r w:rsidR="00095F7C">
        <w:rPr>
          <w:sz w:val="24"/>
          <w:szCs w:val="24"/>
        </w:rPr>
        <w:t>planned</w:t>
      </w:r>
      <w:r w:rsidR="00E56499">
        <w:rPr>
          <w:sz w:val="24"/>
          <w:szCs w:val="24"/>
        </w:rPr>
        <w:t xml:space="preserve"> admissions that </w:t>
      </w:r>
      <w:r w:rsidR="00357511">
        <w:rPr>
          <w:sz w:val="24"/>
          <w:szCs w:val="24"/>
        </w:rPr>
        <w:t xml:space="preserve">are </w:t>
      </w:r>
      <w:r w:rsidR="00357511" w:rsidRPr="00825CFB">
        <w:rPr>
          <w:sz w:val="24"/>
          <w:szCs w:val="24"/>
        </w:rPr>
        <w:t>not</w:t>
      </w:r>
      <w:r w:rsidR="00E56499" w:rsidRPr="00825CFB">
        <w:rPr>
          <w:sz w:val="24"/>
          <w:szCs w:val="24"/>
        </w:rPr>
        <w:t xml:space="preserve"> prevent</w:t>
      </w:r>
      <w:r w:rsidR="00357511" w:rsidRPr="00825CFB">
        <w:rPr>
          <w:sz w:val="24"/>
          <w:szCs w:val="24"/>
        </w:rPr>
        <w:t>able</w:t>
      </w:r>
      <w:r w:rsidR="00E56499">
        <w:rPr>
          <w:sz w:val="24"/>
          <w:szCs w:val="24"/>
        </w:rPr>
        <w:t xml:space="preserve"> </w:t>
      </w:r>
      <w:r w:rsidR="00C14DBB">
        <w:rPr>
          <w:sz w:val="24"/>
          <w:szCs w:val="24"/>
        </w:rPr>
        <w:t>in</w:t>
      </w:r>
      <w:r w:rsidR="00E56499">
        <w:rPr>
          <w:sz w:val="24"/>
          <w:szCs w:val="24"/>
        </w:rPr>
        <w:t xml:space="preserve"> primary care</w:t>
      </w:r>
      <w:r w:rsidR="00682B53">
        <w:rPr>
          <w:sz w:val="24"/>
          <w:szCs w:val="24"/>
        </w:rPr>
        <w:fldChar w:fldCharType="begin"/>
      </w:r>
      <w:r w:rsidR="00665267">
        <w:rPr>
          <w:sz w:val="24"/>
          <w:szCs w:val="24"/>
        </w:rPr>
        <w:instrText xml:space="preserve"> ADDIN EN.CITE &lt;EndNote&gt;&lt;Cite&gt;&lt;Author&gt;Balogh&lt;/Author&gt;&lt;Year&gt;2010&lt;/Year&gt;&lt;RecNum&gt;403&lt;/RecNum&gt;&lt;IDText&gt;Hospitalisation rates for ambulatory care sensitive conditions for persons with and without an intellectual disability-a population perspective&lt;/IDText&gt;&lt;DisplayText&gt;&lt;style face="superscript"&gt;9&lt;/style&gt;&lt;/DisplayText&gt;&lt;record&gt;&lt;rec-number&gt;403&lt;/rec-number&gt;&lt;foreign-keys&gt;&lt;key app="EN" db-id="9vd5rfe5s0azere5pfyx0xrzazafratsxvvv" timestamp="1466419971"&gt;403&lt;/key&gt;&lt;/foreign-keys&gt;&lt;ref-type name="Journal Article"&gt;17&lt;/ref-type&gt;&lt;contributors&gt;&lt;authors&gt;&lt;author&gt;Balogh, R.&lt;/author&gt;&lt;author&gt;Brownell, M.&lt;/author&gt;&lt;author&gt;Ouellette-Kuntz, H.&lt;/author&gt;&lt;author&gt;Colantonio, A.&lt;/author&gt;&lt;/authors&gt;&lt;/contributors&gt;&lt;titles&gt;&lt;title&gt;Hospitalisation rates for ambulatory care sensitive conditions for persons with and without an intellectual disability-a population perspective&lt;/title&gt;&lt;secondary-title&gt;Journal of Intellectual Disability Research&lt;/secondary-title&gt;&lt;/titles&gt;&lt;periodical&gt;&lt;full-title&gt;Journal of Intellectual Disability Research&lt;/full-title&gt;&lt;abbr-1&gt;J Intellect Disabil Res&lt;/abbr-1&gt;&lt;/periodical&gt;&lt;pages&gt;820-832&lt;/pages&gt;&lt;volume&gt;54&lt;/volume&gt;&lt;dates&gt;&lt;year&gt;2010&lt;/year&gt;&lt;pub-dates&gt;&lt;date&gt;Sep&lt;/date&gt;&lt;/pub-dates&gt;&lt;/dates&gt;&lt;isbn&gt;0964-2633&lt;/isbn&gt;&lt;accession-num&gt;WOS:000280994500005&lt;/accession-num&gt;&lt;urls&gt;&lt;related-urls&gt;&lt;url&gt;&amp;lt;Go to ISI&amp;gt;://WOS:000280994500005&lt;/url&gt;&lt;/related-urls&gt;&lt;/urls&gt;&lt;electronic-resource-num&gt;10.1111/j.1365-2788.2010.01311.x&lt;/electronic-resource-num&gt;&lt;/record&gt;&lt;/Cite&gt;&lt;/EndNote&gt;</w:instrText>
      </w:r>
      <w:r w:rsidR="00682B53">
        <w:rPr>
          <w:sz w:val="24"/>
          <w:szCs w:val="24"/>
        </w:rPr>
        <w:fldChar w:fldCharType="separate"/>
      </w:r>
      <w:r w:rsidR="00682B53" w:rsidRPr="00682B53">
        <w:rPr>
          <w:noProof/>
          <w:sz w:val="24"/>
          <w:szCs w:val="24"/>
          <w:vertAlign w:val="superscript"/>
        </w:rPr>
        <w:t>9</w:t>
      </w:r>
      <w:r w:rsidR="00682B53">
        <w:rPr>
          <w:sz w:val="24"/>
          <w:szCs w:val="24"/>
        </w:rPr>
        <w:fldChar w:fldCharType="end"/>
      </w:r>
      <w:r w:rsidR="00E56499">
        <w:rPr>
          <w:sz w:val="24"/>
          <w:szCs w:val="24"/>
        </w:rPr>
        <w:t>.</w:t>
      </w:r>
    </w:p>
    <w:p w14:paraId="46F16A7B" w14:textId="77777777" w:rsidR="0002343F" w:rsidRDefault="0002343F" w:rsidP="001D1600">
      <w:pPr>
        <w:spacing w:after="0" w:line="480" w:lineRule="auto"/>
        <w:jc w:val="both"/>
        <w:rPr>
          <w:sz w:val="24"/>
          <w:szCs w:val="24"/>
        </w:rPr>
      </w:pPr>
    </w:p>
    <w:p w14:paraId="1B72BDF5" w14:textId="463155E2" w:rsidR="006C36F2" w:rsidRDefault="006C36F2" w:rsidP="001D1600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02343F">
        <w:rPr>
          <w:sz w:val="24"/>
          <w:szCs w:val="24"/>
        </w:rPr>
        <w:t xml:space="preserve">e used </w:t>
      </w:r>
      <w:r w:rsidR="005756E3">
        <w:rPr>
          <w:sz w:val="24"/>
          <w:szCs w:val="24"/>
        </w:rPr>
        <w:t>linkage of</w:t>
      </w:r>
      <w:r w:rsidR="0002343F">
        <w:rPr>
          <w:sz w:val="24"/>
          <w:szCs w:val="24"/>
        </w:rPr>
        <w:t xml:space="preserve"> primary care </w:t>
      </w:r>
      <w:r w:rsidR="008C1814">
        <w:rPr>
          <w:sz w:val="24"/>
          <w:szCs w:val="24"/>
        </w:rPr>
        <w:t>records</w:t>
      </w:r>
      <w:r w:rsidR="0002343F">
        <w:rPr>
          <w:sz w:val="24"/>
          <w:szCs w:val="24"/>
        </w:rPr>
        <w:t xml:space="preserve"> </w:t>
      </w:r>
      <w:r w:rsidR="008C1814">
        <w:rPr>
          <w:sz w:val="24"/>
          <w:szCs w:val="24"/>
        </w:rPr>
        <w:t xml:space="preserve">with </w:t>
      </w:r>
      <w:r w:rsidR="0002343F">
        <w:rPr>
          <w:sz w:val="24"/>
          <w:szCs w:val="24"/>
        </w:rPr>
        <w:t>hospital admission data</w:t>
      </w:r>
      <w:r w:rsidR="008C1814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8C1814">
        <w:rPr>
          <w:sz w:val="24"/>
          <w:szCs w:val="24"/>
        </w:rPr>
        <w:t>n England</w:t>
      </w:r>
      <w:r w:rsidR="0002343F">
        <w:rPr>
          <w:sz w:val="24"/>
          <w:szCs w:val="24"/>
        </w:rPr>
        <w:t xml:space="preserve"> for a large unselected group of adults with ID </w:t>
      </w:r>
      <w:r w:rsidR="00825CFB">
        <w:rPr>
          <w:sz w:val="24"/>
          <w:szCs w:val="24"/>
        </w:rPr>
        <w:t>during 2009-13</w:t>
      </w:r>
      <w:r w:rsidR="0002343F">
        <w:rPr>
          <w:sz w:val="24"/>
          <w:szCs w:val="24"/>
        </w:rPr>
        <w:t xml:space="preserve"> compared to the general population. We report on </w:t>
      </w:r>
      <w:r w:rsidR="00AC0BF4">
        <w:rPr>
          <w:sz w:val="24"/>
          <w:szCs w:val="24"/>
        </w:rPr>
        <w:t xml:space="preserve">overall </w:t>
      </w:r>
      <w:r w:rsidR="0002343F">
        <w:rPr>
          <w:sz w:val="24"/>
          <w:szCs w:val="24"/>
        </w:rPr>
        <w:t xml:space="preserve">emergency </w:t>
      </w:r>
      <w:r w:rsidR="004A288F">
        <w:rPr>
          <w:sz w:val="24"/>
          <w:szCs w:val="24"/>
        </w:rPr>
        <w:t xml:space="preserve">(acute) </w:t>
      </w:r>
      <w:r>
        <w:rPr>
          <w:sz w:val="24"/>
          <w:szCs w:val="24"/>
        </w:rPr>
        <w:t>admission</w:t>
      </w:r>
      <w:r w:rsidR="0002343F">
        <w:rPr>
          <w:sz w:val="24"/>
          <w:szCs w:val="24"/>
        </w:rPr>
        <w:t xml:space="preserve"> rates and </w:t>
      </w:r>
      <w:r w:rsidR="00AC0BF4">
        <w:rPr>
          <w:sz w:val="24"/>
          <w:szCs w:val="24"/>
        </w:rPr>
        <w:t>those</w:t>
      </w:r>
      <w:r w:rsidR="0039473B">
        <w:rPr>
          <w:sz w:val="24"/>
          <w:szCs w:val="24"/>
        </w:rPr>
        <w:t xml:space="preserve"> for </w:t>
      </w:r>
      <w:r w:rsidR="00AC0BF4">
        <w:rPr>
          <w:sz w:val="24"/>
          <w:szCs w:val="24"/>
        </w:rPr>
        <w:t xml:space="preserve">only </w:t>
      </w:r>
      <w:r w:rsidR="0002343F">
        <w:rPr>
          <w:sz w:val="24"/>
          <w:szCs w:val="24"/>
        </w:rPr>
        <w:t>ACS</w:t>
      </w:r>
      <w:r w:rsidR="00A27EC1">
        <w:rPr>
          <w:sz w:val="24"/>
          <w:szCs w:val="24"/>
        </w:rPr>
        <w:t>C</w:t>
      </w:r>
      <w:r w:rsidR="0039473B">
        <w:rPr>
          <w:sz w:val="24"/>
          <w:szCs w:val="24"/>
        </w:rPr>
        <w:t xml:space="preserve">s. </w:t>
      </w:r>
      <w:r w:rsidR="0002343F">
        <w:rPr>
          <w:sz w:val="24"/>
          <w:szCs w:val="24"/>
        </w:rPr>
        <w:t xml:space="preserve"> </w:t>
      </w:r>
      <w:r w:rsidR="00370022">
        <w:rPr>
          <w:sz w:val="24"/>
          <w:szCs w:val="24"/>
        </w:rPr>
        <w:t>F</w:t>
      </w:r>
      <w:r w:rsidR="0072113D">
        <w:rPr>
          <w:sz w:val="24"/>
          <w:szCs w:val="24"/>
        </w:rPr>
        <w:t xml:space="preserve">or </w:t>
      </w:r>
      <w:r w:rsidR="00D868F5">
        <w:rPr>
          <w:sz w:val="24"/>
          <w:szCs w:val="24"/>
        </w:rPr>
        <w:t xml:space="preserve">two </w:t>
      </w:r>
      <w:r w:rsidR="0039473B">
        <w:rPr>
          <w:sz w:val="24"/>
          <w:szCs w:val="24"/>
        </w:rPr>
        <w:t xml:space="preserve">common </w:t>
      </w:r>
      <w:r w:rsidR="00D86192">
        <w:rPr>
          <w:sz w:val="24"/>
          <w:szCs w:val="24"/>
        </w:rPr>
        <w:t>ACSC</w:t>
      </w:r>
      <w:r w:rsidR="0072113D">
        <w:rPr>
          <w:sz w:val="24"/>
          <w:szCs w:val="24"/>
        </w:rPr>
        <w:t>s</w:t>
      </w:r>
      <w:r w:rsidR="00021D8D">
        <w:rPr>
          <w:sz w:val="24"/>
          <w:szCs w:val="24"/>
        </w:rPr>
        <w:t xml:space="preserve"> (urinary tract infections (</w:t>
      </w:r>
      <w:r w:rsidR="008C1814">
        <w:rPr>
          <w:sz w:val="24"/>
          <w:szCs w:val="24"/>
        </w:rPr>
        <w:t>UTI</w:t>
      </w:r>
      <w:r w:rsidR="00021D8D">
        <w:rPr>
          <w:sz w:val="24"/>
          <w:szCs w:val="24"/>
        </w:rPr>
        <w:t>)</w:t>
      </w:r>
      <w:r w:rsidR="008C1814">
        <w:rPr>
          <w:sz w:val="24"/>
          <w:szCs w:val="24"/>
        </w:rPr>
        <w:t xml:space="preserve"> and </w:t>
      </w:r>
      <w:r w:rsidR="009D6837">
        <w:rPr>
          <w:sz w:val="24"/>
          <w:szCs w:val="24"/>
        </w:rPr>
        <w:t xml:space="preserve">lower </w:t>
      </w:r>
      <w:r w:rsidR="00021D8D">
        <w:rPr>
          <w:sz w:val="24"/>
          <w:szCs w:val="24"/>
        </w:rPr>
        <w:t>respiratory tract infections (L</w:t>
      </w:r>
      <w:r w:rsidR="009D6837">
        <w:rPr>
          <w:sz w:val="24"/>
          <w:szCs w:val="24"/>
        </w:rPr>
        <w:t>RTI</w:t>
      </w:r>
      <w:r w:rsidR="008C1814">
        <w:rPr>
          <w:sz w:val="24"/>
          <w:szCs w:val="24"/>
        </w:rPr>
        <w:t>)</w:t>
      </w:r>
      <w:r w:rsidR="00021D8D">
        <w:rPr>
          <w:sz w:val="24"/>
          <w:szCs w:val="24"/>
        </w:rPr>
        <w:t>)</w:t>
      </w:r>
      <w:r w:rsidR="0072113D">
        <w:rPr>
          <w:sz w:val="24"/>
          <w:szCs w:val="24"/>
        </w:rPr>
        <w:t xml:space="preserve"> which </w:t>
      </w:r>
      <w:r w:rsidR="006D3DE2">
        <w:rPr>
          <w:sz w:val="24"/>
          <w:szCs w:val="24"/>
        </w:rPr>
        <w:t>are</w:t>
      </w:r>
      <w:r w:rsidR="0072113D">
        <w:rPr>
          <w:sz w:val="24"/>
          <w:szCs w:val="24"/>
        </w:rPr>
        <w:t xml:space="preserve"> incr</w:t>
      </w:r>
      <w:r w:rsidR="00D525C0">
        <w:rPr>
          <w:sz w:val="24"/>
          <w:szCs w:val="24"/>
        </w:rPr>
        <w:t>easing in the UK</w:t>
      </w:r>
      <w:r w:rsidR="00682B53">
        <w:rPr>
          <w:sz w:val="24"/>
          <w:szCs w:val="24"/>
        </w:rPr>
        <w:fldChar w:fldCharType="begin"/>
      </w:r>
      <w:r w:rsidR="00665267">
        <w:rPr>
          <w:sz w:val="24"/>
          <w:szCs w:val="24"/>
        </w:rPr>
        <w:instrText xml:space="preserve"> ADDIN EN.CITE &lt;EndNote&gt;&lt;Cite&gt;&lt;Author&gt;Bardsley&lt;/Author&gt;&lt;Year&gt;2013&lt;/Year&gt;&lt;RecNum&gt;520&lt;/RecNum&gt;&lt;IDText&gt;Is secondary preventive care improving? Observational study of 10-year trends in emergency admissions for conditions amenable to ambulatory care&lt;/IDText&gt;&lt;DisplayText&gt;&lt;style face="superscript"&gt;6&lt;/style&gt;&lt;/DisplayText&gt;&lt;record&gt;&lt;rec-number&gt;520&lt;/rec-number&gt;&lt;foreign-keys&gt;&lt;key app="EN" db-id="9vd5rfe5s0azere5pfyx0xrzazafratsxvvv" timestamp="1466420121"&gt;520&lt;/key&gt;&lt;key app="ENWeb" db-id=""&gt;0&lt;/key&gt;&lt;/foreign-keys&gt;&lt;ref-type name="Journal Article"&gt;17&lt;/ref-type&gt;&lt;contributors&gt;&lt;authors&gt;&lt;author&gt;Bardsley, Martin&lt;/author&gt;&lt;author&gt;Blunt, Ian&lt;/author&gt;&lt;author&gt;Davies, Sian&lt;/author&gt;&lt;author&gt;Dixon, Jennifer&lt;/author&gt;&lt;/authors&gt;&lt;/contributors&gt;&lt;titles&gt;&lt;title&gt;Is secondary preventive care improving? Observational study of 10-year trends in emergency admissions for conditions amenable to ambulatory care&lt;/title&gt;&lt;secondary-title&gt;BMJ Open&lt;/secondary-title&gt;&lt;/titles&gt;&lt;periodical&gt;&lt;full-title&gt;Bmj Open&lt;/full-title&gt;&lt;/periodical&gt;&lt;volume&gt;3&lt;/volume&gt;&lt;number&gt;1&lt;/number&gt;&lt;dates&gt;&lt;year&gt;2013&lt;/year&gt;&lt;pub-dates&gt;&lt;date&gt;2013 Jan&lt;/date&gt;&lt;/pub-dates&gt;&lt;/dates&gt;&lt;accession-num&gt;MEDLINE:23288268&lt;/accession-num&gt;&lt;urls&gt;&lt;related-urls&gt;&lt;url&gt;&amp;lt;Go to ISI&amp;gt;://MEDLINE:23288268&lt;/url&gt;&lt;url&gt;http://bmjopen.bmj.com/content/3/1/e002007.full.pdf&lt;/url&gt;&lt;/related-urls&gt;&lt;/urls&gt;&lt;electronic-resource-num&gt;10.1136/bmjopen-2012-002007&lt;/electronic-resource-num&gt;&lt;/record&gt;&lt;/Cite&gt;&lt;/EndNote&gt;</w:instrText>
      </w:r>
      <w:r w:rsidR="00682B53">
        <w:rPr>
          <w:sz w:val="24"/>
          <w:szCs w:val="24"/>
        </w:rPr>
        <w:fldChar w:fldCharType="separate"/>
      </w:r>
      <w:r w:rsidR="00682B53" w:rsidRPr="00682B53">
        <w:rPr>
          <w:noProof/>
          <w:sz w:val="24"/>
          <w:szCs w:val="24"/>
          <w:vertAlign w:val="superscript"/>
        </w:rPr>
        <w:t>6</w:t>
      </w:r>
      <w:r w:rsidR="00682B53">
        <w:rPr>
          <w:sz w:val="24"/>
          <w:szCs w:val="24"/>
        </w:rPr>
        <w:fldChar w:fldCharType="end"/>
      </w:r>
      <w:r w:rsidR="00D525C0">
        <w:rPr>
          <w:sz w:val="24"/>
          <w:szCs w:val="24"/>
        </w:rPr>
        <w:t>,</w:t>
      </w:r>
      <w:r w:rsidR="0072113D">
        <w:rPr>
          <w:sz w:val="24"/>
          <w:szCs w:val="24"/>
        </w:rPr>
        <w:t xml:space="preserve"> </w:t>
      </w:r>
      <w:r w:rsidR="009D6837">
        <w:rPr>
          <w:sz w:val="24"/>
          <w:szCs w:val="24"/>
        </w:rPr>
        <w:t xml:space="preserve"> </w:t>
      </w:r>
      <w:r w:rsidR="000021EB">
        <w:rPr>
          <w:sz w:val="24"/>
          <w:szCs w:val="24"/>
        </w:rPr>
        <w:t xml:space="preserve">and </w:t>
      </w:r>
      <w:r w:rsidR="00ED1A57">
        <w:rPr>
          <w:sz w:val="24"/>
          <w:szCs w:val="24"/>
        </w:rPr>
        <w:t xml:space="preserve">for which </w:t>
      </w:r>
      <w:r w:rsidR="000021EB">
        <w:rPr>
          <w:sz w:val="24"/>
          <w:szCs w:val="24"/>
        </w:rPr>
        <w:t>a</w:t>
      </w:r>
      <w:r>
        <w:rPr>
          <w:sz w:val="24"/>
          <w:szCs w:val="24"/>
        </w:rPr>
        <w:t>dults with ID</w:t>
      </w:r>
      <w:r w:rsidR="000021EB">
        <w:rPr>
          <w:sz w:val="24"/>
          <w:szCs w:val="24"/>
        </w:rPr>
        <w:t xml:space="preserve"> are at high risk</w:t>
      </w:r>
      <w:r w:rsidR="00370022">
        <w:rPr>
          <w:sz w:val="24"/>
          <w:szCs w:val="24"/>
        </w:rPr>
        <w:t>, w</w:t>
      </w:r>
      <w:r>
        <w:rPr>
          <w:sz w:val="24"/>
          <w:szCs w:val="24"/>
        </w:rPr>
        <w:t xml:space="preserve">e </w:t>
      </w:r>
      <w:r w:rsidR="00793F07">
        <w:rPr>
          <w:sz w:val="24"/>
          <w:szCs w:val="24"/>
        </w:rPr>
        <w:t xml:space="preserve">examined primary care records </w:t>
      </w:r>
      <w:r w:rsidR="00C107FE">
        <w:rPr>
          <w:sz w:val="24"/>
          <w:szCs w:val="24"/>
        </w:rPr>
        <w:t>to</w:t>
      </w:r>
      <w:r w:rsidR="00793F07">
        <w:rPr>
          <w:sz w:val="24"/>
          <w:szCs w:val="24"/>
        </w:rPr>
        <w:t xml:space="preserve"> describe whether </w:t>
      </w:r>
      <w:r w:rsidR="007C4A72">
        <w:rPr>
          <w:sz w:val="24"/>
          <w:szCs w:val="24"/>
        </w:rPr>
        <w:t xml:space="preserve">pre-admission </w:t>
      </w:r>
      <w:r w:rsidR="00793F07">
        <w:rPr>
          <w:sz w:val="24"/>
          <w:szCs w:val="24"/>
        </w:rPr>
        <w:t>management</w:t>
      </w:r>
      <w:r w:rsidR="007C4A72">
        <w:rPr>
          <w:sz w:val="24"/>
          <w:szCs w:val="24"/>
        </w:rPr>
        <w:t xml:space="preserve"> in primary care</w:t>
      </w:r>
      <w:r w:rsidR="00793F07">
        <w:rPr>
          <w:sz w:val="24"/>
          <w:szCs w:val="24"/>
        </w:rPr>
        <w:t xml:space="preserve"> differs from adults without ID.</w:t>
      </w:r>
    </w:p>
    <w:p w14:paraId="1F556458" w14:textId="77777777" w:rsidR="00E937FE" w:rsidRDefault="00E937FE" w:rsidP="001D1600">
      <w:pPr>
        <w:spacing w:after="0" w:line="480" w:lineRule="auto"/>
        <w:rPr>
          <w:b/>
          <w:sz w:val="24"/>
          <w:szCs w:val="24"/>
        </w:rPr>
      </w:pPr>
    </w:p>
    <w:p w14:paraId="29F750B2" w14:textId="77777777" w:rsidR="00D269D2" w:rsidRPr="004C60CD" w:rsidRDefault="00D269D2" w:rsidP="001D1600">
      <w:pPr>
        <w:spacing w:after="0" w:line="480" w:lineRule="auto"/>
        <w:jc w:val="both"/>
        <w:rPr>
          <w:b/>
          <w:sz w:val="24"/>
          <w:szCs w:val="24"/>
        </w:rPr>
      </w:pPr>
      <w:r w:rsidRPr="004C60CD">
        <w:rPr>
          <w:b/>
          <w:sz w:val="24"/>
          <w:szCs w:val="24"/>
        </w:rPr>
        <w:t>Methods</w:t>
      </w:r>
    </w:p>
    <w:p w14:paraId="0FDF9682" w14:textId="77777777" w:rsidR="00D269D2" w:rsidRPr="004C60CD" w:rsidRDefault="00D269D2" w:rsidP="001D1600">
      <w:pPr>
        <w:spacing w:after="0" w:line="480" w:lineRule="auto"/>
        <w:jc w:val="both"/>
        <w:rPr>
          <w:b/>
          <w:sz w:val="24"/>
          <w:szCs w:val="24"/>
        </w:rPr>
      </w:pPr>
    </w:p>
    <w:p w14:paraId="0F9DA48A" w14:textId="5C8300EF" w:rsidR="00D269D2" w:rsidRPr="004C60CD" w:rsidRDefault="00813B4F" w:rsidP="001D1600">
      <w:pPr>
        <w:spacing w:after="0" w:line="48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Study design and Setting</w:t>
      </w:r>
    </w:p>
    <w:p w14:paraId="55E0AD15" w14:textId="1E1C8A8A" w:rsidR="00516DED" w:rsidRDefault="00813B4F" w:rsidP="00627E49">
      <w:pPr>
        <w:spacing w:after="0" w:line="480" w:lineRule="auto"/>
        <w:jc w:val="both"/>
        <w:rPr>
          <w:sz w:val="24"/>
          <w:szCs w:val="24"/>
        </w:rPr>
      </w:pPr>
      <w:r w:rsidRPr="00813B4F">
        <w:rPr>
          <w:sz w:val="24"/>
          <w:szCs w:val="24"/>
        </w:rPr>
        <w:t xml:space="preserve">We conducted a </w:t>
      </w:r>
      <w:r w:rsidRPr="004C60CD">
        <w:rPr>
          <w:rFonts w:eastAsia="Times New Roman" w:cs="Times New Roman"/>
          <w:bCs/>
          <w:kern w:val="36"/>
          <w:sz w:val="24"/>
          <w:szCs w:val="24"/>
          <w:lang w:eastAsia="en-GB"/>
        </w:rPr>
        <w:t>retrospective matched cohort</w:t>
      </w:r>
      <w:r w:rsidRPr="00813B4F">
        <w:rPr>
          <w:sz w:val="24"/>
          <w:szCs w:val="24"/>
        </w:rPr>
        <w:t xml:space="preserve"> </w:t>
      </w:r>
      <w:r w:rsidR="00E76F66">
        <w:rPr>
          <w:sz w:val="24"/>
          <w:szCs w:val="24"/>
        </w:rPr>
        <w:t xml:space="preserve">study </w:t>
      </w:r>
      <w:r w:rsidRPr="00813B4F">
        <w:rPr>
          <w:sz w:val="24"/>
          <w:szCs w:val="24"/>
        </w:rPr>
        <w:t xml:space="preserve">using </w:t>
      </w:r>
      <w:r w:rsidR="00760CD6">
        <w:rPr>
          <w:sz w:val="24"/>
          <w:szCs w:val="24"/>
        </w:rPr>
        <w:t>t</w:t>
      </w:r>
      <w:r w:rsidR="00760CD6" w:rsidRPr="004C60CD">
        <w:rPr>
          <w:sz w:val="24"/>
          <w:szCs w:val="24"/>
        </w:rPr>
        <w:t>he Clinical Practice Research Datalink (CPRD)</w:t>
      </w:r>
      <w:r w:rsidR="00760CD6">
        <w:rPr>
          <w:sz w:val="24"/>
          <w:szCs w:val="24"/>
        </w:rPr>
        <w:t>, a</w:t>
      </w:r>
      <w:r w:rsidR="00760CD6" w:rsidRPr="004C60CD">
        <w:rPr>
          <w:sz w:val="24"/>
          <w:szCs w:val="24"/>
        </w:rPr>
        <w:t xml:space="preserve"> large </w:t>
      </w:r>
      <w:r w:rsidR="003A37AE">
        <w:rPr>
          <w:sz w:val="24"/>
          <w:szCs w:val="24"/>
        </w:rPr>
        <w:t xml:space="preserve">representative </w:t>
      </w:r>
      <w:r w:rsidR="00760CD6" w:rsidRPr="004C60CD">
        <w:rPr>
          <w:sz w:val="24"/>
          <w:szCs w:val="24"/>
        </w:rPr>
        <w:t xml:space="preserve"> </w:t>
      </w:r>
      <w:r w:rsidR="003A37AE">
        <w:rPr>
          <w:sz w:val="24"/>
          <w:szCs w:val="24"/>
        </w:rPr>
        <w:t xml:space="preserve">UK </w:t>
      </w:r>
      <w:r w:rsidR="00760CD6" w:rsidRPr="004C60CD">
        <w:rPr>
          <w:sz w:val="24"/>
          <w:szCs w:val="24"/>
        </w:rPr>
        <w:t>primary care database</w:t>
      </w:r>
      <w:r w:rsidR="003A37AE">
        <w:rPr>
          <w:sz w:val="24"/>
          <w:szCs w:val="24"/>
        </w:rPr>
        <w:t xml:space="preserve">, </w:t>
      </w:r>
      <w:r w:rsidR="00A259E6">
        <w:rPr>
          <w:sz w:val="24"/>
          <w:szCs w:val="24"/>
        </w:rPr>
        <w:t xml:space="preserve"> where the</w:t>
      </w:r>
      <w:r w:rsidRPr="00813B4F">
        <w:rPr>
          <w:sz w:val="24"/>
          <w:szCs w:val="24"/>
        </w:rPr>
        <w:t xml:space="preserve"> majority</w:t>
      </w:r>
      <w:r w:rsidR="00760CD6">
        <w:rPr>
          <w:sz w:val="24"/>
          <w:szCs w:val="24"/>
        </w:rPr>
        <w:t xml:space="preserve"> (&gt;98%)</w:t>
      </w:r>
      <w:r w:rsidRPr="00813B4F">
        <w:rPr>
          <w:sz w:val="24"/>
          <w:szCs w:val="24"/>
        </w:rPr>
        <w:t xml:space="preserve"> of the population </w:t>
      </w:r>
      <w:r>
        <w:rPr>
          <w:sz w:val="24"/>
          <w:szCs w:val="24"/>
        </w:rPr>
        <w:t>uses</w:t>
      </w:r>
      <w:r w:rsidRPr="00813B4F">
        <w:rPr>
          <w:sz w:val="24"/>
          <w:szCs w:val="24"/>
        </w:rPr>
        <w:t xml:space="preserve"> </w:t>
      </w:r>
      <w:r w:rsidR="00760CD6">
        <w:rPr>
          <w:sz w:val="24"/>
          <w:szCs w:val="24"/>
        </w:rPr>
        <w:t>general (</w:t>
      </w:r>
      <w:r w:rsidRPr="00813B4F">
        <w:rPr>
          <w:sz w:val="24"/>
          <w:szCs w:val="24"/>
        </w:rPr>
        <w:t>family</w:t>
      </w:r>
      <w:r w:rsidR="00760CD6">
        <w:rPr>
          <w:sz w:val="24"/>
          <w:szCs w:val="24"/>
        </w:rPr>
        <w:t>)</w:t>
      </w:r>
      <w:r w:rsidRPr="00813B4F">
        <w:rPr>
          <w:sz w:val="24"/>
          <w:szCs w:val="24"/>
        </w:rPr>
        <w:t xml:space="preserve"> pra</w:t>
      </w:r>
      <w:r w:rsidR="00A259E6">
        <w:rPr>
          <w:sz w:val="24"/>
          <w:szCs w:val="24"/>
        </w:rPr>
        <w:t>ctice</w:t>
      </w:r>
      <w:r w:rsidR="003A37AE">
        <w:rPr>
          <w:sz w:val="24"/>
          <w:szCs w:val="24"/>
        </w:rPr>
        <w:t>s</w:t>
      </w:r>
      <w:r w:rsidR="00A259E6">
        <w:rPr>
          <w:sz w:val="24"/>
          <w:szCs w:val="24"/>
        </w:rPr>
        <w:t xml:space="preserve"> for primary care services</w:t>
      </w:r>
      <w:r w:rsidR="00A259E6">
        <w:rPr>
          <w:sz w:val="24"/>
          <w:szCs w:val="24"/>
        </w:rPr>
        <w:fldChar w:fldCharType="begin"/>
      </w:r>
      <w:r w:rsidR="007C5F24">
        <w:rPr>
          <w:sz w:val="24"/>
          <w:szCs w:val="24"/>
        </w:rPr>
        <w:instrText xml:space="preserve"> ADDIN EN.CITE &lt;EndNote&gt;&lt;Cite&gt;&lt;Author&gt;Herrett&lt;/Author&gt;&lt;Year&gt;2015&lt;/Year&gt;&lt;RecNum&gt;535&lt;/RecNum&gt;&lt;DisplayText&gt;&lt;style face="superscript"&gt;10&lt;/style&gt;&lt;/DisplayText&gt;&lt;record&gt;&lt;rec-number&gt;535&lt;/rec-number&gt;&lt;foreign-keys&gt;&lt;key app="EN" db-id="9vd5rfe5s0azere5pfyx0xrzazafratsxvvv" timestamp="1466420133"&gt;535&lt;/key&gt;&lt;key app="ENWeb" db-id=""&gt;0&lt;/key&gt;&lt;/foreign-keys&gt;&lt;ref-type name="Journal Article"&gt;17&lt;/ref-type&gt;&lt;contributors&gt;&lt;authors&gt;&lt;author&gt;Herrett, Emily&lt;/author&gt;&lt;author&gt;Gallagher, Arlene M.&lt;/author&gt;&lt;author&gt;Bhaskaran, Krishnan&lt;/author&gt;&lt;author&gt;Forbes, Harriet&lt;/author&gt;&lt;author&gt;Mathur, Rohini&lt;/author&gt;&lt;author&gt;van Staa, Tjeerd&lt;/author&gt;&lt;author&gt;Smeeth, Liam&lt;/author&gt;&lt;/authors&gt;&lt;/contributors&gt;&lt;titles&gt;&lt;title&gt;Data Resource Profile: Clinical Practice Research Datalink (CPRD)&lt;/title&gt;&lt;secondary-title&gt;International Journal of Epidemiology&lt;/secondary-title&gt;&lt;/titles&gt;&lt;periodical&gt;&lt;full-title&gt;International Journal of Epidemiology&lt;/full-title&gt;&lt;abbr-1&gt;Int. J. Epidemiol.&lt;/abbr-1&gt;&lt;abbr-2&gt;Int J Epidemiol&lt;/abbr-2&gt;&lt;/periodical&gt;&lt;pages&gt;827-836&lt;/pages&gt;&lt;volume&gt;44&lt;/volume&gt;&lt;number&gt;3&lt;/number&gt;&lt;dates&gt;&lt;year&gt;2015&lt;/year&gt;&lt;pub-dates&gt;&lt;date&gt;Jun&lt;/date&gt;&lt;/pub-dates&gt;&lt;/dates&gt;&lt;isbn&gt;0300-5771&lt;/isbn&gt;&lt;accession-num&gt;WOS:000359702200017&lt;/accession-num&gt;&lt;urls&gt;&lt;related-urls&gt;&lt;url&gt;&amp;lt;Go to ISI&amp;gt;://WOS:000359702200017&lt;/url&gt;&lt;/related-urls&gt;&lt;/urls&gt;&lt;electronic-resource-num&gt;10.1093/ije/dyv098&lt;/electronic-resource-num&gt;&lt;/record&gt;&lt;/Cite&gt;&lt;/EndNote&gt;</w:instrText>
      </w:r>
      <w:r w:rsidR="00A259E6">
        <w:rPr>
          <w:sz w:val="24"/>
          <w:szCs w:val="24"/>
        </w:rPr>
        <w:fldChar w:fldCharType="separate"/>
      </w:r>
      <w:r w:rsidR="007C5F24" w:rsidRPr="007C5F24">
        <w:rPr>
          <w:noProof/>
          <w:sz w:val="24"/>
          <w:szCs w:val="24"/>
          <w:vertAlign w:val="superscript"/>
        </w:rPr>
        <w:t>10</w:t>
      </w:r>
      <w:r w:rsidR="00A259E6">
        <w:rPr>
          <w:sz w:val="24"/>
          <w:szCs w:val="24"/>
        </w:rPr>
        <w:fldChar w:fldCharType="end"/>
      </w:r>
      <w:r w:rsidR="00A259E6">
        <w:rPr>
          <w:sz w:val="24"/>
          <w:szCs w:val="24"/>
        </w:rPr>
        <w:t>.</w:t>
      </w:r>
      <w:r w:rsidR="00627E49">
        <w:rPr>
          <w:sz w:val="24"/>
          <w:szCs w:val="24"/>
        </w:rPr>
        <w:t xml:space="preserve"> Data is entered using Read codes, </w:t>
      </w:r>
      <w:r w:rsidR="00627E49" w:rsidRPr="00627E49">
        <w:rPr>
          <w:sz w:val="24"/>
          <w:szCs w:val="24"/>
        </w:rPr>
        <w:t>a hierarchical clinical classification system</w:t>
      </w:r>
      <w:r w:rsidR="00627E49">
        <w:rPr>
          <w:sz w:val="24"/>
          <w:szCs w:val="24"/>
        </w:rPr>
        <w:t xml:space="preserve"> of approximately 100</w:t>
      </w:r>
      <w:r w:rsidR="00627E49" w:rsidRPr="00627E49">
        <w:rPr>
          <w:sz w:val="24"/>
          <w:szCs w:val="24"/>
        </w:rPr>
        <w:t>,000 codes</w:t>
      </w:r>
      <w:r w:rsidR="007C5F24">
        <w:rPr>
          <w:sz w:val="24"/>
          <w:szCs w:val="24"/>
        </w:rPr>
        <w:fldChar w:fldCharType="begin"/>
      </w:r>
      <w:r w:rsidR="007C5F24">
        <w:rPr>
          <w:sz w:val="24"/>
          <w:szCs w:val="24"/>
        </w:rPr>
        <w:instrText xml:space="preserve"> ADDIN EN.CITE &lt;EndNote&gt;&lt;Cite&gt;&lt;Author&gt;Chisholm&lt;/Author&gt;&lt;Year&gt;1990&lt;/Year&gt;&lt;RecNum&gt;777&lt;/RecNum&gt;&lt;DisplayText&gt;&lt;style face="superscript"&gt;11&lt;/style&gt;&lt;/DisplayText&gt;&lt;record&gt;&lt;rec-number&gt;777&lt;/rec-number&gt;&lt;foreign-keys&gt;&lt;key app="EN" db-id="9vd5rfe5s0azere5pfyx0xrzazafratsxvvv" timestamp="1478081938"&gt;777&lt;/key&gt;&lt;/foreign-keys&gt;&lt;ref-type name="Journal Article"&gt;17&lt;/ref-type&gt;&lt;contributors&gt;&lt;authors&gt;&lt;author&gt;Chisholm, J.&lt;/author&gt;&lt;/authors&gt;&lt;/contributors&gt;&lt;titles&gt;&lt;title&gt;The Read clinical classification&lt;/title&gt;&lt;secondary-title&gt;BMJ&lt;/secondary-title&gt;&lt;/titles&gt;&lt;periodical&gt;&lt;full-title&gt;BMJ&lt;/full-title&gt;&lt;/periodical&gt;&lt;pages&gt;1092-1092&lt;/pages&gt;&lt;volume&gt;300&lt;/volume&gt;&lt;number&gt;6732&lt;/number&gt;&lt;dates&gt;&lt;year&gt;1990&lt;/year&gt;&lt;pub-dates&gt;&lt;date&gt;Apr&lt;/date&gt;&lt;/pub-dates&gt;&lt;/dates&gt;&lt;isbn&gt;0959-8138&lt;/isbn&gt;&lt;accession-num&gt;WOS:A1990DB26400005&lt;/accession-num&gt;&lt;urls&gt;&lt;related-urls&gt;&lt;url&gt;&amp;lt;Go to ISI&amp;gt;://WOS:A1990DB26400005&lt;/url&gt;&lt;/related-urls&gt;&lt;/urls&gt;&lt;/record&gt;&lt;/Cite&gt;&lt;/EndNote&gt;</w:instrText>
      </w:r>
      <w:r w:rsidR="007C5F24">
        <w:rPr>
          <w:sz w:val="24"/>
          <w:szCs w:val="24"/>
        </w:rPr>
        <w:fldChar w:fldCharType="separate"/>
      </w:r>
      <w:r w:rsidR="007C5F24" w:rsidRPr="007C5F24">
        <w:rPr>
          <w:noProof/>
          <w:sz w:val="24"/>
          <w:szCs w:val="24"/>
          <w:vertAlign w:val="superscript"/>
        </w:rPr>
        <w:t>11</w:t>
      </w:r>
      <w:r w:rsidR="007C5F24">
        <w:rPr>
          <w:sz w:val="24"/>
          <w:szCs w:val="24"/>
        </w:rPr>
        <w:fldChar w:fldCharType="end"/>
      </w:r>
      <w:r w:rsidR="00627E49">
        <w:rPr>
          <w:sz w:val="24"/>
          <w:szCs w:val="24"/>
        </w:rPr>
        <w:t>.</w:t>
      </w:r>
      <w:r w:rsidRPr="00813B4F">
        <w:rPr>
          <w:sz w:val="24"/>
          <w:szCs w:val="24"/>
        </w:rPr>
        <w:t xml:space="preserve"> </w:t>
      </w:r>
      <w:r w:rsidR="00BD3BE0">
        <w:rPr>
          <w:sz w:val="24"/>
          <w:szCs w:val="24"/>
        </w:rPr>
        <w:t xml:space="preserve">We </w:t>
      </w:r>
      <w:r w:rsidR="00B264F7" w:rsidRPr="004C60CD">
        <w:rPr>
          <w:color w:val="000000"/>
          <w:sz w:val="24"/>
          <w:szCs w:val="24"/>
        </w:rPr>
        <w:t>include</w:t>
      </w:r>
      <w:r w:rsidR="006D3DE2">
        <w:rPr>
          <w:color w:val="000000"/>
          <w:sz w:val="24"/>
          <w:szCs w:val="24"/>
        </w:rPr>
        <w:t>d</w:t>
      </w:r>
      <w:r w:rsidR="00B264F7" w:rsidRPr="004C60CD">
        <w:rPr>
          <w:color w:val="000000"/>
          <w:sz w:val="24"/>
          <w:szCs w:val="24"/>
        </w:rPr>
        <w:t xml:space="preserve"> 343 practices</w:t>
      </w:r>
      <w:r w:rsidR="00516DED">
        <w:rPr>
          <w:color w:val="000000"/>
          <w:sz w:val="24"/>
          <w:szCs w:val="24"/>
        </w:rPr>
        <w:t xml:space="preserve"> in England</w:t>
      </w:r>
      <w:r w:rsidR="00B264F7" w:rsidRPr="004C60CD">
        <w:rPr>
          <w:color w:val="000000"/>
          <w:sz w:val="24"/>
          <w:szCs w:val="24"/>
        </w:rPr>
        <w:t xml:space="preserve"> recording data on 1/1/2009 </w:t>
      </w:r>
      <w:r w:rsidR="005551D4">
        <w:rPr>
          <w:color w:val="000000"/>
          <w:sz w:val="24"/>
          <w:szCs w:val="24"/>
        </w:rPr>
        <w:t>with</w:t>
      </w:r>
      <w:r w:rsidR="00D868F5">
        <w:rPr>
          <w:color w:val="000000"/>
          <w:sz w:val="24"/>
          <w:szCs w:val="24"/>
        </w:rPr>
        <w:t xml:space="preserve"> anonymous linkage to hospital</w:t>
      </w:r>
      <w:r w:rsidR="006D3DE2">
        <w:rPr>
          <w:color w:val="000000"/>
          <w:sz w:val="24"/>
          <w:szCs w:val="24"/>
        </w:rPr>
        <w:t>isation</w:t>
      </w:r>
      <w:r w:rsidR="00D868F5">
        <w:rPr>
          <w:color w:val="000000"/>
          <w:sz w:val="24"/>
          <w:szCs w:val="24"/>
        </w:rPr>
        <w:t xml:space="preserve"> data.</w:t>
      </w:r>
      <w:r w:rsidR="007146F8">
        <w:rPr>
          <w:color w:val="000000"/>
          <w:sz w:val="24"/>
          <w:szCs w:val="24"/>
        </w:rPr>
        <w:t xml:space="preserve"> </w:t>
      </w:r>
      <w:r w:rsidR="00516DED" w:rsidRPr="00516DED">
        <w:rPr>
          <w:sz w:val="24"/>
          <w:szCs w:val="24"/>
        </w:rPr>
        <w:t xml:space="preserve">This study (13_094R) was approved by the Independent Scientific Advisory Committee evaluation of protocols of research involving CPRD data. </w:t>
      </w:r>
      <w:r w:rsidR="007C5F24">
        <w:rPr>
          <w:sz w:val="24"/>
          <w:szCs w:val="24"/>
        </w:rPr>
        <w:t>The study sponsor (</w:t>
      </w:r>
      <w:r w:rsidR="00516DED" w:rsidRPr="00516DED">
        <w:rPr>
          <w:sz w:val="24"/>
          <w:szCs w:val="24"/>
        </w:rPr>
        <w:t>St George’s</w:t>
      </w:r>
      <w:r w:rsidR="007C5F24">
        <w:rPr>
          <w:sz w:val="24"/>
          <w:szCs w:val="24"/>
        </w:rPr>
        <w:t>, University of London)</w:t>
      </w:r>
      <w:r w:rsidR="00516DED" w:rsidRPr="00516DED">
        <w:rPr>
          <w:sz w:val="24"/>
          <w:szCs w:val="24"/>
        </w:rPr>
        <w:t xml:space="preserve"> confirmed no further ethical review was required.</w:t>
      </w:r>
    </w:p>
    <w:p w14:paraId="5008BBA1" w14:textId="77777777" w:rsidR="00516DED" w:rsidRPr="004C60CD" w:rsidRDefault="00516DED" w:rsidP="001D1600">
      <w:pPr>
        <w:spacing w:after="0" w:line="480" w:lineRule="auto"/>
        <w:jc w:val="both"/>
        <w:rPr>
          <w:sz w:val="24"/>
          <w:szCs w:val="24"/>
        </w:rPr>
      </w:pPr>
    </w:p>
    <w:p w14:paraId="4E8F0681" w14:textId="1B1979A0" w:rsidR="00B264F7" w:rsidRDefault="006D4AA4" w:rsidP="001D1600">
      <w:pPr>
        <w:spacing w:after="0" w:line="48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We have previously detailed methodology for identifying</w:t>
      </w:r>
      <w:r w:rsidR="00B264F7" w:rsidRPr="004C60CD">
        <w:rPr>
          <w:color w:val="000000"/>
          <w:sz w:val="24"/>
          <w:szCs w:val="24"/>
        </w:rPr>
        <w:t xml:space="preserve"> </w:t>
      </w:r>
      <w:r w:rsidR="001838EA">
        <w:rPr>
          <w:color w:val="000000"/>
          <w:sz w:val="24"/>
          <w:szCs w:val="24"/>
        </w:rPr>
        <w:t>adults with ID</w:t>
      </w:r>
      <w:r w:rsidR="00175981">
        <w:rPr>
          <w:color w:val="000000"/>
          <w:sz w:val="24"/>
          <w:szCs w:val="24"/>
        </w:rPr>
        <w:t xml:space="preserve"> using Read codes for ID and associated conditions</w:t>
      </w:r>
      <w:r w:rsidR="00682B53">
        <w:rPr>
          <w:color w:val="000000"/>
          <w:sz w:val="24"/>
          <w:szCs w:val="24"/>
        </w:rPr>
        <w:fldChar w:fldCharType="begin"/>
      </w:r>
      <w:r w:rsidR="00370022">
        <w:rPr>
          <w:color w:val="000000"/>
          <w:sz w:val="24"/>
          <w:szCs w:val="24"/>
        </w:rPr>
        <w:instrText xml:space="preserve"> ADDIN EN.CITE &lt;EndNote&gt;&lt;Cite&gt;&lt;Author&gt;Carey&lt;/Author&gt;&lt;Year&gt;2016&lt;/Year&gt;&lt;RecNum&gt;706&lt;/RecNum&gt;&lt;DisplayText&gt;&lt;style face="superscript"&gt;12&lt;/style&gt;&lt;/DisplayText&gt;&lt;record&gt;&lt;rec-number&gt;706&lt;/rec-number&gt;&lt;foreign-keys&gt;&lt;key app="EN" db-id="9vd5rfe5s0azere5pfyx0xrzazafratsxvvv" timestamp="1466420380"&gt;706&lt;/key&gt;&lt;key app="ENWeb" db-id=""&gt;0&lt;/key&gt;&lt;/foreign-keys&gt;&lt;ref-type name="Journal Article"&gt;17&lt;/ref-type&gt;&lt;contributors&gt;&lt;authors&gt;&lt;author&gt;Carey, I. M.&lt;/author&gt;&lt;author&gt;Shah, S. M.&lt;/author&gt;&lt;author&gt;Hosking, F. J.&lt;/author&gt;&lt;author&gt;DeWilde, S.&lt;/author&gt;&lt;author&gt;Harris, T.&lt;/author&gt;&lt;author&gt;Beighton, C.&lt;/author&gt;&lt;author&gt;Cook, D. G.&lt;/author&gt;&lt;/authors&gt;&lt;/contributors&gt;&lt;titles&gt;&lt;title&gt;Health characteristics and consultation patterns of people with intellectual disability: a cross-sectional database study in English general practice&lt;/title&gt;&lt;secondary-title&gt;British Journal of General Practice&lt;/secondary-title&gt;&lt;/titles&gt;&lt;periodical&gt;&lt;full-title&gt;British Journal of General Practice&lt;/full-title&gt;&lt;abbr-1&gt;Br. J. Gen. Pract.&lt;/abbr-1&gt;&lt;abbr-2&gt;Br J Gen Pract&lt;/abbr-2&gt;&lt;/periodical&gt;&lt;pages&gt;e264-70&lt;/pages&gt;&lt;volume&gt;66&lt;/volume&gt;&lt;number&gt;645&lt;/number&gt;&lt;dates&gt;&lt;year&gt;2016&lt;/year&gt;&lt;pub-dates&gt;&lt;date&gt;Apr&lt;/date&gt;&lt;/pub-dates&gt;&lt;/dates&gt;&lt;isbn&gt;1478-5242 (Electronic)&amp;#xD;0960-1643 (Linking)&lt;/isbn&gt;&lt;accession-num&gt;WOS:000376585200006&lt;/accession-num&gt;&lt;urls&gt;&lt;related-urls&gt;&lt;url&gt;&amp;lt;Go to ISI&amp;gt;://WOS:000376585200006&lt;/url&gt;&lt;url&gt;http://www.ncbi.nlm.nih.gov/pmc/articles/PMC4809710/pdf/bjgpapr-2016-66-645-e264-oa.pdf&lt;/url&gt;&lt;/related-urls&gt;&lt;/urls&gt;&lt;custom2&gt;PMC4809710&lt;/custom2&gt;&lt;electronic-resource-num&gt;10.3399/bjgp16X684301&lt;/electronic-resource-num&gt;&lt;/record&gt;&lt;/Cite&gt;&lt;/EndNote&gt;</w:instrText>
      </w:r>
      <w:r w:rsidR="00682B53">
        <w:rPr>
          <w:color w:val="000000"/>
          <w:sz w:val="24"/>
          <w:szCs w:val="24"/>
        </w:rPr>
        <w:fldChar w:fldCharType="separate"/>
      </w:r>
      <w:r w:rsidR="00682B53" w:rsidRPr="00682B53">
        <w:rPr>
          <w:noProof/>
          <w:color w:val="000000"/>
          <w:sz w:val="24"/>
          <w:szCs w:val="24"/>
          <w:vertAlign w:val="superscript"/>
        </w:rPr>
        <w:t>12</w:t>
      </w:r>
      <w:r w:rsidR="00682B53">
        <w:rPr>
          <w:color w:val="000000"/>
          <w:sz w:val="24"/>
          <w:szCs w:val="24"/>
        </w:rPr>
        <w:fldChar w:fldCharType="end"/>
      </w:r>
      <w:r w:rsidR="00B264F7" w:rsidRPr="004C60CD">
        <w:rPr>
          <w:color w:val="000000"/>
          <w:sz w:val="24"/>
          <w:szCs w:val="24"/>
        </w:rPr>
        <w:t xml:space="preserve">. </w:t>
      </w:r>
      <w:r w:rsidR="00930F9E">
        <w:rPr>
          <w:color w:val="000000"/>
          <w:sz w:val="24"/>
          <w:szCs w:val="24"/>
        </w:rPr>
        <w:t>P</w:t>
      </w:r>
      <w:r w:rsidR="00930F9E">
        <w:rPr>
          <w:sz w:val="24"/>
          <w:szCs w:val="24"/>
        </w:rPr>
        <w:t>atients</w:t>
      </w:r>
      <w:r w:rsidR="001838EA">
        <w:rPr>
          <w:sz w:val="24"/>
          <w:szCs w:val="24"/>
        </w:rPr>
        <w:t xml:space="preserve"> </w:t>
      </w:r>
      <w:r w:rsidR="00930F9E">
        <w:rPr>
          <w:sz w:val="24"/>
          <w:szCs w:val="24"/>
        </w:rPr>
        <w:t xml:space="preserve">were </w:t>
      </w:r>
      <w:r w:rsidR="0041169A">
        <w:rPr>
          <w:sz w:val="24"/>
          <w:szCs w:val="24"/>
        </w:rPr>
        <w:t xml:space="preserve">assigned </w:t>
      </w:r>
      <w:r w:rsidR="001838EA">
        <w:rPr>
          <w:sz w:val="24"/>
          <w:szCs w:val="24"/>
        </w:rPr>
        <w:t xml:space="preserve">as living </w:t>
      </w:r>
      <w:r w:rsidR="00B264F7" w:rsidRPr="007146F8">
        <w:rPr>
          <w:sz w:val="24"/>
          <w:szCs w:val="24"/>
        </w:rPr>
        <w:t xml:space="preserve">in a communal setting, </w:t>
      </w:r>
      <w:r w:rsidR="00825CFB">
        <w:rPr>
          <w:sz w:val="24"/>
          <w:szCs w:val="24"/>
        </w:rPr>
        <w:t>from</w:t>
      </w:r>
      <w:r w:rsidR="00B264F7" w:rsidRPr="007146F8">
        <w:rPr>
          <w:sz w:val="24"/>
          <w:szCs w:val="24"/>
        </w:rPr>
        <w:t xml:space="preserve"> specific Read codes</w:t>
      </w:r>
      <w:r w:rsidR="00825CFB">
        <w:rPr>
          <w:sz w:val="24"/>
          <w:szCs w:val="24"/>
        </w:rPr>
        <w:t>,</w:t>
      </w:r>
      <w:r w:rsidR="00B264F7" w:rsidRPr="007146F8">
        <w:rPr>
          <w:sz w:val="24"/>
          <w:szCs w:val="24"/>
        </w:rPr>
        <w:t xml:space="preserve"> or</w:t>
      </w:r>
      <w:r w:rsidR="00930F9E">
        <w:rPr>
          <w:sz w:val="24"/>
          <w:szCs w:val="24"/>
        </w:rPr>
        <w:t xml:space="preserve"> by </w:t>
      </w:r>
      <w:r w:rsidR="00175981">
        <w:rPr>
          <w:rFonts w:cstheme="minorHAnsi"/>
          <w:sz w:val="24"/>
          <w:szCs w:val="24"/>
        </w:rPr>
        <w:t>≥</w:t>
      </w:r>
      <w:r w:rsidR="00175981">
        <w:rPr>
          <w:sz w:val="24"/>
          <w:szCs w:val="24"/>
        </w:rPr>
        <w:t>3</w:t>
      </w:r>
      <w:r w:rsidR="00B264F7" w:rsidRPr="007146F8">
        <w:rPr>
          <w:sz w:val="24"/>
          <w:szCs w:val="24"/>
        </w:rPr>
        <w:t xml:space="preserve"> people with ID living at the same address.</w:t>
      </w:r>
      <w:r w:rsidR="007146F8" w:rsidRPr="007146F8">
        <w:rPr>
          <w:sz w:val="24"/>
          <w:szCs w:val="24"/>
        </w:rPr>
        <w:t xml:space="preserve"> </w:t>
      </w:r>
      <w:r w:rsidR="001838EA">
        <w:rPr>
          <w:rFonts w:cs="Times New Roman"/>
          <w:sz w:val="24"/>
          <w:szCs w:val="24"/>
        </w:rPr>
        <w:t>We</w:t>
      </w:r>
      <w:r w:rsidR="007146F8" w:rsidRPr="007146F8">
        <w:rPr>
          <w:rFonts w:cs="Times New Roman"/>
          <w:color w:val="000000"/>
          <w:sz w:val="24"/>
          <w:szCs w:val="24"/>
        </w:rPr>
        <w:t xml:space="preserve"> classified ID patients as having high levels of support needs if they had a record of severe/profound ID or, where no record was available (59%), the occurrence</w:t>
      </w:r>
      <w:r w:rsidR="00175981">
        <w:rPr>
          <w:rFonts w:cs="Times New Roman"/>
          <w:color w:val="000000"/>
          <w:sz w:val="24"/>
          <w:szCs w:val="24"/>
        </w:rPr>
        <w:t xml:space="preserve"> of</w:t>
      </w:r>
      <w:r w:rsidR="007146F8" w:rsidRPr="007146F8">
        <w:rPr>
          <w:rFonts w:cs="Times New Roman"/>
          <w:color w:val="000000"/>
          <w:sz w:val="24"/>
          <w:szCs w:val="24"/>
        </w:rPr>
        <w:t xml:space="preserve"> </w:t>
      </w:r>
      <w:r w:rsidR="004F5821">
        <w:rPr>
          <w:rFonts w:cs="Times New Roman"/>
          <w:color w:val="000000"/>
          <w:sz w:val="24"/>
          <w:szCs w:val="24"/>
        </w:rPr>
        <w:t>two or more</w:t>
      </w:r>
      <w:r w:rsidR="007146F8" w:rsidRPr="007146F8">
        <w:rPr>
          <w:rFonts w:cs="Times New Roman"/>
          <w:color w:val="000000"/>
          <w:sz w:val="24"/>
          <w:szCs w:val="24"/>
        </w:rPr>
        <w:t xml:space="preserve"> of: cerebral palsy or significant mobility problem, severe visual impairment, severe hearing impairment, </w:t>
      </w:r>
      <w:r w:rsidR="0049298B" w:rsidRPr="007146F8">
        <w:rPr>
          <w:rFonts w:cs="Times New Roman"/>
          <w:color w:val="000000"/>
          <w:sz w:val="24"/>
          <w:szCs w:val="24"/>
        </w:rPr>
        <w:t>epilepsy</w:t>
      </w:r>
      <w:r w:rsidR="0049298B">
        <w:rPr>
          <w:rFonts w:cs="Times New Roman"/>
          <w:color w:val="000000"/>
          <w:sz w:val="24"/>
          <w:szCs w:val="24"/>
        </w:rPr>
        <w:t xml:space="preserve">, </w:t>
      </w:r>
      <w:r w:rsidR="0049298B" w:rsidRPr="007146F8">
        <w:rPr>
          <w:rFonts w:cs="Times New Roman"/>
          <w:color w:val="000000"/>
          <w:sz w:val="24"/>
          <w:szCs w:val="24"/>
        </w:rPr>
        <w:t>continence</w:t>
      </w:r>
      <w:r w:rsidR="007146F8" w:rsidRPr="007146F8">
        <w:rPr>
          <w:rFonts w:cs="Times New Roman"/>
          <w:color w:val="000000"/>
          <w:sz w:val="24"/>
          <w:szCs w:val="24"/>
        </w:rPr>
        <w:t xml:space="preserve"> problem </w:t>
      </w:r>
      <w:r w:rsidR="001838EA">
        <w:rPr>
          <w:rFonts w:cs="Times New Roman"/>
          <w:color w:val="000000"/>
          <w:sz w:val="24"/>
          <w:szCs w:val="24"/>
        </w:rPr>
        <w:t>or</w:t>
      </w:r>
      <w:r w:rsidR="007146F8" w:rsidRPr="007146F8">
        <w:rPr>
          <w:rFonts w:cs="Times New Roman"/>
          <w:color w:val="000000"/>
          <w:sz w:val="24"/>
          <w:szCs w:val="24"/>
        </w:rPr>
        <w:t xml:space="preserve"> use of percutaneous endoscopic gastrostomy feeding.</w:t>
      </w:r>
    </w:p>
    <w:p w14:paraId="5FF96AB6" w14:textId="77777777" w:rsidR="00D269D2" w:rsidRPr="004C60CD" w:rsidRDefault="00D269D2" w:rsidP="001D1600">
      <w:pPr>
        <w:spacing w:after="0" w:line="480" w:lineRule="auto"/>
        <w:jc w:val="both"/>
        <w:rPr>
          <w:sz w:val="24"/>
          <w:szCs w:val="24"/>
        </w:rPr>
      </w:pPr>
    </w:p>
    <w:p w14:paraId="47934108" w14:textId="05F4F438" w:rsidR="00D269D2" w:rsidRDefault="00930F9E" w:rsidP="001D1600">
      <w:pPr>
        <w:spacing w:after="0" w:line="480" w:lineRule="auto"/>
        <w:jc w:val="both"/>
        <w:rPr>
          <w:color w:val="000000"/>
          <w:sz w:val="24"/>
          <w:szCs w:val="24"/>
        </w:rPr>
      </w:pPr>
      <w:r>
        <w:rPr>
          <w:rFonts w:eastAsia="Times New Roman" w:cs="Times New Roman"/>
          <w:bCs/>
          <w:kern w:val="36"/>
          <w:sz w:val="24"/>
          <w:szCs w:val="24"/>
          <w:lang w:eastAsia="en-GB"/>
        </w:rPr>
        <w:t>Patients</w:t>
      </w:r>
      <w:r w:rsidR="00B264F7" w:rsidRPr="004C60CD">
        <w:rPr>
          <w:rFonts w:eastAsia="Times New Roman" w:cs="Times New Roman"/>
          <w:bCs/>
          <w:kern w:val="36"/>
          <w:sz w:val="24"/>
          <w:szCs w:val="24"/>
          <w:lang w:eastAsia="en-GB"/>
        </w:rPr>
        <w:t xml:space="preserve"> </w:t>
      </w:r>
      <w:r w:rsidR="00B85C57">
        <w:rPr>
          <w:rFonts w:eastAsia="Times New Roman" w:cs="Times New Roman"/>
          <w:bCs/>
          <w:kern w:val="36"/>
          <w:sz w:val="24"/>
          <w:szCs w:val="24"/>
          <w:lang w:eastAsia="en-GB"/>
        </w:rPr>
        <w:t>we</w:t>
      </w:r>
      <w:r w:rsidR="00B264F7" w:rsidRPr="004C60CD">
        <w:rPr>
          <w:rFonts w:eastAsia="Times New Roman" w:cs="Times New Roman"/>
          <w:bCs/>
          <w:kern w:val="36"/>
          <w:sz w:val="24"/>
          <w:szCs w:val="24"/>
          <w:lang w:eastAsia="en-GB"/>
        </w:rPr>
        <w:t>re f</w:t>
      </w:r>
      <w:r w:rsidR="0062794F">
        <w:rPr>
          <w:rFonts w:eastAsia="Times New Roman" w:cs="Times New Roman"/>
          <w:bCs/>
          <w:kern w:val="36"/>
          <w:sz w:val="24"/>
          <w:szCs w:val="24"/>
          <w:lang w:eastAsia="en-GB"/>
        </w:rPr>
        <w:t xml:space="preserve">ollowed from the </w:t>
      </w:r>
      <w:r w:rsidR="00B85C57">
        <w:rPr>
          <w:rFonts w:eastAsia="Times New Roman" w:cs="Times New Roman"/>
          <w:bCs/>
          <w:kern w:val="36"/>
          <w:sz w:val="24"/>
          <w:szCs w:val="24"/>
          <w:lang w:eastAsia="en-GB"/>
        </w:rPr>
        <w:t>latest</w:t>
      </w:r>
      <w:r w:rsidR="0062794F">
        <w:rPr>
          <w:rFonts w:eastAsia="Times New Roman" w:cs="Times New Roman"/>
          <w:bCs/>
          <w:kern w:val="36"/>
          <w:sz w:val="24"/>
          <w:szCs w:val="24"/>
          <w:lang w:eastAsia="en-GB"/>
        </w:rPr>
        <w:t xml:space="preserve"> of </w:t>
      </w:r>
      <w:r w:rsidR="00B264F7" w:rsidRPr="004C60CD">
        <w:rPr>
          <w:rFonts w:eastAsia="Times New Roman" w:cs="Times New Roman"/>
          <w:bCs/>
          <w:kern w:val="36"/>
          <w:sz w:val="24"/>
          <w:szCs w:val="24"/>
          <w:lang w:eastAsia="en-GB"/>
        </w:rPr>
        <w:t>1/1/2009, January 1</w:t>
      </w:r>
      <w:r w:rsidR="00B264F7" w:rsidRPr="004C60CD">
        <w:rPr>
          <w:rFonts w:eastAsia="Times New Roman" w:cs="Times New Roman"/>
          <w:bCs/>
          <w:kern w:val="36"/>
          <w:sz w:val="24"/>
          <w:szCs w:val="24"/>
          <w:vertAlign w:val="superscript"/>
          <w:lang w:eastAsia="en-GB"/>
        </w:rPr>
        <w:t>st</w:t>
      </w:r>
      <w:r w:rsidR="00B264F7" w:rsidRPr="004C60CD">
        <w:rPr>
          <w:rFonts w:eastAsia="Times New Roman" w:cs="Times New Roman"/>
          <w:bCs/>
          <w:kern w:val="36"/>
          <w:sz w:val="24"/>
          <w:szCs w:val="24"/>
          <w:lang w:eastAsia="en-GB"/>
        </w:rPr>
        <w:t xml:space="preserve"> of the year they turn</w:t>
      </w:r>
      <w:r w:rsidR="002A17DC">
        <w:rPr>
          <w:rFonts w:eastAsia="Times New Roman" w:cs="Times New Roman"/>
          <w:bCs/>
          <w:kern w:val="36"/>
          <w:sz w:val="24"/>
          <w:szCs w:val="24"/>
          <w:lang w:eastAsia="en-GB"/>
        </w:rPr>
        <w:t>ed</w:t>
      </w:r>
      <w:r w:rsidR="00B264F7" w:rsidRPr="004C60CD">
        <w:rPr>
          <w:rFonts w:eastAsia="Times New Roman" w:cs="Times New Roman"/>
          <w:bCs/>
          <w:kern w:val="36"/>
          <w:sz w:val="24"/>
          <w:szCs w:val="24"/>
          <w:lang w:eastAsia="en-GB"/>
        </w:rPr>
        <w:t xml:space="preserve"> 18, or </w:t>
      </w:r>
      <w:r w:rsidR="0049298B">
        <w:rPr>
          <w:rFonts w:eastAsia="Times New Roman" w:cs="Times New Roman"/>
          <w:bCs/>
          <w:kern w:val="36"/>
          <w:sz w:val="24"/>
          <w:szCs w:val="24"/>
          <w:lang w:eastAsia="en-GB"/>
        </w:rPr>
        <w:t xml:space="preserve">registration </w:t>
      </w:r>
      <w:r w:rsidR="00B264F7" w:rsidRPr="004C60CD">
        <w:rPr>
          <w:rFonts w:eastAsia="Times New Roman" w:cs="Times New Roman"/>
          <w:bCs/>
          <w:kern w:val="36"/>
          <w:sz w:val="24"/>
          <w:szCs w:val="24"/>
          <w:lang w:eastAsia="en-GB"/>
        </w:rPr>
        <w:t xml:space="preserve">date </w:t>
      </w:r>
      <w:r w:rsidR="0062794F">
        <w:rPr>
          <w:rFonts w:eastAsia="Times New Roman" w:cs="Times New Roman"/>
          <w:bCs/>
          <w:kern w:val="36"/>
          <w:sz w:val="24"/>
          <w:szCs w:val="24"/>
          <w:lang w:eastAsia="en-GB"/>
        </w:rPr>
        <w:t>with the practice</w:t>
      </w:r>
      <w:r w:rsidR="00175981">
        <w:rPr>
          <w:rFonts w:eastAsia="Times New Roman" w:cs="Times New Roman"/>
          <w:bCs/>
          <w:kern w:val="36"/>
          <w:sz w:val="24"/>
          <w:szCs w:val="24"/>
          <w:lang w:eastAsia="en-GB"/>
        </w:rPr>
        <w:t>,</w:t>
      </w:r>
      <w:r w:rsidR="0062794F">
        <w:rPr>
          <w:rFonts w:eastAsia="Times New Roman" w:cs="Times New Roman"/>
          <w:bCs/>
          <w:kern w:val="36"/>
          <w:sz w:val="24"/>
          <w:szCs w:val="24"/>
          <w:lang w:eastAsia="en-GB"/>
        </w:rPr>
        <w:t xml:space="preserve"> until the earliest of</w:t>
      </w:r>
      <w:r w:rsidR="00175981">
        <w:rPr>
          <w:rFonts w:eastAsia="Times New Roman" w:cs="Times New Roman"/>
          <w:bCs/>
          <w:kern w:val="36"/>
          <w:sz w:val="24"/>
          <w:szCs w:val="24"/>
          <w:lang w:eastAsia="en-GB"/>
        </w:rPr>
        <w:t>:</w:t>
      </w:r>
      <w:r w:rsidR="0062794F">
        <w:rPr>
          <w:rFonts w:eastAsia="Times New Roman" w:cs="Times New Roman"/>
          <w:bCs/>
          <w:kern w:val="36"/>
          <w:sz w:val="24"/>
          <w:szCs w:val="24"/>
          <w:lang w:eastAsia="en-GB"/>
        </w:rPr>
        <w:t xml:space="preserve"> </w:t>
      </w:r>
      <w:r w:rsidR="00B264F7" w:rsidRPr="004C60CD">
        <w:rPr>
          <w:rFonts w:eastAsia="Times New Roman" w:cs="Times New Roman"/>
          <w:bCs/>
          <w:kern w:val="36"/>
          <w:sz w:val="24"/>
          <w:szCs w:val="24"/>
          <w:lang w:eastAsia="en-GB"/>
        </w:rPr>
        <w:t xml:space="preserve">death, deregistration, when the practice stopped providing </w:t>
      </w:r>
      <w:r w:rsidR="001838EA">
        <w:rPr>
          <w:rFonts w:eastAsia="Times New Roman" w:cs="Times New Roman"/>
          <w:bCs/>
          <w:kern w:val="36"/>
          <w:sz w:val="24"/>
          <w:szCs w:val="24"/>
          <w:lang w:eastAsia="en-GB"/>
        </w:rPr>
        <w:t>data,</w:t>
      </w:r>
      <w:r w:rsidR="00B264F7" w:rsidRPr="004C60CD">
        <w:rPr>
          <w:rFonts w:eastAsia="Times New Roman" w:cs="Times New Roman"/>
          <w:bCs/>
          <w:kern w:val="36"/>
          <w:sz w:val="24"/>
          <w:szCs w:val="24"/>
          <w:lang w:eastAsia="en-GB"/>
        </w:rPr>
        <w:t xml:space="preserve"> or study end </w:t>
      </w:r>
      <w:r w:rsidR="001838EA">
        <w:rPr>
          <w:rFonts w:eastAsia="Times New Roman" w:cs="Times New Roman"/>
          <w:bCs/>
          <w:kern w:val="36"/>
          <w:sz w:val="24"/>
          <w:szCs w:val="24"/>
          <w:lang w:eastAsia="en-GB"/>
        </w:rPr>
        <w:t>(</w:t>
      </w:r>
      <w:r w:rsidR="00B264F7" w:rsidRPr="004C60CD">
        <w:rPr>
          <w:rFonts w:eastAsia="Times New Roman" w:cs="Times New Roman"/>
          <w:bCs/>
          <w:kern w:val="36"/>
          <w:sz w:val="24"/>
          <w:szCs w:val="24"/>
          <w:lang w:eastAsia="en-GB"/>
        </w:rPr>
        <w:t>31/3/</w:t>
      </w:r>
      <w:r w:rsidR="001838EA">
        <w:rPr>
          <w:rFonts w:eastAsia="Times New Roman" w:cs="Times New Roman"/>
          <w:bCs/>
          <w:kern w:val="36"/>
          <w:sz w:val="24"/>
          <w:szCs w:val="24"/>
          <w:lang w:eastAsia="en-GB"/>
        </w:rPr>
        <w:t>20</w:t>
      </w:r>
      <w:r w:rsidR="00B264F7" w:rsidRPr="004C60CD">
        <w:rPr>
          <w:rFonts w:eastAsia="Times New Roman" w:cs="Times New Roman"/>
          <w:bCs/>
          <w:kern w:val="36"/>
          <w:sz w:val="24"/>
          <w:szCs w:val="24"/>
          <w:lang w:eastAsia="en-GB"/>
        </w:rPr>
        <w:t>1</w:t>
      </w:r>
      <w:r w:rsidR="0062794F">
        <w:rPr>
          <w:rFonts w:eastAsia="Times New Roman" w:cs="Times New Roman"/>
          <w:bCs/>
          <w:kern w:val="36"/>
          <w:sz w:val="24"/>
          <w:szCs w:val="24"/>
          <w:lang w:eastAsia="en-GB"/>
        </w:rPr>
        <w:t>3</w:t>
      </w:r>
      <w:r w:rsidR="001838EA">
        <w:rPr>
          <w:rFonts w:eastAsia="Times New Roman" w:cs="Times New Roman"/>
          <w:bCs/>
          <w:kern w:val="36"/>
          <w:sz w:val="24"/>
          <w:szCs w:val="24"/>
          <w:lang w:eastAsia="en-GB"/>
        </w:rPr>
        <w:t>)</w:t>
      </w:r>
      <w:r w:rsidR="00370022">
        <w:rPr>
          <w:rFonts w:eastAsia="Times New Roman" w:cs="Times New Roman"/>
          <w:bCs/>
          <w:kern w:val="36"/>
          <w:sz w:val="24"/>
          <w:szCs w:val="24"/>
          <w:lang w:eastAsia="en-GB"/>
        </w:rPr>
        <w:fldChar w:fldCharType="begin"/>
      </w:r>
      <w:r w:rsidR="00370022">
        <w:rPr>
          <w:rFonts w:eastAsia="Times New Roman" w:cs="Times New Roman"/>
          <w:bCs/>
          <w:kern w:val="36"/>
          <w:sz w:val="24"/>
          <w:szCs w:val="24"/>
          <w:lang w:eastAsia="en-GB"/>
        </w:rPr>
        <w:instrText xml:space="preserve"> ADDIN EN.CITE &lt;EndNote&gt;&lt;Cite ExcludeYear="1"&gt;&lt;Author&gt;Hosking&lt;/Author&gt;&lt;Year&gt;2016&lt;/Year&gt;&lt;RecNum&gt;786&lt;/RecNum&gt;&lt;DisplayText&gt;&lt;style face="superscript"&gt;13&lt;/style&gt;&lt;/DisplayText&gt;&lt;record&gt;&lt;rec-number&gt;786&lt;/rec-number&gt;&lt;foreign-keys&gt;&lt;key app="EN" db-id="9vd5rfe5s0azere5pfyx0xrzazafratsxvvv" timestamp="1479373457"&gt;786&lt;/key&gt;&lt;/foreign-keys&gt;&lt;ref-type name="Journal Article"&gt;17&lt;/ref-type&gt;&lt;contributors&gt;&lt;authors&gt;&lt;author&gt;Hosking, F. J.&lt;/author&gt;&lt;author&gt;Carey, I. M.&lt;/author&gt;&lt;author&gt;Shah, S. M.&lt;/author&gt;&lt;author&gt;Harris, T.&lt;/author&gt;&lt;author&gt;DeWilde, S.&lt;/author&gt;&lt;author&gt;Beighton, C.&lt;/author&gt;&lt;author&gt;Cook, D. G.&lt;/author&gt;&lt;/authors&gt;&lt;/contributors&gt;&lt;titles&gt;&lt;title&gt;Mortality Among Adults With Intellectual Disability in England: Comparisons With the General Population&lt;/title&gt;&lt;secondary-title&gt;American Journal of Public Health&lt;/secondary-title&gt;&lt;/titles&gt;&lt;periodical&gt;&lt;full-title&gt;American Journal of Public Health&lt;/full-title&gt;&lt;/periodical&gt;&lt;pages&gt;1483-1490&lt;/pages&gt;&lt;volume&gt;106&lt;/volume&gt;&lt;number&gt;8&lt;/number&gt;&lt;dates&gt;&lt;year&gt;2016&lt;/year&gt;&lt;pub-dates&gt;&lt;date&gt;Aug&lt;/date&gt;&lt;/pub-dates&gt;&lt;/dates&gt;&lt;isbn&gt;0090-0036&lt;/isbn&gt;&lt;accession-num&gt;WOS:000384981200045&lt;/accession-num&gt;&lt;urls&gt;&lt;related-urls&gt;&lt;url&gt;&amp;lt;Go to ISI&amp;gt;://WOS:000384981200045&lt;/url&gt;&lt;/related-urls&gt;&lt;/urls&gt;&lt;electronic-resource-num&gt;10.2105/ajph.2016.303240&lt;/electronic-resource-num&gt;&lt;/record&gt;&lt;/Cite&gt;&lt;/EndNote&gt;</w:instrText>
      </w:r>
      <w:r w:rsidR="00370022">
        <w:rPr>
          <w:rFonts w:eastAsia="Times New Roman" w:cs="Times New Roman"/>
          <w:bCs/>
          <w:kern w:val="36"/>
          <w:sz w:val="24"/>
          <w:szCs w:val="24"/>
          <w:lang w:eastAsia="en-GB"/>
        </w:rPr>
        <w:fldChar w:fldCharType="separate"/>
      </w:r>
      <w:r w:rsidR="00370022" w:rsidRPr="00370022">
        <w:rPr>
          <w:rFonts w:eastAsia="Times New Roman" w:cs="Times New Roman"/>
          <w:bCs/>
          <w:noProof/>
          <w:kern w:val="36"/>
          <w:sz w:val="24"/>
          <w:szCs w:val="24"/>
          <w:vertAlign w:val="superscript"/>
          <w:lang w:eastAsia="en-GB"/>
        </w:rPr>
        <w:t>13</w:t>
      </w:r>
      <w:r w:rsidR="00370022">
        <w:rPr>
          <w:rFonts w:eastAsia="Times New Roman" w:cs="Times New Roman"/>
          <w:bCs/>
          <w:kern w:val="36"/>
          <w:sz w:val="24"/>
          <w:szCs w:val="24"/>
          <w:lang w:eastAsia="en-GB"/>
        </w:rPr>
        <w:fldChar w:fldCharType="end"/>
      </w:r>
      <w:r w:rsidR="00674D01">
        <w:rPr>
          <w:rFonts w:eastAsia="Times New Roman" w:cs="Times New Roman"/>
          <w:bCs/>
          <w:kern w:val="36"/>
          <w:sz w:val="24"/>
          <w:szCs w:val="24"/>
          <w:lang w:eastAsia="en-GB"/>
        </w:rPr>
        <w:t xml:space="preserve">. </w:t>
      </w:r>
      <w:r w:rsidR="004F79B7">
        <w:rPr>
          <w:rFonts w:eastAsia="Times New Roman" w:cs="Times New Roman"/>
          <w:bCs/>
          <w:kern w:val="36"/>
          <w:sz w:val="24"/>
          <w:szCs w:val="24"/>
          <w:lang w:eastAsia="en-GB"/>
        </w:rPr>
        <w:t xml:space="preserve">Additionally, </w:t>
      </w:r>
      <w:r w:rsidR="00B264F7" w:rsidRPr="004C60CD">
        <w:rPr>
          <w:rFonts w:eastAsia="Times New Roman" w:cs="Times New Roman"/>
          <w:bCs/>
          <w:kern w:val="36"/>
          <w:sz w:val="24"/>
          <w:szCs w:val="24"/>
          <w:lang w:eastAsia="en-GB"/>
        </w:rPr>
        <w:t xml:space="preserve"> up to seven contemporary age</w:t>
      </w:r>
      <w:r w:rsidR="009956A1">
        <w:rPr>
          <w:rFonts w:eastAsia="Times New Roman" w:cs="Times New Roman"/>
          <w:bCs/>
          <w:kern w:val="36"/>
          <w:sz w:val="24"/>
          <w:szCs w:val="24"/>
          <w:lang w:eastAsia="en-GB"/>
        </w:rPr>
        <w:t>-</w:t>
      </w:r>
      <w:r w:rsidR="00B264F7" w:rsidRPr="004C60CD">
        <w:rPr>
          <w:rFonts w:eastAsia="Times New Roman" w:cs="Times New Roman"/>
          <w:bCs/>
          <w:kern w:val="36"/>
          <w:sz w:val="24"/>
          <w:szCs w:val="24"/>
          <w:lang w:eastAsia="en-GB"/>
        </w:rPr>
        <w:t>, sex</w:t>
      </w:r>
      <w:r w:rsidR="009956A1">
        <w:rPr>
          <w:rFonts w:eastAsia="Times New Roman" w:cs="Times New Roman"/>
          <w:bCs/>
          <w:kern w:val="36"/>
          <w:sz w:val="24"/>
          <w:szCs w:val="24"/>
          <w:lang w:eastAsia="en-GB"/>
        </w:rPr>
        <w:t>-</w:t>
      </w:r>
      <w:r w:rsidR="00B264F7" w:rsidRPr="004C60CD">
        <w:rPr>
          <w:rFonts w:eastAsia="Times New Roman" w:cs="Times New Roman"/>
          <w:bCs/>
          <w:kern w:val="36"/>
          <w:sz w:val="24"/>
          <w:szCs w:val="24"/>
          <w:lang w:eastAsia="en-GB"/>
        </w:rPr>
        <w:t xml:space="preserve"> and practice</w:t>
      </w:r>
      <w:r w:rsidR="009956A1">
        <w:rPr>
          <w:rFonts w:eastAsia="Times New Roman" w:cs="Times New Roman"/>
          <w:bCs/>
          <w:kern w:val="36"/>
          <w:sz w:val="24"/>
          <w:szCs w:val="24"/>
          <w:lang w:eastAsia="en-GB"/>
        </w:rPr>
        <w:t>-</w:t>
      </w:r>
      <w:r w:rsidR="00B264F7" w:rsidRPr="004C60CD">
        <w:rPr>
          <w:rFonts w:eastAsia="Times New Roman" w:cs="Times New Roman"/>
          <w:bCs/>
          <w:kern w:val="36"/>
          <w:sz w:val="24"/>
          <w:szCs w:val="24"/>
          <w:lang w:eastAsia="en-GB"/>
        </w:rPr>
        <w:t xml:space="preserve"> matched controls</w:t>
      </w:r>
      <w:r w:rsidR="00175981">
        <w:rPr>
          <w:rFonts w:eastAsia="Times New Roman" w:cs="Times New Roman"/>
          <w:bCs/>
          <w:kern w:val="36"/>
          <w:sz w:val="24"/>
          <w:szCs w:val="24"/>
          <w:lang w:eastAsia="en-GB"/>
        </w:rPr>
        <w:t xml:space="preserve">, </w:t>
      </w:r>
      <w:r w:rsidR="004F79B7">
        <w:rPr>
          <w:rFonts w:eastAsia="Times New Roman" w:cs="Times New Roman"/>
          <w:bCs/>
          <w:kern w:val="36"/>
          <w:sz w:val="24"/>
          <w:szCs w:val="24"/>
          <w:lang w:eastAsia="en-GB"/>
        </w:rPr>
        <w:t xml:space="preserve">were </w:t>
      </w:r>
      <w:r w:rsidR="0065241F">
        <w:rPr>
          <w:rFonts w:eastAsia="Times New Roman" w:cs="Times New Roman"/>
          <w:bCs/>
          <w:kern w:val="36"/>
          <w:sz w:val="24"/>
          <w:szCs w:val="24"/>
          <w:lang w:eastAsia="en-GB"/>
        </w:rPr>
        <w:t>randomly selected from the remaining population without</w:t>
      </w:r>
      <w:r w:rsidR="00B264F7" w:rsidRPr="004C60CD">
        <w:rPr>
          <w:rFonts w:eastAsia="Times New Roman" w:cs="Times New Roman"/>
          <w:bCs/>
          <w:kern w:val="36"/>
          <w:sz w:val="24"/>
          <w:szCs w:val="24"/>
          <w:lang w:eastAsia="en-GB"/>
        </w:rPr>
        <w:t xml:space="preserve"> ID</w:t>
      </w:r>
      <w:r w:rsidR="001838EA">
        <w:rPr>
          <w:color w:val="000000"/>
          <w:sz w:val="24"/>
          <w:szCs w:val="24"/>
        </w:rPr>
        <w:t>.</w:t>
      </w:r>
      <w:r w:rsidR="00825CFB" w:rsidRPr="00825CFB">
        <w:rPr>
          <w:color w:val="000000"/>
          <w:sz w:val="24"/>
          <w:szCs w:val="24"/>
        </w:rPr>
        <w:t xml:space="preserve"> </w:t>
      </w:r>
      <w:r w:rsidR="0014325E">
        <w:rPr>
          <w:color w:val="000000"/>
          <w:sz w:val="24"/>
          <w:szCs w:val="24"/>
        </w:rPr>
        <w:t>T</w:t>
      </w:r>
      <w:r w:rsidR="00825CFB">
        <w:rPr>
          <w:sz w:val="24"/>
          <w:szCs w:val="24"/>
        </w:rPr>
        <w:t>he average length of follow up</w:t>
      </w:r>
      <w:r w:rsidR="0014325E">
        <w:rPr>
          <w:sz w:val="24"/>
          <w:szCs w:val="24"/>
        </w:rPr>
        <w:t xml:space="preserve"> for all individuals</w:t>
      </w:r>
      <w:r w:rsidR="00825CFB">
        <w:rPr>
          <w:sz w:val="24"/>
          <w:szCs w:val="24"/>
        </w:rPr>
        <w:t xml:space="preserve"> was approximately 3 years (1,097 days).</w:t>
      </w:r>
    </w:p>
    <w:p w14:paraId="4977CEFC" w14:textId="77777777" w:rsidR="001838EA" w:rsidRPr="004C60CD" w:rsidRDefault="001838EA" w:rsidP="001D1600">
      <w:pPr>
        <w:spacing w:after="0" w:line="480" w:lineRule="auto"/>
        <w:jc w:val="both"/>
        <w:rPr>
          <w:sz w:val="24"/>
          <w:szCs w:val="24"/>
        </w:rPr>
      </w:pPr>
    </w:p>
    <w:p w14:paraId="24CD16BF" w14:textId="09CF5D97" w:rsidR="00706513" w:rsidRDefault="00706513" w:rsidP="001D1600">
      <w:pPr>
        <w:spacing w:after="0" w:line="48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Study Outcomes</w:t>
      </w:r>
    </w:p>
    <w:p w14:paraId="7055D726" w14:textId="2C8927EA" w:rsidR="00D269D2" w:rsidRPr="004C60CD" w:rsidRDefault="00F62009" w:rsidP="001D1600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the UK, </w:t>
      </w:r>
      <w:r w:rsidRPr="00F62009">
        <w:rPr>
          <w:sz w:val="24"/>
          <w:szCs w:val="24"/>
        </w:rPr>
        <w:t>every</w:t>
      </w:r>
      <w:r w:rsidR="00D868F5">
        <w:rPr>
          <w:sz w:val="24"/>
          <w:szCs w:val="24"/>
        </w:rPr>
        <w:t xml:space="preserve"> admission to a</w:t>
      </w:r>
      <w:r w:rsidR="0071376B">
        <w:rPr>
          <w:sz w:val="24"/>
          <w:szCs w:val="24"/>
        </w:rPr>
        <w:t>n</w:t>
      </w:r>
      <w:r w:rsidRPr="00F62009">
        <w:rPr>
          <w:sz w:val="24"/>
          <w:szCs w:val="24"/>
        </w:rPr>
        <w:t xml:space="preserve"> </w:t>
      </w:r>
      <w:r w:rsidR="00D868F5">
        <w:rPr>
          <w:sz w:val="24"/>
          <w:szCs w:val="24"/>
        </w:rPr>
        <w:t xml:space="preserve">NHS (National Health Service) </w:t>
      </w:r>
      <w:r w:rsidRPr="00F62009">
        <w:rPr>
          <w:sz w:val="24"/>
          <w:szCs w:val="24"/>
        </w:rPr>
        <w:t xml:space="preserve">hospital </w:t>
      </w:r>
      <w:r w:rsidR="00AA7B34">
        <w:rPr>
          <w:sz w:val="24"/>
          <w:szCs w:val="24"/>
        </w:rPr>
        <w:t>is</w:t>
      </w:r>
      <w:r w:rsidRPr="00F62009">
        <w:rPr>
          <w:sz w:val="24"/>
          <w:szCs w:val="24"/>
        </w:rPr>
        <w:t xml:space="preserve"> recorded </w:t>
      </w:r>
      <w:r w:rsidR="007C4A72">
        <w:rPr>
          <w:sz w:val="24"/>
          <w:szCs w:val="24"/>
        </w:rPr>
        <w:t>in</w:t>
      </w:r>
      <w:r w:rsidRPr="00F62009">
        <w:rPr>
          <w:sz w:val="24"/>
          <w:szCs w:val="24"/>
        </w:rPr>
        <w:t xml:space="preserve"> HES</w:t>
      </w:r>
      <w:r w:rsidR="00D868F5">
        <w:rPr>
          <w:sz w:val="24"/>
          <w:szCs w:val="24"/>
        </w:rPr>
        <w:t xml:space="preserve"> (Hospital Episodes Statistics)</w:t>
      </w:r>
      <w:r w:rsidR="00F00207">
        <w:rPr>
          <w:sz w:val="24"/>
          <w:szCs w:val="24"/>
        </w:rPr>
        <w:t>, including</w:t>
      </w:r>
      <w:r>
        <w:rPr>
          <w:sz w:val="24"/>
          <w:szCs w:val="24"/>
        </w:rPr>
        <w:t xml:space="preserve"> information on </w:t>
      </w:r>
      <w:r w:rsidR="00980409" w:rsidRPr="004C60CD">
        <w:rPr>
          <w:sz w:val="24"/>
          <w:szCs w:val="24"/>
        </w:rPr>
        <w:t xml:space="preserve">the </w:t>
      </w:r>
      <w:r>
        <w:rPr>
          <w:sz w:val="24"/>
          <w:szCs w:val="24"/>
        </w:rPr>
        <w:t>date, duration</w:t>
      </w:r>
      <w:r w:rsidR="009D683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80409" w:rsidRPr="004C60CD">
        <w:rPr>
          <w:sz w:val="24"/>
          <w:szCs w:val="24"/>
        </w:rPr>
        <w:t>type (</w:t>
      </w:r>
      <w:r w:rsidR="00AD2AE6">
        <w:rPr>
          <w:sz w:val="24"/>
          <w:szCs w:val="24"/>
        </w:rPr>
        <w:t xml:space="preserve">e.g. </w:t>
      </w:r>
      <w:r w:rsidR="00980409" w:rsidRPr="004C60CD">
        <w:rPr>
          <w:sz w:val="24"/>
          <w:szCs w:val="24"/>
        </w:rPr>
        <w:t>emergen</w:t>
      </w:r>
      <w:r w:rsidR="00F04282">
        <w:rPr>
          <w:sz w:val="24"/>
          <w:szCs w:val="24"/>
        </w:rPr>
        <w:t>cy)</w:t>
      </w:r>
      <w:r>
        <w:rPr>
          <w:sz w:val="24"/>
          <w:szCs w:val="24"/>
        </w:rPr>
        <w:t xml:space="preserve"> and primary reason for admission</w:t>
      </w:r>
      <w:r w:rsidR="008E1343">
        <w:rPr>
          <w:sz w:val="24"/>
          <w:szCs w:val="24"/>
        </w:rPr>
        <w:t xml:space="preserve"> (ICD-10 code)</w:t>
      </w:r>
      <w:r>
        <w:rPr>
          <w:sz w:val="24"/>
          <w:szCs w:val="24"/>
        </w:rPr>
        <w:t>. A</w:t>
      </w:r>
      <w:r w:rsidR="00C310A0">
        <w:rPr>
          <w:sz w:val="24"/>
          <w:szCs w:val="24"/>
        </w:rPr>
        <w:t xml:space="preserve">lthough </w:t>
      </w:r>
      <w:r w:rsidR="004365AB">
        <w:rPr>
          <w:sz w:val="24"/>
          <w:szCs w:val="24"/>
        </w:rPr>
        <w:t xml:space="preserve">information is available </w:t>
      </w:r>
      <w:r w:rsidR="008E1343">
        <w:rPr>
          <w:sz w:val="24"/>
          <w:szCs w:val="24"/>
        </w:rPr>
        <w:t>regarding</w:t>
      </w:r>
      <w:r w:rsidR="00C310A0">
        <w:rPr>
          <w:sz w:val="24"/>
          <w:szCs w:val="24"/>
        </w:rPr>
        <w:t xml:space="preserve"> multiple episodes within each hospitalisation</w:t>
      </w:r>
      <w:r w:rsidR="004365AB">
        <w:rPr>
          <w:sz w:val="24"/>
          <w:szCs w:val="24"/>
        </w:rPr>
        <w:t xml:space="preserve">, we </w:t>
      </w:r>
      <w:r w:rsidR="008E1343">
        <w:rPr>
          <w:sz w:val="24"/>
          <w:szCs w:val="24"/>
        </w:rPr>
        <w:t xml:space="preserve">focused on </w:t>
      </w:r>
      <w:r w:rsidR="004365AB">
        <w:rPr>
          <w:sz w:val="24"/>
          <w:szCs w:val="24"/>
        </w:rPr>
        <w:t xml:space="preserve">the </w:t>
      </w:r>
      <w:r w:rsidR="008E1343">
        <w:rPr>
          <w:sz w:val="24"/>
          <w:szCs w:val="24"/>
        </w:rPr>
        <w:t xml:space="preserve">initial </w:t>
      </w:r>
      <w:r w:rsidR="004365AB">
        <w:rPr>
          <w:sz w:val="24"/>
          <w:szCs w:val="24"/>
        </w:rPr>
        <w:t>episode</w:t>
      </w:r>
      <w:r w:rsidR="00536216">
        <w:rPr>
          <w:sz w:val="24"/>
          <w:szCs w:val="24"/>
        </w:rPr>
        <w:t>, as it reflects the primary reason for admission</w:t>
      </w:r>
      <w:r w:rsidR="00682B53">
        <w:rPr>
          <w:sz w:val="24"/>
          <w:szCs w:val="24"/>
        </w:rPr>
        <w:fldChar w:fldCharType="begin"/>
      </w:r>
      <w:r w:rsidR="00665267">
        <w:rPr>
          <w:sz w:val="24"/>
          <w:szCs w:val="24"/>
        </w:rPr>
        <w:instrText xml:space="preserve"> ADDIN EN.CITE &lt;EndNote&gt;&lt;Cite&gt;&lt;Author&gt;Bardsley&lt;/Author&gt;&lt;Year&gt;2013&lt;/Year&gt;&lt;RecNum&gt;520&lt;/RecNum&gt;&lt;IDText&gt;Is secondary preventive care improving? Observational study of 10-year trends in emergency admissions for conditions amenable to ambulatory care&lt;/IDText&gt;&lt;DisplayText&gt;&lt;style face="superscript"&gt;6&lt;/style&gt;&lt;/DisplayText&gt;&lt;record&gt;&lt;rec-number&gt;520&lt;/rec-number&gt;&lt;foreign-keys&gt;&lt;key app="EN" db-id="9vd5rfe5s0azere5pfyx0xrzazafratsxvvv" timestamp="1466420121"&gt;520&lt;/key&gt;&lt;key app="ENWeb" db-id=""&gt;0&lt;/key&gt;&lt;/foreign-keys&gt;&lt;ref-type name="Journal Article"&gt;17&lt;/ref-type&gt;&lt;contributors&gt;&lt;authors&gt;&lt;author&gt;Bardsley, Martin&lt;/author&gt;&lt;author&gt;Blunt, Ian&lt;/author&gt;&lt;author&gt;Davies, Sian&lt;/author&gt;&lt;author&gt;Dixon, Jennifer&lt;/author&gt;&lt;/authors&gt;&lt;/contributors&gt;&lt;titles&gt;&lt;title&gt;Is secondary preventive care improving? Observational study of 10-year trends in emergency admissions for conditions amenable to ambulatory care&lt;/title&gt;&lt;secondary-title&gt;BMJ Open&lt;/secondary-title&gt;&lt;/titles&gt;&lt;periodical&gt;&lt;full-title&gt;Bmj Open&lt;/full-title&gt;&lt;/periodical&gt;&lt;volume&gt;3&lt;/volume&gt;&lt;number&gt;1&lt;/number&gt;&lt;dates&gt;&lt;year&gt;2013&lt;/year&gt;&lt;pub-dates&gt;&lt;date&gt;2013 Jan&lt;/date&gt;&lt;/pub-dates&gt;&lt;/dates&gt;&lt;accession-num&gt;MEDLINE:23288268&lt;/accession-num&gt;&lt;urls&gt;&lt;related-urls&gt;&lt;url&gt;&amp;lt;Go to ISI&amp;gt;://MEDLINE:23288268&lt;/url&gt;&lt;url&gt;http://bmjopen.bmj.com/content/3/1/e002007.full.pdf&lt;/url&gt;&lt;/related-urls&gt;&lt;/urls&gt;&lt;electronic-resource-num&gt;10.1136/bmjopen-2012-002007&lt;/electronic-resource-num&gt;&lt;/record&gt;&lt;/Cite&gt;&lt;/EndNote&gt;</w:instrText>
      </w:r>
      <w:r w:rsidR="00682B53">
        <w:rPr>
          <w:sz w:val="24"/>
          <w:szCs w:val="24"/>
        </w:rPr>
        <w:fldChar w:fldCharType="separate"/>
      </w:r>
      <w:r w:rsidR="00682B53" w:rsidRPr="00682B53">
        <w:rPr>
          <w:noProof/>
          <w:sz w:val="24"/>
          <w:szCs w:val="24"/>
          <w:vertAlign w:val="superscript"/>
        </w:rPr>
        <w:t>6</w:t>
      </w:r>
      <w:r w:rsidR="00682B53">
        <w:rPr>
          <w:sz w:val="24"/>
          <w:szCs w:val="24"/>
        </w:rPr>
        <w:fldChar w:fldCharType="end"/>
      </w:r>
      <w:r w:rsidR="00536216">
        <w:rPr>
          <w:sz w:val="24"/>
          <w:szCs w:val="24"/>
        </w:rPr>
        <w:t>.</w:t>
      </w:r>
      <w:r w:rsidR="00980409" w:rsidRPr="004C60CD">
        <w:rPr>
          <w:sz w:val="24"/>
          <w:szCs w:val="24"/>
        </w:rPr>
        <w:t xml:space="preserve"> </w:t>
      </w:r>
    </w:p>
    <w:p w14:paraId="282BB2C9" w14:textId="77777777" w:rsidR="00980409" w:rsidRPr="004C60CD" w:rsidRDefault="00980409" w:rsidP="001D1600">
      <w:pPr>
        <w:spacing w:after="0" w:line="480" w:lineRule="auto"/>
        <w:jc w:val="both"/>
        <w:rPr>
          <w:sz w:val="24"/>
          <w:szCs w:val="24"/>
        </w:rPr>
      </w:pPr>
    </w:p>
    <w:p w14:paraId="2F7684BD" w14:textId="27469B7A" w:rsidR="00C96693" w:rsidRPr="00C96693" w:rsidRDefault="00C96693" w:rsidP="001D1600">
      <w:pPr>
        <w:spacing w:after="0" w:line="480" w:lineRule="auto"/>
        <w:jc w:val="both"/>
        <w:rPr>
          <w:i/>
          <w:sz w:val="24"/>
          <w:szCs w:val="24"/>
        </w:rPr>
      </w:pPr>
    </w:p>
    <w:p w14:paraId="70CF1794" w14:textId="42030B3D" w:rsidR="00C96693" w:rsidRDefault="0019283F" w:rsidP="001D1600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r w:rsidR="00C96693">
        <w:rPr>
          <w:sz w:val="24"/>
          <w:szCs w:val="24"/>
        </w:rPr>
        <w:t>included</w:t>
      </w:r>
      <w:r w:rsidR="009D6837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 </w:t>
      </w:r>
      <w:r w:rsidR="00550E28">
        <w:rPr>
          <w:sz w:val="24"/>
          <w:szCs w:val="24"/>
        </w:rPr>
        <w:t xml:space="preserve">widely used </w:t>
      </w:r>
      <w:r w:rsidR="00D86192">
        <w:rPr>
          <w:sz w:val="24"/>
          <w:szCs w:val="24"/>
        </w:rPr>
        <w:t>ACSCs</w:t>
      </w:r>
      <w:r w:rsidR="008E1343">
        <w:rPr>
          <w:sz w:val="24"/>
          <w:szCs w:val="24"/>
        </w:rPr>
        <w:t>,</w:t>
      </w:r>
      <w:r w:rsidR="00D42071">
        <w:rPr>
          <w:sz w:val="24"/>
          <w:szCs w:val="24"/>
        </w:rPr>
        <w:t xml:space="preserve"> </w:t>
      </w:r>
      <w:r w:rsidR="00930F9E">
        <w:rPr>
          <w:sz w:val="24"/>
          <w:szCs w:val="24"/>
        </w:rPr>
        <w:t xml:space="preserve">but </w:t>
      </w:r>
      <w:r w:rsidR="00D42071">
        <w:rPr>
          <w:sz w:val="24"/>
          <w:szCs w:val="24"/>
        </w:rPr>
        <w:t xml:space="preserve">considered </w:t>
      </w:r>
      <w:r w:rsidR="00F205BC">
        <w:rPr>
          <w:sz w:val="24"/>
          <w:szCs w:val="24"/>
        </w:rPr>
        <w:t xml:space="preserve">additional </w:t>
      </w:r>
      <w:r w:rsidR="00930F9E">
        <w:rPr>
          <w:sz w:val="24"/>
          <w:szCs w:val="24"/>
        </w:rPr>
        <w:t>conditions rel</w:t>
      </w:r>
      <w:r w:rsidR="008E1343">
        <w:rPr>
          <w:sz w:val="24"/>
          <w:szCs w:val="24"/>
        </w:rPr>
        <w:t>evant to the ID population</w:t>
      </w:r>
      <w:r w:rsidR="00682B53">
        <w:rPr>
          <w:sz w:val="24"/>
          <w:szCs w:val="24"/>
        </w:rPr>
        <w:fldChar w:fldCharType="begin">
          <w:fldData xml:space="preserve">PEVuZE5vdGU+PENpdGU+PEF1dGhvcj5HbG92ZXI8L0F1dGhvcj48WWVhcj4yMDEzPC9ZZWFyPjxS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</w:fldData>
        </w:fldChar>
      </w:r>
      <w:r w:rsidR="00370022">
        <w:rPr>
          <w:sz w:val="24"/>
          <w:szCs w:val="24"/>
        </w:rPr>
        <w:instrText xml:space="preserve"> ADDIN EN.CITE </w:instrText>
      </w:r>
      <w:r w:rsidR="00370022">
        <w:rPr>
          <w:sz w:val="24"/>
          <w:szCs w:val="24"/>
        </w:rPr>
        <w:fldChar w:fldCharType="begin">
          <w:fldData xml:space="preserve">PEVuZE5vdGU+PENpdGU+PEF1dGhvcj5HbG92ZXI8L0F1dGhvcj48WWVhcj4yMDEzPC9ZZWFyPjxS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</w:fldData>
        </w:fldChar>
      </w:r>
      <w:r w:rsidR="00370022">
        <w:rPr>
          <w:sz w:val="24"/>
          <w:szCs w:val="24"/>
        </w:rPr>
        <w:instrText xml:space="preserve"> ADDIN EN.CITE.DATA </w:instrText>
      </w:r>
      <w:r w:rsidR="00370022">
        <w:rPr>
          <w:sz w:val="24"/>
          <w:szCs w:val="24"/>
        </w:rPr>
      </w:r>
      <w:r w:rsidR="00370022">
        <w:rPr>
          <w:sz w:val="24"/>
          <w:szCs w:val="24"/>
        </w:rPr>
        <w:fldChar w:fldCharType="end"/>
      </w:r>
      <w:r w:rsidR="00682B53">
        <w:rPr>
          <w:sz w:val="24"/>
          <w:szCs w:val="24"/>
        </w:rPr>
      </w:r>
      <w:r w:rsidR="00682B53">
        <w:rPr>
          <w:sz w:val="24"/>
          <w:szCs w:val="24"/>
        </w:rPr>
        <w:fldChar w:fldCharType="separate"/>
      </w:r>
      <w:r w:rsidR="00370022" w:rsidRPr="00370022">
        <w:rPr>
          <w:noProof/>
          <w:sz w:val="24"/>
          <w:szCs w:val="24"/>
          <w:vertAlign w:val="superscript"/>
        </w:rPr>
        <w:t>8,14</w:t>
      </w:r>
      <w:r w:rsidR="00682B53">
        <w:rPr>
          <w:sz w:val="24"/>
          <w:szCs w:val="24"/>
        </w:rPr>
        <w:fldChar w:fldCharType="end"/>
      </w:r>
      <w:r w:rsidR="008E1343">
        <w:rPr>
          <w:sz w:val="24"/>
          <w:szCs w:val="24"/>
        </w:rPr>
        <w:t xml:space="preserve"> (</w:t>
      </w:r>
      <w:r w:rsidR="00D42071">
        <w:rPr>
          <w:sz w:val="24"/>
          <w:szCs w:val="24"/>
        </w:rPr>
        <w:t xml:space="preserve">constipation, aspiration, </w:t>
      </w:r>
      <w:r w:rsidR="00AA028C">
        <w:rPr>
          <w:sz w:val="24"/>
          <w:szCs w:val="24"/>
        </w:rPr>
        <w:t xml:space="preserve">GERD, </w:t>
      </w:r>
      <w:r w:rsidR="00D42071">
        <w:rPr>
          <w:sz w:val="24"/>
          <w:szCs w:val="24"/>
        </w:rPr>
        <w:t>osteopo</w:t>
      </w:r>
      <w:r w:rsidR="00AA028C">
        <w:rPr>
          <w:sz w:val="24"/>
          <w:szCs w:val="24"/>
        </w:rPr>
        <w:t xml:space="preserve">rosis </w:t>
      </w:r>
      <w:r w:rsidR="00D42071">
        <w:rPr>
          <w:sz w:val="24"/>
          <w:szCs w:val="24"/>
        </w:rPr>
        <w:t>and schizophrenia</w:t>
      </w:r>
      <w:r w:rsidR="008E1343">
        <w:rPr>
          <w:sz w:val="24"/>
          <w:szCs w:val="24"/>
        </w:rPr>
        <w:t>)</w:t>
      </w:r>
      <w:r w:rsidR="00D42071">
        <w:rPr>
          <w:sz w:val="24"/>
          <w:szCs w:val="24"/>
        </w:rPr>
        <w:t xml:space="preserve">. We chose not to use </w:t>
      </w:r>
      <w:r w:rsidR="008E1343">
        <w:rPr>
          <w:sz w:val="24"/>
          <w:szCs w:val="24"/>
        </w:rPr>
        <w:t>o</w:t>
      </w:r>
      <w:r w:rsidR="00D42071">
        <w:rPr>
          <w:sz w:val="24"/>
          <w:szCs w:val="24"/>
        </w:rPr>
        <w:t>steoporosis</w:t>
      </w:r>
      <w:r w:rsidR="00F205BC">
        <w:rPr>
          <w:sz w:val="24"/>
          <w:szCs w:val="24"/>
        </w:rPr>
        <w:t>,</w:t>
      </w:r>
      <w:r w:rsidR="00D42071">
        <w:rPr>
          <w:sz w:val="24"/>
          <w:szCs w:val="24"/>
        </w:rPr>
        <w:t xml:space="preserve"> </w:t>
      </w:r>
      <w:r w:rsidR="003874CE">
        <w:rPr>
          <w:sz w:val="24"/>
          <w:szCs w:val="24"/>
        </w:rPr>
        <w:t>since it is</w:t>
      </w:r>
      <w:r w:rsidR="00D42071">
        <w:rPr>
          <w:sz w:val="24"/>
          <w:szCs w:val="24"/>
        </w:rPr>
        <w:t xml:space="preserve"> rarely recorded as the primary reason for </w:t>
      </w:r>
      <w:r w:rsidR="00550E28">
        <w:rPr>
          <w:sz w:val="24"/>
          <w:szCs w:val="24"/>
        </w:rPr>
        <w:t>admission</w:t>
      </w:r>
      <w:r w:rsidR="008E1343">
        <w:rPr>
          <w:sz w:val="24"/>
          <w:szCs w:val="24"/>
        </w:rPr>
        <w:t>,</w:t>
      </w:r>
      <w:r w:rsidR="00D42071">
        <w:rPr>
          <w:sz w:val="24"/>
          <w:szCs w:val="24"/>
        </w:rPr>
        <w:t xml:space="preserve"> </w:t>
      </w:r>
      <w:r w:rsidR="00F205BC">
        <w:rPr>
          <w:sz w:val="24"/>
          <w:szCs w:val="24"/>
        </w:rPr>
        <w:t>or</w:t>
      </w:r>
      <w:r w:rsidR="00D42071">
        <w:rPr>
          <w:sz w:val="24"/>
          <w:szCs w:val="24"/>
        </w:rPr>
        <w:t xml:space="preserve"> schizophrenia</w:t>
      </w:r>
      <w:r w:rsidR="00F205BC">
        <w:rPr>
          <w:sz w:val="24"/>
          <w:szCs w:val="24"/>
        </w:rPr>
        <w:t>,</w:t>
      </w:r>
      <w:r w:rsidR="00D42071">
        <w:rPr>
          <w:sz w:val="24"/>
          <w:szCs w:val="24"/>
        </w:rPr>
        <w:t xml:space="preserve"> due to the idiosyncratic recording of elective vs</w:t>
      </w:r>
      <w:r w:rsidR="008E1343">
        <w:rPr>
          <w:sz w:val="24"/>
          <w:szCs w:val="24"/>
        </w:rPr>
        <w:t>.</w:t>
      </w:r>
      <w:r w:rsidR="00D42071">
        <w:rPr>
          <w:sz w:val="24"/>
          <w:szCs w:val="24"/>
        </w:rPr>
        <w:t xml:space="preserve"> emergency</w:t>
      </w:r>
      <w:r w:rsidR="00D868F5">
        <w:rPr>
          <w:sz w:val="24"/>
          <w:szCs w:val="24"/>
        </w:rPr>
        <w:t xml:space="preserve"> </w:t>
      </w:r>
      <w:r w:rsidR="00D42071">
        <w:rPr>
          <w:sz w:val="24"/>
          <w:szCs w:val="24"/>
        </w:rPr>
        <w:t xml:space="preserve">for </w:t>
      </w:r>
      <w:r w:rsidR="008E1343">
        <w:rPr>
          <w:sz w:val="24"/>
          <w:szCs w:val="24"/>
        </w:rPr>
        <w:t xml:space="preserve">many </w:t>
      </w:r>
      <w:r w:rsidR="00753AE5">
        <w:rPr>
          <w:sz w:val="24"/>
          <w:szCs w:val="24"/>
        </w:rPr>
        <w:t xml:space="preserve">English </w:t>
      </w:r>
      <w:r w:rsidR="00D42071">
        <w:rPr>
          <w:sz w:val="24"/>
          <w:szCs w:val="24"/>
        </w:rPr>
        <w:t>psychiatric admissions</w:t>
      </w:r>
      <w:r w:rsidR="00682B53">
        <w:rPr>
          <w:sz w:val="24"/>
          <w:szCs w:val="24"/>
        </w:rPr>
        <w:fldChar w:fldCharType="begin"/>
      </w:r>
      <w:r w:rsidR="007C5F24">
        <w:rPr>
          <w:sz w:val="24"/>
          <w:szCs w:val="24"/>
        </w:rPr>
        <w:instrText xml:space="preserve"> ADDIN EN.CITE &lt;EndNote&gt;&lt;Cite&gt;&lt;Author&gt;Glover&lt;/Author&gt;&lt;Year&gt;2013&lt;/Year&gt;&lt;RecNum&gt;560&lt;/RecNum&gt;&lt;DisplayText&gt;&lt;style face="superscript"&gt;8&lt;/style&gt;&lt;/DisplayText&gt;&lt;record&gt;&lt;rec-number&gt;560&lt;/rec-number&gt;&lt;foreign-keys&gt;&lt;key app="EN" db-id="9vd5rfe5s0azere5pfyx0xrzazafratsxvvv" timestamp="1466420169"&gt;560&lt;/key&gt;&lt;key app="ENWeb" db-id=""&gt;0&lt;/key&gt;&lt;/foreign-keys&gt;&lt;ref-type name="Electronic Book"&gt;44&lt;/ref-type&gt;&lt;contributors&gt;&lt;authors&gt;&lt;author&gt;Glover, Gyles&lt;/author&gt;&lt;author&gt;Evison, Felicity&lt;/author&gt;&lt;/authors&gt;&lt;/contributors&gt;&lt;titles&gt;&lt;title&gt;Hospital admissions that should not happen&lt;/title&gt;&lt;/titles&gt;&lt;dates&gt;&lt;year&gt;2013&lt;/year&gt;&lt;pub-dates&gt;&lt;date&gt;03/11/2015&lt;/date&gt;&lt;/pub-dates&gt;&lt;/dates&gt;&lt;pub-location&gt;United Kingdom&lt;/pub-location&gt;&lt;publisher&gt;Improving Health and Lives: Learning Disabilities Observatory&lt;/publisher&gt;&lt;urls&gt;&lt;related-urls&gt;&lt;url&gt;http://www.ndti.org.uk/uploads/files/IHAL-2013-02_Hospital_admissions_that_should_not_happen_ii.pdf&lt;/url&gt;&lt;/related-urls&gt;&lt;/urls&gt;&lt;/record&gt;&lt;/Cite&gt;&lt;/EndNote&gt;</w:instrText>
      </w:r>
      <w:r w:rsidR="00682B53">
        <w:rPr>
          <w:sz w:val="24"/>
          <w:szCs w:val="24"/>
        </w:rPr>
        <w:fldChar w:fldCharType="separate"/>
      </w:r>
      <w:r w:rsidR="007C5F24" w:rsidRPr="007C5F24">
        <w:rPr>
          <w:noProof/>
          <w:sz w:val="24"/>
          <w:szCs w:val="24"/>
          <w:vertAlign w:val="superscript"/>
        </w:rPr>
        <w:t>8</w:t>
      </w:r>
      <w:r w:rsidR="00682B53">
        <w:rPr>
          <w:sz w:val="24"/>
          <w:szCs w:val="24"/>
        </w:rPr>
        <w:fldChar w:fldCharType="end"/>
      </w:r>
      <w:r w:rsidR="00D42071">
        <w:rPr>
          <w:sz w:val="24"/>
          <w:szCs w:val="24"/>
        </w:rPr>
        <w:t>.</w:t>
      </w:r>
      <w:r w:rsidR="00977A47">
        <w:rPr>
          <w:sz w:val="24"/>
          <w:szCs w:val="24"/>
        </w:rPr>
        <w:t xml:space="preserve"> </w:t>
      </w:r>
      <w:r w:rsidR="009D6837">
        <w:rPr>
          <w:sz w:val="24"/>
          <w:szCs w:val="24"/>
        </w:rPr>
        <w:t xml:space="preserve">This </w:t>
      </w:r>
      <w:r w:rsidR="00F205BC">
        <w:rPr>
          <w:sz w:val="24"/>
          <w:szCs w:val="24"/>
        </w:rPr>
        <w:t>resulted in</w:t>
      </w:r>
      <w:r w:rsidR="009D6837">
        <w:rPr>
          <w:sz w:val="24"/>
          <w:szCs w:val="24"/>
        </w:rPr>
        <w:t xml:space="preserve"> 23</w:t>
      </w:r>
      <w:r w:rsidR="00D86192">
        <w:rPr>
          <w:sz w:val="24"/>
          <w:szCs w:val="24"/>
        </w:rPr>
        <w:t xml:space="preserve"> ACSC</w:t>
      </w:r>
      <w:r w:rsidR="00536216">
        <w:rPr>
          <w:sz w:val="24"/>
          <w:szCs w:val="24"/>
        </w:rPr>
        <w:t>s</w:t>
      </w:r>
      <w:r w:rsidR="009D6837">
        <w:rPr>
          <w:sz w:val="24"/>
          <w:szCs w:val="24"/>
        </w:rPr>
        <w:t xml:space="preserve"> </w:t>
      </w:r>
      <w:r w:rsidR="00903C9F">
        <w:rPr>
          <w:sz w:val="24"/>
          <w:szCs w:val="24"/>
        </w:rPr>
        <w:t>(e-Table 1)</w:t>
      </w:r>
      <w:r w:rsidR="00536216">
        <w:rPr>
          <w:sz w:val="24"/>
          <w:szCs w:val="24"/>
        </w:rPr>
        <w:t>.</w:t>
      </w:r>
    </w:p>
    <w:p w14:paraId="2CF0B9BC" w14:textId="77777777" w:rsidR="00DC16A9" w:rsidRPr="00317EE7" w:rsidRDefault="00DC16A9" w:rsidP="001D1600">
      <w:pPr>
        <w:spacing w:after="0" w:line="480" w:lineRule="auto"/>
        <w:jc w:val="both"/>
        <w:rPr>
          <w:rFonts w:eastAsia="Times New Roman" w:cs="Times New Roman"/>
          <w:bCs/>
          <w:kern w:val="36"/>
          <w:sz w:val="24"/>
          <w:szCs w:val="24"/>
          <w:lang w:eastAsia="en-GB"/>
        </w:rPr>
      </w:pPr>
    </w:p>
    <w:p w14:paraId="18202324" w14:textId="7297F345" w:rsidR="00F349A5" w:rsidRDefault="00E96ED0" w:rsidP="001D1600">
      <w:pPr>
        <w:spacing w:after="0" w:line="480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Due to the</w:t>
      </w:r>
      <w:r w:rsidR="00D15AE7">
        <w:rPr>
          <w:rFonts w:eastAsia="Times New Roman"/>
          <w:sz w:val="24"/>
          <w:szCs w:val="24"/>
        </w:rPr>
        <w:t xml:space="preserve"> high </w:t>
      </w:r>
      <w:r>
        <w:rPr>
          <w:rFonts w:eastAsia="Times New Roman"/>
          <w:sz w:val="24"/>
          <w:szCs w:val="24"/>
        </w:rPr>
        <w:t>number of admission</w:t>
      </w:r>
      <w:r w:rsidR="005412A4">
        <w:rPr>
          <w:rFonts w:eastAsia="Times New Roman"/>
          <w:sz w:val="24"/>
          <w:szCs w:val="24"/>
        </w:rPr>
        <w:t>s for LRTI and UTI,</w:t>
      </w:r>
      <w:r>
        <w:rPr>
          <w:rFonts w:eastAsia="Times New Roman"/>
          <w:sz w:val="24"/>
          <w:szCs w:val="24"/>
        </w:rPr>
        <w:t xml:space="preserve"> for </w:t>
      </w:r>
      <w:r w:rsidR="00D15AE7">
        <w:rPr>
          <w:rFonts w:eastAsia="Times New Roman"/>
          <w:sz w:val="24"/>
          <w:szCs w:val="24"/>
        </w:rPr>
        <w:t>both adults with and without ID</w:t>
      </w:r>
      <w:r w:rsidR="005412A4">
        <w:rPr>
          <w:rFonts w:eastAsia="Times New Roman"/>
          <w:sz w:val="24"/>
          <w:szCs w:val="24"/>
        </w:rPr>
        <w:t>,</w:t>
      </w:r>
      <w:r w:rsidR="00D15AE7">
        <w:rPr>
          <w:rFonts w:eastAsia="Times New Roman"/>
          <w:sz w:val="24"/>
          <w:szCs w:val="24"/>
        </w:rPr>
        <w:t xml:space="preserve"> w</w:t>
      </w:r>
      <w:r w:rsidR="00021D8D" w:rsidRPr="00D86192">
        <w:rPr>
          <w:rFonts w:eastAsia="Times New Roman"/>
          <w:sz w:val="24"/>
          <w:szCs w:val="24"/>
        </w:rPr>
        <w:t xml:space="preserve">e </w:t>
      </w:r>
      <w:r w:rsidR="005412A4">
        <w:rPr>
          <w:rFonts w:eastAsia="Times New Roman"/>
          <w:sz w:val="24"/>
          <w:szCs w:val="24"/>
        </w:rPr>
        <w:t>use them</w:t>
      </w:r>
      <w:r w:rsidR="0056770D" w:rsidRPr="00D86192">
        <w:rPr>
          <w:rFonts w:eastAsia="Times New Roman"/>
          <w:sz w:val="24"/>
          <w:szCs w:val="24"/>
        </w:rPr>
        <w:t xml:space="preserve"> as exemplar </w:t>
      </w:r>
      <w:r w:rsidR="0056770D">
        <w:rPr>
          <w:rFonts w:eastAsia="Times New Roman"/>
          <w:sz w:val="24"/>
          <w:szCs w:val="24"/>
        </w:rPr>
        <w:t>ACSC</w:t>
      </w:r>
      <w:r w:rsidR="0056770D" w:rsidRPr="00D86192">
        <w:rPr>
          <w:rFonts w:eastAsia="Times New Roman"/>
          <w:sz w:val="24"/>
          <w:szCs w:val="24"/>
        </w:rPr>
        <w:t>s</w:t>
      </w:r>
      <w:r w:rsidR="0056770D" w:rsidRPr="00D86192" w:rsidDel="0056770D">
        <w:rPr>
          <w:rFonts w:eastAsia="Times New Roman"/>
          <w:sz w:val="24"/>
          <w:szCs w:val="24"/>
        </w:rPr>
        <w:t xml:space="preserve"> </w:t>
      </w:r>
      <w:r w:rsidR="003C21BE" w:rsidRPr="00D86192">
        <w:rPr>
          <w:rFonts w:eastAsia="Times New Roman"/>
          <w:sz w:val="24"/>
          <w:szCs w:val="24"/>
        </w:rPr>
        <w:t xml:space="preserve">to </w:t>
      </w:r>
      <w:r w:rsidR="00021D8D" w:rsidRPr="00D86192">
        <w:rPr>
          <w:rFonts w:eastAsia="Times New Roman"/>
          <w:sz w:val="24"/>
          <w:szCs w:val="24"/>
        </w:rPr>
        <w:t xml:space="preserve">describe the primary care utilisation and management </w:t>
      </w:r>
      <w:r w:rsidR="00D86192">
        <w:rPr>
          <w:rFonts w:eastAsia="Times New Roman"/>
          <w:sz w:val="24"/>
          <w:szCs w:val="24"/>
        </w:rPr>
        <w:t>prior to admission</w:t>
      </w:r>
      <w:r w:rsidR="00C61D5B" w:rsidRPr="00D86192">
        <w:rPr>
          <w:rFonts w:eastAsia="Times New Roman"/>
          <w:sz w:val="24"/>
          <w:szCs w:val="24"/>
        </w:rPr>
        <w:t xml:space="preserve">. </w:t>
      </w:r>
      <w:r w:rsidR="00021D8D" w:rsidRPr="00D86192">
        <w:rPr>
          <w:rFonts w:eastAsia="Times New Roman"/>
          <w:sz w:val="24"/>
          <w:szCs w:val="24"/>
        </w:rPr>
        <w:t xml:space="preserve">Although </w:t>
      </w:r>
      <w:r w:rsidR="00516DED" w:rsidRPr="00D86192">
        <w:rPr>
          <w:rFonts w:eastAsia="Times New Roman"/>
          <w:sz w:val="24"/>
          <w:szCs w:val="24"/>
        </w:rPr>
        <w:t>e</w:t>
      </w:r>
      <w:r w:rsidR="00021D8D" w:rsidRPr="00D86192">
        <w:rPr>
          <w:rFonts w:eastAsia="Times New Roman"/>
          <w:sz w:val="24"/>
          <w:szCs w:val="24"/>
        </w:rPr>
        <w:t xml:space="preserve">pilepsy </w:t>
      </w:r>
      <w:r w:rsidR="00825CFB" w:rsidRPr="00D86192">
        <w:rPr>
          <w:rFonts w:eastAsia="Times New Roman"/>
          <w:sz w:val="24"/>
          <w:szCs w:val="24"/>
        </w:rPr>
        <w:t xml:space="preserve">is </w:t>
      </w:r>
      <w:r w:rsidR="00021D8D" w:rsidRPr="00D86192">
        <w:rPr>
          <w:rFonts w:eastAsia="Times New Roman"/>
          <w:sz w:val="24"/>
          <w:szCs w:val="24"/>
        </w:rPr>
        <w:t xml:space="preserve">a </w:t>
      </w:r>
      <w:r w:rsidR="003609B9" w:rsidRPr="00D86192">
        <w:rPr>
          <w:rFonts w:eastAsia="Times New Roman"/>
          <w:sz w:val="24"/>
          <w:szCs w:val="24"/>
        </w:rPr>
        <w:t>large</w:t>
      </w:r>
      <w:r w:rsidR="00825CFB" w:rsidRPr="00D86192">
        <w:rPr>
          <w:rFonts w:eastAsia="Times New Roman"/>
          <w:sz w:val="24"/>
          <w:szCs w:val="24"/>
        </w:rPr>
        <w:t>r</w:t>
      </w:r>
      <w:r w:rsidR="00021D8D" w:rsidRPr="00D86192">
        <w:rPr>
          <w:rFonts w:eastAsia="Times New Roman"/>
          <w:sz w:val="24"/>
          <w:szCs w:val="24"/>
        </w:rPr>
        <w:t xml:space="preserve"> contributor to ACS</w:t>
      </w:r>
      <w:r w:rsidR="00D86192">
        <w:rPr>
          <w:rFonts w:eastAsia="Times New Roman"/>
          <w:sz w:val="24"/>
          <w:szCs w:val="24"/>
        </w:rPr>
        <w:t>C</w:t>
      </w:r>
      <w:r w:rsidR="00021D8D" w:rsidRPr="00D86192">
        <w:rPr>
          <w:rFonts w:eastAsia="Times New Roman"/>
          <w:sz w:val="24"/>
          <w:szCs w:val="24"/>
        </w:rPr>
        <w:t xml:space="preserve"> admissions in adults with ID due to high prevalence</w:t>
      </w:r>
      <w:r w:rsidR="00682B53" w:rsidRPr="00D86192">
        <w:rPr>
          <w:rFonts w:eastAsia="Times New Roman"/>
          <w:sz w:val="24"/>
          <w:szCs w:val="24"/>
        </w:rPr>
        <w:fldChar w:fldCharType="begin"/>
      </w:r>
      <w:r w:rsidR="00370022">
        <w:rPr>
          <w:rFonts w:eastAsia="Times New Roman"/>
          <w:sz w:val="24"/>
          <w:szCs w:val="24"/>
        </w:rPr>
        <w:instrText xml:space="preserve"> ADDIN EN.CITE &lt;EndNote&gt;&lt;Cite&gt;&lt;Author&gt;Carey&lt;/Author&gt;&lt;Year&gt;2016&lt;/Year&gt;&lt;RecNum&gt;706&lt;/RecNum&gt;&lt;DisplayText&gt;&lt;style face="superscript"&gt;12&lt;/style&gt;&lt;/DisplayText&gt;&lt;record&gt;&lt;rec-number&gt;706&lt;/rec-number&gt;&lt;foreign-keys&gt;&lt;key app="EN" db-id="9vd5rfe5s0azere5pfyx0xrzazafratsxvvv" timestamp="1466420380"&gt;706&lt;/key&gt;&lt;key app="ENWeb" db-id=""&gt;0&lt;/key&gt;&lt;/foreign-keys&gt;&lt;ref-type name="Journal Article"&gt;17&lt;/ref-type&gt;&lt;contributors&gt;&lt;authors&gt;&lt;author&gt;Carey, I. M.&lt;/author&gt;&lt;author&gt;Shah, S. M.&lt;/author&gt;&lt;author&gt;Hosking, F. J.&lt;/author&gt;&lt;author&gt;DeWilde, S.&lt;/author&gt;&lt;author&gt;Harris, T.&lt;/author&gt;&lt;author&gt;Beighton, C.&lt;/author&gt;&lt;author&gt;Cook, D. G.&lt;/author&gt;&lt;/authors&gt;&lt;/contributors&gt;&lt;titles&gt;&lt;title&gt;Health characteristics and consultation patterns of people with intellectual disability: a cross-sectional database study in English general practice&lt;/title&gt;&lt;secondary-title&gt;British Journal of General Practice&lt;/secondary-title&gt;&lt;/titles&gt;&lt;periodical&gt;&lt;full-title&gt;British Journal of General Practice&lt;/full-title&gt;&lt;abbr-1&gt;Br. J. Gen. Pract.&lt;/abbr-1&gt;&lt;abbr-2&gt;Br J Gen Pract&lt;/abbr-2&gt;&lt;/periodical&gt;&lt;pages&gt;e264-70&lt;/pages&gt;&lt;volume&gt;66&lt;/volume&gt;&lt;number&gt;645&lt;/number&gt;&lt;dates&gt;&lt;year&gt;2016&lt;/year&gt;&lt;pub-dates&gt;&lt;date&gt;Apr&lt;/date&gt;&lt;/pub-dates&gt;&lt;/dates&gt;&lt;isbn&gt;1478-5242 (Electronic)&amp;#xD;0960-1643 (Linking)&lt;/isbn&gt;&lt;accession-num&gt;WOS:000376585200006&lt;/accession-num&gt;&lt;urls&gt;&lt;related-urls&gt;&lt;url&gt;&amp;lt;Go to ISI&amp;gt;://WOS:000376585200006&lt;/url&gt;&lt;url&gt;http://www.ncbi.nlm.nih.gov/pmc/articles/PMC4809710/pdf/bjgpapr-2016-66-645-e264-oa.pdf&lt;/url&gt;&lt;/related-urls&gt;&lt;/urls&gt;&lt;custom2&gt;PMC4809710&lt;/custom2&gt;&lt;electronic-resource-num&gt;10.3399/bjgp16X684301&lt;/electronic-resource-num&gt;&lt;/record&gt;&lt;/Cite&gt;&lt;/EndNote&gt;</w:instrText>
      </w:r>
      <w:r w:rsidR="00682B53" w:rsidRPr="00D86192">
        <w:rPr>
          <w:rFonts w:eastAsia="Times New Roman"/>
          <w:sz w:val="24"/>
          <w:szCs w:val="24"/>
        </w:rPr>
        <w:fldChar w:fldCharType="separate"/>
      </w:r>
      <w:r w:rsidR="00682B53" w:rsidRPr="00D86192">
        <w:rPr>
          <w:rFonts w:eastAsia="Times New Roman"/>
          <w:noProof/>
          <w:sz w:val="24"/>
          <w:szCs w:val="24"/>
          <w:vertAlign w:val="superscript"/>
        </w:rPr>
        <w:t>12</w:t>
      </w:r>
      <w:r w:rsidR="00682B53" w:rsidRPr="00D86192">
        <w:rPr>
          <w:rFonts w:eastAsia="Times New Roman"/>
          <w:sz w:val="24"/>
          <w:szCs w:val="24"/>
        </w:rPr>
        <w:fldChar w:fldCharType="end"/>
      </w:r>
      <w:r w:rsidR="00021D8D" w:rsidRPr="00D86192">
        <w:rPr>
          <w:rFonts w:eastAsia="Times New Roman"/>
          <w:sz w:val="24"/>
          <w:szCs w:val="24"/>
        </w:rPr>
        <w:t>, the low prevalence in adults without ID make</w:t>
      </w:r>
      <w:r w:rsidR="00CE1A48" w:rsidRPr="00D86192">
        <w:rPr>
          <w:rFonts w:eastAsia="Times New Roman"/>
          <w:sz w:val="24"/>
          <w:szCs w:val="24"/>
        </w:rPr>
        <w:t>s</w:t>
      </w:r>
      <w:r w:rsidR="00021D8D" w:rsidRPr="00D86192">
        <w:rPr>
          <w:rFonts w:eastAsia="Times New Roman"/>
          <w:sz w:val="24"/>
          <w:szCs w:val="24"/>
        </w:rPr>
        <w:t xml:space="preserve"> comparison difficult. </w:t>
      </w:r>
      <w:r w:rsidR="005412A4">
        <w:rPr>
          <w:rFonts w:eastAsia="Times New Roman"/>
          <w:sz w:val="24"/>
          <w:szCs w:val="24"/>
        </w:rPr>
        <w:t>F</w:t>
      </w:r>
      <w:r w:rsidR="00B35BEE" w:rsidRPr="00D86192">
        <w:rPr>
          <w:rFonts w:eastAsia="Times New Roman"/>
          <w:sz w:val="24"/>
          <w:szCs w:val="24"/>
        </w:rPr>
        <w:t xml:space="preserve">or </w:t>
      </w:r>
      <w:r w:rsidR="00825CFB" w:rsidRPr="00D86192">
        <w:rPr>
          <w:rFonts w:eastAsia="Times New Roman"/>
          <w:sz w:val="24"/>
          <w:szCs w:val="24"/>
        </w:rPr>
        <w:t xml:space="preserve">LRTI and UTI </w:t>
      </w:r>
      <w:r w:rsidR="00B35BEE" w:rsidRPr="00D86192">
        <w:rPr>
          <w:rFonts w:eastAsia="Times New Roman"/>
          <w:sz w:val="24"/>
          <w:szCs w:val="24"/>
        </w:rPr>
        <w:t>admissions w</w:t>
      </w:r>
      <w:r w:rsidR="00FA3957" w:rsidRPr="00D86192">
        <w:rPr>
          <w:rFonts w:eastAsia="Times New Roman"/>
          <w:sz w:val="24"/>
          <w:szCs w:val="24"/>
        </w:rPr>
        <w:t xml:space="preserve">e </w:t>
      </w:r>
      <w:r w:rsidR="00825CFB" w:rsidRPr="00D86192">
        <w:rPr>
          <w:rFonts w:eastAsia="Times New Roman"/>
          <w:sz w:val="24"/>
          <w:szCs w:val="24"/>
        </w:rPr>
        <w:t>searched</w:t>
      </w:r>
      <w:r w:rsidR="00FA3957" w:rsidRPr="00D86192">
        <w:rPr>
          <w:rFonts w:eastAsia="Times New Roman"/>
          <w:sz w:val="24"/>
          <w:szCs w:val="24"/>
        </w:rPr>
        <w:t xml:space="preserve"> in</w:t>
      </w:r>
      <w:r w:rsidR="000D0E5F" w:rsidRPr="00D86192">
        <w:rPr>
          <w:rFonts w:eastAsia="Times New Roman"/>
          <w:sz w:val="24"/>
          <w:szCs w:val="24"/>
        </w:rPr>
        <w:t xml:space="preserve"> the primary care record </w:t>
      </w:r>
      <w:r w:rsidR="00FA3957" w:rsidRPr="00D86192">
        <w:rPr>
          <w:rFonts w:eastAsia="Times New Roman"/>
          <w:sz w:val="24"/>
          <w:szCs w:val="24"/>
        </w:rPr>
        <w:t>two</w:t>
      </w:r>
      <w:r w:rsidR="00F349A5" w:rsidRPr="00D86192">
        <w:rPr>
          <w:rFonts w:eastAsia="Times New Roman"/>
          <w:sz w:val="24"/>
          <w:szCs w:val="24"/>
        </w:rPr>
        <w:t xml:space="preserve"> week</w:t>
      </w:r>
      <w:r w:rsidR="00CA061A" w:rsidRPr="00D86192">
        <w:rPr>
          <w:rFonts w:eastAsia="Times New Roman"/>
          <w:sz w:val="24"/>
          <w:szCs w:val="24"/>
        </w:rPr>
        <w:t>s</w:t>
      </w:r>
      <w:r w:rsidR="000D0E5F" w:rsidRPr="00D86192">
        <w:rPr>
          <w:rFonts w:eastAsia="Times New Roman"/>
          <w:sz w:val="24"/>
          <w:szCs w:val="24"/>
        </w:rPr>
        <w:t xml:space="preserve"> </w:t>
      </w:r>
      <w:r w:rsidR="00F349A5" w:rsidRPr="00D86192">
        <w:rPr>
          <w:rFonts w:eastAsia="Times New Roman"/>
          <w:sz w:val="24"/>
          <w:szCs w:val="24"/>
        </w:rPr>
        <w:t xml:space="preserve">before admission to see if </w:t>
      </w:r>
      <w:r w:rsidR="00C96693" w:rsidRPr="00D86192">
        <w:rPr>
          <w:rFonts w:eastAsia="Times New Roman"/>
          <w:sz w:val="24"/>
          <w:szCs w:val="24"/>
        </w:rPr>
        <w:t>there w</w:t>
      </w:r>
      <w:r w:rsidR="000D0E5F" w:rsidRPr="00D86192">
        <w:rPr>
          <w:rFonts w:eastAsia="Times New Roman"/>
          <w:sz w:val="24"/>
          <w:szCs w:val="24"/>
        </w:rPr>
        <w:t>ere</w:t>
      </w:r>
      <w:r w:rsidR="00C96693" w:rsidRPr="00D86192">
        <w:rPr>
          <w:rFonts w:eastAsia="Times New Roman"/>
          <w:sz w:val="24"/>
          <w:szCs w:val="24"/>
        </w:rPr>
        <w:t xml:space="preserve"> difference</w:t>
      </w:r>
      <w:r w:rsidR="000D0E5F" w:rsidRPr="00D86192">
        <w:rPr>
          <w:rFonts w:eastAsia="Times New Roman"/>
          <w:sz w:val="24"/>
          <w:szCs w:val="24"/>
        </w:rPr>
        <w:t>s</w:t>
      </w:r>
      <w:r w:rsidR="00C310A0" w:rsidRPr="00D86192">
        <w:rPr>
          <w:rFonts w:eastAsia="Times New Roman"/>
          <w:sz w:val="24"/>
          <w:szCs w:val="24"/>
        </w:rPr>
        <w:t xml:space="preserve"> </w:t>
      </w:r>
      <w:r w:rsidR="00CA061A" w:rsidRPr="00D86192">
        <w:rPr>
          <w:rFonts w:eastAsia="Times New Roman"/>
          <w:sz w:val="24"/>
          <w:szCs w:val="24"/>
        </w:rPr>
        <w:t>in</w:t>
      </w:r>
      <w:r w:rsidR="00C96693" w:rsidRPr="00D86192">
        <w:rPr>
          <w:rFonts w:eastAsia="Times New Roman"/>
          <w:sz w:val="24"/>
          <w:szCs w:val="24"/>
        </w:rPr>
        <w:t xml:space="preserve"> </w:t>
      </w:r>
      <w:r w:rsidR="00F349A5" w:rsidRPr="00D86192">
        <w:rPr>
          <w:rFonts w:eastAsia="Times New Roman"/>
          <w:sz w:val="24"/>
          <w:szCs w:val="24"/>
        </w:rPr>
        <w:t xml:space="preserve">primary care </w:t>
      </w:r>
      <w:r w:rsidR="003618E1" w:rsidRPr="00D86192">
        <w:rPr>
          <w:rFonts w:eastAsia="Times New Roman"/>
          <w:sz w:val="24"/>
          <w:szCs w:val="24"/>
        </w:rPr>
        <w:t>utilisation</w:t>
      </w:r>
      <w:r w:rsidR="00F349A5" w:rsidRPr="00D86192">
        <w:rPr>
          <w:rFonts w:eastAsia="Times New Roman"/>
          <w:sz w:val="24"/>
          <w:szCs w:val="24"/>
        </w:rPr>
        <w:t xml:space="preserve"> </w:t>
      </w:r>
      <w:r w:rsidR="00CA061A" w:rsidRPr="00D86192">
        <w:rPr>
          <w:rFonts w:eastAsia="Times New Roman"/>
          <w:sz w:val="24"/>
          <w:szCs w:val="24"/>
        </w:rPr>
        <w:t>between</w:t>
      </w:r>
      <w:r w:rsidR="003618E1" w:rsidRPr="00D86192">
        <w:rPr>
          <w:rFonts w:eastAsia="Times New Roman"/>
          <w:sz w:val="24"/>
          <w:szCs w:val="24"/>
        </w:rPr>
        <w:t xml:space="preserve"> </w:t>
      </w:r>
      <w:r w:rsidR="000D0E5F" w:rsidRPr="00D86192">
        <w:rPr>
          <w:rFonts w:eastAsia="Times New Roman"/>
          <w:sz w:val="24"/>
          <w:szCs w:val="24"/>
        </w:rPr>
        <w:t>adults with and without</w:t>
      </w:r>
      <w:r w:rsidR="003618E1" w:rsidRPr="00D86192">
        <w:rPr>
          <w:rFonts w:eastAsia="Times New Roman"/>
          <w:sz w:val="24"/>
          <w:szCs w:val="24"/>
        </w:rPr>
        <w:t xml:space="preserve"> </w:t>
      </w:r>
      <w:r w:rsidR="00F349A5" w:rsidRPr="00D86192">
        <w:rPr>
          <w:rFonts w:eastAsia="Times New Roman"/>
          <w:sz w:val="24"/>
          <w:szCs w:val="24"/>
        </w:rPr>
        <w:t>ID. Specifically</w:t>
      </w:r>
      <w:r w:rsidR="00CA061A" w:rsidRPr="00D86192">
        <w:rPr>
          <w:rFonts w:eastAsia="Times New Roman"/>
          <w:sz w:val="24"/>
          <w:szCs w:val="24"/>
        </w:rPr>
        <w:t xml:space="preserve">, </w:t>
      </w:r>
      <w:r w:rsidR="00825CFB" w:rsidRPr="00D86192">
        <w:rPr>
          <w:rFonts w:eastAsia="Times New Roman"/>
          <w:sz w:val="24"/>
          <w:szCs w:val="24"/>
        </w:rPr>
        <w:t xml:space="preserve">we sought </w:t>
      </w:r>
      <w:r w:rsidR="00F349A5" w:rsidRPr="00D86192">
        <w:rPr>
          <w:rFonts w:eastAsia="Times New Roman"/>
          <w:sz w:val="24"/>
          <w:szCs w:val="24"/>
        </w:rPr>
        <w:t>whe</w:t>
      </w:r>
      <w:r w:rsidR="00EC6E95" w:rsidRPr="00D86192">
        <w:rPr>
          <w:rFonts w:eastAsia="Times New Roman"/>
          <w:sz w:val="24"/>
          <w:szCs w:val="24"/>
        </w:rPr>
        <w:t xml:space="preserve">ther </w:t>
      </w:r>
      <w:r w:rsidR="000D0E5F" w:rsidRPr="00D86192">
        <w:rPr>
          <w:rFonts w:eastAsia="Times New Roman"/>
          <w:sz w:val="24"/>
          <w:szCs w:val="24"/>
        </w:rPr>
        <w:t>patients</w:t>
      </w:r>
      <w:r w:rsidR="00EC6E95" w:rsidRPr="00D86192">
        <w:rPr>
          <w:rFonts w:eastAsia="Times New Roman"/>
          <w:sz w:val="24"/>
          <w:szCs w:val="24"/>
        </w:rPr>
        <w:t xml:space="preserve"> </w:t>
      </w:r>
      <w:r w:rsidR="000D0E5F" w:rsidRPr="00D86192">
        <w:rPr>
          <w:rFonts w:eastAsia="Times New Roman"/>
          <w:sz w:val="24"/>
          <w:szCs w:val="24"/>
        </w:rPr>
        <w:t xml:space="preserve">had </w:t>
      </w:r>
      <w:r w:rsidR="00EC6E95" w:rsidRPr="00D86192">
        <w:rPr>
          <w:rFonts w:eastAsia="Times New Roman"/>
          <w:sz w:val="24"/>
          <w:szCs w:val="24"/>
        </w:rPr>
        <w:t xml:space="preserve">consulted their </w:t>
      </w:r>
      <w:r w:rsidR="00F349A5" w:rsidRPr="00D86192">
        <w:rPr>
          <w:rFonts w:eastAsia="Times New Roman"/>
          <w:sz w:val="24"/>
          <w:szCs w:val="24"/>
        </w:rPr>
        <w:t xml:space="preserve"> practice </w:t>
      </w:r>
      <w:r w:rsidR="00E777D2" w:rsidRPr="00D86192">
        <w:rPr>
          <w:rFonts w:eastAsia="Times New Roman"/>
          <w:sz w:val="24"/>
          <w:szCs w:val="24"/>
        </w:rPr>
        <w:t>during normal operating hours or if t</w:t>
      </w:r>
      <w:r w:rsidR="001838EA" w:rsidRPr="00D86192">
        <w:rPr>
          <w:rFonts w:eastAsia="Times New Roman"/>
          <w:sz w:val="24"/>
          <w:szCs w:val="24"/>
        </w:rPr>
        <w:t xml:space="preserve">hey </w:t>
      </w:r>
      <w:r w:rsidR="00C310A0" w:rsidRPr="00D86192">
        <w:rPr>
          <w:rFonts w:eastAsia="Times New Roman"/>
          <w:sz w:val="24"/>
          <w:szCs w:val="24"/>
        </w:rPr>
        <w:t>had an emergency encounter</w:t>
      </w:r>
      <w:r w:rsidR="00E777D2" w:rsidRPr="00D86192">
        <w:rPr>
          <w:rFonts w:eastAsia="Times New Roman"/>
          <w:sz w:val="24"/>
          <w:szCs w:val="24"/>
        </w:rPr>
        <w:t xml:space="preserve"> </w:t>
      </w:r>
      <w:r w:rsidR="005A18C8" w:rsidRPr="00D86192">
        <w:rPr>
          <w:rFonts w:eastAsia="Times New Roman"/>
          <w:sz w:val="24"/>
          <w:szCs w:val="24"/>
        </w:rPr>
        <w:t>(</w:t>
      </w:r>
      <w:r w:rsidR="009D6837" w:rsidRPr="00D86192">
        <w:rPr>
          <w:rFonts w:eastAsia="Times New Roman"/>
          <w:sz w:val="24"/>
          <w:szCs w:val="24"/>
        </w:rPr>
        <w:t>Emergency</w:t>
      </w:r>
      <w:r w:rsidR="005C2673">
        <w:rPr>
          <w:rFonts w:eastAsia="Times New Roman"/>
          <w:sz w:val="24"/>
          <w:szCs w:val="24"/>
        </w:rPr>
        <w:t xml:space="preserve"> room or other out</w:t>
      </w:r>
      <w:r w:rsidR="0049298B">
        <w:rPr>
          <w:rFonts w:eastAsia="Times New Roman"/>
          <w:sz w:val="24"/>
          <w:szCs w:val="24"/>
        </w:rPr>
        <w:t>-</w:t>
      </w:r>
      <w:r w:rsidR="005C2673">
        <w:rPr>
          <w:rFonts w:eastAsia="Times New Roman"/>
          <w:sz w:val="24"/>
          <w:szCs w:val="24"/>
        </w:rPr>
        <w:t>of</w:t>
      </w:r>
      <w:r w:rsidR="0049298B">
        <w:rPr>
          <w:rFonts w:eastAsia="Times New Roman"/>
          <w:sz w:val="24"/>
          <w:szCs w:val="24"/>
        </w:rPr>
        <w:t>-</w:t>
      </w:r>
      <w:r w:rsidR="005C2673">
        <w:rPr>
          <w:rFonts w:eastAsia="Times New Roman"/>
          <w:sz w:val="24"/>
          <w:szCs w:val="24"/>
        </w:rPr>
        <w:t>hours service</w:t>
      </w:r>
      <w:r w:rsidR="005A18C8" w:rsidRPr="00D86192">
        <w:rPr>
          <w:rFonts w:eastAsia="Times New Roman"/>
          <w:sz w:val="24"/>
          <w:szCs w:val="24"/>
        </w:rPr>
        <w:t>)</w:t>
      </w:r>
      <w:r w:rsidR="00E777D2" w:rsidRPr="00D86192">
        <w:rPr>
          <w:rFonts w:eastAsia="Times New Roman"/>
          <w:sz w:val="24"/>
          <w:szCs w:val="24"/>
        </w:rPr>
        <w:t>.</w:t>
      </w:r>
      <w:r w:rsidR="00093ECE" w:rsidRPr="00D86192">
        <w:rPr>
          <w:rFonts w:eastAsia="Times New Roman"/>
          <w:sz w:val="24"/>
          <w:szCs w:val="24"/>
        </w:rPr>
        <w:t xml:space="preserve"> For those that consulted their practice we</w:t>
      </w:r>
      <w:r w:rsidR="00082791" w:rsidRPr="00D86192">
        <w:rPr>
          <w:rFonts w:eastAsia="Times New Roman"/>
          <w:sz w:val="24"/>
          <w:szCs w:val="24"/>
        </w:rPr>
        <w:t xml:space="preserve"> searched</w:t>
      </w:r>
      <w:r w:rsidR="009D6837" w:rsidRPr="00D86192">
        <w:rPr>
          <w:rFonts w:eastAsia="Times New Roman"/>
          <w:sz w:val="24"/>
          <w:szCs w:val="24"/>
        </w:rPr>
        <w:t xml:space="preserve"> </w:t>
      </w:r>
      <w:r w:rsidR="00093ECE" w:rsidRPr="00D86192">
        <w:rPr>
          <w:rFonts w:eastAsia="Times New Roman"/>
          <w:sz w:val="24"/>
          <w:szCs w:val="24"/>
        </w:rPr>
        <w:t xml:space="preserve">for </w:t>
      </w:r>
      <w:r w:rsidR="00977A47" w:rsidRPr="00D86192">
        <w:rPr>
          <w:rFonts w:eastAsia="Times New Roman"/>
          <w:sz w:val="24"/>
          <w:szCs w:val="24"/>
        </w:rPr>
        <w:t xml:space="preserve">a relevant diagnosis </w:t>
      </w:r>
      <w:r w:rsidR="00093ECE" w:rsidRPr="00D86192">
        <w:rPr>
          <w:rFonts w:eastAsia="Times New Roman"/>
          <w:sz w:val="24"/>
          <w:szCs w:val="24"/>
        </w:rPr>
        <w:t xml:space="preserve">or </w:t>
      </w:r>
      <w:r w:rsidR="007549B6" w:rsidRPr="00D86192">
        <w:rPr>
          <w:rFonts w:eastAsia="Times New Roman"/>
          <w:sz w:val="24"/>
          <w:szCs w:val="24"/>
        </w:rPr>
        <w:t>antibiotic</w:t>
      </w:r>
      <w:r w:rsidR="00FA3957" w:rsidRPr="00D86192">
        <w:rPr>
          <w:rFonts w:eastAsia="Times New Roman"/>
          <w:sz w:val="24"/>
          <w:szCs w:val="24"/>
        </w:rPr>
        <w:t xml:space="preserve"> </w:t>
      </w:r>
      <w:r w:rsidR="00DC0AB6" w:rsidRPr="00D86192">
        <w:rPr>
          <w:rFonts w:eastAsia="Times New Roman"/>
          <w:sz w:val="24"/>
          <w:szCs w:val="24"/>
        </w:rPr>
        <w:t xml:space="preserve">prescription, and </w:t>
      </w:r>
      <w:r w:rsidR="00093ECE" w:rsidRPr="00D86192">
        <w:rPr>
          <w:rFonts w:eastAsia="Times New Roman"/>
          <w:sz w:val="24"/>
          <w:szCs w:val="24"/>
        </w:rPr>
        <w:t>w</w:t>
      </w:r>
      <w:r w:rsidR="00FA3957" w:rsidRPr="00D86192">
        <w:rPr>
          <w:rFonts w:eastAsia="Times New Roman"/>
          <w:sz w:val="24"/>
          <w:szCs w:val="24"/>
        </w:rPr>
        <w:t>hether a urine test had been performed</w:t>
      </w:r>
      <w:r w:rsidR="00000958" w:rsidRPr="00D86192">
        <w:rPr>
          <w:rFonts w:eastAsia="Times New Roman"/>
          <w:sz w:val="24"/>
          <w:szCs w:val="24"/>
        </w:rPr>
        <w:t xml:space="preserve"> for UTI admissions</w:t>
      </w:r>
      <w:r w:rsidR="00093ECE" w:rsidRPr="00D86192">
        <w:rPr>
          <w:rFonts w:eastAsia="Times New Roman"/>
          <w:sz w:val="24"/>
          <w:szCs w:val="24"/>
        </w:rPr>
        <w:t>.</w:t>
      </w:r>
    </w:p>
    <w:p w14:paraId="14DED420" w14:textId="77777777" w:rsidR="00D269D2" w:rsidRPr="004C60CD" w:rsidRDefault="00D269D2" w:rsidP="001D1600">
      <w:pPr>
        <w:spacing w:after="0" w:line="480" w:lineRule="auto"/>
        <w:jc w:val="both"/>
        <w:rPr>
          <w:sz w:val="24"/>
          <w:szCs w:val="24"/>
        </w:rPr>
      </w:pPr>
    </w:p>
    <w:p w14:paraId="4C8D91A3" w14:textId="1ECD2ED2" w:rsidR="00706513" w:rsidRDefault="00706513" w:rsidP="001D1600">
      <w:pPr>
        <w:spacing w:after="0" w:line="48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Statistical Analyses</w:t>
      </w:r>
    </w:p>
    <w:p w14:paraId="3D28176D" w14:textId="045EABB2" w:rsidR="008A42C2" w:rsidRPr="008A42C2" w:rsidRDefault="0025017D" w:rsidP="008A42C2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present unadjusted and adjusted comparisons of admission rates between </w:t>
      </w:r>
      <w:r w:rsidR="008A42C2">
        <w:rPr>
          <w:sz w:val="24"/>
          <w:szCs w:val="24"/>
        </w:rPr>
        <w:t>adults with and without ID,</w:t>
      </w:r>
      <w:r>
        <w:rPr>
          <w:sz w:val="24"/>
          <w:szCs w:val="24"/>
        </w:rPr>
        <w:t xml:space="preserve"> similar to a previous methodology comparing mortality rates between the groups</w:t>
      </w:r>
      <w:r w:rsidR="00370022">
        <w:rPr>
          <w:sz w:val="24"/>
          <w:szCs w:val="24"/>
        </w:rPr>
        <w:fldChar w:fldCharType="begin"/>
      </w:r>
      <w:r w:rsidR="00370022">
        <w:rPr>
          <w:sz w:val="24"/>
          <w:szCs w:val="24"/>
        </w:rPr>
        <w:instrText xml:space="preserve"> ADDIN EN.CITE &lt;EndNote&gt;&lt;Cite ExcludeYear="1"&gt;&lt;Author&gt;Hosking&lt;/Author&gt;&lt;Year&gt;2016&lt;/Year&gt;&lt;RecNum&gt;786&lt;/RecNum&gt;&lt;DisplayText&gt;&lt;style face="superscript"&gt;13&lt;/style&gt;&lt;/DisplayText&gt;&lt;record&gt;&lt;rec-number&gt;786&lt;/rec-number&gt;&lt;foreign-keys&gt;&lt;key app="EN" db-id="9vd5rfe5s0azere5pfyx0xrzazafratsxvvv" timestamp="1479373457"&gt;786&lt;/key&gt;&lt;/foreign-keys&gt;&lt;ref-type name="Journal Article"&gt;17&lt;/ref-type&gt;&lt;contributors&gt;&lt;authors&gt;&lt;author&gt;Hosking, F. J.&lt;/author&gt;&lt;author&gt;Carey, I. M.&lt;/author&gt;&lt;author&gt;Shah, S. M.&lt;/author&gt;&lt;author&gt;Harris, T.&lt;/author&gt;&lt;author&gt;DeWilde, S.&lt;/author&gt;&lt;author&gt;Beighton, C.&lt;/author&gt;&lt;author&gt;Cook, D. G.&lt;/author&gt;&lt;/authors&gt;&lt;/contributors&gt;&lt;titles&gt;&lt;title&gt;Mortality Among Adults With Intellectual Disability in England: Comparisons With the General Population&lt;/title&gt;&lt;secondary-title&gt;American Journal of Public Health&lt;/secondary-title&gt;&lt;/titles&gt;&lt;periodical&gt;&lt;full-title&gt;American Journal of Public Health&lt;/full-title&gt;&lt;/periodical&gt;&lt;pages&gt;1483-1490&lt;/pages&gt;&lt;volume&gt;106&lt;/volume&gt;&lt;number&gt;8&lt;/number&gt;&lt;dates&gt;&lt;year&gt;2016&lt;/year&gt;&lt;pub-dates&gt;&lt;date&gt;Aug&lt;/date&gt;&lt;/pub-dates&gt;&lt;/dates&gt;&lt;isbn&gt;0090-0036&lt;/isbn&gt;&lt;accession-num&gt;WOS:000384981200045&lt;/accession-num&gt;&lt;urls&gt;&lt;related-urls&gt;&lt;url&gt;&amp;lt;Go to ISI&amp;gt;://WOS:000384981200045&lt;/url&gt;&lt;/related-urls&gt;&lt;/urls&gt;&lt;electronic-resource-num&gt;10.2105/ajph.2016.303240&lt;/electronic-resource-num&gt;&lt;/record&gt;&lt;/Cite&gt;&lt;/EndNote&gt;</w:instrText>
      </w:r>
      <w:r w:rsidR="00370022">
        <w:rPr>
          <w:sz w:val="24"/>
          <w:szCs w:val="24"/>
        </w:rPr>
        <w:fldChar w:fldCharType="separate"/>
      </w:r>
      <w:r w:rsidR="00370022" w:rsidRPr="00370022">
        <w:rPr>
          <w:noProof/>
          <w:sz w:val="24"/>
          <w:szCs w:val="24"/>
          <w:vertAlign w:val="superscript"/>
        </w:rPr>
        <w:t>13</w:t>
      </w:r>
      <w:r w:rsidR="00370022">
        <w:rPr>
          <w:sz w:val="24"/>
          <w:szCs w:val="24"/>
        </w:rPr>
        <w:fldChar w:fldCharType="end"/>
      </w:r>
      <w:r>
        <w:rPr>
          <w:sz w:val="24"/>
          <w:szCs w:val="24"/>
        </w:rPr>
        <w:t>.</w:t>
      </w:r>
      <w:r w:rsidR="008A42C2">
        <w:rPr>
          <w:sz w:val="24"/>
          <w:szCs w:val="24"/>
        </w:rPr>
        <w:t xml:space="preserve"> The unadjusted comparisons </w:t>
      </w:r>
      <w:r w:rsidR="008A42C2" w:rsidRPr="008A42C2">
        <w:rPr>
          <w:sz w:val="24"/>
          <w:szCs w:val="24"/>
        </w:rPr>
        <w:t xml:space="preserve">already </w:t>
      </w:r>
      <w:r w:rsidR="008A42C2">
        <w:rPr>
          <w:sz w:val="24"/>
          <w:szCs w:val="24"/>
        </w:rPr>
        <w:t>account f</w:t>
      </w:r>
      <w:r w:rsidR="008A42C2" w:rsidRPr="008A42C2">
        <w:rPr>
          <w:sz w:val="24"/>
          <w:szCs w:val="24"/>
        </w:rPr>
        <w:t>or differences in</w:t>
      </w:r>
      <w:r w:rsidR="008A42C2">
        <w:rPr>
          <w:sz w:val="24"/>
          <w:szCs w:val="24"/>
        </w:rPr>
        <w:t xml:space="preserve"> the</w:t>
      </w:r>
      <w:r w:rsidR="008A42C2" w:rsidRPr="008A42C2">
        <w:rPr>
          <w:sz w:val="24"/>
          <w:szCs w:val="24"/>
        </w:rPr>
        <w:t xml:space="preserve"> matched factors</w:t>
      </w:r>
      <w:r w:rsidR="008A42C2">
        <w:rPr>
          <w:sz w:val="24"/>
          <w:szCs w:val="24"/>
        </w:rPr>
        <w:t xml:space="preserve"> (</w:t>
      </w:r>
      <w:r w:rsidR="008A42C2" w:rsidRPr="008A42C2">
        <w:rPr>
          <w:sz w:val="24"/>
          <w:szCs w:val="24"/>
        </w:rPr>
        <w:t xml:space="preserve">age, </w:t>
      </w:r>
      <w:r w:rsidR="00AC3E5C">
        <w:rPr>
          <w:sz w:val="24"/>
          <w:szCs w:val="24"/>
        </w:rPr>
        <w:t>sex</w:t>
      </w:r>
      <w:r w:rsidR="008A42C2" w:rsidRPr="008A42C2">
        <w:rPr>
          <w:sz w:val="24"/>
          <w:szCs w:val="24"/>
        </w:rPr>
        <w:t>, and practice</w:t>
      </w:r>
      <w:r w:rsidR="008A42C2">
        <w:rPr>
          <w:sz w:val="24"/>
          <w:szCs w:val="24"/>
        </w:rPr>
        <w:t xml:space="preserve">), while the adjusted comparisons additionally adjust for baseline comorbidity, smoking and deprivation. </w:t>
      </w:r>
      <w:r w:rsidR="008A42C2">
        <w:rPr>
          <w:rFonts w:eastAsia="Times New Roman" w:cs="Times New Roman"/>
          <w:bCs/>
          <w:kern w:val="36"/>
          <w:sz w:val="24"/>
          <w:szCs w:val="24"/>
          <w:lang w:eastAsia="en-GB"/>
        </w:rPr>
        <w:t xml:space="preserve">For comorbidity, we </w:t>
      </w:r>
      <w:r w:rsidR="008A42C2" w:rsidRPr="00317EE7">
        <w:rPr>
          <w:rFonts w:eastAsia="Times New Roman" w:cs="Times New Roman"/>
          <w:bCs/>
          <w:kern w:val="36"/>
          <w:sz w:val="24"/>
          <w:szCs w:val="24"/>
          <w:lang w:eastAsia="en-GB"/>
        </w:rPr>
        <w:t>us</w:t>
      </w:r>
      <w:r w:rsidR="008A42C2">
        <w:rPr>
          <w:rFonts w:eastAsia="Times New Roman" w:cs="Times New Roman"/>
          <w:bCs/>
          <w:kern w:val="36"/>
          <w:sz w:val="24"/>
          <w:szCs w:val="24"/>
          <w:lang w:eastAsia="en-GB"/>
        </w:rPr>
        <w:t>ed</w:t>
      </w:r>
      <w:r w:rsidR="008A42C2" w:rsidRPr="00317EE7">
        <w:rPr>
          <w:rFonts w:eastAsia="Times New Roman" w:cs="Times New Roman"/>
          <w:bCs/>
          <w:kern w:val="36"/>
          <w:sz w:val="24"/>
          <w:szCs w:val="24"/>
          <w:lang w:eastAsia="en-GB"/>
        </w:rPr>
        <w:t xml:space="preserve"> </w:t>
      </w:r>
      <w:r w:rsidR="008A42C2">
        <w:rPr>
          <w:rFonts w:eastAsia="Times New Roman" w:cs="Times New Roman"/>
          <w:bCs/>
          <w:kern w:val="36"/>
          <w:sz w:val="24"/>
          <w:szCs w:val="24"/>
          <w:lang w:eastAsia="en-GB"/>
        </w:rPr>
        <w:t>nine</w:t>
      </w:r>
      <w:r w:rsidR="008A42C2" w:rsidRPr="00317EE7">
        <w:rPr>
          <w:rFonts w:eastAsia="Times New Roman" w:cs="Times New Roman"/>
          <w:bCs/>
          <w:kern w:val="36"/>
          <w:sz w:val="24"/>
          <w:szCs w:val="24"/>
          <w:lang w:eastAsia="en-GB"/>
        </w:rPr>
        <w:t xml:space="preserve"> conditions</w:t>
      </w:r>
      <w:r w:rsidR="008A42C2">
        <w:rPr>
          <w:rFonts w:eastAsia="Times New Roman" w:cs="Times New Roman"/>
          <w:bCs/>
          <w:kern w:val="36"/>
          <w:sz w:val="24"/>
          <w:szCs w:val="24"/>
          <w:lang w:eastAsia="en-GB"/>
        </w:rPr>
        <w:t xml:space="preserve"> </w:t>
      </w:r>
      <w:r w:rsidR="008A42C2" w:rsidRPr="00317EE7">
        <w:rPr>
          <w:rFonts w:eastAsia="Times New Roman" w:cs="Times New Roman"/>
          <w:bCs/>
          <w:kern w:val="36"/>
          <w:sz w:val="24"/>
          <w:szCs w:val="24"/>
          <w:lang w:eastAsia="en-GB"/>
        </w:rPr>
        <w:t xml:space="preserve">which </w:t>
      </w:r>
      <w:r w:rsidR="008A42C2">
        <w:rPr>
          <w:rFonts w:eastAsia="Times New Roman" w:cs="Times New Roman"/>
          <w:bCs/>
          <w:kern w:val="36"/>
          <w:sz w:val="24"/>
          <w:szCs w:val="24"/>
          <w:lang w:eastAsia="en-GB"/>
        </w:rPr>
        <w:t>are</w:t>
      </w:r>
      <w:r w:rsidR="008A42C2" w:rsidRPr="00317EE7">
        <w:rPr>
          <w:rFonts w:eastAsia="Times New Roman" w:cs="Times New Roman"/>
          <w:bCs/>
          <w:kern w:val="36"/>
          <w:sz w:val="24"/>
          <w:szCs w:val="24"/>
          <w:lang w:eastAsia="en-GB"/>
        </w:rPr>
        <w:t xml:space="preserve"> independent predictors of mortality in the general population</w:t>
      </w:r>
      <w:r w:rsidR="008A42C2">
        <w:rPr>
          <w:rFonts w:eastAsia="Times New Roman" w:cs="Times New Roman"/>
          <w:bCs/>
          <w:kern w:val="36"/>
          <w:sz w:val="24"/>
          <w:szCs w:val="24"/>
          <w:lang w:eastAsia="en-GB"/>
        </w:rPr>
        <w:t xml:space="preserve"> (</w:t>
      </w:r>
      <w:r w:rsidR="008A42C2" w:rsidRPr="00317EE7">
        <w:rPr>
          <w:rFonts w:eastAsia="Times New Roman" w:cs="Times New Roman"/>
          <w:bCs/>
          <w:kern w:val="36"/>
          <w:sz w:val="24"/>
          <w:szCs w:val="24"/>
          <w:lang w:eastAsia="en-GB"/>
        </w:rPr>
        <w:t xml:space="preserve">atrial fibrillation, cancer, </w:t>
      </w:r>
      <w:r w:rsidR="008A42C2">
        <w:rPr>
          <w:rFonts w:eastAsia="Times New Roman" w:cs="Times New Roman"/>
          <w:bCs/>
          <w:kern w:val="36"/>
          <w:sz w:val="24"/>
          <w:szCs w:val="24"/>
          <w:lang w:eastAsia="en-GB"/>
        </w:rPr>
        <w:t>chronic obstructive pulmonary disease</w:t>
      </w:r>
      <w:r w:rsidR="008A42C2" w:rsidRPr="00317EE7">
        <w:rPr>
          <w:rFonts w:eastAsia="Times New Roman" w:cs="Times New Roman"/>
          <w:bCs/>
          <w:kern w:val="36"/>
          <w:sz w:val="24"/>
          <w:szCs w:val="24"/>
          <w:lang w:eastAsia="en-GB"/>
        </w:rPr>
        <w:t xml:space="preserve">, dementia, diabetes, epilepsy, heart failure, </w:t>
      </w:r>
      <w:r w:rsidR="008A42C2">
        <w:rPr>
          <w:rFonts w:eastAsia="Times New Roman" w:cs="Times New Roman"/>
          <w:bCs/>
          <w:kern w:val="36"/>
          <w:sz w:val="24"/>
          <w:szCs w:val="24"/>
          <w:lang w:eastAsia="en-GB"/>
        </w:rPr>
        <w:t xml:space="preserve">severe </w:t>
      </w:r>
      <w:r w:rsidR="008A42C2" w:rsidRPr="00317EE7">
        <w:rPr>
          <w:rFonts w:eastAsia="Times New Roman" w:cs="Times New Roman"/>
          <w:bCs/>
          <w:kern w:val="36"/>
          <w:sz w:val="24"/>
          <w:szCs w:val="24"/>
          <w:lang w:eastAsia="en-GB"/>
        </w:rPr>
        <w:t>mental</w:t>
      </w:r>
      <w:r w:rsidR="008A42C2">
        <w:rPr>
          <w:rFonts w:eastAsia="Times New Roman" w:cs="Times New Roman"/>
          <w:bCs/>
          <w:kern w:val="36"/>
          <w:sz w:val="24"/>
          <w:szCs w:val="24"/>
          <w:lang w:eastAsia="en-GB"/>
        </w:rPr>
        <w:t xml:space="preserve"> illness, stroke)</w:t>
      </w:r>
      <w:r w:rsidR="008A42C2">
        <w:rPr>
          <w:rFonts w:eastAsia="Times New Roman" w:cs="Times New Roman"/>
          <w:bCs/>
          <w:kern w:val="36"/>
          <w:sz w:val="24"/>
          <w:szCs w:val="24"/>
          <w:lang w:eastAsia="en-GB"/>
        </w:rPr>
        <w:fldChar w:fldCharType="begin"/>
      </w:r>
      <w:r w:rsidR="00370022">
        <w:rPr>
          <w:rFonts w:eastAsia="Times New Roman" w:cs="Times New Roman"/>
          <w:bCs/>
          <w:kern w:val="36"/>
          <w:sz w:val="24"/>
          <w:szCs w:val="24"/>
          <w:lang w:eastAsia="en-GB"/>
        </w:rPr>
        <w:instrText xml:space="preserve"> ADDIN EN.CITE &lt;EndNote&gt;&lt;Cite&gt;&lt;Author&gt;Carey&lt;/Author&gt;&lt;Year&gt;2013&lt;/Year&gt;&lt;RecNum&gt;703&lt;/RecNum&gt;&lt;IDText&gt;A new simple primary care morbidity score predicted mortality and better explains between practice variations than the Charlson index&lt;/IDText&gt;&lt;DisplayText&gt;&lt;style face="superscript"&gt;15&lt;/style&gt;&lt;/DisplayText&gt;&lt;record&gt;&lt;rec-number&gt;703&lt;/rec-number&gt;&lt;foreign-keys&gt;&lt;key app="EN" db-id="9vd5rfe5s0azere5pfyx0xrzazafratsxvvv" timestamp="1466420373"&gt;703&lt;/key&gt;&lt;key app="ENWeb" db-id=""&gt;0&lt;/key&gt;&lt;/foreign-keys&gt;&lt;ref-type name="Journal Article"&gt;17&lt;/ref-type&gt;&lt;contributors&gt;&lt;authors&gt;&lt;author&gt;Carey, Iain M.&lt;/author&gt;&lt;author&gt;Shah, Sunil M.&lt;/author&gt;&lt;author&gt;Harris, Tess&lt;/author&gt;&lt;author&gt;DeWilde, Stephen&lt;/author&gt;&lt;author&gt;Cook, Derek G.&lt;/author&gt;&lt;/authors&gt;&lt;/contributors&gt;&lt;titles&gt;&lt;title&gt;A new simple primary care morbidity score predicted mortality and better explains between practice variations than the Charlson index&lt;/title&gt;&lt;secondary-title&gt;Journal of Clinical Epidemiology&lt;/secondary-title&gt;&lt;alt-title&gt;J Clin Epidemiol&lt;/alt-title&gt;&lt;/titles&gt;&lt;periodical&gt;&lt;full-title&gt;Journal of Clinical Epidemiology&lt;/full-title&gt;&lt;abbr-1&gt;J Clin Epidemiol&lt;/abbr-1&gt;&lt;/periodical&gt;&lt;alt-periodical&gt;&lt;full-title&gt;J Clin Epidemiol&lt;/full-title&gt;&lt;/alt-periodical&gt;&lt;pages&gt;436-444&lt;/pages&gt;&lt;volume&gt;66&lt;/volume&gt;&lt;number&gt;4&lt;/number&gt;&lt;dates&gt;&lt;year&gt;2013&lt;/year&gt;&lt;pub-dates&gt;&lt;date&gt;Apr&lt;/date&gt;&lt;/pub-dates&gt;&lt;/dates&gt;&lt;isbn&gt;0895-4356&lt;/isbn&gt;&lt;accession-num&gt;WOS:000315935100014&lt;/accession-num&gt;&lt;urls&gt;&lt;related-urls&gt;&lt;url&gt;&amp;lt;Go to WoS&amp;gt;://WOS:000315935100014&lt;/url&gt;&lt;/related-urls&gt;&lt;/urls&gt;&lt;electronic-resource-num&gt;10.1016/j.jclinepi.2012.10.012&lt;/electronic-resource-num&gt;&lt;/record&gt;&lt;/Cite&gt;&lt;/EndNote&gt;</w:instrText>
      </w:r>
      <w:r w:rsidR="008A42C2">
        <w:rPr>
          <w:rFonts w:eastAsia="Times New Roman" w:cs="Times New Roman"/>
          <w:bCs/>
          <w:kern w:val="36"/>
          <w:sz w:val="24"/>
          <w:szCs w:val="24"/>
          <w:lang w:eastAsia="en-GB"/>
        </w:rPr>
        <w:fldChar w:fldCharType="separate"/>
      </w:r>
      <w:r w:rsidR="00370022" w:rsidRPr="00370022">
        <w:rPr>
          <w:rFonts w:eastAsia="Times New Roman" w:cs="Times New Roman"/>
          <w:bCs/>
          <w:noProof/>
          <w:kern w:val="36"/>
          <w:sz w:val="24"/>
          <w:szCs w:val="24"/>
          <w:vertAlign w:val="superscript"/>
          <w:lang w:eastAsia="en-GB"/>
        </w:rPr>
        <w:t>15</w:t>
      </w:r>
      <w:r w:rsidR="008A42C2">
        <w:rPr>
          <w:rFonts w:eastAsia="Times New Roman" w:cs="Times New Roman"/>
          <w:bCs/>
          <w:kern w:val="36"/>
          <w:sz w:val="24"/>
          <w:szCs w:val="24"/>
          <w:lang w:eastAsia="en-GB"/>
        </w:rPr>
        <w:fldChar w:fldCharType="end"/>
      </w:r>
      <w:r w:rsidR="008A42C2">
        <w:rPr>
          <w:rFonts w:eastAsia="Times New Roman" w:cs="Times New Roman"/>
          <w:bCs/>
          <w:kern w:val="36"/>
          <w:sz w:val="24"/>
          <w:szCs w:val="24"/>
          <w:lang w:eastAsia="en-GB"/>
        </w:rPr>
        <w:t xml:space="preserve">. </w:t>
      </w:r>
      <w:r w:rsidR="008A42C2">
        <w:rPr>
          <w:rFonts w:cs="Calibri"/>
          <w:sz w:val="24"/>
          <w:szCs w:val="24"/>
        </w:rPr>
        <w:t>Deprivation</w:t>
      </w:r>
      <w:r w:rsidR="008A42C2" w:rsidRPr="00317EE7">
        <w:rPr>
          <w:rFonts w:cs="Calibri"/>
          <w:sz w:val="24"/>
          <w:szCs w:val="24"/>
        </w:rPr>
        <w:t xml:space="preserve"> was</w:t>
      </w:r>
      <w:r w:rsidR="008A42C2">
        <w:rPr>
          <w:rFonts w:cs="Calibri"/>
          <w:sz w:val="24"/>
          <w:szCs w:val="24"/>
        </w:rPr>
        <w:t xml:space="preserve"> classified by using</w:t>
      </w:r>
      <w:r w:rsidR="008A42C2" w:rsidRPr="00317EE7">
        <w:rPr>
          <w:rFonts w:cs="Calibri"/>
          <w:sz w:val="24"/>
          <w:szCs w:val="24"/>
        </w:rPr>
        <w:t xml:space="preserve"> the Index of Multiple Deprivation, a composite small area ecological measure of deprivation based on postcode</w:t>
      </w:r>
      <w:r w:rsidR="008A42C2">
        <w:rPr>
          <w:rFonts w:cs="Calibri"/>
          <w:sz w:val="24"/>
          <w:szCs w:val="24"/>
        </w:rPr>
        <w:fldChar w:fldCharType="begin"/>
      </w:r>
      <w:r w:rsidR="00370022">
        <w:rPr>
          <w:rFonts w:cs="Calibri"/>
          <w:sz w:val="24"/>
          <w:szCs w:val="24"/>
        </w:rPr>
        <w:instrText xml:space="preserve"> ADDIN EN.CITE &lt;EndNote&gt;&lt;Cite ExcludeAuth="1"&gt;&lt;Year&gt;2011&lt;/Year&gt;&lt;RecNum&gt;510&lt;/RecNum&gt;&lt;DisplayText&gt;&lt;style face="superscript"&gt;16&lt;/style&gt;&lt;/DisplayText&gt;&lt;record&gt;&lt;rec-number&gt;510&lt;/rec-number&gt;&lt;foreign-keys&gt;&lt;key app="EN" db-id="9vd5rfe5s0azere5pfyx0xrzazafratsxvvv" timestamp="1466420113"&gt;510&lt;/key&gt;&lt;/foreign-keys&gt;&lt;ref-type name="Electronic Book"&gt;44&lt;/ref-type&gt;&lt;contributors&gt;&lt;/contributors&gt;&lt;titles&gt;&lt;title&gt;English indices of deprivation 2010&lt;/title&gt;&lt;/titles&gt;&lt;dates&gt;&lt;year&gt;2011&lt;/year&gt;&lt;pub-dates&gt;&lt;date&gt;28-10-2015&lt;/date&gt;&lt;/pub-dates&gt;&lt;/dates&gt;&lt;pub-location&gt;London&lt;/pub-location&gt;&lt;publisher&gt;Department for Communities and Local Government&lt;/publisher&gt;&lt;urls&gt;&lt;related-urls&gt;&lt;url&gt;https://www.gov.uk/government/statistics/english-indices-of-deprivation-2010&lt;/url&gt;&lt;/related-urls&gt;&lt;/urls&gt;&lt;/record&gt;&lt;/Cite&gt;&lt;/EndNote&gt;</w:instrText>
      </w:r>
      <w:r w:rsidR="008A42C2">
        <w:rPr>
          <w:rFonts w:cs="Calibri"/>
          <w:sz w:val="24"/>
          <w:szCs w:val="24"/>
        </w:rPr>
        <w:fldChar w:fldCharType="separate"/>
      </w:r>
      <w:r w:rsidR="00370022" w:rsidRPr="00370022">
        <w:rPr>
          <w:rFonts w:cs="Calibri"/>
          <w:noProof/>
          <w:sz w:val="24"/>
          <w:szCs w:val="24"/>
          <w:vertAlign w:val="superscript"/>
        </w:rPr>
        <w:t>16</w:t>
      </w:r>
      <w:r w:rsidR="008A42C2">
        <w:rPr>
          <w:rFonts w:cs="Calibri"/>
          <w:sz w:val="24"/>
          <w:szCs w:val="24"/>
        </w:rPr>
        <w:fldChar w:fldCharType="end"/>
      </w:r>
      <w:r w:rsidR="008A42C2" w:rsidRPr="00317EE7">
        <w:rPr>
          <w:rFonts w:cs="Calibri"/>
          <w:sz w:val="24"/>
          <w:szCs w:val="24"/>
        </w:rPr>
        <w:t xml:space="preserve">. </w:t>
      </w:r>
      <w:r w:rsidR="008A42C2">
        <w:rPr>
          <w:rFonts w:eastAsia="Times New Roman" w:cs="Times New Roman"/>
          <w:bCs/>
          <w:kern w:val="36"/>
          <w:sz w:val="24"/>
          <w:szCs w:val="24"/>
          <w:lang w:eastAsia="en-GB"/>
        </w:rPr>
        <w:t xml:space="preserve"> </w:t>
      </w:r>
    </w:p>
    <w:p w14:paraId="5F68A2F9" w14:textId="48E30F3A" w:rsidR="008A42C2" w:rsidRDefault="00D30848" w:rsidP="001D1600">
      <w:pPr>
        <w:spacing w:after="0" w:line="480" w:lineRule="auto"/>
        <w:jc w:val="both"/>
        <w:rPr>
          <w:rFonts w:eastAsia="Times New Roman" w:cs="Times New Roman"/>
          <w:bCs/>
          <w:kern w:val="36"/>
          <w:sz w:val="24"/>
          <w:szCs w:val="24"/>
          <w:lang w:eastAsia="en-GB"/>
        </w:rPr>
      </w:pPr>
      <w:r>
        <w:rPr>
          <w:sz w:val="24"/>
          <w:szCs w:val="24"/>
        </w:rPr>
        <w:t xml:space="preserve">Incident rate ratios (IRR) </w:t>
      </w:r>
      <w:r w:rsidR="00082791">
        <w:rPr>
          <w:sz w:val="24"/>
          <w:szCs w:val="24"/>
        </w:rPr>
        <w:t xml:space="preserve">for </w:t>
      </w:r>
      <w:r w:rsidR="009D6837">
        <w:rPr>
          <w:sz w:val="24"/>
          <w:szCs w:val="24"/>
        </w:rPr>
        <w:t xml:space="preserve">emergency </w:t>
      </w:r>
      <w:r w:rsidR="00082791">
        <w:rPr>
          <w:sz w:val="24"/>
          <w:szCs w:val="24"/>
        </w:rPr>
        <w:t xml:space="preserve">hospitalisation </w:t>
      </w:r>
      <w:r w:rsidR="001C354C">
        <w:rPr>
          <w:sz w:val="24"/>
          <w:szCs w:val="24"/>
        </w:rPr>
        <w:t xml:space="preserve">were calculated using conditional </w:t>
      </w:r>
      <w:r w:rsidR="00D61669">
        <w:rPr>
          <w:sz w:val="24"/>
          <w:szCs w:val="24"/>
        </w:rPr>
        <w:t>Poisson</w:t>
      </w:r>
      <w:r w:rsidR="001C354C">
        <w:rPr>
          <w:sz w:val="24"/>
          <w:szCs w:val="24"/>
        </w:rPr>
        <w:t xml:space="preserve"> models (Stata 12.0), stratified on match</w:t>
      </w:r>
      <w:r w:rsidR="00D25947">
        <w:rPr>
          <w:sz w:val="24"/>
          <w:szCs w:val="24"/>
        </w:rPr>
        <w:t>-</w:t>
      </w:r>
      <w:r w:rsidR="001C354C">
        <w:rPr>
          <w:sz w:val="24"/>
          <w:szCs w:val="24"/>
        </w:rPr>
        <w:t>sets</w:t>
      </w:r>
      <w:r w:rsidR="0097529F">
        <w:rPr>
          <w:sz w:val="24"/>
          <w:szCs w:val="24"/>
        </w:rPr>
        <w:t>,</w:t>
      </w:r>
      <w:r w:rsidR="002370FE">
        <w:rPr>
          <w:sz w:val="24"/>
          <w:szCs w:val="24"/>
        </w:rPr>
        <w:t xml:space="preserve"> with an offset term for follow-up time</w:t>
      </w:r>
      <w:r w:rsidR="00665267">
        <w:rPr>
          <w:rFonts w:eastAsia="Times New Roman" w:cs="Times New Roman"/>
          <w:bCs/>
          <w:kern w:val="36"/>
          <w:sz w:val="24"/>
          <w:szCs w:val="24"/>
          <w:lang w:eastAsia="en-GB"/>
        </w:rPr>
        <w:t xml:space="preserve">. </w:t>
      </w:r>
      <w:r w:rsidR="00930F9E">
        <w:rPr>
          <w:rFonts w:eastAsia="Times New Roman" w:cs="Times New Roman"/>
          <w:bCs/>
          <w:kern w:val="36"/>
          <w:sz w:val="24"/>
          <w:szCs w:val="24"/>
          <w:lang w:eastAsia="en-GB"/>
        </w:rPr>
        <w:t>N</w:t>
      </w:r>
      <w:r w:rsidR="009D7541">
        <w:rPr>
          <w:rFonts w:eastAsia="Times New Roman" w:cs="Times New Roman"/>
          <w:bCs/>
          <w:kern w:val="36"/>
          <w:sz w:val="24"/>
          <w:szCs w:val="24"/>
          <w:lang w:eastAsia="en-GB"/>
        </w:rPr>
        <w:t>egative binomial models accounting for overdispersion produced more conservative IRRs</w:t>
      </w:r>
      <w:r w:rsidR="00553489">
        <w:rPr>
          <w:rFonts w:eastAsia="Times New Roman" w:cs="Times New Roman"/>
          <w:bCs/>
          <w:kern w:val="36"/>
          <w:sz w:val="24"/>
          <w:szCs w:val="24"/>
          <w:lang w:eastAsia="en-GB"/>
        </w:rPr>
        <w:t>,</w:t>
      </w:r>
      <w:r w:rsidR="009D7541">
        <w:rPr>
          <w:rFonts w:eastAsia="Times New Roman" w:cs="Times New Roman"/>
          <w:bCs/>
          <w:kern w:val="36"/>
          <w:sz w:val="24"/>
          <w:szCs w:val="24"/>
          <w:lang w:eastAsia="en-GB"/>
        </w:rPr>
        <w:t xml:space="preserve"> but </w:t>
      </w:r>
      <w:r w:rsidR="00553489">
        <w:rPr>
          <w:rFonts w:eastAsia="Times New Roman" w:cs="Times New Roman"/>
          <w:bCs/>
          <w:kern w:val="36"/>
          <w:sz w:val="24"/>
          <w:szCs w:val="24"/>
          <w:lang w:eastAsia="en-GB"/>
        </w:rPr>
        <w:t xml:space="preserve">did </w:t>
      </w:r>
      <w:r w:rsidR="009D7541">
        <w:rPr>
          <w:rFonts w:eastAsia="Times New Roman" w:cs="Times New Roman"/>
          <w:bCs/>
          <w:kern w:val="36"/>
          <w:sz w:val="24"/>
          <w:szCs w:val="24"/>
          <w:lang w:eastAsia="en-GB"/>
        </w:rPr>
        <w:t>not</w:t>
      </w:r>
      <w:r w:rsidR="00553489">
        <w:rPr>
          <w:rFonts w:eastAsia="Times New Roman" w:cs="Times New Roman"/>
          <w:bCs/>
          <w:kern w:val="36"/>
          <w:sz w:val="24"/>
          <w:szCs w:val="24"/>
          <w:lang w:eastAsia="en-GB"/>
        </w:rPr>
        <w:t xml:space="preserve"> materially</w:t>
      </w:r>
      <w:r w:rsidR="009D7541">
        <w:rPr>
          <w:rFonts w:eastAsia="Times New Roman" w:cs="Times New Roman"/>
          <w:bCs/>
          <w:kern w:val="36"/>
          <w:sz w:val="24"/>
          <w:szCs w:val="24"/>
          <w:lang w:eastAsia="en-GB"/>
        </w:rPr>
        <w:t xml:space="preserve"> alter our</w:t>
      </w:r>
      <w:r w:rsidR="00553489">
        <w:rPr>
          <w:rFonts w:eastAsia="Times New Roman" w:cs="Times New Roman"/>
          <w:bCs/>
          <w:kern w:val="36"/>
          <w:sz w:val="24"/>
          <w:szCs w:val="24"/>
          <w:lang w:eastAsia="en-GB"/>
        </w:rPr>
        <w:t xml:space="preserve"> conclusion</w:t>
      </w:r>
      <w:r w:rsidR="009D7541">
        <w:rPr>
          <w:rFonts w:eastAsia="Times New Roman" w:cs="Times New Roman"/>
          <w:bCs/>
          <w:kern w:val="36"/>
          <w:sz w:val="24"/>
          <w:szCs w:val="24"/>
          <w:lang w:eastAsia="en-GB"/>
        </w:rPr>
        <w:t xml:space="preserve">s (data not shown). </w:t>
      </w:r>
      <w:r w:rsidR="006424A8">
        <w:rPr>
          <w:sz w:val="24"/>
          <w:szCs w:val="24"/>
        </w:rPr>
        <w:t>The</w:t>
      </w:r>
      <w:r w:rsidR="006424A8" w:rsidRPr="00D30848">
        <w:rPr>
          <w:sz w:val="24"/>
          <w:szCs w:val="24"/>
        </w:rPr>
        <w:t xml:space="preserve"> examination of primary care utilisation preceding admission</w:t>
      </w:r>
      <w:r w:rsidR="006424A8">
        <w:rPr>
          <w:sz w:val="24"/>
          <w:szCs w:val="24"/>
        </w:rPr>
        <w:t xml:space="preserve"> was unmatched; we used logistic regression to estimate an odds ratio for adults with ID vs. without ID, adjusting for age and sex.</w:t>
      </w:r>
    </w:p>
    <w:p w14:paraId="1E39B11F" w14:textId="250B52F4" w:rsidR="006424A8" w:rsidRDefault="006424A8" w:rsidP="001D1600">
      <w:pPr>
        <w:spacing w:after="0" w:line="480" w:lineRule="auto"/>
        <w:jc w:val="both"/>
        <w:rPr>
          <w:rFonts w:eastAsia="Times New Roman" w:cs="Times New Roman"/>
          <w:bCs/>
          <w:kern w:val="36"/>
          <w:sz w:val="24"/>
          <w:szCs w:val="24"/>
          <w:lang w:eastAsia="en-GB"/>
        </w:rPr>
      </w:pPr>
    </w:p>
    <w:p w14:paraId="19683D82" w14:textId="0431C742" w:rsidR="00386926" w:rsidRDefault="006424A8" w:rsidP="001D1600">
      <w:pPr>
        <w:spacing w:after="0" w:line="480" w:lineRule="auto"/>
        <w:jc w:val="both"/>
        <w:rPr>
          <w:sz w:val="24"/>
          <w:szCs w:val="24"/>
        </w:rPr>
      </w:pPr>
      <w:r>
        <w:rPr>
          <w:rFonts w:eastAsia="Times New Roman" w:cs="Times New Roman"/>
          <w:bCs/>
          <w:kern w:val="36"/>
          <w:sz w:val="24"/>
          <w:szCs w:val="24"/>
          <w:lang w:eastAsia="en-GB"/>
        </w:rPr>
        <w:t>For analyses of hospital admission rates, we tested for effect modification within the matched factors (</w:t>
      </w:r>
      <w:r w:rsidR="00B53594">
        <w:rPr>
          <w:rFonts w:eastAsia="Times New Roman" w:cs="Times New Roman"/>
          <w:bCs/>
          <w:kern w:val="36"/>
          <w:sz w:val="24"/>
          <w:szCs w:val="24"/>
          <w:lang w:eastAsia="en-GB"/>
        </w:rPr>
        <w:t>age, sex</w:t>
      </w:r>
      <w:r>
        <w:rPr>
          <w:rFonts w:eastAsia="Times New Roman" w:cs="Times New Roman"/>
          <w:bCs/>
          <w:kern w:val="36"/>
          <w:sz w:val="24"/>
          <w:szCs w:val="24"/>
          <w:lang w:eastAsia="en-GB"/>
        </w:rPr>
        <w:t>) and important subgroups (Down syndrome, communal establishment, high support needs) we have identified previously</w:t>
      </w:r>
      <w:r w:rsidR="00370022">
        <w:rPr>
          <w:rFonts w:eastAsia="Times New Roman" w:cs="Times New Roman"/>
          <w:bCs/>
          <w:kern w:val="36"/>
          <w:sz w:val="24"/>
          <w:szCs w:val="24"/>
          <w:lang w:eastAsia="en-GB"/>
        </w:rPr>
        <w:fldChar w:fldCharType="begin"/>
      </w:r>
      <w:r w:rsidR="00370022">
        <w:rPr>
          <w:rFonts w:eastAsia="Times New Roman" w:cs="Times New Roman"/>
          <w:bCs/>
          <w:kern w:val="36"/>
          <w:sz w:val="24"/>
          <w:szCs w:val="24"/>
          <w:lang w:eastAsia="en-GB"/>
        </w:rPr>
        <w:instrText xml:space="preserve"> ADDIN EN.CITE &lt;EndNote&gt;&lt;Cite ExcludeYear="1"&gt;&lt;Author&gt;Hosking&lt;/Author&gt;&lt;Year&gt;2016&lt;/Year&gt;&lt;RecNum&gt;786&lt;/RecNum&gt;&lt;DisplayText&gt;&lt;style face="superscript"&gt;13&lt;/style&gt;&lt;/DisplayText&gt;&lt;record&gt;&lt;rec-number&gt;786&lt;/rec-number&gt;&lt;foreign-keys&gt;&lt;key app="EN" db-id="9vd5rfe5s0azere5pfyx0xrzazafratsxvvv" timestamp="1479373457"&gt;786&lt;/key&gt;&lt;/foreign-keys&gt;&lt;ref-type name="Journal Article"&gt;17&lt;/ref-type&gt;&lt;contributors&gt;&lt;authors&gt;&lt;author&gt;Hosking, F. J.&lt;/author&gt;&lt;author&gt;Carey, I. M.&lt;/author&gt;&lt;author&gt;Shah, S. M.&lt;/author&gt;&lt;author&gt;Harris, T.&lt;/author&gt;&lt;author&gt;DeWilde, S.&lt;/author&gt;&lt;author&gt;Beighton, C.&lt;/author&gt;&lt;author&gt;Cook, D. G.&lt;/author&gt;&lt;/authors&gt;&lt;/contributors&gt;&lt;titles&gt;&lt;title&gt;Mortality Among Adults With Intellectual Disability in England: Comparisons With the General Population&lt;/title&gt;&lt;secondary-title&gt;American Journal of Public Health&lt;/secondary-title&gt;&lt;/titles&gt;&lt;periodical&gt;&lt;full-title&gt;American Journal of Public Health&lt;/full-title&gt;&lt;/periodical&gt;&lt;pages&gt;1483-1490&lt;/pages&gt;&lt;volume&gt;106&lt;/volume&gt;&lt;number&gt;8&lt;/number&gt;&lt;dates&gt;&lt;year&gt;2016&lt;/year&gt;&lt;pub-dates&gt;&lt;date&gt;Aug&lt;/date&gt;&lt;/pub-dates&gt;&lt;/dates&gt;&lt;isbn&gt;0090-0036&lt;/isbn&gt;&lt;accession-num&gt;WOS:000384981200045&lt;/accession-num&gt;&lt;urls&gt;&lt;related-urls&gt;&lt;url&gt;&amp;lt;Go to ISI&amp;gt;://WOS:000384981200045&lt;/url&gt;&lt;/related-urls&gt;&lt;/urls&gt;&lt;electronic-resource-num&gt;10.2105/ajph.2016.303240&lt;/electronic-resource-num&gt;&lt;/record&gt;&lt;/Cite&gt;&lt;/EndNote&gt;</w:instrText>
      </w:r>
      <w:r w:rsidR="00370022">
        <w:rPr>
          <w:rFonts w:eastAsia="Times New Roman" w:cs="Times New Roman"/>
          <w:bCs/>
          <w:kern w:val="36"/>
          <w:sz w:val="24"/>
          <w:szCs w:val="24"/>
          <w:lang w:eastAsia="en-GB"/>
        </w:rPr>
        <w:fldChar w:fldCharType="separate"/>
      </w:r>
      <w:r w:rsidR="00370022" w:rsidRPr="00370022">
        <w:rPr>
          <w:rFonts w:eastAsia="Times New Roman" w:cs="Times New Roman"/>
          <w:bCs/>
          <w:noProof/>
          <w:kern w:val="36"/>
          <w:sz w:val="24"/>
          <w:szCs w:val="24"/>
          <w:vertAlign w:val="superscript"/>
          <w:lang w:eastAsia="en-GB"/>
        </w:rPr>
        <w:t>13</w:t>
      </w:r>
      <w:r w:rsidR="00370022">
        <w:rPr>
          <w:rFonts w:eastAsia="Times New Roman" w:cs="Times New Roman"/>
          <w:bCs/>
          <w:kern w:val="36"/>
          <w:sz w:val="24"/>
          <w:szCs w:val="24"/>
          <w:lang w:eastAsia="en-GB"/>
        </w:rPr>
        <w:fldChar w:fldCharType="end"/>
      </w:r>
      <w:r>
        <w:rPr>
          <w:rFonts w:eastAsia="Times New Roman" w:cs="Times New Roman"/>
          <w:bCs/>
          <w:kern w:val="36"/>
          <w:sz w:val="24"/>
          <w:szCs w:val="24"/>
          <w:lang w:eastAsia="en-GB"/>
        </w:rPr>
        <w:t xml:space="preserve">. </w:t>
      </w:r>
      <w:r w:rsidR="00CB0BD7" w:rsidRPr="00CB0BD7">
        <w:rPr>
          <w:rFonts w:eastAsia="Times New Roman" w:cs="Times New Roman"/>
          <w:bCs/>
          <w:kern w:val="36"/>
          <w:sz w:val="24"/>
          <w:szCs w:val="24"/>
          <w:lang w:eastAsia="en-GB"/>
        </w:rPr>
        <w:t>For each subgroup comparison, we compared the IRR and confidence intervals derived from each</w:t>
      </w:r>
      <w:r w:rsidR="0044543A">
        <w:rPr>
          <w:rFonts w:eastAsia="Times New Roman" w:cs="Times New Roman"/>
          <w:bCs/>
          <w:kern w:val="36"/>
          <w:sz w:val="24"/>
          <w:szCs w:val="24"/>
          <w:lang w:eastAsia="en-GB"/>
        </w:rPr>
        <w:t xml:space="preserve"> distinct</w:t>
      </w:r>
      <w:r w:rsidR="00CB0BD7" w:rsidRPr="00CB0BD7">
        <w:rPr>
          <w:rFonts w:eastAsia="Times New Roman" w:cs="Times New Roman"/>
          <w:bCs/>
          <w:kern w:val="36"/>
          <w:sz w:val="24"/>
          <w:szCs w:val="24"/>
          <w:lang w:eastAsia="en-GB"/>
        </w:rPr>
        <w:t xml:space="preserve"> ID versus control comparison (e.g. </w:t>
      </w:r>
      <w:r w:rsidR="00370022">
        <w:rPr>
          <w:rFonts w:eastAsia="Times New Roman" w:cs="Times New Roman"/>
          <w:bCs/>
          <w:kern w:val="36"/>
          <w:sz w:val="24"/>
          <w:szCs w:val="24"/>
          <w:lang w:eastAsia="en-GB"/>
        </w:rPr>
        <w:t xml:space="preserve">ID </w:t>
      </w:r>
      <w:r w:rsidR="00CB0BD7" w:rsidRPr="00CB0BD7">
        <w:rPr>
          <w:rFonts w:eastAsia="Times New Roman" w:cs="Times New Roman"/>
          <w:bCs/>
          <w:kern w:val="36"/>
          <w:sz w:val="24"/>
          <w:szCs w:val="24"/>
          <w:lang w:eastAsia="en-GB"/>
        </w:rPr>
        <w:t xml:space="preserve">adults with Down syndrome vs. controls) and calculated </w:t>
      </w:r>
      <w:r w:rsidR="00592983">
        <w:rPr>
          <w:rFonts w:eastAsia="Times New Roman" w:cs="Times New Roman"/>
          <w:bCs/>
          <w:kern w:val="36"/>
          <w:sz w:val="24"/>
          <w:szCs w:val="24"/>
          <w:lang w:eastAsia="en-GB"/>
        </w:rPr>
        <w:t>p-v</w:t>
      </w:r>
      <w:r w:rsidR="00CB0BD7" w:rsidRPr="00CB0BD7">
        <w:rPr>
          <w:rFonts w:eastAsia="Times New Roman" w:cs="Times New Roman"/>
          <w:bCs/>
          <w:kern w:val="36"/>
          <w:sz w:val="24"/>
          <w:szCs w:val="24"/>
          <w:lang w:eastAsia="en-GB"/>
        </w:rPr>
        <w:t>alues for between-group differences</w:t>
      </w:r>
      <w:r w:rsidR="00D30848" w:rsidRPr="00D30848">
        <w:rPr>
          <w:rFonts w:eastAsia="Times New Roman" w:cs="Times New Roman"/>
          <w:bCs/>
          <w:kern w:val="36"/>
          <w:sz w:val="24"/>
          <w:szCs w:val="24"/>
          <w:lang w:eastAsia="en-GB"/>
        </w:rPr>
        <w:t>.</w:t>
      </w:r>
      <w:r w:rsidR="00370022">
        <w:rPr>
          <w:rFonts w:eastAsia="Times New Roman" w:cs="Times New Roman"/>
          <w:bCs/>
          <w:kern w:val="36"/>
          <w:sz w:val="24"/>
          <w:szCs w:val="24"/>
          <w:lang w:eastAsia="en-GB"/>
        </w:rPr>
        <w:t xml:space="preserve"> An alternative approach based on directly comparing ID adults (e.g. Down vs non-Down syndrome) produced identical conclusions (data not shown). </w:t>
      </w:r>
      <w:r w:rsidR="001C354C" w:rsidRPr="00D30848">
        <w:rPr>
          <w:sz w:val="24"/>
          <w:szCs w:val="24"/>
        </w:rPr>
        <w:t xml:space="preserve"> </w:t>
      </w:r>
    </w:p>
    <w:p w14:paraId="4F0C754C" w14:textId="77777777" w:rsidR="00E937FE" w:rsidRDefault="00E937FE" w:rsidP="001D1600">
      <w:pPr>
        <w:spacing w:after="0" w:line="480" w:lineRule="auto"/>
        <w:rPr>
          <w:b/>
          <w:sz w:val="24"/>
          <w:szCs w:val="24"/>
        </w:rPr>
      </w:pPr>
    </w:p>
    <w:p w14:paraId="2BFCD2FB" w14:textId="77777777" w:rsidR="00386926" w:rsidRPr="004C60CD" w:rsidRDefault="00386926" w:rsidP="001D1600">
      <w:pPr>
        <w:spacing w:after="0" w:line="480" w:lineRule="auto"/>
        <w:jc w:val="both"/>
        <w:rPr>
          <w:b/>
          <w:sz w:val="24"/>
          <w:szCs w:val="24"/>
        </w:rPr>
      </w:pPr>
      <w:r w:rsidRPr="004C60CD">
        <w:rPr>
          <w:b/>
          <w:sz w:val="24"/>
          <w:szCs w:val="24"/>
        </w:rPr>
        <w:t>Results</w:t>
      </w:r>
    </w:p>
    <w:p w14:paraId="1D36B004" w14:textId="77777777" w:rsidR="00B65E86" w:rsidRDefault="00B65E86" w:rsidP="001D1600">
      <w:pPr>
        <w:spacing w:after="0" w:line="480" w:lineRule="auto"/>
        <w:jc w:val="both"/>
        <w:rPr>
          <w:i/>
          <w:sz w:val="24"/>
          <w:szCs w:val="24"/>
        </w:rPr>
      </w:pPr>
    </w:p>
    <w:p w14:paraId="560B5235" w14:textId="77777777" w:rsidR="00E07F7F" w:rsidRPr="000C29FB" w:rsidRDefault="00E07F7F" w:rsidP="001D1600">
      <w:pPr>
        <w:spacing w:after="0" w:line="480" w:lineRule="auto"/>
        <w:jc w:val="both"/>
        <w:rPr>
          <w:i/>
          <w:sz w:val="24"/>
          <w:szCs w:val="24"/>
        </w:rPr>
      </w:pPr>
      <w:r w:rsidRPr="000C29FB">
        <w:rPr>
          <w:i/>
          <w:sz w:val="24"/>
          <w:szCs w:val="24"/>
        </w:rPr>
        <w:t>Emergency admissions</w:t>
      </w:r>
    </w:p>
    <w:p w14:paraId="342C9D80" w14:textId="1AF0030A" w:rsidR="001B4485" w:rsidRDefault="00C90456" w:rsidP="001D1600">
      <w:pPr>
        <w:spacing w:after="0" w:line="480" w:lineRule="auto"/>
        <w:jc w:val="both"/>
        <w:rPr>
          <w:sz w:val="24"/>
          <w:szCs w:val="24"/>
        </w:rPr>
      </w:pPr>
      <w:r w:rsidRPr="00AC6A23">
        <w:rPr>
          <w:sz w:val="24"/>
          <w:szCs w:val="24"/>
        </w:rPr>
        <w:t>O</w:t>
      </w:r>
      <w:r w:rsidR="009D6837" w:rsidRPr="00AC6A23">
        <w:rPr>
          <w:sz w:val="24"/>
          <w:szCs w:val="24"/>
        </w:rPr>
        <w:t>f the 16,666 adults with ID (mean age 39.9, 41.3% male)</w:t>
      </w:r>
      <w:r w:rsidR="00D9627D">
        <w:rPr>
          <w:sz w:val="24"/>
          <w:szCs w:val="24"/>
        </w:rPr>
        <w:t>,</w:t>
      </w:r>
      <w:r w:rsidR="009D6837" w:rsidRPr="00AC6A23">
        <w:rPr>
          <w:sz w:val="24"/>
          <w:szCs w:val="24"/>
        </w:rPr>
        <w:t xml:space="preserve"> 3,847 (23.1%) </w:t>
      </w:r>
      <w:r w:rsidR="00D537CD">
        <w:rPr>
          <w:sz w:val="24"/>
          <w:szCs w:val="24"/>
        </w:rPr>
        <w:t>had an emergency admission</w:t>
      </w:r>
      <w:r w:rsidR="00D13396">
        <w:rPr>
          <w:sz w:val="24"/>
          <w:szCs w:val="24"/>
        </w:rPr>
        <w:t xml:space="preserve"> during follow-up</w:t>
      </w:r>
      <w:r w:rsidR="00FA728F" w:rsidRPr="00AC6A23">
        <w:rPr>
          <w:sz w:val="24"/>
          <w:szCs w:val="24"/>
        </w:rPr>
        <w:t>, with 1,809 (10.9%) having multiple admissions. This contra</w:t>
      </w:r>
      <w:r w:rsidR="00D537CD">
        <w:rPr>
          <w:sz w:val="24"/>
          <w:szCs w:val="24"/>
        </w:rPr>
        <w:t>sts with the age-sex-practice</w:t>
      </w:r>
      <w:r w:rsidR="00FA728F" w:rsidRPr="00AC6A23">
        <w:rPr>
          <w:sz w:val="24"/>
          <w:szCs w:val="24"/>
        </w:rPr>
        <w:t xml:space="preserve"> matched controls</w:t>
      </w:r>
      <w:r w:rsidR="009956A1">
        <w:rPr>
          <w:sz w:val="24"/>
          <w:szCs w:val="24"/>
        </w:rPr>
        <w:t xml:space="preserve"> (n=113,562)</w:t>
      </w:r>
      <w:r w:rsidR="00FA728F" w:rsidRPr="00AC6A23">
        <w:rPr>
          <w:sz w:val="24"/>
          <w:szCs w:val="24"/>
        </w:rPr>
        <w:t xml:space="preserve"> </w:t>
      </w:r>
      <w:r w:rsidR="00802823" w:rsidRPr="00AC6A23">
        <w:rPr>
          <w:sz w:val="24"/>
          <w:szCs w:val="24"/>
        </w:rPr>
        <w:t>of whom</w:t>
      </w:r>
      <w:r w:rsidR="00FA728F" w:rsidRPr="00AC6A23">
        <w:rPr>
          <w:sz w:val="24"/>
          <w:szCs w:val="24"/>
        </w:rPr>
        <w:t xml:space="preserve"> </w:t>
      </w:r>
      <w:r w:rsidR="00802823" w:rsidRPr="00AC6A23">
        <w:rPr>
          <w:sz w:val="24"/>
          <w:szCs w:val="24"/>
        </w:rPr>
        <w:t>11.9% ha</w:t>
      </w:r>
      <w:r w:rsidR="007549B6">
        <w:rPr>
          <w:sz w:val="24"/>
          <w:szCs w:val="24"/>
        </w:rPr>
        <w:t>d</w:t>
      </w:r>
      <w:r w:rsidR="00FA728F" w:rsidRPr="00AC6A23">
        <w:rPr>
          <w:sz w:val="24"/>
          <w:szCs w:val="24"/>
        </w:rPr>
        <w:t xml:space="preserve"> </w:t>
      </w:r>
      <w:r w:rsidR="00D9627D">
        <w:rPr>
          <w:rFonts w:cstheme="minorHAnsi"/>
          <w:sz w:val="24"/>
          <w:szCs w:val="24"/>
        </w:rPr>
        <w:t>≥</w:t>
      </w:r>
      <w:r w:rsidR="00D9627D">
        <w:rPr>
          <w:sz w:val="24"/>
          <w:szCs w:val="24"/>
        </w:rPr>
        <w:t>1</w:t>
      </w:r>
      <w:r w:rsidR="00FA728F" w:rsidRPr="00AC6A23">
        <w:rPr>
          <w:sz w:val="24"/>
          <w:szCs w:val="24"/>
        </w:rPr>
        <w:t xml:space="preserve"> emergency h</w:t>
      </w:r>
      <w:r w:rsidR="00D537CD">
        <w:rPr>
          <w:sz w:val="24"/>
          <w:szCs w:val="24"/>
        </w:rPr>
        <w:t>ospitalisation and 3.8% had</w:t>
      </w:r>
      <w:r w:rsidR="00A3637C" w:rsidRPr="00A3637C">
        <w:rPr>
          <w:sz w:val="24"/>
          <w:szCs w:val="24"/>
        </w:rPr>
        <w:t xml:space="preserve"> multiple admissions. </w:t>
      </w:r>
      <w:r w:rsidR="00D13396" w:rsidRPr="00A3637C">
        <w:rPr>
          <w:sz w:val="24"/>
          <w:szCs w:val="24"/>
        </w:rPr>
        <w:t xml:space="preserve">Of the 3,847 adults with ID </w:t>
      </w:r>
      <w:r w:rsidR="00D537CD">
        <w:rPr>
          <w:sz w:val="24"/>
          <w:szCs w:val="24"/>
        </w:rPr>
        <w:t>admitted to hospital</w:t>
      </w:r>
      <w:r w:rsidR="00D13396" w:rsidRPr="00A3637C">
        <w:rPr>
          <w:sz w:val="24"/>
          <w:szCs w:val="24"/>
        </w:rPr>
        <w:t xml:space="preserve">, only </w:t>
      </w:r>
      <w:r w:rsidR="00A3637C" w:rsidRPr="00A3637C">
        <w:rPr>
          <w:sz w:val="24"/>
          <w:szCs w:val="24"/>
        </w:rPr>
        <w:t>2,525</w:t>
      </w:r>
      <w:r w:rsidR="00D13396" w:rsidRPr="00A3637C">
        <w:rPr>
          <w:sz w:val="24"/>
          <w:szCs w:val="24"/>
        </w:rPr>
        <w:t xml:space="preserve"> (</w:t>
      </w:r>
      <w:r w:rsidR="00A3637C" w:rsidRPr="00A3637C">
        <w:rPr>
          <w:sz w:val="24"/>
          <w:szCs w:val="24"/>
        </w:rPr>
        <w:t>66</w:t>
      </w:r>
      <w:r w:rsidR="00D13396" w:rsidRPr="00A3637C">
        <w:rPr>
          <w:sz w:val="24"/>
          <w:szCs w:val="24"/>
        </w:rPr>
        <w:t xml:space="preserve">%) had ID recorded </w:t>
      </w:r>
      <w:r w:rsidR="00A3637C">
        <w:rPr>
          <w:sz w:val="24"/>
          <w:szCs w:val="24"/>
        </w:rPr>
        <w:t>i</w:t>
      </w:r>
      <w:r w:rsidR="00D537CD">
        <w:rPr>
          <w:sz w:val="24"/>
          <w:szCs w:val="24"/>
        </w:rPr>
        <w:t>n their hospital</w:t>
      </w:r>
      <w:r w:rsidR="00A3637C">
        <w:rPr>
          <w:sz w:val="24"/>
          <w:szCs w:val="24"/>
        </w:rPr>
        <w:t xml:space="preserve"> </w:t>
      </w:r>
      <w:r w:rsidR="00D537CD">
        <w:rPr>
          <w:sz w:val="24"/>
          <w:szCs w:val="24"/>
        </w:rPr>
        <w:t>data</w:t>
      </w:r>
      <w:r w:rsidR="00D13396" w:rsidRPr="00A3637C">
        <w:rPr>
          <w:sz w:val="24"/>
          <w:szCs w:val="24"/>
        </w:rPr>
        <w:t>.</w:t>
      </w:r>
    </w:p>
    <w:p w14:paraId="11DB626E" w14:textId="77777777" w:rsidR="00D13396" w:rsidRDefault="00D13396" w:rsidP="001D1600">
      <w:pPr>
        <w:spacing w:after="0" w:line="480" w:lineRule="auto"/>
        <w:jc w:val="both"/>
        <w:rPr>
          <w:sz w:val="24"/>
          <w:szCs w:val="24"/>
        </w:rPr>
      </w:pPr>
    </w:p>
    <w:p w14:paraId="5D39388C" w14:textId="297E5B12" w:rsidR="00277314" w:rsidRDefault="00277314" w:rsidP="001D1600">
      <w:pPr>
        <w:spacing w:after="0" w:line="480" w:lineRule="auto"/>
        <w:jc w:val="both"/>
        <w:rPr>
          <w:sz w:val="24"/>
          <w:szCs w:val="24"/>
        </w:rPr>
      </w:pPr>
      <w:r w:rsidRPr="000C29FB">
        <w:rPr>
          <w:sz w:val="24"/>
          <w:szCs w:val="24"/>
        </w:rPr>
        <w:t xml:space="preserve">The overall </w:t>
      </w:r>
      <w:r w:rsidR="00D9627D">
        <w:rPr>
          <w:sz w:val="24"/>
          <w:szCs w:val="24"/>
        </w:rPr>
        <w:t xml:space="preserve">annual </w:t>
      </w:r>
      <w:r w:rsidRPr="000C29FB">
        <w:rPr>
          <w:sz w:val="24"/>
          <w:szCs w:val="24"/>
        </w:rPr>
        <w:t>rate for emergency hospitalisations</w:t>
      </w:r>
      <w:r w:rsidR="00623EAF">
        <w:rPr>
          <w:sz w:val="24"/>
          <w:szCs w:val="24"/>
        </w:rPr>
        <w:t xml:space="preserve"> </w:t>
      </w:r>
      <w:r w:rsidR="0006617A">
        <w:rPr>
          <w:sz w:val="24"/>
          <w:szCs w:val="24"/>
        </w:rPr>
        <w:t xml:space="preserve">in adults with ID </w:t>
      </w:r>
      <w:r w:rsidR="00623EAF">
        <w:rPr>
          <w:sz w:val="24"/>
          <w:szCs w:val="24"/>
        </w:rPr>
        <w:t>was 182</w:t>
      </w:r>
      <w:r w:rsidRPr="000C29FB">
        <w:rPr>
          <w:sz w:val="24"/>
          <w:szCs w:val="24"/>
        </w:rPr>
        <w:t xml:space="preserve"> per 1,000 </w:t>
      </w:r>
      <w:r w:rsidR="00D9627D">
        <w:rPr>
          <w:sz w:val="24"/>
          <w:szCs w:val="24"/>
        </w:rPr>
        <w:t>adults,</w:t>
      </w:r>
      <w:r w:rsidRPr="000C29FB">
        <w:rPr>
          <w:sz w:val="24"/>
          <w:szCs w:val="24"/>
        </w:rPr>
        <w:t xml:space="preserve"> </w:t>
      </w:r>
      <w:r w:rsidR="00623EAF">
        <w:rPr>
          <w:sz w:val="24"/>
          <w:szCs w:val="24"/>
        </w:rPr>
        <w:t>represent</w:t>
      </w:r>
      <w:r w:rsidR="004F79B7">
        <w:rPr>
          <w:sz w:val="24"/>
          <w:szCs w:val="24"/>
        </w:rPr>
        <w:t>ing</w:t>
      </w:r>
      <w:r w:rsidR="00623EAF">
        <w:rPr>
          <w:sz w:val="24"/>
          <w:szCs w:val="24"/>
        </w:rPr>
        <w:t xml:space="preserve"> </w:t>
      </w:r>
      <w:r>
        <w:rPr>
          <w:sz w:val="24"/>
          <w:szCs w:val="24"/>
        </w:rPr>
        <w:t>a nearly three</w:t>
      </w:r>
      <w:r w:rsidR="00623EAF">
        <w:rPr>
          <w:sz w:val="24"/>
          <w:szCs w:val="24"/>
        </w:rPr>
        <w:t xml:space="preserve"> times</w:t>
      </w:r>
      <w:r w:rsidRPr="004C60CD">
        <w:rPr>
          <w:sz w:val="24"/>
          <w:szCs w:val="24"/>
        </w:rPr>
        <w:t xml:space="preserve"> increase (</w:t>
      </w:r>
      <w:r w:rsidR="00C66470">
        <w:rPr>
          <w:sz w:val="24"/>
          <w:szCs w:val="24"/>
        </w:rPr>
        <w:t xml:space="preserve">IRR=2.82, 95%CI: 2.66-2.98) </w:t>
      </w:r>
      <w:r w:rsidRPr="004C60CD">
        <w:rPr>
          <w:sz w:val="24"/>
          <w:szCs w:val="24"/>
        </w:rPr>
        <w:t xml:space="preserve">compared to their </w:t>
      </w:r>
      <w:r w:rsidR="00623EAF">
        <w:rPr>
          <w:sz w:val="24"/>
          <w:szCs w:val="24"/>
        </w:rPr>
        <w:t xml:space="preserve">matched </w:t>
      </w:r>
      <w:r w:rsidRPr="004C60CD">
        <w:rPr>
          <w:sz w:val="24"/>
          <w:szCs w:val="24"/>
        </w:rPr>
        <w:t>controls</w:t>
      </w:r>
      <w:r>
        <w:rPr>
          <w:sz w:val="24"/>
          <w:szCs w:val="24"/>
        </w:rPr>
        <w:t xml:space="preserve"> (Table 1).</w:t>
      </w:r>
      <w:r w:rsidRPr="004C60CD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Pr="004C60CD">
        <w:rPr>
          <w:sz w:val="24"/>
          <w:szCs w:val="24"/>
        </w:rPr>
        <w:t xml:space="preserve">his remains </w:t>
      </w:r>
      <w:r>
        <w:rPr>
          <w:sz w:val="24"/>
          <w:szCs w:val="24"/>
        </w:rPr>
        <w:t>more than double (HR=2.16, 95%</w:t>
      </w:r>
      <w:r w:rsidR="00DA2A42">
        <w:rPr>
          <w:sz w:val="24"/>
          <w:szCs w:val="24"/>
        </w:rPr>
        <w:t>CI:</w:t>
      </w:r>
      <w:r>
        <w:rPr>
          <w:sz w:val="24"/>
          <w:szCs w:val="24"/>
        </w:rPr>
        <w:t xml:space="preserve"> 2.02-2.30)</w:t>
      </w:r>
      <w:r w:rsidRPr="004C60CD">
        <w:rPr>
          <w:sz w:val="24"/>
          <w:szCs w:val="24"/>
        </w:rPr>
        <w:t xml:space="preserve"> when adjust</w:t>
      </w:r>
      <w:r w:rsidR="004F79B7">
        <w:rPr>
          <w:sz w:val="24"/>
          <w:szCs w:val="24"/>
        </w:rPr>
        <w:t>ed</w:t>
      </w:r>
      <w:r w:rsidRPr="004C60CD">
        <w:rPr>
          <w:sz w:val="24"/>
          <w:szCs w:val="24"/>
        </w:rPr>
        <w:t xml:space="preserve"> for </w:t>
      </w:r>
      <w:r w:rsidR="00F66065">
        <w:rPr>
          <w:sz w:val="24"/>
          <w:szCs w:val="24"/>
        </w:rPr>
        <w:t>comorbidities</w:t>
      </w:r>
      <w:r>
        <w:rPr>
          <w:sz w:val="24"/>
          <w:szCs w:val="24"/>
        </w:rPr>
        <w:t>, smoking and deprivation</w:t>
      </w:r>
      <w:r w:rsidRPr="004C60CD">
        <w:rPr>
          <w:sz w:val="24"/>
          <w:szCs w:val="24"/>
        </w:rPr>
        <w:t xml:space="preserve">. </w:t>
      </w:r>
      <w:r w:rsidR="00D46670">
        <w:rPr>
          <w:sz w:val="24"/>
          <w:szCs w:val="24"/>
        </w:rPr>
        <w:t xml:space="preserve">There was no effect modification by </w:t>
      </w:r>
      <w:r w:rsidR="00AC3E5C">
        <w:rPr>
          <w:sz w:val="24"/>
          <w:szCs w:val="24"/>
        </w:rPr>
        <w:t>sex</w:t>
      </w:r>
      <w:r w:rsidR="00D46670">
        <w:rPr>
          <w:sz w:val="24"/>
          <w:szCs w:val="24"/>
        </w:rPr>
        <w:t>: while a</w:t>
      </w:r>
      <w:r>
        <w:rPr>
          <w:sz w:val="24"/>
          <w:szCs w:val="24"/>
        </w:rPr>
        <w:t>dmission rates were higher for women with ID than men (204 vs. 167 per 1,000 adults</w:t>
      </w:r>
      <w:r w:rsidR="00D9627D">
        <w:rPr>
          <w:sz w:val="24"/>
          <w:szCs w:val="24"/>
        </w:rPr>
        <w:t>/</w:t>
      </w:r>
      <w:r>
        <w:rPr>
          <w:sz w:val="24"/>
          <w:szCs w:val="24"/>
        </w:rPr>
        <w:t xml:space="preserve">year), there was no difference </w:t>
      </w:r>
      <w:r w:rsidR="00C72416">
        <w:rPr>
          <w:sz w:val="24"/>
          <w:szCs w:val="24"/>
        </w:rPr>
        <w:t>(p=0.36)</w:t>
      </w:r>
      <w:r>
        <w:rPr>
          <w:sz w:val="24"/>
          <w:szCs w:val="24"/>
        </w:rPr>
        <w:t xml:space="preserve"> relative to </w:t>
      </w:r>
      <w:r w:rsidR="00D46670">
        <w:rPr>
          <w:sz w:val="24"/>
          <w:szCs w:val="24"/>
        </w:rPr>
        <w:t>matched</w:t>
      </w:r>
      <w:r>
        <w:rPr>
          <w:sz w:val="24"/>
          <w:szCs w:val="24"/>
        </w:rPr>
        <w:t>controls. The disparity for admissions between adults with ID and controls was more marked for older adults (</w:t>
      </w:r>
      <w:r w:rsidR="00A3637C">
        <w:rPr>
          <w:sz w:val="24"/>
          <w:szCs w:val="24"/>
        </w:rPr>
        <w:t>≥</w:t>
      </w:r>
      <w:r w:rsidR="00C72416">
        <w:rPr>
          <w:sz w:val="24"/>
          <w:szCs w:val="24"/>
        </w:rPr>
        <w:t>35 years</w:t>
      </w:r>
      <w:r>
        <w:rPr>
          <w:sz w:val="24"/>
          <w:szCs w:val="24"/>
        </w:rPr>
        <w:t xml:space="preserve">). Higher </w:t>
      </w:r>
      <w:r w:rsidR="0044543A">
        <w:rPr>
          <w:sz w:val="24"/>
          <w:szCs w:val="24"/>
        </w:rPr>
        <w:t xml:space="preserve">admission </w:t>
      </w:r>
      <w:r>
        <w:rPr>
          <w:sz w:val="24"/>
          <w:szCs w:val="24"/>
        </w:rPr>
        <w:t xml:space="preserve">rates were seen in ID </w:t>
      </w:r>
      <w:r w:rsidR="0055273B">
        <w:rPr>
          <w:sz w:val="24"/>
          <w:szCs w:val="24"/>
        </w:rPr>
        <w:t>adults</w:t>
      </w:r>
      <w:r w:rsidR="009D6837">
        <w:rPr>
          <w:sz w:val="24"/>
          <w:szCs w:val="24"/>
        </w:rPr>
        <w:t xml:space="preserve"> </w:t>
      </w:r>
      <w:r>
        <w:rPr>
          <w:sz w:val="24"/>
          <w:szCs w:val="24"/>
        </w:rPr>
        <w:t>with high support needs (244 per 1,000 adults</w:t>
      </w:r>
      <w:r w:rsidR="00D9627D">
        <w:rPr>
          <w:sz w:val="24"/>
          <w:szCs w:val="24"/>
        </w:rPr>
        <w:t>/year</w:t>
      </w:r>
      <w:r>
        <w:rPr>
          <w:sz w:val="24"/>
          <w:szCs w:val="24"/>
        </w:rPr>
        <w:t xml:space="preserve">), with </w:t>
      </w:r>
      <w:r w:rsidR="007549B6">
        <w:rPr>
          <w:sz w:val="24"/>
          <w:szCs w:val="24"/>
        </w:rPr>
        <w:t>the increased</w:t>
      </w:r>
      <w:r>
        <w:rPr>
          <w:sz w:val="24"/>
          <w:szCs w:val="24"/>
        </w:rPr>
        <w:t xml:space="preserve"> admission rate versus controls being higher than </w:t>
      </w:r>
      <w:r w:rsidR="00C66470">
        <w:rPr>
          <w:sz w:val="24"/>
          <w:szCs w:val="24"/>
        </w:rPr>
        <w:t>for</w:t>
      </w:r>
      <w:r w:rsidR="0055273B">
        <w:rPr>
          <w:sz w:val="24"/>
          <w:szCs w:val="24"/>
        </w:rPr>
        <w:t xml:space="preserve"> ID adults</w:t>
      </w:r>
      <w:r w:rsidR="009D6837">
        <w:rPr>
          <w:sz w:val="24"/>
          <w:szCs w:val="24"/>
        </w:rPr>
        <w:t xml:space="preserve"> </w:t>
      </w:r>
      <w:r>
        <w:rPr>
          <w:sz w:val="24"/>
          <w:szCs w:val="24"/>
        </w:rPr>
        <w:t>without high support needs</w:t>
      </w:r>
      <w:r w:rsidR="00A3637C">
        <w:rPr>
          <w:sz w:val="24"/>
          <w:szCs w:val="24"/>
        </w:rPr>
        <w:t xml:space="preserve"> (P&lt;0.001)</w:t>
      </w:r>
      <w:r>
        <w:rPr>
          <w:sz w:val="24"/>
          <w:szCs w:val="24"/>
        </w:rPr>
        <w:t>.</w:t>
      </w:r>
      <w:r w:rsidR="0014325E">
        <w:rPr>
          <w:sz w:val="24"/>
          <w:szCs w:val="24"/>
        </w:rPr>
        <w:t xml:space="preserve"> Rates of admission did not significantly vary by </w:t>
      </w:r>
      <w:r w:rsidR="004F79B7">
        <w:rPr>
          <w:sz w:val="24"/>
          <w:szCs w:val="24"/>
        </w:rPr>
        <w:t xml:space="preserve">communal accommodation </w:t>
      </w:r>
      <w:r w:rsidR="0014325E">
        <w:rPr>
          <w:sz w:val="24"/>
          <w:szCs w:val="24"/>
        </w:rPr>
        <w:t>or by Down syndrome.</w:t>
      </w:r>
    </w:p>
    <w:p w14:paraId="225292B1" w14:textId="77777777" w:rsidR="00E07F7F" w:rsidRPr="004C60CD" w:rsidRDefault="00E07F7F" w:rsidP="001D1600">
      <w:pPr>
        <w:spacing w:after="0" w:line="480" w:lineRule="auto"/>
        <w:jc w:val="both"/>
        <w:rPr>
          <w:sz w:val="24"/>
          <w:szCs w:val="24"/>
          <w:u w:val="single"/>
        </w:rPr>
      </w:pPr>
    </w:p>
    <w:p w14:paraId="54D255D5" w14:textId="17354CFF" w:rsidR="00386926" w:rsidRPr="004C60CD" w:rsidRDefault="003618E1" w:rsidP="001D1600">
      <w:pPr>
        <w:spacing w:after="0" w:line="48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Potentially </w:t>
      </w:r>
      <w:r w:rsidR="00A3637C">
        <w:rPr>
          <w:i/>
          <w:sz w:val="24"/>
          <w:szCs w:val="24"/>
        </w:rPr>
        <w:t>preventa</w:t>
      </w:r>
      <w:r>
        <w:rPr>
          <w:i/>
          <w:sz w:val="24"/>
          <w:szCs w:val="24"/>
        </w:rPr>
        <w:t>ble admissions</w:t>
      </w:r>
      <w:r w:rsidR="007B0482">
        <w:rPr>
          <w:i/>
          <w:sz w:val="24"/>
          <w:szCs w:val="24"/>
        </w:rPr>
        <w:t xml:space="preserve"> </w:t>
      </w:r>
    </w:p>
    <w:p w14:paraId="7B54056F" w14:textId="1DE37262" w:rsidR="007549B6" w:rsidRDefault="0055273B" w:rsidP="001D1600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Figure 1 summarises</w:t>
      </w:r>
      <w:r w:rsidR="00247E10">
        <w:rPr>
          <w:sz w:val="24"/>
          <w:szCs w:val="24"/>
        </w:rPr>
        <w:t>, by age,</w:t>
      </w:r>
      <w:r w:rsidR="00542238">
        <w:rPr>
          <w:sz w:val="24"/>
          <w:szCs w:val="24"/>
        </w:rPr>
        <w:t xml:space="preserve"> rates for</w:t>
      </w:r>
      <w:r>
        <w:rPr>
          <w:sz w:val="24"/>
          <w:szCs w:val="24"/>
        </w:rPr>
        <w:t xml:space="preserve"> </w:t>
      </w:r>
      <w:r w:rsidR="00542238">
        <w:rPr>
          <w:sz w:val="24"/>
          <w:szCs w:val="24"/>
        </w:rPr>
        <w:t xml:space="preserve">all emergency admissions, and </w:t>
      </w:r>
      <w:r w:rsidR="00DE2B96">
        <w:rPr>
          <w:sz w:val="24"/>
          <w:szCs w:val="24"/>
        </w:rPr>
        <w:t>those</w:t>
      </w:r>
      <w:r w:rsidR="00D86192">
        <w:rPr>
          <w:sz w:val="24"/>
          <w:szCs w:val="24"/>
        </w:rPr>
        <w:t xml:space="preserve"> for ACSC</w:t>
      </w:r>
      <w:r w:rsidR="00542238">
        <w:rPr>
          <w:sz w:val="24"/>
          <w:szCs w:val="24"/>
        </w:rPr>
        <w:t xml:space="preserve">s only. </w:t>
      </w:r>
      <w:r w:rsidR="00B52C16">
        <w:rPr>
          <w:sz w:val="24"/>
          <w:szCs w:val="24"/>
        </w:rPr>
        <w:t>Overall,</w:t>
      </w:r>
      <w:r w:rsidR="00B52C16" w:rsidRPr="00542238">
        <w:rPr>
          <w:sz w:val="24"/>
          <w:szCs w:val="24"/>
        </w:rPr>
        <w:t xml:space="preserve"> </w:t>
      </w:r>
      <w:r w:rsidR="00B52C16">
        <w:rPr>
          <w:sz w:val="24"/>
          <w:szCs w:val="24"/>
        </w:rPr>
        <w:t>a</w:t>
      </w:r>
      <w:r w:rsidR="00B52C16" w:rsidRPr="00135D4B">
        <w:rPr>
          <w:sz w:val="24"/>
          <w:szCs w:val="24"/>
        </w:rPr>
        <w:t>dmissions</w:t>
      </w:r>
      <w:r w:rsidR="00D86192">
        <w:rPr>
          <w:sz w:val="24"/>
          <w:szCs w:val="24"/>
        </w:rPr>
        <w:t xml:space="preserve"> for ACSC</w:t>
      </w:r>
      <w:r w:rsidR="00B52C16">
        <w:rPr>
          <w:sz w:val="24"/>
          <w:szCs w:val="24"/>
        </w:rPr>
        <w:t>s</w:t>
      </w:r>
      <w:r w:rsidR="00B52C16" w:rsidRPr="00135D4B">
        <w:rPr>
          <w:sz w:val="24"/>
          <w:szCs w:val="24"/>
        </w:rPr>
        <w:t xml:space="preserve"> </w:t>
      </w:r>
      <w:r w:rsidR="00B52C16">
        <w:rPr>
          <w:sz w:val="24"/>
          <w:szCs w:val="24"/>
        </w:rPr>
        <w:t xml:space="preserve">for adults with ID </w:t>
      </w:r>
      <w:r w:rsidR="00B52C16" w:rsidRPr="00AA028C">
        <w:rPr>
          <w:sz w:val="24"/>
          <w:szCs w:val="24"/>
        </w:rPr>
        <w:t>accounted for 33.7% of emergency admissions</w:t>
      </w:r>
      <w:r w:rsidR="00B52C16">
        <w:rPr>
          <w:sz w:val="24"/>
          <w:szCs w:val="24"/>
        </w:rPr>
        <w:t xml:space="preserve"> which remained constant across age groups. For adults without ID</w:t>
      </w:r>
      <w:r w:rsidR="00A3637C">
        <w:rPr>
          <w:sz w:val="24"/>
          <w:szCs w:val="24"/>
        </w:rPr>
        <w:t>,</w:t>
      </w:r>
      <w:r w:rsidR="00B52C16">
        <w:rPr>
          <w:sz w:val="24"/>
          <w:szCs w:val="24"/>
        </w:rPr>
        <w:t xml:space="preserve"> </w:t>
      </w:r>
      <w:r w:rsidR="00B52C16" w:rsidRPr="00AA028C">
        <w:rPr>
          <w:sz w:val="24"/>
          <w:szCs w:val="24"/>
        </w:rPr>
        <w:t>17.3%</w:t>
      </w:r>
      <w:r w:rsidR="00B52C16">
        <w:rPr>
          <w:sz w:val="24"/>
          <w:szCs w:val="24"/>
        </w:rPr>
        <w:t xml:space="preserve"> of em</w:t>
      </w:r>
      <w:r w:rsidR="00D86192">
        <w:rPr>
          <w:sz w:val="24"/>
          <w:szCs w:val="24"/>
        </w:rPr>
        <w:t>ergency admissions were for ACSC</w:t>
      </w:r>
      <w:r w:rsidR="00B52C16">
        <w:rPr>
          <w:sz w:val="24"/>
          <w:szCs w:val="24"/>
        </w:rPr>
        <w:t>s, however this proportion</w:t>
      </w:r>
      <w:r w:rsidR="0006617A">
        <w:rPr>
          <w:sz w:val="24"/>
          <w:szCs w:val="24"/>
        </w:rPr>
        <w:t xml:space="preserve"> increased from 12% in the youngest to 24% in the oldest age-group</w:t>
      </w:r>
      <w:r w:rsidR="007549B6">
        <w:rPr>
          <w:sz w:val="24"/>
          <w:szCs w:val="24"/>
        </w:rPr>
        <w:t>.</w:t>
      </w:r>
    </w:p>
    <w:p w14:paraId="6A01BCCF" w14:textId="77777777" w:rsidR="00FB7DE1" w:rsidRDefault="00FB7DE1" w:rsidP="001D1600">
      <w:pPr>
        <w:spacing w:after="0" w:line="480" w:lineRule="auto"/>
        <w:jc w:val="both"/>
        <w:rPr>
          <w:sz w:val="24"/>
          <w:szCs w:val="24"/>
        </w:rPr>
      </w:pPr>
    </w:p>
    <w:p w14:paraId="654CC6FD" w14:textId="34CC14CF" w:rsidR="0055273B" w:rsidRDefault="00277314" w:rsidP="001D1600">
      <w:pPr>
        <w:spacing w:after="0" w:line="480" w:lineRule="auto"/>
        <w:jc w:val="both"/>
        <w:rPr>
          <w:sz w:val="24"/>
          <w:szCs w:val="24"/>
        </w:rPr>
      </w:pPr>
      <w:r w:rsidRPr="000C29FB">
        <w:rPr>
          <w:sz w:val="24"/>
          <w:szCs w:val="24"/>
        </w:rPr>
        <w:t xml:space="preserve">Emergency </w:t>
      </w:r>
      <w:r w:rsidR="00D86192">
        <w:rPr>
          <w:sz w:val="24"/>
          <w:szCs w:val="24"/>
        </w:rPr>
        <w:t>admissions for ACSC</w:t>
      </w:r>
      <w:r>
        <w:rPr>
          <w:sz w:val="24"/>
          <w:szCs w:val="24"/>
        </w:rPr>
        <w:t xml:space="preserve">s are summarised in Table 2. The overall </w:t>
      </w:r>
      <w:r w:rsidR="00977A47">
        <w:rPr>
          <w:sz w:val="24"/>
          <w:szCs w:val="24"/>
        </w:rPr>
        <w:t>rate for adults with ID was 61.3</w:t>
      </w:r>
      <w:r>
        <w:rPr>
          <w:sz w:val="24"/>
          <w:szCs w:val="24"/>
        </w:rPr>
        <w:t xml:space="preserve"> p</w:t>
      </w:r>
      <w:r w:rsidR="00977A47">
        <w:rPr>
          <w:sz w:val="24"/>
          <w:szCs w:val="24"/>
        </w:rPr>
        <w:t>er 1,000 adults compared to 11.7</w:t>
      </w:r>
      <w:r>
        <w:rPr>
          <w:sz w:val="24"/>
          <w:szCs w:val="24"/>
        </w:rPr>
        <w:t xml:space="preserve"> for the controls</w:t>
      </w:r>
      <w:r w:rsidRPr="00977A47">
        <w:rPr>
          <w:sz w:val="24"/>
          <w:szCs w:val="24"/>
        </w:rPr>
        <w:t xml:space="preserve"> (</w:t>
      </w:r>
      <w:r w:rsidR="00233E40" w:rsidRPr="00977A47">
        <w:rPr>
          <w:sz w:val="24"/>
          <w:szCs w:val="24"/>
        </w:rPr>
        <w:t>IRR=</w:t>
      </w:r>
      <w:r w:rsidR="00233E40">
        <w:rPr>
          <w:sz w:val="24"/>
          <w:szCs w:val="24"/>
        </w:rPr>
        <w:t>5.62</w:t>
      </w:r>
      <w:r w:rsidR="00233E40" w:rsidRPr="00977A47">
        <w:rPr>
          <w:sz w:val="24"/>
          <w:szCs w:val="24"/>
        </w:rPr>
        <w:t>, 95%CI: 5.14 – 6.13</w:t>
      </w:r>
      <w:r w:rsidRPr="00977A47">
        <w:rPr>
          <w:sz w:val="24"/>
          <w:szCs w:val="24"/>
        </w:rPr>
        <w:t xml:space="preserve">). </w:t>
      </w:r>
      <w:r w:rsidR="00D86192">
        <w:rPr>
          <w:sz w:val="24"/>
          <w:szCs w:val="24"/>
        </w:rPr>
        <w:t>The most common ACSC</w:t>
      </w:r>
      <w:r w:rsidR="0080072B">
        <w:rPr>
          <w:sz w:val="24"/>
          <w:szCs w:val="24"/>
        </w:rPr>
        <w:t xml:space="preserve">s </w:t>
      </w:r>
      <w:r w:rsidR="00F5730C">
        <w:rPr>
          <w:sz w:val="24"/>
          <w:szCs w:val="24"/>
        </w:rPr>
        <w:t>resulting in</w:t>
      </w:r>
      <w:r w:rsidR="0080072B">
        <w:rPr>
          <w:sz w:val="24"/>
          <w:szCs w:val="24"/>
        </w:rPr>
        <w:t xml:space="preserve"> admission for adults with ID were convulsions/epilepsy (</w:t>
      </w:r>
      <w:r w:rsidR="00FB7DE1">
        <w:rPr>
          <w:sz w:val="24"/>
          <w:szCs w:val="24"/>
        </w:rPr>
        <w:t>35.6%</w:t>
      </w:r>
      <w:r w:rsidR="0080072B">
        <w:rPr>
          <w:sz w:val="24"/>
          <w:szCs w:val="24"/>
        </w:rPr>
        <w:t xml:space="preserve">), </w:t>
      </w:r>
      <w:r w:rsidR="00FB7DE1">
        <w:rPr>
          <w:sz w:val="24"/>
          <w:szCs w:val="24"/>
        </w:rPr>
        <w:t>LRTI</w:t>
      </w:r>
      <w:r w:rsidR="0080072B">
        <w:rPr>
          <w:sz w:val="24"/>
          <w:szCs w:val="24"/>
        </w:rPr>
        <w:t xml:space="preserve"> (</w:t>
      </w:r>
      <w:r w:rsidR="00FB7DE1">
        <w:rPr>
          <w:sz w:val="24"/>
          <w:szCs w:val="24"/>
        </w:rPr>
        <w:t>18.6</w:t>
      </w:r>
      <w:r w:rsidR="0080072B">
        <w:rPr>
          <w:sz w:val="24"/>
          <w:szCs w:val="24"/>
        </w:rPr>
        <w:t>%) and UTI (</w:t>
      </w:r>
      <w:r w:rsidR="00FB7DE1">
        <w:rPr>
          <w:sz w:val="24"/>
          <w:szCs w:val="24"/>
        </w:rPr>
        <w:t>11.4</w:t>
      </w:r>
      <w:r w:rsidR="0080072B">
        <w:rPr>
          <w:sz w:val="24"/>
          <w:szCs w:val="24"/>
        </w:rPr>
        <w:t>%), with the biggest relative disp</w:t>
      </w:r>
      <w:r w:rsidR="00396559">
        <w:rPr>
          <w:sz w:val="24"/>
          <w:szCs w:val="24"/>
        </w:rPr>
        <w:t>arities with controls seen for a</w:t>
      </w:r>
      <w:r w:rsidR="0080072B">
        <w:rPr>
          <w:sz w:val="24"/>
          <w:szCs w:val="24"/>
        </w:rPr>
        <w:t>spiration (IRR=86) and convulsions/epilepsy (IRR=31).</w:t>
      </w:r>
      <w:r w:rsidR="003E2EC3">
        <w:rPr>
          <w:sz w:val="24"/>
          <w:szCs w:val="24"/>
        </w:rPr>
        <w:t xml:space="preserve"> </w:t>
      </w:r>
    </w:p>
    <w:p w14:paraId="2D20F791" w14:textId="77777777" w:rsidR="00FB7DE1" w:rsidRDefault="00FB7DE1" w:rsidP="001D1600">
      <w:pPr>
        <w:spacing w:after="0" w:line="480" w:lineRule="auto"/>
        <w:jc w:val="both"/>
        <w:rPr>
          <w:sz w:val="24"/>
          <w:szCs w:val="24"/>
        </w:rPr>
      </w:pPr>
    </w:p>
    <w:p w14:paraId="774F379E" w14:textId="787630FC" w:rsidR="00277314" w:rsidRDefault="00706920" w:rsidP="001D1600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D86192">
        <w:rPr>
          <w:sz w:val="24"/>
          <w:szCs w:val="24"/>
        </w:rPr>
        <w:t>mergency admissions for ACSC</w:t>
      </w:r>
      <w:r w:rsidR="00277314">
        <w:rPr>
          <w:sz w:val="24"/>
          <w:szCs w:val="24"/>
        </w:rPr>
        <w:t>s by subgroup, both unadjusted and adjusted</w:t>
      </w:r>
      <w:r w:rsidR="002B22AC">
        <w:rPr>
          <w:sz w:val="24"/>
          <w:szCs w:val="24"/>
        </w:rPr>
        <w:t>,</w:t>
      </w:r>
      <w:r w:rsidR="00277314">
        <w:rPr>
          <w:sz w:val="24"/>
          <w:szCs w:val="24"/>
        </w:rPr>
        <w:t xml:space="preserve"> </w:t>
      </w:r>
      <w:r w:rsidR="002B22AC">
        <w:rPr>
          <w:sz w:val="24"/>
          <w:szCs w:val="24"/>
        </w:rPr>
        <w:t>are</w:t>
      </w:r>
      <w:r w:rsidR="00277314">
        <w:rPr>
          <w:sz w:val="24"/>
          <w:szCs w:val="24"/>
        </w:rPr>
        <w:t xml:space="preserve"> shown in Table 3.</w:t>
      </w:r>
      <w:r w:rsidR="00E87CD3">
        <w:rPr>
          <w:sz w:val="24"/>
          <w:szCs w:val="24"/>
        </w:rPr>
        <w:t xml:space="preserve"> </w:t>
      </w:r>
      <w:r w:rsidR="00277314">
        <w:rPr>
          <w:sz w:val="24"/>
          <w:szCs w:val="24"/>
        </w:rPr>
        <w:t xml:space="preserve">Adults with ID were </w:t>
      </w:r>
      <w:r w:rsidR="00E87CD3">
        <w:rPr>
          <w:sz w:val="24"/>
          <w:szCs w:val="24"/>
        </w:rPr>
        <w:t xml:space="preserve">over </w:t>
      </w:r>
      <w:r w:rsidR="00277314">
        <w:rPr>
          <w:sz w:val="24"/>
          <w:szCs w:val="24"/>
        </w:rPr>
        <w:t>three times more likely to have an admission</w:t>
      </w:r>
      <w:r w:rsidR="00D86192">
        <w:rPr>
          <w:sz w:val="24"/>
          <w:szCs w:val="24"/>
        </w:rPr>
        <w:t xml:space="preserve"> for an ACSC </w:t>
      </w:r>
      <w:r w:rsidR="00E87CD3">
        <w:rPr>
          <w:sz w:val="24"/>
          <w:szCs w:val="24"/>
        </w:rPr>
        <w:t>even</w:t>
      </w:r>
      <w:r w:rsidR="005373EB">
        <w:rPr>
          <w:sz w:val="24"/>
          <w:szCs w:val="24"/>
        </w:rPr>
        <w:t xml:space="preserve"> </w:t>
      </w:r>
      <w:r w:rsidR="00000958">
        <w:rPr>
          <w:sz w:val="24"/>
          <w:szCs w:val="24"/>
        </w:rPr>
        <w:t>after</w:t>
      </w:r>
      <w:r w:rsidR="005373EB">
        <w:rPr>
          <w:sz w:val="24"/>
          <w:szCs w:val="24"/>
        </w:rPr>
        <w:t xml:space="preserve"> their higher co</w:t>
      </w:r>
      <w:r w:rsidR="00277314">
        <w:rPr>
          <w:sz w:val="24"/>
          <w:szCs w:val="24"/>
        </w:rPr>
        <w:t>morbidity was accounted for</w:t>
      </w:r>
      <w:r w:rsidR="00977A47">
        <w:rPr>
          <w:sz w:val="24"/>
          <w:szCs w:val="24"/>
        </w:rPr>
        <w:t xml:space="preserve"> (</w:t>
      </w:r>
      <w:r w:rsidR="00233E40">
        <w:rPr>
          <w:sz w:val="24"/>
          <w:szCs w:val="24"/>
        </w:rPr>
        <w:t>IRR=3.60, 95%CI: 3.25–3.99</w:t>
      </w:r>
      <w:r w:rsidR="00277314">
        <w:rPr>
          <w:sz w:val="24"/>
          <w:szCs w:val="24"/>
        </w:rPr>
        <w:t>).</w:t>
      </w:r>
      <w:r w:rsidR="00813CFA">
        <w:rPr>
          <w:sz w:val="24"/>
          <w:szCs w:val="24"/>
        </w:rPr>
        <w:t xml:space="preserve"> While the youngest group of ID adults (18-34 years) had admission rates over 7 times higher than controls, this effect modification was explained by adjustment for comorbidity. </w:t>
      </w:r>
      <w:r w:rsidR="00277314" w:rsidRPr="0014325E">
        <w:rPr>
          <w:sz w:val="24"/>
          <w:szCs w:val="24"/>
        </w:rPr>
        <w:t xml:space="preserve"> ID adults with high support needs were </w:t>
      </w:r>
      <w:r w:rsidR="003E2EC3" w:rsidRPr="0014325E">
        <w:rPr>
          <w:sz w:val="24"/>
          <w:szCs w:val="24"/>
        </w:rPr>
        <w:t xml:space="preserve">almost </w:t>
      </w:r>
      <w:r w:rsidR="00277314" w:rsidRPr="0014325E">
        <w:rPr>
          <w:sz w:val="24"/>
          <w:szCs w:val="24"/>
        </w:rPr>
        <w:t xml:space="preserve">12 times more likely to have an admission for </w:t>
      </w:r>
      <w:r w:rsidR="003E2EC3" w:rsidRPr="0014325E">
        <w:rPr>
          <w:sz w:val="24"/>
          <w:szCs w:val="24"/>
        </w:rPr>
        <w:t xml:space="preserve">an </w:t>
      </w:r>
      <w:r w:rsidR="00D86192" w:rsidRPr="0014325E">
        <w:rPr>
          <w:sz w:val="24"/>
          <w:szCs w:val="24"/>
        </w:rPr>
        <w:t xml:space="preserve">ACSC </w:t>
      </w:r>
      <w:r w:rsidR="00277314" w:rsidRPr="0014325E">
        <w:rPr>
          <w:sz w:val="24"/>
          <w:szCs w:val="24"/>
        </w:rPr>
        <w:t>than their controls (IRR=11.</w:t>
      </w:r>
      <w:r w:rsidR="00977A47" w:rsidRPr="0014325E">
        <w:rPr>
          <w:sz w:val="24"/>
          <w:szCs w:val="24"/>
        </w:rPr>
        <w:t>7</w:t>
      </w:r>
      <w:r w:rsidR="00277314" w:rsidRPr="0014325E">
        <w:rPr>
          <w:sz w:val="24"/>
          <w:szCs w:val="24"/>
        </w:rPr>
        <w:t>8, 95%CI</w:t>
      </w:r>
      <w:r w:rsidR="00CD7C15" w:rsidRPr="0014325E">
        <w:rPr>
          <w:sz w:val="24"/>
          <w:szCs w:val="24"/>
        </w:rPr>
        <w:t>:</w:t>
      </w:r>
      <w:r w:rsidR="00977A47" w:rsidRPr="0014325E">
        <w:rPr>
          <w:sz w:val="24"/>
          <w:szCs w:val="24"/>
        </w:rPr>
        <w:t xml:space="preserve"> 9.78-14.19</w:t>
      </w:r>
      <w:r w:rsidR="00277314" w:rsidRPr="0014325E">
        <w:rPr>
          <w:sz w:val="24"/>
          <w:szCs w:val="24"/>
        </w:rPr>
        <w:t>)</w:t>
      </w:r>
      <w:r w:rsidR="00813CFA">
        <w:rPr>
          <w:sz w:val="24"/>
          <w:szCs w:val="24"/>
        </w:rPr>
        <w:t xml:space="preserve"> after adjustment for comorbidity; which represented </w:t>
      </w:r>
      <w:r w:rsidR="00591188">
        <w:rPr>
          <w:sz w:val="24"/>
          <w:szCs w:val="24"/>
        </w:rPr>
        <w:t xml:space="preserve">difference </w:t>
      </w:r>
      <w:r w:rsidR="002B22AC">
        <w:rPr>
          <w:sz w:val="24"/>
          <w:szCs w:val="24"/>
        </w:rPr>
        <w:t xml:space="preserve">between </w:t>
      </w:r>
      <w:r w:rsidR="00591188">
        <w:rPr>
          <w:sz w:val="24"/>
          <w:szCs w:val="24"/>
        </w:rPr>
        <w:t>those without</w:t>
      </w:r>
      <w:r w:rsidR="002B22AC">
        <w:rPr>
          <w:sz w:val="24"/>
          <w:szCs w:val="24"/>
        </w:rPr>
        <w:t xml:space="preserve"> high support needs (p&lt;0.001)</w:t>
      </w:r>
      <w:r w:rsidR="00277314" w:rsidRPr="0014325E">
        <w:rPr>
          <w:sz w:val="24"/>
          <w:szCs w:val="24"/>
        </w:rPr>
        <w:t>.</w:t>
      </w:r>
      <w:r w:rsidR="00D160BC" w:rsidRPr="0014325E">
        <w:rPr>
          <w:sz w:val="24"/>
          <w:szCs w:val="24"/>
        </w:rPr>
        <w:t xml:space="preserve"> </w:t>
      </w:r>
      <w:r w:rsidR="00D80B37" w:rsidRPr="0014325E">
        <w:rPr>
          <w:sz w:val="24"/>
          <w:szCs w:val="24"/>
        </w:rPr>
        <w:t>Similarly,</w:t>
      </w:r>
      <w:r w:rsidR="0014325E" w:rsidRPr="0014325E">
        <w:rPr>
          <w:sz w:val="24"/>
          <w:szCs w:val="24"/>
        </w:rPr>
        <w:t xml:space="preserve"> there </w:t>
      </w:r>
      <w:r w:rsidR="00813CFA">
        <w:rPr>
          <w:sz w:val="24"/>
          <w:szCs w:val="24"/>
        </w:rPr>
        <w:t xml:space="preserve">was effect modification </w:t>
      </w:r>
      <w:r w:rsidR="00813CFA" w:rsidRPr="0014325E">
        <w:rPr>
          <w:sz w:val="24"/>
          <w:szCs w:val="24"/>
        </w:rPr>
        <w:t>in admission rates for ACSCs</w:t>
      </w:r>
      <w:r w:rsidR="00813CFA">
        <w:rPr>
          <w:sz w:val="24"/>
          <w:szCs w:val="24"/>
        </w:rPr>
        <w:t xml:space="preserve"> by Down syndrome</w:t>
      </w:r>
      <w:r w:rsidR="0014325E" w:rsidRPr="0014325E">
        <w:rPr>
          <w:sz w:val="24"/>
          <w:szCs w:val="24"/>
        </w:rPr>
        <w:t xml:space="preserve"> (p=0.002),</w:t>
      </w:r>
      <w:r w:rsidR="00D160BC" w:rsidRPr="0014325E">
        <w:rPr>
          <w:sz w:val="24"/>
          <w:szCs w:val="24"/>
        </w:rPr>
        <w:t xml:space="preserve"> </w:t>
      </w:r>
      <w:r w:rsidR="002B22AC">
        <w:rPr>
          <w:sz w:val="24"/>
          <w:szCs w:val="24"/>
        </w:rPr>
        <w:t>with t</w:t>
      </w:r>
      <w:r w:rsidR="00892D00">
        <w:rPr>
          <w:sz w:val="24"/>
          <w:szCs w:val="24"/>
        </w:rPr>
        <w:t>he higher rate among Down patients driven by a high proportion (31%) of ACSCs being for pneumonia</w:t>
      </w:r>
      <w:r w:rsidR="00DB3C5B">
        <w:rPr>
          <w:sz w:val="24"/>
          <w:szCs w:val="24"/>
        </w:rPr>
        <w:t>/</w:t>
      </w:r>
      <w:r w:rsidR="00892D00">
        <w:rPr>
          <w:sz w:val="24"/>
          <w:szCs w:val="24"/>
        </w:rPr>
        <w:t xml:space="preserve">LRTI. </w:t>
      </w:r>
    </w:p>
    <w:p w14:paraId="1660BADB" w14:textId="77777777" w:rsidR="00977A47" w:rsidRPr="00D63A21" w:rsidRDefault="00977A47" w:rsidP="001D1600">
      <w:pPr>
        <w:spacing w:after="0" w:line="480" w:lineRule="auto"/>
        <w:jc w:val="both"/>
        <w:rPr>
          <w:sz w:val="24"/>
          <w:szCs w:val="24"/>
        </w:rPr>
      </w:pPr>
    </w:p>
    <w:p w14:paraId="21A84067" w14:textId="1D650100" w:rsidR="00386926" w:rsidRDefault="00977A47" w:rsidP="001D1600">
      <w:pPr>
        <w:spacing w:after="0" w:line="48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Primary care</w:t>
      </w:r>
      <w:r w:rsidR="00386926" w:rsidRPr="004C60CD">
        <w:rPr>
          <w:i/>
          <w:sz w:val="24"/>
          <w:szCs w:val="24"/>
        </w:rPr>
        <w:t xml:space="preserve"> </w:t>
      </w:r>
      <w:r w:rsidR="0055273B">
        <w:rPr>
          <w:i/>
          <w:sz w:val="24"/>
          <w:szCs w:val="24"/>
        </w:rPr>
        <w:t>utilisation before hospitalisation</w:t>
      </w:r>
      <w:r w:rsidR="005B4981">
        <w:rPr>
          <w:i/>
          <w:sz w:val="24"/>
          <w:szCs w:val="24"/>
        </w:rPr>
        <w:t xml:space="preserve"> for common infections</w:t>
      </w:r>
    </w:p>
    <w:p w14:paraId="09265654" w14:textId="6B8BF333" w:rsidR="00A33D03" w:rsidRPr="002F137C" w:rsidRDefault="00CD4F74" w:rsidP="001D1600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We compared the pattern of primary care utilisation in the 14 days before a UTI admission for 276 adults with ID and 451 without ID (Table 4).</w:t>
      </w:r>
      <w:r w:rsidR="00B6778F" w:rsidRPr="002F137C">
        <w:rPr>
          <w:sz w:val="24"/>
          <w:szCs w:val="24"/>
        </w:rPr>
        <w:t xml:space="preserve"> </w:t>
      </w:r>
      <w:r w:rsidR="00A55DA5">
        <w:rPr>
          <w:sz w:val="24"/>
          <w:szCs w:val="24"/>
        </w:rPr>
        <w:t>P</w:t>
      </w:r>
      <w:r w:rsidR="00F42EFD">
        <w:rPr>
          <w:sz w:val="24"/>
          <w:szCs w:val="24"/>
        </w:rPr>
        <w:t xml:space="preserve">atients with ID are more likely to be male (49% vs. 33%) and </w:t>
      </w:r>
      <w:r w:rsidR="00202633">
        <w:rPr>
          <w:sz w:val="24"/>
          <w:szCs w:val="24"/>
        </w:rPr>
        <w:t>at a</w:t>
      </w:r>
      <w:r w:rsidR="007549B6">
        <w:rPr>
          <w:sz w:val="24"/>
          <w:szCs w:val="24"/>
        </w:rPr>
        <w:t xml:space="preserve"> high risk of a</w:t>
      </w:r>
      <w:r w:rsidR="00F42EFD">
        <w:rPr>
          <w:sz w:val="24"/>
          <w:szCs w:val="24"/>
        </w:rPr>
        <w:t xml:space="preserve"> UTI (50% vs. 26%). </w:t>
      </w:r>
      <w:r w:rsidR="00DE2B96">
        <w:rPr>
          <w:sz w:val="24"/>
          <w:szCs w:val="24"/>
        </w:rPr>
        <w:t xml:space="preserve">For </w:t>
      </w:r>
      <w:r w:rsidR="009F4F45">
        <w:rPr>
          <w:sz w:val="24"/>
          <w:szCs w:val="24"/>
        </w:rPr>
        <w:t>both</w:t>
      </w:r>
      <w:r w:rsidR="002A17DC">
        <w:rPr>
          <w:sz w:val="24"/>
          <w:szCs w:val="24"/>
        </w:rPr>
        <w:t xml:space="preserve"> adults</w:t>
      </w:r>
      <w:r w:rsidR="00DE2B96">
        <w:rPr>
          <w:sz w:val="24"/>
          <w:szCs w:val="24"/>
        </w:rPr>
        <w:t xml:space="preserve"> with and without ID 56% </w:t>
      </w:r>
      <w:r w:rsidR="002B087C" w:rsidRPr="002F137C">
        <w:rPr>
          <w:sz w:val="24"/>
          <w:szCs w:val="24"/>
        </w:rPr>
        <w:t xml:space="preserve">had a </w:t>
      </w:r>
      <w:r w:rsidR="000C29FB" w:rsidRPr="002F137C">
        <w:rPr>
          <w:sz w:val="24"/>
          <w:szCs w:val="24"/>
        </w:rPr>
        <w:t xml:space="preserve">primary care </w:t>
      </w:r>
      <w:r w:rsidR="002B087C" w:rsidRPr="002F137C">
        <w:rPr>
          <w:sz w:val="24"/>
          <w:szCs w:val="24"/>
        </w:rPr>
        <w:t>consultation</w:t>
      </w:r>
      <w:r w:rsidR="00DE2B96">
        <w:rPr>
          <w:sz w:val="24"/>
          <w:szCs w:val="24"/>
        </w:rPr>
        <w:t xml:space="preserve"> </w:t>
      </w:r>
      <w:r w:rsidR="00DE2B96" w:rsidRPr="002F137C">
        <w:rPr>
          <w:sz w:val="24"/>
          <w:szCs w:val="24"/>
        </w:rPr>
        <w:t>(OR=1.04, 95%CI: 0.77–1.40)</w:t>
      </w:r>
      <w:r>
        <w:rPr>
          <w:sz w:val="24"/>
          <w:szCs w:val="24"/>
        </w:rPr>
        <w:t>, with</w:t>
      </w:r>
      <w:r w:rsidR="00C57B24" w:rsidRPr="002F137C">
        <w:rPr>
          <w:sz w:val="24"/>
          <w:szCs w:val="24"/>
        </w:rPr>
        <w:t xml:space="preserve"> a further 7% </w:t>
      </w:r>
      <w:r>
        <w:rPr>
          <w:sz w:val="24"/>
          <w:szCs w:val="24"/>
        </w:rPr>
        <w:t xml:space="preserve">each </w:t>
      </w:r>
      <w:r w:rsidR="00C57B24" w:rsidRPr="002F137C">
        <w:rPr>
          <w:sz w:val="24"/>
          <w:szCs w:val="24"/>
        </w:rPr>
        <w:t>ha</w:t>
      </w:r>
      <w:r>
        <w:rPr>
          <w:sz w:val="24"/>
          <w:szCs w:val="24"/>
        </w:rPr>
        <w:t>ving</w:t>
      </w:r>
      <w:r w:rsidR="00A33D03" w:rsidRPr="002F137C">
        <w:rPr>
          <w:sz w:val="24"/>
          <w:szCs w:val="24"/>
        </w:rPr>
        <w:t xml:space="preserve"> an emergency encounter. For those </w:t>
      </w:r>
      <w:r w:rsidR="00F42EFD">
        <w:rPr>
          <w:sz w:val="24"/>
          <w:szCs w:val="24"/>
        </w:rPr>
        <w:t>that</w:t>
      </w:r>
      <w:r w:rsidR="00A33D03" w:rsidRPr="002F137C">
        <w:rPr>
          <w:sz w:val="24"/>
          <w:szCs w:val="24"/>
        </w:rPr>
        <w:t xml:space="preserve"> consult</w:t>
      </w:r>
      <w:r w:rsidR="009D7541">
        <w:rPr>
          <w:sz w:val="24"/>
          <w:szCs w:val="24"/>
        </w:rPr>
        <w:t>ed</w:t>
      </w:r>
      <w:r w:rsidR="00F42EFD">
        <w:rPr>
          <w:sz w:val="24"/>
          <w:szCs w:val="24"/>
        </w:rPr>
        <w:t>,</w:t>
      </w:r>
      <w:r w:rsidR="00A33D03" w:rsidRPr="002F137C">
        <w:rPr>
          <w:sz w:val="24"/>
          <w:szCs w:val="24"/>
        </w:rPr>
        <w:t xml:space="preserve"> there </w:t>
      </w:r>
      <w:r>
        <w:rPr>
          <w:sz w:val="24"/>
          <w:szCs w:val="24"/>
        </w:rPr>
        <w:t>was</w:t>
      </w:r>
      <w:r w:rsidR="002B087C" w:rsidRPr="002F137C">
        <w:rPr>
          <w:sz w:val="24"/>
          <w:szCs w:val="24"/>
        </w:rPr>
        <w:t xml:space="preserve"> little difference</w:t>
      </w:r>
      <w:r>
        <w:rPr>
          <w:sz w:val="24"/>
          <w:szCs w:val="24"/>
        </w:rPr>
        <w:t xml:space="preserve"> between </w:t>
      </w:r>
      <w:r w:rsidR="00813CFA">
        <w:rPr>
          <w:sz w:val="24"/>
          <w:szCs w:val="24"/>
        </w:rPr>
        <w:t xml:space="preserve">groups </w:t>
      </w:r>
      <w:r w:rsidR="002B087C" w:rsidRPr="002F137C">
        <w:rPr>
          <w:sz w:val="24"/>
          <w:szCs w:val="24"/>
        </w:rPr>
        <w:t>in the recording of UTI</w:t>
      </w:r>
      <w:r w:rsidR="00A55DA5">
        <w:rPr>
          <w:sz w:val="24"/>
          <w:szCs w:val="24"/>
        </w:rPr>
        <w:t xml:space="preserve"> diagnosis, urine</w:t>
      </w:r>
      <w:r w:rsidR="002B087C" w:rsidRPr="002F137C">
        <w:rPr>
          <w:sz w:val="24"/>
          <w:szCs w:val="24"/>
        </w:rPr>
        <w:t xml:space="preserve"> </w:t>
      </w:r>
      <w:r w:rsidR="002A17DC">
        <w:rPr>
          <w:sz w:val="24"/>
          <w:szCs w:val="24"/>
        </w:rPr>
        <w:t xml:space="preserve">tests </w:t>
      </w:r>
      <w:r w:rsidR="002B087C" w:rsidRPr="002F137C">
        <w:rPr>
          <w:sz w:val="24"/>
          <w:szCs w:val="24"/>
        </w:rPr>
        <w:t>or antibiotic</w:t>
      </w:r>
      <w:r w:rsidR="00A55DA5">
        <w:rPr>
          <w:sz w:val="24"/>
          <w:szCs w:val="24"/>
        </w:rPr>
        <w:t xml:space="preserve"> prescriptions</w:t>
      </w:r>
      <w:r w:rsidR="002B087C" w:rsidRPr="002F137C">
        <w:rPr>
          <w:sz w:val="24"/>
          <w:szCs w:val="24"/>
        </w:rPr>
        <w:t xml:space="preserve">. </w:t>
      </w:r>
    </w:p>
    <w:p w14:paraId="1ECA8718" w14:textId="73743167" w:rsidR="002B087C" w:rsidRDefault="00A55DA5" w:rsidP="001D1600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 </w:t>
      </w:r>
      <w:r w:rsidR="00CD4F74">
        <w:rPr>
          <w:sz w:val="24"/>
          <w:szCs w:val="24"/>
        </w:rPr>
        <w:t>LR</w:t>
      </w:r>
      <w:r>
        <w:rPr>
          <w:sz w:val="24"/>
          <w:szCs w:val="24"/>
        </w:rPr>
        <w:t>T</w:t>
      </w:r>
      <w:r w:rsidR="00CD4F74">
        <w:rPr>
          <w:sz w:val="24"/>
          <w:szCs w:val="24"/>
        </w:rPr>
        <w:t>I</w:t>
      </w:r>
      <w:r w:rsidR="00A80D53">
        <w:rPr>
          <w:sz w:val="24"/>
          <w:szCs w:val="24"/>
        </w:rPr>
        <w:t xml:space="preserve"> admissions (n=</w:t>
      </w:r>
      <w:r w:rsidR="00CD4F74">
        <w:rPr>
          <w:sz w:val="24"/>
          <w:szCs w:val="24"/>
        </w:rPr>
        <w:t>457 adults with ID</w:t>
      </w:r>
      <w:r w:rsidR="00A80D53">
        <w:rPr>
          <w:sz w:val="24"/>
          <w:szCs w:val="24"/>
        </w:rPr>
        <w:t>, n=</w:t>
      </w:r>
      <w:r w:rsidR="00C90456">
        <w:rPr>
          <w:sz w:val="24"/>
          <w:szCs w:val="24"/>
        </w:rPr>
        <w:t>671 without ID</w:t>
      </w:r>
      <w:r w:rsidR="00F42EFD">
        <w:rPr>
          <w:sz w:val="24"/>
          <w:szCs w:val="24"/>
        </w:rPr>
        <w:t xml:space="preserve">) ID </w:t>
      </w:r>
      <w:r w:rsidR="00A80D53">
        <w:rPr>
          <w:sz w:val="24"/>
          <w:szCs w:val="24"/>
        </w:rPr>
        <w:t>patients were</w:t>
      </w:r>
      <w:r w:rsidR="00F42EFD">
        <w:rPr>
          <w:sz w:val="24"/>
          <w:szCs w:val="24"/>
        </w:rPr>
        <w:t xml:space="preserve"> more likely to be high risk </w:t>
      </w:r>
      <w:r w:rsidR="00AC3E5C">
        <w:rPr>
          <w:sz w:val="24"/>
          <w:szCs w:val="24"/>
        </w:rPr>
        <w:t xml:space="preserve">of complications from infection </w:t>
      </w:r>
      <w:r w:rsidR="00F42EFD">
        <w:rPr>
          <w:sz w:val="24"/>
          <w:szCs w:val="24"/>
        </w:rPr>
        <w:t>(24% vs. 3%)</w:t>
      </w:r>
      <w:r w:rsidR="00CD4F74">
        <w:rPr>
          <w:sz w:val="24"/>
          <w:szCs w:val="24"/>
        </w:rPr>
        <w:t xml:space="preserve">. </w:t>
      </w:r>
      <w:r w:rsidR="00F8605C" w:rsidRPr="002F137C">
        <w:rPr>
          <w:sz w:val="24"/>
          <w:szCs w:val="24"/>
        </w:rPr>
        <w:t xml:space="preserve"> </w:t>
      </w:r>
      <w:r w:rsidR="00A80D53">
        <w:rPr>
          <w:sz w:val="24"/>
          <w:szCs w:val="24"/>
        </w:rPr>
        <w:t>The percentage of ID patients</w:t>
      </w:r>
      <w:r w:rsidR="002B087C" w:rsidRPr="002F137C">
        <w:rPr>
          <w:sz w:val="24"/>
          <w:szCs w:val="24"/>
        </w:rPr>
        <w:t xml:space="preserve"> consult</w:t>
      </w:r>
      <w:r w:rsidR="00A80D53">
        <w:rPr>
          <w:sz w:val="24"/>
          <w:szCs w:val="24"/>
        </w:rPr>
        <w:t>ing</w:t>
      </w:r>
      <w:r w:rsidR="00CD4F74">
        <w:rPr>
          <w:sz w:val="24"/>
          <w:szCs w:val="24"/>
        </w:rPr>
        <w:t xml:space="preserve"> with their </w:t>
      </w:r>
      <w:r w:rsidR="00223C06">
        <w:rPr>
          <w:sz w:val="24"/>
          <w:szCs w:val="24"/>
        </w:rPr>
        <w:t>practice</w:t>
      </w:r>
      <w:r w:rsidR="002B087C" w:rsidRPr="002F137C">
        <w:rPr>
          <w:sz w:val="24"/>
          <w:szCs w:val="24"/>
        </w:rPr>
        <w:t xml:space="preserve"> in the two weeks before </w:t>
      </w:r>
      <w:r w:rsidR="00A80D53">
        <w:rPr>
          <w:sz w:val="24"/>
          <w:szCs w:val="24"/>
        </w:rPr>
        <w:t xml:space="preserve">admission was marginally higher </w:t>
      </w:r>
      <w:r w:rsidR="002B087C" w:rsidRPr="002F137C">
        <w:rPr>
          <w:sz w:val="24"/>
          <w:szCs w:val="24"/>
        </w:rPr>
        <w:t>(</w:t>
      </w:r>
      <w:r w:rsidR="00977A47" w:rsidRPr="002F137C">
        <w:rPr>
          <w:sz w:val="24"/>
          <w:szCs w:val="24"/>
        </w:rPr>
        <w:t>61</w:t>
      </w:r>
      <w:r w:rsidR="002B087C" w:rsidRPr="002F137C">
        <w:rPr>
          <w:sz w:val="24"/>
          <w:szCs w:val="24"/>
        </w:rPr>
        <w:t>%</w:t>
      </w:r>
      <w:r w:rsidR="00CD4F74">
        <w:rPr>
          <w:sz w:val="24"/>
          <w:szCs w:val="24"/>
        </w:rPr>
        <w:t xml:space="preserve"> vs. </w:t>
      </w:r>
      <w:r w:rsidR="00977A47" w:rsidRPr="002F137C">
        <w:rPr>
          <w:sz w:val="24"/>
          <w:szCs w:val="24"/>
        </w:rPr>
        <w:t xml:space="preserve"> 55</w:t>
      </w:r>
      <w:r w:rsidR="000C29FB" w:rsidRPr="002F137C">
        <w:rPr>
          <w:sz w:val="24"/>
          <w:szCs w:val="24"/>
        </w:rPr>
        <w:t>%</w:t>
      </w:r>
      <w:r w:rsidR="007549B6">
        <w:rPr>
          <w:sz w:val="24"/>
          <w:szCs w:val="24"/>
        </w:rPr>
        <w:t>, OR=1.26</w:t>
      </w:r>
      <w:r>
        <w:rPr>
          <w:sz w:val="24"/>
          <w:szCs w:val="24"/>
        </w:rPr>
        <w:t>,</w:t>
      </w:r>
      <w:r w:rsidR="007549B6">
        <w:rPr>
          <w:sz w:val="24"/>
          <w:szCs w:val="24"/>
        </w:rPr>
        <w:t xml:space="preserve"> </w:t>
      </w:r>
      <w:r w:rsidR="00502308">
        <w:rPr>
          <w:sz w:val="24"/>
          <w:szCs w:val="24"/>
        </w:rPr>
        <w:t xml:space="preserve">95%CI: </w:t>
      </w:r>
      <w:r w:rsidR="007549B6" w:rsidRPr="002F137C">
        <w:rPr>
          <w:sz w:val="24"/>
          <w:szCs w:val="24"/>
        </w:rPr>
        <w:t>0.99-1.60</w:t>
      </w:r>
      <w:r w:rsidR="002B087C" w:rsidRPr="002F137C">
        <w:rPr>
          <w:sz w:val="24"/>
          <w:szCs w:val="24"/>
        </w:rPr>
        <w:t>)</w:t>
      </w:r>
      <w:r w:rsidR="000C29FB" w:rsidRPr="002F137C">
        <w:rPr>
          <w:sz w:val="24"/>
          <w:szCs w:val="24"/>
        </w:rPr>
        <w:t xml:space="preserve">, </w:t>
      </w:r>
      <w:r w:rsidR="00A80D53">
        <w:rPr>
          <w:sz w:val="24"/>
          <w:szCs w:val="24"/>
        </w:rPr>
        <w:t>with a similar percentage (</w:t>
      </w:r>
      <w:r w:rsidR="00A33D03" w:rsidRPr="002F137C">
        <w:rPr>
          <w:sz w:val="24"/>
          <w:szCs w:val="24"/>
        </w:rPr>
        <w:t>6%</w:t>
      </w:r>
      <w:r w:rsidR="00A80D53">
        <w:rPr>
          <w:sz w:val="24"/>
          <w:szCs w:val="24"/>
        </w:rPr>
        <w:t xml:space="preserve">) </w:t>
      </w:r>
      <w:r w:rsidR="00502308">
        <w:rPr>
          <w:sz w:val="24"/>
          <w:szCs w:val="24"/>
        </w:rPr>
        <w:t>hav</w:t>
      </w:r>
      <w:r w:rsidR="00A80D53">
        <w:rPr>
          <w:sz w:val="24"/>
          <w:szCs w:val="24"/>
        </w:rPr>
        <w:t>ing</w:t>
      </w:r>
      <w:r w:rsidR="00A33D03" w:rsidRPr="002F137C">
        <w:rPr>
          <w:sz w:val="24"/>
          <w:szCs w:val="24"/>
        </w:rPr>
        <w:t xml:space="preserve"> an emergency consultation</w:t>
      </w:r>
      <w:r w:rsidR="009D7541">
        <w:rPr>
          <w:sz w:val="24"/>
          <w:szCs w:val="24"/>
        </w:rPr>
        <w:t xml:space="preserve"> elsewhere</w:t>
      </w:r>
      <w:r w:rsidR="002B087C" w:rsidRPr="002F137C">
        <w:rPr>
          <w:sz w:val="24"/>
          <w:szCs w:val="24"/>
        </w:rPr>
        <w:t>.</w:t>
      </w:r>
      <w:r w:rsidR="00A33D03" w:rsidRPr="002F137C">
        <w:rPr>
          <w:sz w:val="24"/>
          <w:szCs w:val="24"/>
        </w:rPr>
        <w:t xml:space="preserve"> </w:t>
      </w:r>
      <w:r w:rsidR="009D7541">
        <w:rPr>
          <w:sz w:val="24"/>
          <w:szCs w:val="24"/>
        </w:rPr>
        <w:t>Among those who consulted, the level of a</w:t>
      </w:r>
      <w:r w:rsidR="00C57B24" w:rsidRPr="002F137C">
        <w:rPr>
          <w:sz w:val="24"/>
          <w:szCs w:val="24"/>
        </w:rPr>
        <w:t xml:space="preserve">ntibiotic </w:t>
      </w:r>
      <w:r w:rsidR="009D7541">
        <w:rPr>
          <w:sz w:val="24"/>
          <w:szCs w:val="24"/>
        </w:rPr>
        <w:t xml:space="preserve">prescribing and </w:t>
      </w:r>
      <w:r w:rsidR="00977A47">
        <w:rPr>
          <w:sz w:val="24"/>
          <w:szCs w:val="24"/>
        </w:rPr>
        <w:t xml:space="preserve">diagnosis </w:t>
      </w:r>
      <w:r w:rsidR="002B087C">
        <w:rPr>
          <w:sz w:val="24"/>
          <w:szCs w:val="24"/>
        </w:rPr>
        <w:t xml:space="preserve">recording </w:t>
      </w:r>
      <w:r w:rsidR="009D7541">
        <w:rPr>
          <w:sz w:val="24"/>
          <w:szCs w:val="24"/>
        </w:rPr>
        <w:t>was similar between groups</w:t>
      </w:r>
      <w:r w:rsidR="00706BDD">
        <w:rPr>
          <w:sz w:val="24"/>
          <w:szCs w:val="24"/>
        </w:rPr>
        <w:t>.</w:t>
      </w:r>
    </w:p>
    <w:p w14:paraId="30CE0E52" w14:textId="77777777" w:rsidR="00C66090" w:rsidRDefault="00C66090" w:rsidP="001D1600">
      <w:pPr>
        <w:spacing w:after="0" w:line="480" w:lineRule="auto"/>
        <w:jc w:val="both"/>
        <w:rPr>
          <w:b/>
          <w:sz w:val="24"/>
          <w:szCs w:val="24"/>
        </w:rPr>
      </w:pPr>
    </w:p>
    <w:p w14:paraId="22934047" w14:textId="77777777" w:rsidR="00386926" w:rsidRDefault="00386926" w:rsidP="001D1600">
      <w:pPr>
        <w:spacing w:after="0" w:line="480" w:lineRule="auto"/>
        <w:jc w:val="both"/>
        <w:rPr>
          <w:b/>
          <w:sz w:val="24"/>
          <w:szCs w:val="24"/>
        </w:rPr>
      </w:pPr>
      <w:r w:rsidRPr="004C60CD">
        <w:rPr>
          <w:b/>
          <w:sz w:val="24"/>
          <w:szCs w:val="24"/>
        </w:rPr>
        <w:t>Discussion</w:t>
      </w:r>
    </w:p>
    <w:p w14:paraId="5A9A4418" w14:textId="77777777" w:rsidR="008A019F" w:rsidRPr="004C60CD" w:rsidRDefault="008A019F" w:rsidP="001D1600">
      <w:pPr>
        <w:spacing w:after="0" w:line="480" w:lineRule="auto"/>
        <w:jc w:val="both"/>
        <w:rPr>
          <w:b/>
          <w:sz w:val="24"/>
          <w:szCs w:val="24"/>
        </w:rPr>
      </w:pPr>
    </w:p>
    <w:p w14:paraId="0615B9AA" w14:textId="0E7321EE" w:rsidR="00386926" w:rsidRDefault="00F8605C" w:rsidP="001D1600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have detailed a </w:t>
      </w:r>
      <w:r w:rsidR="000C29FB">
        <w:rPr>
          <w:sz w:val="24"/>
          <w:szCs w:val="24"/>
        </w:rPr>
        <w:t>more than doubling</w:t>
      </w:r>
      <w:r>
        <w:rPr>
          <w:sz w:val="24"/>
          <w:szCs w:val="24"/>
        </w:rPr>
        <w:t xml:space="preserve"> in emergency </w:t>
      </w:r>
      <w:r w:rsidR="005049EB">
        <w:rPr>
          <w:sz w:val="24"/>
          <w:szCs w:val="24"/>
        </w:rPr>
        <w:t>admissions</w:t>
      </w:r>
      <w:r>
        <w:rPr>
          <w:sz w:val="24"/>
          <w:szCs w:val="24"/>
        </w:rPr>
        <w:t xml:space="preserve"> for adults with ID </w:t>
      </w:r>
      <w:r w:rsidR="000C29FB">
        <w:rPr>
          <w:sz w:val="24"/>
          <w:szCs w:val="24"/>
        </w:rPr>
        <w:t>compared to</w:t>
      </w:r>
      <w:r>
        <w:rPr>
          <w:sz w:val="24"/>
          <w:szCs w:val="24"/>
        </w:rPr>
        <w:t xml:space="preserve"> </w:t>
      </w:r>
      <w:r w:rsidR="000C29FB">
        <w:rPr>
          <w:sz w:val="24"/>
          <w:szCs w:val="24"/>
        </w:rPr>
        <w:t>age</w:t>
      </w:r>
      <w:r w:rsidR="005049EB">
        <w:rPr>
          <w:sz w:val="24"/>
          <w:szCs w:val="24"/>
        </w:rPr>
        <w:t>-</w:t>
      </w:r>
      <w:r w:rsidR="005C7A5E">
        <w:rPr>
          <w:sz w:val="24"/>
          <w:szCs w:val="24"/>
        </w:rPr>
        <w:t>sex</w:t>
      </w:r>
      <w:r w:rsidR="005049EB">
        <w:rPr>
          <w:sz w:val="24"/>
          <w:szCs w:val="24"/>
        </w:rPr>
        <w:t>-</w:t>
      </w:r>
      <w:r w:rsidR="005C7A5E">
        <w:rPr>
          <w:sz w:val="24"/>
          <w:szCs w:val="24"/>
        </w:rPr>
        <w:t>practice</w:t>
      </w:r>
      <w:r w:rsidR="000C29FB">
        <w:rPr>
          <w:sz w:val="24"/>
          <w:szCs w:val="24"/>
        </w:rPr>
        <w:t xml:space="preserve"> matched controls</w:t>
      </w:r>
      <w:r w:rsidR="005D0748">
        <w:rPr>
          <w:sz w:val="24"/>
          <w:szCs w:val="24"/>
        </w:rPr>
        <w:t xml:space="preserve">, which </w:t>
      </w:r>
      <w:r w:rsidR="00677422">
        <w:rPr>
          <w:sz w:val="24"/>
          <w:szCs w:val="24"/>
        </w:rPr>
        <w:t>is not</w:t>
      </w:r>
      <w:r w:rsidR="005D0748">
        <w:rPr>
          <w:sz w:val="24"/>
          <w:szCs w:val="24"/>
        </w:rPr>
        <w:t xml:space="preserve"> explained by higher levels of comorbidity</w:t>
      </w:r>
      <w:r>
        <w:rPr>
          <w:sz w:val="24"/>
          <w:szCs w:val="24"/>
        </w:rPr>
        <w:t xml:space="preserve">. </w:t>
      </w:r>
      <w:r w:rsidR="00202633">
        <w:rPr>
          <w:sz w:val="24"/>
          <w:szCs w:val="24"/>
        </w:rPr>
        <w:t>P</w:t>
      </w:r>
      <w:r w:rsidR="005049EB">
        <w:rPr>
          <w:sz w:val="24"/>
          <w:szCs w:val="24"/>
        </w:rPr>
        <w:t>reventable</w:t>
      </w:r>
      <w:r w:rsidR="002D5DB4">
        <w:rPr>
          <w:sz w:val="24"/>
          <w:szCs w:val="24"/>
        </w:rPr>
        <w:t xml:space="preserve"> admissions, </w:t>
      </w:r>
      <w:r w:rsidR="005D0748">
        <w:rPr>
          <w:sz w:val="24"/>
          <w:szCs w:val="24"/>
        </w:rPr>
        <w:t xml:space="preserve">for </w:t>
      </w:r>
      <w:r w:rsidR="00D86192">
        <w:rPr>
          <w:sz w:val="24"/>
          <w:szCs w:val="24"/>
        </w:rPr>
        <w:t>ACSC</w:t>
      </w:r>
      <w:r w:rsidR="00202633">
        <w:rPr>
          <w:sz w:val="24"/>
          <w:szCs w:val="24"/>
        </w:rPr>
        <w:t>s</w:t>
      </w:r>
      <w:r w:rsidR="009103E6">
        <w:rPr>
          <w:sz w:val="24"/>
          <w:szCs w:val="24"/>
        </w:rPr>
        <w:t>, are five times more common in adults with ID</w:t>
      </w:r>
      <w:r w:rsidR="007C5F24">
        <w:rPr>
          <w:sz w:val="24"/>
          <w:szCs w:val="24"/>
        </w:rPr>
        <w:t>. W</w:t>
      </w:r>
      <w:r w:rsidR="005D0748">
        <w:rPr>
          <w:sz w:val="24"/>
          <w:szCs w:val="24"/>
        </w:rPr>
        <w:t>hile the higher prevalence of epilepsy acco</w:t>
      </w:r>
      <w:r w:rsidR="00202633">
        <w:rPr>
          <w:sz w:val="24"/>
          <w:szCs w:val="24"/>
        </w:rPr>
        <w:t>unts for some of this difference</w:t>
      </w:r>
      <w:r w:rsidR="007C5F24">
        <w:rPr>
          <w:sz w:val="24"/>
          <w:szCs w:val="24"/>
        </w:rPr>
        <w:t>,</w:t>
      </w:r>
      <w:r w:rsidR="005D0748">
        <w:rPr>
          <w:sz w:val="24"/>
          <w:szCs w:val="24"/>
        </w:rPr>
        <w:t xml:space="preserve"> </w:t>
      </w:r>
      <w:r w:rsidR="00C23640">
        <w:rPr>
          <w:sz w:val="24"/>
          <w:szCs w:val="24"/>
        </w:rPr>
        <w:t xml:space="preserve">analysis </w:t>
      </w:r>
      <w:r w:rsidR="005D0748">
        <w:rPr>
          <w:sz w:val="24"/>
          <w:szCs w:val="24"/>
        </w:rPr>
        <w:t xml:space="preserve">adjusted for </w:t>
      </w:r>
      <w:r w:rsidR="000843B1">
        <w:rPr>
          <w:sz w:val="24"/>
          <w:szCs w:val="24"/>
        </w:rPr>
        <w:t xml:space="preserve">overall </w:t>
      </w:r>
      <w:r>
        <w:rPr>
          <w:sz w:val="24"/>
          <w:szCs w:val="24"/>
        </w:rPr>
        <w:t>comorbidit</w:t>
      </w:r>
      <w:r w:rsidR="000843B1">
        <w:rPr>
          <w:sz w:val="24"/>
          <w:szCs w:val="24"/>
        </w:rPr>
        <w:t>y</w:t>
      </w:r>
      <w:r w:rsidR="005D0748">
        <w:rPr>
          <w:sz w:val="24"/>
          <w:szCs w:val="24"/>
        </w:rPr>
        <w:t xml:space="preserve"> still estimate</w:t>
      </w:r>
      <w:r w:rsidR="00B87D7C">
        <w:rPr>
          <w:sz w:val="24"/>
          <w:szCs w:val="24"/>
        </w:rPr>
        <w:t>d</w:t>
      </w:r>
      <w:r w:rsidR="005D0748">
        <w:rPr>
          <w:sz w:val="24"/>
          <w:szCs w:val="24"/>
        </w:rPr>
        <w:t xml:space="preserve"> a </w:t>
      </w:r>
      <w:r w:rsidR="00B9121F">
        <w:rPr>
          <w:sz w:val="24"/>
          <w:szCs w:val="24"/>
        </w:rPr>
        <w:t xml:space="preserve">greater </w:t>
      </w:r>
      <w:r w:rsidR="00677422">
        <w:rPr>
          <w:sz w:val="24"/>
          <w:szCs w:val="24"/>
        </w:rPr>
        <w:t xml:space="preserve">than </w:t>
      </w:r>
      <w:r w:rsidR="005D0748">
        <w:rPr>
          <w:sz w:val="24"/>
          <w:szCs w:val="24"/>
        </w:rPr>
        <w:t xml:space="preserve">three </w:t>
      </w:r>
      <w:r w:rsidR="00677422">
        <w:rPr>
          <w:sz w:val="24"/>
          <w:szCs w:val="24"/>
        </w:rPr>
        <w:t>t</w:t>
      </w:r>
      <w:r w:rsidR="005D0748">
        <w:rPr>
          <w:sz w:val="24"/>
          <w:szCs w:val="24"/>
        </w:rPr>
        <w:t>imes higher rate.</w:t>
      </w:r>
      <w:r w:rsidR="00202633">
        <w:rPr>
          <w:sz w:val="24"/>
          <w:szCs w:val="24"/>
        </w:rPr>
        <w:t xml:space="preserve"> Despite this higher risk</w:t>
      </w:r>
      <w:r w:rsidR="002D5DB4">
        <w:rPr>
          <w:sz w:val="24"/>
          <w:szCs w:val="24"/>
        </w:rPr>
        <w:t xml:space="preserve"> </w:t>
      </w:r>
      <w:r w:rsidR="00202633">
        <w:rPr>
          <w:sz w:val="24"/>
          <w:szCs w:val="24"/>
        </w:rPr>
        <w:t>of</w:t>
      </w:r>
      <w:r w:rsidR="002D5DB4">
        <w:rPr>
          <w:sz w:val="24"/>
          <w:szCs w:val="24"/>
        </w:rPr>
        <w:t xml:space="preserve"> </w:t>
      </w:r>
      <w:r w:rsidR="005049EB">
        <w:rPr>
          <w:sz w:val="24"/>
          <w:szCs w:val="24"/>
        </w:rPr>
        <w:t>preventable</w:t>
      </w:r>
      <w:r w:rsidR="002D5DB4">
        <w:rPr>
          <w:sz w:val="24"/>
          <w:szCs w:val="24"/>
        </w:rPr>
        <w:t xml:space="preserve"> admissions, we </w:t>
      </w:r>
      <w:r w:rsidR="000843B1">
        <w:rPr>
          <w:sz w:val="24"/>
          <w:szCs w:val="24"/>
        </w:rPr>
        <w:t>failed</w:t>
      </w:r>
      <w:r w:rsidR="002D5DB4">
        <w:rPr>
          <w:sz w:val="24"/>
          <w:szCs w:val="24"/>
        </w:rPr>
        <w:t xml:space="preserve"> to detect any notable difference</w:t>
      </w:r>
      <w:r w:rsidR="00677422">
        <w:rPr>
          <w:sz w:val="24"/>
          <w:szCs w:val="24"/>
        </w:rPr>
        <w:t>s</w:t>
      </w:r>
      <w:r w:rsidR="00C23640">
        <w:rPr>
          <w:sz w:val="24"/>
          <w:szCs w:val="24"/>
        </w:rPr>
        <w:t>,</w:t>
      </w:r>
      <w:r w:rsidR="002D5DB4">
        <w:rPr>
          <w:sz w:val="24"/>
          <w:szCs w:val="24"/>
        </w:rPr>
        <w:t xml:space="preserve"> in the primary care utilisation</w:t>
      </w:r>
      <w:r w:rsidR="0051006A">
        <w:rPr>
          <w:sz w:val="24"/>
          <w:szCs w:val="24"/>
        </w:rPr>
        <w:t xml:space="preserve"> and management before </w:t>
      </w:r>
      <w:r w:rsidR="002D5DB4">
        <w:rPr>
          <w:sz w:val="24"/>
          <w:szCs w:val="24"/>
        </w:rPr>
        <w:t>admissions</w:t>
      </w:r>
      <w:r w:rsidR="00C23640">
        <w:rPr>
          <w:sz w:val="24"/>
          <w:szCs w:val="24"/>
        </w:rPr>
        <w:t>,</w:t>
      </w:r>
      <w:r w:rsidR="002D5DB4">
        <w:rPr>
          <w:sz w:val="24"/>
          <w:szCs w:val="24"/>
        </w:rPr>
        <w:t xml:space="preserve"> for</w:t>
      </w:r>
      <w:r w:rsidR="0051006A">
        <w:rPr>
          <w:sz w:val="24"/>
          <w:szCs w:val="24"/>
        </w:rPr>
        <w:t xml:space="preserve"> two</w:t>
      </w:r>
      <w:r w:rsidR="002D5DB4">
        <w:rPr>
          <w:sz w:val="24"/>
          <w:szCs w:val="24"/>
        </w:rPr>
        <w:t xml:space="preserve"> common</w:t>
      </w:r>
      <w:r w:rsidR="00753A95">
        <w:rPr>
          <w:sz w:val="24"/>
          <w:szCs w:val="24"/>
        </w:rPr>
        <w:t xml:space="preserve"> ACS</w:t>
      </w:r>
      <w:r w:rsidR="00D86192">
        <w:rPr>
          <w:sz w:val="24"/>
          <w:szCs w:val="24"/>
        </w:rPr>
        <w:t>Cs</w:t>
      </w:r>
      <w:r w:rsidR="005C4E3A">
        <w:rPr>
          <w:sz w:val="24"/>
          <w:szCs w:val="24"/>
        </w:rPr>
        <w:t>, urinary tract and lower respiratory tract infections</w:t>
      </w:r>
      <w:r w:rsidR="009103E6">
        <w:rPr>
          <w:sz w:val="24"/>
          <w:szCs w:val="24"/>
        </w:rPr>
        <w:t>.</w:t>
      </w:r>
    </w:p>
    <w:p w14:paraId="0A806862" w14:textId="77777777" w:rsidR="00F8605C" w:rsidRPr="004C60CD" w:rsidRDefault="00F8605C" w:rsidP="001D1600">
      <w:pPr>
        <w:spacing w:after="0" w:line="480" w:lineRule="auto"/>
        <w:jc w:val="both"/>
        <w:rPr>
          <w:sz w:val="24"/>
          <w:szCs w:val="24"/>
        </w:rPr>
      </w:pPr>
    </w:p>
    <w:p w14:paraId="7B311EDC" w14:textId="77777777" w:rsidR="00386926" w:rsidRDefault="00386926" w:rsidP="001D1600">
      <w:pPr>
        <w:spacing w:after="0" w:line="480" w:lineRule="auto"/>
        <w:jc w:val="both"/>
        <w:rPr>
          <w:i/>
          <w:sz w:val="24"/>
          <w:szCs w:val="24"/>
        </w:rPr>
      </w:pPr>
      <w:r w:rsidRPr="004C60CD">
        <w:rPr>
          <w:i/>
          <w:sz w:val="24"/>
          <w:szCs w:val="24"/>
        </w:rPr>
        <w:t>Strengths and limitations</w:t>
      </w:r>
    </w:p>
    <w:p w14:paraId="2679E505" w14:textId="7C15387E" w:rsidR="00CB692F" w:rsidRDefault="00D947CE" w:rsidP="001D1600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Our study expands a limited </w:t>
      </w:r>
      <w:r w:rsidR="001639EF">
        <w:rPr>
          <w:sz w:val="24"/>
          <w:szCs w:val="24"/>
        </w:rPr>
        <w:t>area of</w:t>
      </w:r>
      <w:r>
        <w:rPr>
          <w:sz w:val="24"/>
          <w:szCs w:val="24"/>
        </w:rPr>
        <w:t xml:space="preserve"> research </w:t>
      </w:r>
      <w:r w:rsidR="001639EF">
        <w:rPr>
          <w:sz w:val="24"/>
          <w:szCs w:val="24"/>
        </w:rPr>
        <w:t xml:space="preserve">into </w:t>
      </w:r>
      <w:r w:rsidR="00C92F9E">
        <w:rPr>
          <w:sz w:val="24"/>
          <w:szCs w:val="24"/>
        </w:rPr>
        <w:t xml:space="preserve">acute hospitalisation of </w:t>
      </w:r>
      <w:r w:rsidR="001639EF">
        <w:rPr>
          <w:sz w:val="24"/>
          <w:szCs w:val="24"/>
        </w:rPr>
        <w:t>ad</w:t>
      </w:r>
      <w:r>
        <w:rPr>
          <w:sz w:val="24"/>
          <w:szCs w:val="24"/>
        </w:rPr>
        <w:t>ults wit</w:t>
      </w:r>
      <w:r w:rsidR="001639EF">
        <w:rPr>
          <w:sz w:val="24"/>
          <w:szCs w:val="24"/>
        </w:rPr>
        <w:t>h</w:t>
      </w:r>
      <w:r>
        <w:rPr>
          <w:sz w:val="24"/>
          <w:szCs w:val="24"/>
        </w:rPr>
        <w:t xml:space="preserve"> </w:t>
      </w:r>
      <w:r w:rsidR="00D65579">
        <w:rPr>
          <w:sz w:val="24"/>
          <w:szCs w:val="24"/>
        </w:rPr>
        <w:t>ID</w:t>
      </w:r>
      <w:r w:rsidR="00682B53">
        <w:rPr>
          <w:sz w:val="24"/>
          <w:szCs w:val="24"/>
        </w:rPr>
        <w:fldChar w:fldCharType="begin"/>
      </w:r>
      <w:r w:rsidR="00370022">
        <w:rPr>
          <w:sz w:val="24"/>
          <w:szCs w:val="24"/>
        </w:rPr>
        <w:instrText xml:space="preserve"> ADDIN EN.CITE &lt;EndNote&gt;&lt;Cite&gt;&lt;Author&gt;Williamson&lt;/Author&gt;&lt;Year&gt;2012&lt;/Year&gt;&lt;RecNum&gt;416&lt;/RecNum&gt;&lt;DisplayText&gt;&lt;style face="superscript"&gt;17&lt;/style&gt;&lt;/DisplayText&gt;&lt;record&gt;&lt;rec-number&gt;416&lt;/rec-number&gt;&lt;foreign-keys&gt;&lt;key app="EN" db-id="9vd5rfe5s0azere5pfyx0xrzazafratsxvvv" timestamp="1466419988"&gt;416&lt;/key&gt;&lt;/foreign-keys&gt;&lt;ref-type name="Journal Article"&gt;17&lt;/ref-type&gt;&lt;contributors&gt;&lt;authors&gt;&lt;author&gt;Williamson, T.&lt;/author&gt;&lt;author&gt;Flowers, J.&lt;/author&gt;&lt;author&gt;Cooke, M.&lt;/author&gt;&lt;/authors&gt;&lt;/contributors&gt;&lt;titles&gt;&lt;title&gt;Quantifying emergency department admission rates for people with a learning disability&lt;/title&gt;&lt;secondary-title&gt;Emerg Med J&lt;/secondary-title&gt;&lt;/titles&gt;&lt;periodical&gt;&lt;full-title&gt;Emerg Med J&lt;/full-title&gt;&lt;/periodical&gt;&lt;pages&gt;771-2&lt;/pages&gt;&lt;volume&gt;29&lt;/volume&gt;&lt;number&gt;9&lt;/number&gt;&lt;keywords&gt;&lt;keyword&gt;Adolescent&lt;/keyword&gt;&lt;keyword&gt;Adult&lt;/keyword&gt;&lt;keyword&gt;Aged&lt;/keyword&gt;&lt;keyword&gt;Child&lt;/keyword&gt;&lt;keyword&gt;Child, Preschool&lt;/keyword&gt;&lt;keyword&gt;Cohort Studies&lt;/keyword&gt;&lt;keyword&gt;Emergency Service, Hospital&lt;/keyword&gt;&lt;keyword&gt;Female&lt;/keyword&gt;&lt;keyword&gt;Great Britain&lt;/keyword&gt;&lt;keyword&gt;Hospitalization&lt;/keyword&gt;&lt;keyword&gt;Humans&lt;/keyword&gt;&lt;keyword&gt;Infant&lt;/keyword&gt;&lt;keyword&gt;Learning Disorders&lt;/keyword&gt;&lt;keyword&gt;Male&lt;/keyword&gt;&lt;keyword&gt;Middle Aged&lt;/keyword&gt;&lt;keyword&gt;Young Adult&lt;/keyword&gt;&lt;/keywords&gt;&lt;dates&gt;&lt;year&gt;2012&lt;/year&gt;&lt;pub-dates&gt;&lt;date&gt;Sep&lt;/date&gt;&lt;/pub-dates&gt;&lt;/dates&gt;&lt;isbn&gt;1472-0213&lt;/isbn&gt;&lt;accession-num&gt;21478412&lt;/accession-num&gt;&lt;urls&gt;&lt;related-urls&gt;&lt;url&gt;http://www.ncbi.nlm.nih.gov/pubmed/21478412&lt;/url&gt;&lt;/related-urls&gt;&lt;/urls&gt;&lt;electronic-resource-num&gt;10.1136/emj.2010.107318&lt;/electronic-resource-num&gt;&lt;language&gt;eng&lt;/language&gt;&lt;/record&gt;&lt;/Cite&gt;&lt;/EndNote&gt;</w:instrText>
      </w:r>
      <w:r w:rsidR="00682B53">
        <w:rPr>
          <w:sz w:val="24"/>
          <w:szCs w:val="24"/>
        </w:rPr>
        <w:fldChar w:fldCharType="separate"/>
      </w:r>
      <w:r w:rsidR="00370022" w:rsidRPr="00370022">
        <w:rPr>
          <w:noProof/>
          <w:sz w:val="24"/>
          <w:szCs w:val="24"/>
          <w:vertAlign w:val="superscript"/>
        </w:rPr>
        <w:t>17</w:t>
      </w:r>
      <w:r w:rsidR="00682B5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. </w:t>
      </w:r>
      <w:r w:rsidR="00CB692F">
        <w:rPr>
          <w:sz w:val="24"/>
          <w:szCs w:val="24"/>
        </w:rPr>
        <w:t>The m</w:t>
      </w:r>
      <w:r w:rsidR="00D65579">
        <w:rPr>
          <w:sz w:val="24"/>
          <w:szCs w:val="24"/>
        </w:rPr>
        <w:t>ain strength of our study is it</w:t>
      </w:r>
      <w:r w:rsidR="00CB692F">
        <w:rPr>
          <w:sz w:val="24"/>
          <w:szCs w:val="24"/>
        </w:rPr>
        <w:t xml:space="preserve">s foundation </w:t>
      </w:r>
      <w:r w:rsidR="00202760">
        <w:rPr>
          <w:sz w:val="24"/>
          <w:szCs w:val="24"/>
        </w:rPr>
        <w:t>in</w:t>
      </w:r>
      <w:r w:rsidR="00CB692F">
        <w:rPr>
          <w:sz w:val="24"/>
          <w:szCs w:val="24"/>
        </w:rPr>
        <w:t xml:space="preserve"> a large unselected primary care population of adults with ID</w:t>
      </w:r>
      <w:r w:rsidR="000843B1">
        <w:rPr>
          <w:sz w:val="24"/>
          <w:szCs w:val="24"/>
        </w:rPr>
        <w:t>,</w:t>
      </w:r>
      <w:r w:rsidR="00CB692F">
        <w:rPr>
          <w:sz w:val="24"/>
          <w:szCs w:val="24"/>
        </w:rPr>
        <w:t xml:space="preserve"> and </w:t>
      </w:r>
      <w:r w:rsidR="00A2004B">
        <w:rPr>
          <w:sz w:val="24"/>
          <w:szCs w:val="24"/>
        </w:rPr>
        <w:t>age</w:t>
      </w:r>
      <w:r w:rsidR="000843B1">
        <w:rPr>
          <w:sz w:val="24"/>
          <w:szCs w:val="24"/>
        </w:rPr>
        <w:t xml:space="preserve">-sex-practice </w:t>
      </w:r>
      <w:r w:rsidR="00C92F9E">
        <w:rPr>
          <w:sz w:val="24"/>
          <w:szCs w:val="24"/>
        </w:rPr>
        <w:t xml:space="preserve"> </w:t>
      </w:r>
      <w:r w:rsidR="00CB692F">
        <w:rPr>
          <w:sz w:val="24"/>
          <w:szCs w:val="24"/>
        </w:rPr>
        <w:t>matched individuals</w:t>
      </w:r>
      <w:r w:rsidR="004F7FCB">
        <w:rPr>
          <w:sz w:val="24"/>
          <w:szCs w:val="24"/>
        </w:rPr>
        <w:t xml:space="preserve"> </w:t>
      </w:r>
      <w:r w:rsidR="00CB692F">
        <w:rPr>
          <w:sz w:val="24"/>
          <w:szCs w:val="24"/>
        </w:rPr>
        <w:t>with</w:t>
      </w:r>
      <w:r w:rsidR="0063286B">
        <w:rPr>
          <w:sz w:val="24"/>
          <w:szCs w:val="24"/>
        </w:rPr>
        <w:t>out</w:t>
      </w:r>
      <w:r w:rsidR="00003A92">
        <w:rPr>
          <w:sz w:val="24"/>
          <w:szCs w:val="24"/>
        </w:rPr>
        <w:t xml:space="preserve"> ID</w:t>
      </w:r>
      <w:r w:rsidR="00CB692F">
        <w:rPr>
          <w:sz w:val="24"/>
          <w:szCs w:val="24"/>
        </w:rPr>
        <w:t xml:space="preserve">. This matching effectively accounts for any differences in </w:t>
      </w:r>
      <w:r w:rsidR="00D65579">
        <w:rPr>
          <w:sz w:val="24"/>
          <w:szCs w:val="24"/>
        </w:rPr>
        <w:t xml:space="preserve">regional </w:t>
      </w:r>
      <w:r w:rsidR="00CB692F">
        <w:rPr>
          <w:sz w:val="24"/>
          <w:szCs w:val="24"/>
        </w:rPr>
        <w:t xml:space="preserve">access to healthcare </w:t>
      </w:r>
      <w:r w:rsidR="005C7A5E">
        <w:rPr>
          <w:sz w:val="24"/>
          <w:szCs w:val="24"/>
        </w:rPr>
        <w:t>and quality</w:t>
      </w:r>
      <w:r w:rsidR="004F7FCB">
        <w:rPr>
          <w:sz w:val="24"/>
          <w:szCs w:val="24"/>
        </w:rPr>
        <w:t xml:space="preserve"> or </w:t>
      </w:r>
      <w:r w:rsidR="005C7A5E">
        <w:rPr>
          <w:sz w:val="24"/>
          <w:szCs w:val="24"/>
        </w:rPr>
        <w:t>i</w:t>
      </w:r>
      <w:r w:rsidR="00CB692F">
        <w:rPr>
          <w:sz w:val="24"/>
          <w:szCs w:val="24"/>
        </w:rPr>
        <w:t xml:space="preserve">nconsistencies in clinical recording. </w:t>
      </w:r>
      <w:r w:rsidR="003F6801">
        <w:rPr>
          <w:sz w:val="24"/>
          <w:szCs w:val="24"/>
        </w:rPr>
        <w:t>The linkage o</w:t>
      </w:r>
      <w:r w:rsidR="00CB692F">
        <w:rPr>
          <w:sz w:val="24"/>
          <w:szCs w:val="24"/>
        </w:rPr>
        <w:t>ur study uses between primary care and hospital data</w:t>
      </w:r>
      <w:r w:rsidR="003F6801">
        <w:rPr>
          <w:sz w:val="24"/>
          <w:szCs w:val="24"/>
        </w:rPr>
        <w:t xml:space="preserve"> has been called for</w:t>
      </w:r>
      <w:r w:rsidR="003F6801">
        <w:rPr>
          <w:sz w:val="24"/>
          <w:szCs w:val="24"/>
        </w:rPr>
        <w:fldChar w:fldCharType="begin">
          <w:fldData xml:space="preserve">PEVuZE5vdGU+PENpdGU+PEF1dGhvcj5HbG92ZXI8L0F1dGhvcj48WWVhcj4yMDEzPC9ZZWFyPjxS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</w:fldData>
        </w:fldChar>
      </w:r>
      <w:r w:rsidR="00370022">
        <w:rPr>
          <w:sz w:val="24"/>
          <w:szCs w:val="24"/>
        </w:rPr>
        <w:instrText xml:space="preserve"> ADDIN EN.CITE </w:instrText>
      </w:r>
      <w:r w:rsidR="00370022">
        <w:rPr>
          <w:sz w:val="24"/>
          <w:szCs w:val="24"/>
        </w:rPr>
        <w:fldChar w:fldCharType="begin">
          <w:fldData xml:space="preserve">PEVuZE5vdGU+PENpdGU+PEF1dGhvcj5HbG92ZXI8L0F1dGhvcj48WWVhcj4yMDEzPC9ZZWFyPjxS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</w:fldData>
        </w:fldChar>
      </w:r>
      <w:r w:rsidR="00370022">
        <w:rPr>
          <w:sz w:val="24"/>
          <w:szCs w:val="24"/>
        </w:rPr>
        <w:instrText xml:space="preserve"> ADDIN EN.CITE.DATA </w:instrText>
      </w:r>
      <w:r w:rsidR="00370022">
        <w:rPr>
          <w:sz w:val="24"/>
          <w:szCs w:val="24"/>
        </w:rPr>
      </w:r>
      <w:r w:rsidR="00370022">
        <w:rPr>
          <w:sz w:val="24"/>
          <w:szCs w:val="24"/>
        </w:rPr>
        <w:fldChar w:fldCharType="end"/>
      </w:r>
      <w:r w:rsidR="003F6801">
        <w:rPr>
          <w:sz w:val="24"/>
          <w:szCs w:val="24"/>
        </w:rPr>
      </w:r>
      <w:r w:rsidR="003F6801">
        <w:rPr>
          <w:sz w:val="24"/>
          <w:szCs w:val="24"/>
        </w:rPr>
        <w:fldChar w:fldCharType="separate"/>
      </w:r>
      <w:r w:rsidR="00370022" w:rsidRPr="00370022">
        <w:rPr>
          <w:noProof/>
          <w:sz w:val="24"/>
          <w:szCs w:val="24"/>
          <w:vertAlign w:val="superscript"/>
        </w:rPr>
        <w:t>8,18</w:t>
      </w:r>
      <w:r w:rsidR="003F6801">
        <w:rPr>
          <w:sz w:val="24"/>
          <w:szCs w:val="24"/>
        </w:rPr>
        <w:fldChar w:fldCharType="end"/>
      </w:r>
      <w:r w:rsidR="003F6801">
        <w:rPr>
          <w:sz w:val="24"/>
          <w:szCs w:val="24"/>
        </w:rPr>
        <w:t xml:space="preserve"> and </w:t>
      </w:r>
      <w:r w:rsidR="0071518C">
        <w:rPr>
          <w:sz w:val="24"/>
          <w:szCs w:val="24"/>
        </w:rPr>
        <w:t>allow</w:t>
      </w:r>
      <w:r w:rsidR="003F6801">
        <w:rPr>
          <w:sz w:val="24"/>
          <w:szCs w:val="24"/>
        </w:rPr>
        <w:t>s</w:t>
      </w:r>
      <w:r w:rsidR="0071518C">
        <w:rPr>
          <w:sz w:val="24"/>
          <w:szCs w:val="24"/>
        </w:rPr>
        <w:t xml:space="preserve"> information from both sources t</w:t>
      </w:r>
      <w:r w:rsidR="0071518C" w:rsidRPr="00685BAF">
        <w:rPr>
          <w:sz w:val="24"/>
          <w:szCs w:val="24"/>
        </w:rPr>
        <w:t>o enhance each other.</w:t>
      </w:r>
      <w:r w:rsidR="00D3094E" w:rsidRPr="00685BAF">
        <w:rPr>
          <w:sz w:val="24"/>
          <w:szCs w:val="24"/>
        </w:rPr>
        <w:t xml:space="preserve"> </w:t>
      </w:r>
    </w:p>
    <w:p w14:paraId="2D53B77A" w14:textId="77777777" w:rsidR="001639EF" w:rsidRDefault="001639EF" w:rsidP="001D1600">
      <w:pPr>
        <w:spacing w:after="0" w:line="480" w:lineRule="auto"/>
        <w:jc w:val="both"/>
        <w:rPr>
          <w:sz w:val="24"/>
          <w:szCs w:val="24"/>
        </w:rPr>
      </w:pPr>
    </w:p>
    <w:p w14:paraId="7FB281CF" w14:textId="4F68093F" w:rsidR="002F56DD" w:rsidRDefault="002F56DD" w:rsidP="001D1600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main limitation of our study is the potential for inco</w:t>
      </w:r>
      <w:r w:rsidR="006D4AA4">
        <w:rPr>
          <w:sz w:val="24"/>
          <w:szCs w:val="24"/>
        </w:rPr>
        <w:t>mplete</w:t>
      </w:r>
      <w:r w:rsidR="000843B1">
        <w:rPr>
          <w:sz w:val="24"/>
          <w:szCs w:val="24"/>
        </w:rPr>
        <w:t xml:space="preserve"> (e.g. urine dipstick sticks)</w:t>
      </w:r>
      <w:r w:rsidR="006D4AA4">
        <w:rPr>
          <w:sz w:val="24"/>
          <w:szCs w:val="24"/>
        </w:rPr>
        <w:t xml:space="preserve"> or inaccurate recording</w:t>
      </w:r>
      <w:r w:rsidR="000843B1">
        <w:rPr>
          <w:sz w:val="24"/>
          <w:szCs w:val="24"/>
        </w:rPr>
        <w:t xml:space="preserve">  (</w:t>
      </w:r>
      <w:r w:rsidR="0074523D">
        <w:rPr>
          <w:sz w:val="24"/>
          <w:szCs w:val="24"/>
        </w:rPr>
        <w:t xml:space="preserve">in a few instances </w:t>
      </w:r>
      <w:r w:rsidR="000843B1">
        <w:rPr>
          <w:sz w:val="24"/>
          <w:szCs w:val="24"/>
        </w:rPr>
        <w:t xml:space="preserve">ID was </w:t>
      </w:r>
      <w:r w:rsidR="0074523D">
        <w:rPr>
          <w:sz w:val="24"/>
          <w:szCs w:val="24"/>
        </w:rPr>
        <w:t xml:space="preserve">erroneously </w:t>
      </w:r>
      <w:r w:rsidR="000843B1">
        <w:rPr>
          <w:sz w:val="24"/>
          <w:szCs w:val="24"/>
        </w:rPr>
        <w:t>code</w:t>
      </w:r>
      <w:r w:rsidR="0074523D">
        <w:rPr>
          <w:sz w:val="24"/>
          <w:szCs w:val="24"/>
        </w:rPr>
        <w:t>d</w:t>
      </w:r>
      <w:r w:rsidR="000843B1">
        <w:rPr>
          <w:sz w:val="24"/>
          <w:szCs w:val="24"/>
        </w:rPr>
        <w:t xml:space="preserve"> as the reason for admission</w:t>
      </w:r>
      <w:r w:rsidR="0074523D">
        <w:rPr>
          <w:sz w:val="24"/>
          <w:szCs w:val="24"/>
        </w:rPr>
        <w:t>)</w:t>
      </w:r>
      <w:r w:rsidR="006D4AA4">
        <w:rPr>
          <w:sz w:val="24"/>
          <w:szCs w:val="24"/>
        </w:rPr>
        <w:t xml:space="preserve"> We also h</w:t>
      </w:r>
      <w:r w:rsidR="0051006A">
        <w:rPr>
          <w:sz w:val="24"/>
          <w:szCs w:val="24"/>
        </w:rPr>
        <w:t>ave limited ability to examine e</w:t>
      </w:r>
      <w:r w:rsidR="006D4AA4">
        <w:rPr>
          <w:sz w:val="24"/>
          <w:szCs w:val="24"/>
        </w:rPr>
        <w:t xml:space="preserve">pilepsy management, since </w:t>
      </w:r>
      <w:r w:rsidR="00A2004B">
        <w:rPr>
          <w:rFonts w:eastAsia="Times New Roman"/>
          <w:sz w:val="24"/>
          <w:szCs w:val="24"/>
        </w:rPr>
        <w:t>epilepsy drug and dose changes are</w:t>
      </w:r>
      <w:r w:rsidR="00290A57">
        <w:rPr>
          <w:rFonts w:eastAsia="Times New Roman"/>
          <w:sz w:val="24"/>
          <w:szCs w:val="24"/>
        </w:rPr>
        <w:t xml:space="preserve"> mostly</w:t>
      </w:r>
      <w:r w:rsidR="00A2004B">
        <w:rPr>
          <w:rFonts w:eastAsia="Times New Roman"/>
          <w:sz w:val="24"/>
          <w:szCs w:val="24"/>
        </w:rPr>
        <w:t xml:space="preserve"> initiated and </w:t>
      </w:r>
      <w:r w:rsidR="006D4AA4">
        <w:rPr>
          <w:sz w:val="24"/>
          <w:szCs w:val="24"/>
        </w:rPr>
        <w:t xml:space="preserve">managed </w:t>
      </w:r>
      <w:r w:rsidR="00A2004B">
        <w:rPr>
          <w:sz w:val="24"/>
          <w:szCs w:val="24"/>
        </w:rPr>
        <w:t xml:space="preserve">in England </w:t>
      </w:r>
      <w:r w:rsidR="006D4AA4">
        <w:rPr>
          <w:sz w:val="24"/>
          <w:szCs w:val="24"/>
        </w:rPr>
        <w:t>by non-primary care specialists</w:t>
      </w:r>
      <w:r w:rsidR="00EF3F96">
        <w:rPr>
          <w:sz w:val="24"/>
          <w:szCs w:val="24"/>
        </w:rPr>
        <w:t>.</w:t>
      </w:r>
      <w:r w:rsidR="00CA1671">
        <w:rPr>
          <w:sz w:val="24"/>
          <w:szCs w:val="24"/>
        </w:rPr>
        <w:t xml:space="preserve"> </w:t>
      </w:r>
      <w:r w:rsidR="0051006A">
        <w:rPr>
          <w:sz w:val="24"/>
          <w:szCs w:val="24"/>
        </w:rPr>
        <w:t>Our</w:t>
      </w:r>
      <w:r w:rsidR="00CA12E6">
        <w:rPr>
          <w:sz w:val="24"/>
          <w:szCs w:val="24"/>
        </w:rPr>
        <w:t xml:space="preserve"> comparison of primary care utilisation prior to hospitalis</w:t>
      </w:r>
      <w:r w:rsidR="0006617A">
        <w:rPr>
          <w:sz w:val="24"/>
          <w:szCs w:val="24"/>
        </w:rPr>
        <w:t>ation for two common infections</w:t>
      </w:r>
      <w:r w:rsidR="00CA12E6">
        <w:rPr>
          <w:sz w:val="24"/>
          <w:szCs w:val="24"/>
        </w:rPr>
        <w:t xml:space="preserve"> </w:t>
      </w:r>
      <w:r w:rsidR="00BA1107">
        <w:rPr>
          <w:sz w:val="24"/>
          <w:szCs w:val="24"/>
        </w:rPr>
        <w:t>wa</w:t>
      </w:r>
      <w:r w:rsidR="0051006A">
        <w:rPr>
          <w:sz w:val="24"/>
          <w:szCs w:val="24"/>
        </w:rPr>
        <w:t xml:space="preserve">s an unmatched </w:t>
      </w:r>
      <w:r w:rsidR="00CA12E6">
        <w:rPr>
          <w:sz w:val="24"/>
          <w:szCs w:val="24"/>
        </w:rPr>
        <w:t>analysis</w:t>
      </w:r>
      <w:r w:rsidR="0006617A">
        <w:rPr>
          <w:sz w:val="24"/>
          <w:szCs w:val="24"/>
        </w:rPr>
        <w:t>; given the</w:t>
      </w:r>
      <w:r w:rsidR="00BA1107">
        <w:rPr>
          <w:sz w:val="24"/>
          <w:szCs w:val="24"/>
        </w:rPr>
        <w:t xml:space="preserve"> age-sex differences </w:t>
      </w:r>
      <w:r w:rsidR="0006617A">
        <w:rPr>
          <w:sz w:val="24"/>
          <w:szCs w:val="24"/>
        </w:rPr>
        <w:t xml:space="preserve">between ID patients and controls </w:t>
      </w:r>
      <w:r w:rsidR="00BA1107">
        <w:rPr>
          <w:sz w:val="24"/>
          <w:szCs w:val="24"/>
        </w:rPr>
        <w:t xml:space="preserve">in those presenting, </w:t>
      </w:r>
      <w:r w:rsidR="0051006A">
        <w:rPr>
          <w:sz w:val="24"/>
          <w:szCs w:val="24"/>
        </w:rPr>
        <w:t>we cannot</w:t>
      </w:r>
      <w:r w:rsidR="00CA12E6">
        <w:rPr>
          <w:sz w:val="24"/>
          <w:szCs w:val="24"/>
        </w:rPr>
        <w:t xml:space="preserve"> be sure how comparable the</w:t>
      </w:r>
      <w:r w:rsidR="00BA1107">
        <w:rPr>
          <w:sz w:val="24"/>
          <w:szCs w:val="24"/>
        </w:rPr>
        <w:t xml:space="preserve"> scenarios are for the two groups</w:t>
      </w:r>
      <w:r w:rsidR="00CA12E6">
        <w:rPr>
          <w:sz w:val="24"/>
          <w:szCs w:val="24"/>
        </w:rPr>
        <w:t>.</w:t>
      </w:r>
    </w:p>
    <w:p w14:paraId="7E2ACEC4" w14:textId="77777777" w:rsidR="002F56DD" w:rsidRPr="00F8605C" w:rsidRDefault="002F56DD" w:rsidP="001D1600">
      <w:pPr>
        <w:spacing w:after="0" w:line="480" w:lineRule="auto"/>
        <w:jc w:val="both"/>
        <w:rPr>
          <w:sz w:val="24"/>
          <w:szCs w:val="24"/>
        </w:rPr>
      </w:pPr>
    </w:p>
    <w:p w14:paraId="4B4B3D0C" w14:textId="77777777" w:rsidR="00386926" w:rsidRDefault="00386926" w:rsidP="001D1600">
      <w:pPr>
        <w:spacing w:after="0" w:line="480" w:lineRule="auto"/>
        <w:jc w:val="both"/>
        <w:rPr>
          <w:i/>
          <w:sz w:val="24"/>
          <w:szCs w:val="24"/>
        </w:rPr>
      </w:pPr>
      <w:r w:rsidRPr="004C60CD">
        <w:rPr>
          <w:i/>
          <w:sz w:val="24"/>
          <w:szCs w:val="24"/>
        </w:rPr>
        <w:t>Context</w:t>
      </w:r>
    </w:p>
    <w:p w14:paraId="33C4E535" w14:textId="22DEBE39" w:rsidR="00A21AAA" w:rsidRDefault="00A21F00" w:rsidP="001D1600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There </w:t>
      </w:r>
      <w:r w:rsidR="009E21F5">
        <w:rPr>
          <w:sz w:val="24"/>
          <w:szCs w:val="24"/>
        </w:rPr>
        <w:t xml:space="preserve">are few </w:t>
      </w:r>
      <w:r w:rsidR="006C36F2">
        <w:rPr>
          <w:sz w:val="24"/>
          <w:szCs w:val="24"/>
        </w:rPr>
        <w:t xml:space="preserve">recent </w:t>
      </w:r>
      <w:r w:rsidR="009E21F5">
        <w:rPr>
          <w:sz w:val="24"/>
          <w:szCs w:val="24"/>
        </w:rPr>
        <w:t>studies about</w:t>
      </w:r>
      <w:r>
        <w:rPr>
          <w:sz w:val="24"/>
          <w:szCs w:val="24"/>
        </w:rPr>
        <w:t xml:space="preserve"> emergency hospital us</w:t>
      </w:r>
      <w:r w:rsidR="00BA1107">
        <w:rPr>
          <w:sz w:val="24"/>
          <w:szCs w:val="24"/>
        </w:rPr>
        <w:t>age by adults with ID</w:t>
      </w:r>
      <w:r w:rsidR="00682B53">
        <w:rPr>
          <w:sz w:val="24"/>
          <w:szCs w:val="24"/>
        </w:rPr>
        <w:fldChar w:fldCharType="begin"/>
      </w:r>
      <w:r w:rsidR="00370022">
        <w:rPr>
          <w:sz w:val="24"/>
          <w:szCs w:val="24"/>
        </w:rPr>
        <w:instrText xml:space="preserve"> ADDIN EN.CITE &lt;EndNote&gt;&lt;Cite&gt;&lt;Author&gt;Morgan&lt;/Author&gt;&lt;Year&gt;2000&lt;/Year&gt;&lt;RecNum&gt;503&lt;/RecNum&gt;&lt;IDText&gt;Health care provision for people with a learning disability - Record-linkage study of epidemiology and factors contributing to hospital care uptake&lt;/IDText&gt;&lt;DisplayText&gt;&lt;style face="superscript"&gt;19&lt;/style&gt;&lt;/DisplayText&gt;&lt;record&gt;&lt;rec-number&gt;503&lt;/rec-number&gt;&lt;foreign-keys&gt;&lt;key app="EN" db-id="9vd5rfe5s0azere5pfyx0xrzazafratsxvvv" timestamp="1466420104"&gt;503&lt;/key&gt;&lt;key app="ENWeb" db-id=""&gt;0&lt;/key&gt;&lt;/foreign-keys&gt;&lt;ref-type name="Journal Article"&gt;17&lt;/ref-type&gt;&lt;contributors&gt;&lt;authors&gt;&lt;author&gt;Morgan, C. L.&lt;/author&gt;&lt;author&gt;Ahmed, Z.&lt;/author&gt;&lt;author&gt;Kerr, M. P.&lt;/author&gt;&lt;/authors&gt;&lt;/contributors&gt;&lt;titles&gt;&lt;title&gt;Health care provision for people with a learning disability - Record-linkage study of epidemiology and factors contributing to hospital care uptake&lt;/title&gt;&lt;secondary-title&gt;British Journal of Psychiatry&lt;/secondary-title&gt;&lt;/titles&gt;&lt;periodical&gt;&lt;full-title&gt;British Journal of Psychiatry&lt;/full-title&gt;&lt;abbr-1&gt;Br. J. Psychiatry&lt;/abbr-1&gt;&lt;abbr-2&gt;Br J Psychiatry&lt;/abbr-2&gt;&lt;/periodical&gt;&lt;pages&gt;37-41&lt;/pages&gt;&lt;volume&gt;176&lt;/volume&gt;&lt;dates&gt;&lt;year&gt;2000&lt;/year&gt;&lt;pub-dates&gt;&lt;date&gt;Jan&lt;/date&gt;&lt;/pub-dates&gt;&lt;/dates&gt;&lt;isbn&gt;0007-1250&lt;/isbn&gt;&lt;accession-num&gt;WOS:000084759100008&lt;/accession-num&gt;&lt;urls&gt;&lt;related-urls&gt;&lt;url&gt;&amp;lt;Go to ISI&amp;gt;://WOS:000084759100008&lt;/url&gt;&lt;url&gt;http://bjp.rcpsych.org/content/bjprcpsych/176/1/37.full.pdf&lt;/url&gt;&lt;/related-urls&gt;&lt;/urls&gt;&lt;electronic-resource-num&gt;10.1192/bjp.176.1.37&lt;/electronic-resource-num&gt;&lt;/record&gt;&lt;/Cite&gt;&lt;/EndNote&gt;</w:instrText>
      </w:r>
      <w:r w:rsidR="00682B53">
        <w:rPr>
          <w:sz w:val="24"/>
          <w:szCs w:val="24"/>
        </w:rPr>
        <w:fldChar w:fldCharType="separate"/>
      </w:r>
      <w:r w:rsidR="00370022" w:rsidRPr="00370022">
        <w:rPr>
          <w:noProof/>
          <w:sz w:val="24"/>
          <w:szCs w:val="24"/>
          <w:vertAlign w:val="superscript"/>
        </w:rPr>
        <w:t>19</w:t>
      </w:r>
      <w:r w:rsidR="00682B53">
        <w:rPr>
          <w:sz w:val="24"/>
          <w:szCs w:val="24"/>
        </w:rPr>
        <w:fldChar w:fldCharType="end"/>
      </w:r>
      <w:r w:rsidR="00BA1107">
        <w:rPr>
          <w:sz w:val="24"/>
          <w:szCs w:val="24"/>
        </w:rPr>
        <w:t>. In England</w:t>
      </w:r>
      <w:r w:rsidR="00CA12E6">
        <w:rPr>
          <w:sz w:val="24"/>
          <w:szCs w:val="24"/>
        </w:rPr>
        <w:t>,</w:t>
      </w:r>
      <w:r>
        <w:rPr>
          <w:sz w:val="24"/>
          <w:szCs w:val="24"/>
        </w:rPr>
        <w:t xml:space="preserve"> the only previous </w:t>
      </w:r>
      <w:r w:rsidR="003F6801">
        <w:rPr>
          <w:sz w:val="24"/>
          <w:szCs w:val="24"/>
        </w:rPr>
        <w:t xml:space="preserve">large-scale </w:t>
      </w:r>
      <w:r w:rsidR="00BA1107">
        <w:rPr>
          <w:sz w:val="24"/>
          <w:szCs w:val="24"/>
        </w:rPr>
        <w:t>national</w:t>
      </w:r>
      <w:r>
        <w:rPr>
          <w:sz w:val="24"/>
          <w:szCs w:val="24"/>
        </w:rPr>
        <w:t xml:space="preserve"> study</w:t>
      </w:r>
      <w:r w:rsidR="003F6801">
        <w:rPr>
          <w:sz w:val="24"/>
          <w:szCs w:val="24"/>
        </w:rPr>
        <w:t xml:space="preserve"> (2005-</w:t>
      </w:r>
      <w:r w:rsidR="006C0DE6">
        <w:rPr>
          <w:sz w:val="24"/>
          <w:szCs w:val="24"/>
        </w:rPr>
        <w:t>0</w:t>
      </w:r>
      <w:r w:rsidR="003F6801">
        <w:rPr>
          <w:sz w:val="24"/>
          <w:szCs w:val="24"/>
        </w:rPr>
        <w:t>9)</w:t>
      </w:r>
      <w:r>
        <w:rPr>
          <w:sz w:val="24"/>
          <w:szCs w:val="24"/>
        </w:rPr>
        <w:t xml:space="preserve"> </w:t>
      </w:r>
      <w:r w:rsidR="00BA1107">
        <w:rPr>
          <w:sz w:val="24"/>
          <w:szCs w:val="24"/>
        </w:rPr>
        <w:t xml:space="preserve">relied solely on the </w:t>
      </w:r>
      <w:r w:rsidR="002739E5">
        <w:rPr>
          <w:sz w:val="24"/>
          <w:szCs w:val="24"/>
        </w:rPr>
        <w:t>identification of ID from hospital data</w:t>
      </w:r>
      <w:r w:rsidR="00682B53">
        <w:rPr>
          <w:sz w:val="24"/>
          <w:szCs w:val="24"/>
        </w:rPr>
        <w:fldChar w:fldCharType="begin"/>
      </w:r>
      <w:r w:rsidR="007C5F24">
        <w:rPr>
          <w:sz w:val="24"/>
          <w:szCs w:val="24"/>
        </w:rPr>
        <w:instrText xml:space="preserve"> ADDIN EN.CITE &lt;EndNote&gt;&lt;Cite&gt;&lt;Author&gt;Glover&lt;/Author&gt;&lt;Year&gt;2013&lt;/Year&gt;&lt;RecNum&gt;560&lt;/RecNum&gt;&lt;IDText&gt;Hospital admissions that should not happen&lt;/IDText&gt;&lt;DisplayText&gt;&lt;style face="superscript"&gt;8&lt;/style&gt;&lt;/DisplayText&gt;&lt;record&gt;&lt;rec-number&gt;560&lt;/rec-number&gt;&lt;foreign-keys&gt;&lt;key app="EN" db-id="9vd5rfe5s0azere5pfyx0xrzazafratsxvvv" timestamp="1466420169"&gt;560&lt;/key&gt;&lt;key app="ENWeb" db-id=""&gt;0&lt;/key&gt;&lt;/foreign-keys&gt;&lt;ref-type name="Electronic Book"&gt;44&lt;/ref-type&gt;&lt;contributors&gt;&lt;authors&gt;&lt;author&gt;Glover, Gyles&lt;/author&gt;&lt;author&gt;Evison, Felicity&lt;/author&gt;&lt;/authors&gt;&lt;/contributors&gt;&lt;titles&gt;&lt;title&gt;Hospital admissions that should not happen&lt;/title&gt;&lt;/titles&gt;&lt;dates&gt;&lt;year&gt;2013&lt;/year&gt;&lt;pub-dates&gt;&lt;date&gt;03/11/2015&lt;/date&gt;&lt;/pub-dates&gt;&lt;/dates&gt;&lt;pub-location&gt;United Kingdom&lt;/pub-location&gt;&lt;publisher&gt;Improving Health and Lives: Learning Disabilities Observatory&lt;/publisher&gt;&lt;urls&gt;&lt;related-urls&gt;&lt;url&gt;http://www.ndti.org.uk/uploads/files/IHAL-2013-02_Hospital_admissions_that_should_not_happen_ii.pdf&lt;/url&gt;&lt;/related-urls&gt;&lt;/urls&gt;&lt;/record&gt;&lt;/Cite&gt;&lt;/EndNote&gt;</w:instrText>
      </w:r>
      <w:r w:rsidR="00682B53">
        <w:rPr>
          <w:sz w:val="24"/>
          <w:szCs w:val="24"/>
        </w:rPr>
        <w:fldChar w:fldCharType="separate"/>
      </w:r>
      <w:r w:rsidR="007C5F24" w:rsidRPr="007C5F24">
        <w:rPr>
          <w:noProof/>
          <w:sz w:val="24"/>
          <w:szCs w:val="24"/>
          <w:vertAlign w:val="superscript"/>
        </w:rPr>
        <w:t>8</w:t>
      </w:r>
      <w:r w:rsidR="00682B5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. </w:t>
      </w:r>
      <w:r w:rsidR="00BA1107">
        <w:rPr>
          <w:sz w:val="24"/>
          <w:szCs w:val="24"/>
        </w:rPr>
        <w:t>We estimate that approximate 1</w:t>
      </w:r>
      <w:r w:rsidR="0074523D">
        <w:rPr>
          <w:sz w:val="24"/>
          <w:szCs w:val="24"/>
        </w:rPr>
        <w:t>-</w:t>
      </w:r>
      <w:r w:rsidR="00BA1107">
        <w:rPr>
          <w:sz w:val="24"/>
          <w:szCs w:val="24"/>
        </w:rPr>
        <w:t>in</w:t>
      </w:r>
      <w:r w:rsidR="0074523D">
        <w:rPr>
          <w:sz w:val="24"/>
          <w:szCs w:val="24"/>
        </w:rPr>
        <w:t>-</w:t>
      </w:r>
      <w:r w:rsidR="00BA1107">
        <w:rPr>
          <w:sz w:val="24"/>
          <w:szCs w:val="24"/>
        </w:rPr>
        <w:t xml:space="preserve">3 adults with ID who have an emergency admission in England will not </w:t>
      </w:r>
      <w:r w:rsidR="002739E5">
        <w:rPr>
          <w:sz w:val="24"/>
          <w:szCs w:val="24"/>
        </w:rPr>
        <w:t>have</w:t>
      </w:r>
      <w:r w:rsidR="00BA1107">
        <w:rPr>
          <w:sz w:val="24"/>
          <w:szCs w:val="24"/>
        </w:rPr>
        <w:t xml:space="preserve"> their ID recorded and this may explain </w:t>
      </w:r>
      <w:r w:rsidR="00664A6E">
        <w:rPr>
          <w:sz w:val="24"/>
          <w:szCs w:val="24"/>
        </w:rPr>
        <w:t>the</w:t>
      </w:r>
      <w:r w:rsidR="00B9121F">
        <w:rPr>
          <w:sz w:val="24"/>
          <w:szCs w:val="24"/>
        </w:rPr>
        <w:t xml:space="preserve"> </w:t>
      </w:r>
      <w:r w:rsidR="009B55E9">
        <w:rPr>
          <w:sz w:val="24"/>
          <w:szCs w:val="24"/>
        </w:rPr>
        <w:t xml:space="preserve">small </w:t>
      </w:r>
      <w:r w:rsidR="00B9121F">
        <w:rPr>
          <w:sz w:val="24"/>
          <w:szCs w:val="24"/>
        </w:rPr>
        <w:t>differences in</w:t>
      </w:r>
      <w:r w:rsidR="00664A6E">
        <w:rPr>
          <w:sz w:val="24"/>
          <w:szCs w:val="24"/>
        </w:rPr>
        <w:t xml:space="preserve"> crude </w:t>
      </w:r>
      <w:r w:rsidR="003F6801">
        <w:rPr>
          <w:sz w:val="24"/>
          <w:szCs w:val="24"/>
        </w:rPr>
        <w:t xml:space="preserve">ACSC </w:t>
      </w:r>
      <w:r w:rsidR="00664A6E">
        <w:rPr>
          <w:sz w:val="24"/>
          <w:szCs w:val="24"/>
        </w:rPr>
        <w:t xml:space="preserve">admission </w:t>
      </w:r>
      <w:r w:rsidR="00B9121F">
        <w:rPr>
          <w:sz w:val="24"/>
          <w:szCs w:val="24"/>
        </w:rPr>
        <w:t xml:space="preserve">rates </w:t>
      </w:r>
      <w:r w:rsidR="00664A6E">
        <w:rPr>
          <w:sz w:val="24"/>
          <w:szCs w:val="24"/>
        </w:rPr>
        <w:t>(ID: 76 per 1</w:t>
      </w:r>
      <w:r w:rsidR="002739E5">
        <w:rPr>
          <w:sz w:val="24"/>
          <w:szCs w:val="24"/>
        </w:rPr>
        <w:t>,</w:t>
      </w:r>
      <w:r w:rsidR="00664A6E">
        <w:rPr>
          <w:sz w:val="24"/>
          <w:szCs w:val="24"/>
        </w:rPr>
        <w:t xml:space="preserve">000 per year vs </w:t>
      </w:r>
      <w:r w:rsidR="00BA1107">
        <w:rPr>
          <w:sz w:val="24"/>
          <w:szCs w:val="24"/>
        </w:rPr>
        <w:t>61</w:t>
      </w:r>
      <w:r w:rsidR="00CA12E6">
        <w:rPr>
          <w:sz w:val="24"/>
          <w:szCs w:val="24"/>
        </w:rPr>
        <w:t xml:space="preserve"> in this study</w:t>
      </w:r>
      <w:r w:rsidR="00664A6E">
        <w:rPr>
          <w:sz w:val="24"/>
          <w:szCs w:val="24"/>
        </w:rPr>
        <w:t xml:space="preserve">), </w:t>
      </w:r>
      <w:r w:rsidR="00A32B05">
        <w:rPr>
          <w:sz w:val="24"/>
          <w:szCs w:val="24"/>
        </w:rPr>
        <w:t>as</w:t>
      </w:r>
      <w:r w:rsidR="009E21F5">
        <w:rPr>
          <w:sz w:val="24"/>
          <w:szCs w:val="24"/>
        </w:rPr>
        <w:t xml:space="preserve"> </w:t>
      </w:r>
      <w:r w:rsidR="00CA12E6">
        <w:rPr>
          <w:sz w:val="24"/>
          <w:szCs w:val="24"/>
        </w:rPr>
        <w:t xml:space="preserve">less severe cases of ID </w:t>
      </w:r>
      <w:r w:rsidR="00A32B05">
        <w:rPr>
          <w:sz w:val="24"/>
          <w:szCs w:val="24"/>
        </w:rPr>
        <w:t>are less</w:t>
      </w:r>
      <w:r w:rsidR="00CA12E6">
        <w:rPr>
          <w:sz w:val="24"/>
          <w:szCs w:val="24"/>
        </w:rPr>
        <w:t xml:space="preserve"> likely to be recorded</w:t>
      </w:r>
      <w:r w:rsidR="00A32B05">
        <w:rPr>
          <w:sz w:val="24"/>
          <w:szCs w:val="24"/>
        </w:rPr>
        <w:t xml:space="preserve"> i</w:t>
      </w:r>
      <w:r w:rsidR="009E21F5">
        <w:rPr>
          <w:sz w:val="24"/>
          <w:szCs w:val="24"/>
        </w:rPr>
        <w:t>n hospital data</w:t>
      </w:r>
      <w:r w:rsidR="00682B53">
        <w:rPr>
          <w:sz w:val="24"/>
          <w:szCs w:val="24"/>
        </w:rPr>
        <w:fldChar w:fldCharType="begin"/>
      </w:r>
      <w:r w:rsidR="007C5F24">
        <w:rPr>
          <w:sz w:val="24"/>
          <w:szCs w:val="24"/>
        </w:rPr>
        <w:instrText xml:space="preserve"> ADDIN EN.CITE &lt;EndNote&gt;&lt;Cite&gt;&lt;Author&gt;Glover&lt;/Author&gt;&lt;Year&gt;2013&lt;/Year&gt;&lt;RecNum&gt;560&lt;/RecNum&gt;&lt;IDText&gt;Hospital admissions that should not happen&lt;/IDText&gt;&lt;DisplayText&gt;&lt;style face="superscript"&gt;8&lt;/style&gt;&lt;/DisplayText&gt;&lt;record&gt;&lt;rec-number&gt;560&lt;/rec-number&gt;&lt;foreign-keys&gt;&lt;key app="EN" db-id="9vd5rfe5s0azere5pfyx0xrzazafratsxvvv" timestamp="1466420169"&gt;560&lt;/key&gt;&lt;key app="ENWeb" db-id=""&gt;0&lt;/key&gt;&lt;/foreign-keys&gt;&lt;ref-type name="Electronic Book"&gt;44&lt;/ref-type&gt;&lt;contributors&gt;&lt;authors&gt;&lt;author&gt;Glover, Gyles&lt;/author&gt;&lt;author&gt;Evison, Felicity&lt;/author&gt;&lt;/authors&gt;&lt;/contributors&gt;&lt;titles&gt;&lt;title&gt;Hospital admissions that should not happen&lt;/title&gt;&lt;/titles&gt;&lt;dates&gt;&lt;year&gt;2013&lt;/year&gt;&lt;pub-dates&gt;&lt;date&gt;03/11/2015&lt;/date&gt;&lt;/pub-dates&gt;&lt;/dates&gt;&lt;pub-location&gt;United Kingdom&lt;/pub-location&gt;&lt;publisher&gt;Improving Health and Lives: Learning Disabilities Observatory&lt;/publisher&gt;&lt;urls&gt;&lt;related-urls&gt;&lt;url&gt;http://www.ndti.org.uk/uploads/files/IHAL-2013-02_Hospital_admissions_that_should_not_happen_ii.pdf&lt;/url&gt;&lt;/related-urls&gt;&lt;/urls&gt;&lt;/record&gt;&lt;/Cite&gt;&lt;/EndNote&gt;</w:instrText>
      </w:r>
      <w:r w:rsidR="00682B53">
        <w:rPr>
          <w:sz w:val="24"/>
          <w:szCs w:val="24"/>
        </w:rPr>
        <w:fldChar w:fldCharType="separate"/>
      </w:r>
      <w:r w:rsidR="007C5F24" w:rsidRPr="007C5F24">
        <w:rPr>
          <w:noProof/>
          <w:sz w:val="24"/>
          <w:szCs w:val="24"/>
          <w:vertAlign w:val="superscript"/>
        </w:rPr>
        <w:t>8</w:t>
      </w:r>
      <w:r w:rsidR="00682B53">
        <w:rPr>
          <w:sz w:val="24"/>
          <w:szCs w:val="24"/>
        </w:rPr>
        <w:fldChar w:fldCharType="end"/>
      </w:r>
      <w:r w:rsidR="00664A6E">
        <w:rPr>
          <w:sz w:val="24"/>
          <w:szCs w:val="24"/>
        </w:rPr>
        <w:t>.</w:t>
      </w:r>
      <w:r w:rsidR="009E21F5">
        <w:rPr>
          <w:sz w:val="24"/>
          <w:szCs w:val="24"/>
        </w:rPr>
        <w:t xml:space="preserve"> </w:t>
      </w:r>
      <w:r w:rsidR="00A32B05">
        <w:rPr>
          <w:sz w:val="24"/>
          <w:szCs w:val="24"/>
        </w:rPr>
        <w:t>Despite being unable to</w:t>
      </w:r>
      <w:r w:rsidR="00A32B05" w:rsidRPr="00B42A00">
        <w:rPr>
          <w:sz w:val="24"/>
          <w:szCs w:val="24"/>
        </w:rPr>
        <w:t xml:space="preserve"> </w:t>
      </w:r>
      <w:r w:rsidR="00C23640">
        <w:rPr>
          <w:sz w:val="24"/>
          <w:szCs w:val="24"/>
        </w:rPr>
        <w:t>calculate</w:t>
      </w:r>
      <w:r w:rsidR="00A32B05" w:rsidRPr="00B42A00">
        <w:rPr>
          <w:sz w:val="24"/>
          <w:szCs w:val="24"/>
        </w:rPr>
        <w:t xml:space="preserve"> population</w:t>
      </w:r>
      <w:r w:rsidR="00A32B05">
        <w:rPr>
          <w:sz w:val="24"/>
          <w:szCs w:val="24"/>
        </w:rPr>
        <w:t xml:space="preserve"> </w:t>
      </w:r>
      <w:r w:rsidR="00A32B05" w:rsidRPr="00B42A00">
        <w:rPr>
          <w:sz w:val="24"/>
          <w:szCs w:val="24"/>
        </w:rPr>
        <w:t>based admission rates</w:t>
      </w:r>
      <w:r w:rsidR="00A32B05">
        <w:rPr>
          <w:sz w:val="24"/>
          <w:szCs w:val="24"/>
        </w:rPr>
        <w:t xml:space="preserve">, their estimated relative </w:t>
      </w:r>
      <w:r w:rsidR="00D86192">
        <w:rPr>
          <w:sz w:val="24"/>
          <w:szCs w:val="24"/>
        </w:rPr>
        <w:t xml:space="preserve">increase </w:t>
      </w:r>
      <w:r w:rsidR="003F6801">
        <w:rPr>
          <w:sz w:val="24"/>
          <w:szCs w:val="24"/>
        </w:rPr>
        <w:t>in</w:t>
      </w:r>
      <w:r w:rsidR="00D86192">
        <w:rPr>
          <w:sz w:val="24"/>
          <w:szCs w:val="24"/>
        </w:rPr>
        <w:t xml:space="preserve"> admissions for ACSC</w:t>
      </w:r>
      <w:r w:rsidR="00A32B05">
        <w:rPr>
          <w:sz w:val="24"/>
          <w:szCs w:val="24"/>
        </w:rPr>
        <w:t>s was similar at around five times higher for adults with ID</w:t>
      </w:r>
      <w:r w:rsidR="00C23640">
        <w:rPr>
          <w:sz w:val="24"/>
          <w:szCs w:val="24"/>
        </w:rPr>
        <w:t xml:space="preserve"> compared to those without</w:t>
      </w:r>
      <w:r w:rsidR="00682B53">
        <w:rPr>
          <w:sz w:val="24"/>
          <w:szCs w:val="24"/>
        </w:rPr>
        <w:fldChar w:fldCharType="begin"/>
      </w:r>
      <w:r w:rsidR="007C5F24">
        <w:rPr>
          <w:sz w:val="24"/>
          <w:szCs w:val="24"/>
        </w:rPr>
        <w:instrText xml:space="preserve"> ADDIN EN.CITE &lt;EndNote&gt;&lt;Cite&gt;&lt;Author&gt;Glover&lt;/Author&gt;&lt;Year&gt;2013&lt;/Year&gt;&lt;RecNum&gt;560&lt;/RecNum&gt;&lt;IDText&gt;Hospital admissions that should not happen&lt;/IDText&gt;&lt;DisplayText&gt;&lt;style face="superscript"&gt;8&lt;/style&gt;&lt;/DisplayText&gt;&lt;record&gt;&lt;rec-number&gt;560&lt;/rec-number&gt;&lt;foreign-keys&gt;&lt;key app="EN" db-id="9vd5rfe5s0azere5pfyx0xrzazafratsxvvv" timestamp="1466420169"&gt;560&lt;/key&gt;&lt;key app="ENWeb" db-id=""&gt;0&lt;/key&gt;&lt;/foreign-keys&gt;&lt;ref-type name="Electronic Book"&gt;44&lt;/ref-type&gt;&lt;contributors&gt;&lt;authors&gt;&lt;author&gt;Glover, Gyles&lt;/author&gt;&lt;author&gt;Evison, Felicity&lt;/author&gt;&lt;/authors&gt;&lt;/contributors&gt;&lt;titles&gt;&lt;title&gt;Hospital admissions that should not happen&lt;/title&gt;&lt;/titles&gt;&lt;dates&gt;&lt;year&gt;2013&lt;/year&gt;&lt;pub-dates&gt;&lt;date&gt;03/11/2015&lt;/date&gt;&lt;/pub-dates&gt;&lt;/dates&gt;&lt;pub-location&gt;United Kingdom&lt;/pub-location&gt;&lt;publisher&gt;Improving Health and Lives: Learning Disabilities Observatory&lt;/publisher&gt;&lt;urls&gt;&lt;related-urls&gt;&lt;url&gt;http://www.ndti.org.uk/uploads/files/IHAL-2013-02_Hospital_admissions_that_should_not_happen_ii.pdf&lt;/url&gt;&lt;/related-urls&gt;&lt;/urls&gt;&lt;/record&gt;&lt;/Cite&gt;&lt;/EndNote&gt;</w:instrText>
      </w:r>
      <w:r w:rsidR="00682B53">
        <w:rPr>
          <w:sz w:val="24"/>
          <w:szCs w:val="24"/>
        </w:rPr>
        <w:fldChar w:fldCharType="separate"/>
      </w:r>
      <w:r w:rsidR="007C5F24" w:rsidRPr="007C5F24">
        <w:rPr>
          <w:noProof/>
          <w:sz w:val="24"/>
          <w:szCs w:val="24"/>
          <w:vertAlign w:val="superscript"/>
        </w:rPr>
        <w:t>8</w:t>
      </w:r>
      <w:r w:rsidR="00682B53">
        <w:rPr>
          <w:sz w:val="24"/>
          <w:szCs w:val="24"/>
        </w:rPr>
        <w:fldChar w:fldCharType="end"/>
      </w:r>
      <w:r w:rsidR="00A32B05">
        <w:rPr>
          <w:sz w:val="24"/>
          <w:szCs w:val="24"/>
        </w:rPr>
        <w:t xml:space="preserve">. </w:t>
      </w:r>
      <w:r w:rsidR="009E21F5">
        <w:rPr>
          <w:sz w:val="24"/>
          <w:szCs w:val="24"/>
        </w:rPr>
        <w:t>There are t</w:t>
      </w:r>
      <w:r w:rsidR="004A288F">
        <w:rPr>
          <w:sz w:val="24"/>
          <w:szCs w:val="24"/>
        </w:rPr>
        <w:t>hree</w:t>
      </w:r>
      <w:r w:rsidR="00A21AAA">
        <w:rPr>
          <w:sz w:val="24"/>
          <w:szCs w:val="24"/>
        </w:rPr>
        <w:t xml:space="preserve"> other large-scale studies </w:t>
      </w:r>
      <w:r w:rsidR="00C23640">
        <w:rPr>
          <w:sz w:val="24"/>
          <w:szCs w:val="24"/>
        </w:rPr>
        <w:t>on</w:t>
      </w:r>
      <w:r w:rsidR="00003A92">
        <w:rPr>
          <w:sz w:val="24"/>
          <w:szCs w:val="24"/>
        </w:rPr>
        <w:t xml:space="preserve"> </w:t>
      </w:r>
      <w:r w:rsidR="009E21F5">
        <w:rPr>
          <w:sz w:val="24"/>
          <w:szCs w:val="24"/>
        </w:rPr>
        <w:t>hospitalisation</w:t>
      </w:r>
      <w:r w:rsidR="00C23640">
        <w:rPr>
          <w:sz w:val="24"/>
          <w:szCs w:val="24"/>
        </w:rPr>
        <w:t>s</w:t>
      </w:r>
      <w:r w:rsidR="009E21F5">
        <w:rPr>
          <w:sz w:val="24"/>
          <w:szCs w:val="24"/>
        </w:rPr>
        <w:t xml:space="preserve"> of </w:t>
      </w:r>
      <w:r w:rsidR="00003A92">
        <w:rPr>
          <w:sz w:val="24"/>
          <w:szCs w:val="24"/>
        </w:rPr>
        <w:t>adults with ID</w:t>
      </w:r>
      <w:r w:rsidR="004A288F">
        <w:rPr>
          <w:sz w:val="24"/>
          <w:szCs w:val="24"/>
        </w:rPr>
        <w:t xml:space="preserve">, but </w:t>
      </w:r>
      <w:r w:rsidR="00C95F20">
        <w:rPr>
          <w:sz w:val="24"/>
          <w:szCs w:val="24"/>
        </w:rPr>
        <w:t xml:space="preserve">they </w:t>
      </w:r>
      <w:r w:rsidR="005C4E3A">
        <w:rPr>
          <w:sz w:val="24"/>
          <w:szCs w:val="24"/>
        </w:rPr>
        <w:t>were unable to</w:t>
      </w:r>
      <w:r w:rsidR="00A21AAA">
        <w:rPr>
          <w:sz w:val="24"/>
          <w:szCs w:val="24"/>
        </w:rPr>
        <w:t xml:space="preserve"> differentiat</w:t>
      </w:r>
      <w:r w:rsidR="00676DAF">
        <w:rPr>
          <w:sz w:val="24"/>
          <w:szCs w:val="24"/>
        </w:rPr>
        <w:t>e</w:t>
      </w:r>
      <w:r w:rsidR="00A21AAA">
        <w:rPr>
          <w:sz w:val="24"/>
          <w:szCs w:val="24"/>
        </w:rPr>
        <w:t xml:space="preserve"> between emergency and </w:t>
      </w:r>
      <w:r w:rsidR="00C95F20">
        <w:rPr>
          <w:sz w:val="24"/>
          <w:szCs w:val="24"/>
        </w:rPr>
        <w:t>planned</w:t>
      </w:r>
      <w:r w:rsidR="00A21AAA">
        <w:rPr>
          <w:sz w:val="24"/>
          <w:szCs w:val="24"/>
        </w:rPr>
        <w:t xml:space="preserve"> admissions</w:t>
      </w:r>
      <w:r w:rsidR="00682B53">
        <w:rPr>
          <w:sz w:val="24"/>
          <w:szCs w:val="24"/>
        </w:rPr>
        <w:fldChar w:fldCharType="begin">
          <w:fldData xml:space="preserve">PEVuZE5vdGU+PENpdGU+PEF1dGhvcj5CYWxvZ2g8L0F1dGhvcj48WWVhcj4yMDEwPC9ZZWFyPjxS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=
</w:fldData>
        </w:fldChar>
      </w:r>
      <w:r w:rsidR="00370022">
        <w:rPr>
          <w:sz w:val="24"/>
          <w:szCs w:val="24"/>
        </w:rPr>
        <w:instrText xml:space="preserve"> ADDIN EN.CITE </w:instrText>
      </w:r>
      <w:r w:rsidR="00370022">
        <w:rPr>
          <w:sz w:val="24"/>
          <w:szCs w:val="24"/>
        </w:rPr>
        <w:fldChar w:fldCharType="begin">
          <w:fldData xml:space="preserve">PEVuZE5vdGU+PENpdGU+PEF1dGhvcj5CYWxvZ2g8L0F1dGhvcj48WWVhcj4yMDEwPC9ZZWFyPjxS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=
</w:fldData>
        </w:fldChar>
      </w:r>
      <w:r w:rsidR="00370022">
        <w:rPr>
          <w:sz w:val="24"/>
          <w:szCs w:val="24"/>
        </w:rPr>
        <w:instrText xml:space="preserve"> ADDIN EN.CITE.DATA </w:instrText>
      </w:r>
      <w:r w:rsidR="00370022">
        <w:rPr>
          <w:sz w:val="24"/>
          <w:szCs w:val="24"/>
        </w:rPr>
      </w:r>
      <w:r w:rsidR="00370022">
        <w:rPr>
          <w:sz w:val="24"/>
          <w:szCs w:val="24"/>
        </w:rPr>
        <w:fldChar w:fldCharType="end"/>
      </w:r>
      <w:r w:rsidR="00682B53">
        <w:rPr>
          <w:sz w:val="24"/>
          <w:szCs w:val="24"/>
        </w:rPr>
      </w:r>
      <w:r w:rsidR="00682B53">
        <w:rPr>
          <w:sz w:val="24"/>
          <w:szCs w:val="24"/>
        </w:rPr>
        <w:fldChar w:fldCharType="separate"/>
      </w:r>
      <w:r w:rsidR="00370022" w:rsidRPr="00370022">
        <w:rPr>
          <w:noProof/>
          <w:sz w:val="24"/>
          <w:szCs w:val="24"/>
          <w:vertAlign w:val="superscript"/>
        </w:rPr>
        <w:t>9,20,21</w:t>
      </w:r>
      <w:r w:rsidR="00682B53">
        <w:rPr>
          <w:sz w:val="24"/>
          <w:szCs w:val="24"/>
        </w:rPr>
        <w:fldChar w:fldCharType="end"/>
      </w:r>
      <w:r w:rsidR="00A21AAA">
        <w:rPr>
          <w:sz w:val="24"/>
          <w:szCs w:val="24"/>
        </w:rPr>
        <w:t xml:space="preserve">. Our focus on </w:t>
      </w:r>
      <w:r w:rsidR="000A352C">
        <w:rPr>
          <w:sz w:val="24"/>
          <w:szCs w:val="24"/>
        </w:rPr>
        <w:t>preventab</w:t>
      </w:r>
      <w:r w:rsidR="00A21AAA">
        <w:rPr>
          <w:sz w:val="24"/>
          <w:szCs w:val="24"/>
        </w:rPr>
        <w:t xml:space="preserve">le emergency admissions means that any comparison </w:t>
      </w:r>
      <w:r w:rsidR="00003A92">
        <w:rPr>
          <w:sz w:val="24"/>
          <w:szCs w:val="24"/>
        </w:rPr>
        <w:t xml:space="preserve">is </w:t>
      </w:r>
      <w:r w:rsidR="00A21AAA">
        <w:rPr>
          <w:sz w:val="24"/>
          <w:szCs w:val="24"/>
        </w:rPr>
        <w:t xml:space="preserve">difficult, as we would not expect </w:t>
      </w:r>
      <w:r w:rsidR="00803CC9">
        <w:rPr>
          <w:sz w:val="24"/>
          <w:szCs w:val="24"/>
        </w:rPr>
        <w:t xml:space="preserve">good </w:t>
      </w:r>
      <w:r w:rsidR="00A21AAA">
        <w:rPr>
          <w:sz w:val="24"/>
          <w:szCs w:val="24"/>
        </w:rPr>
        <w:t>primary care</w:t>
      </w:r>
      <w:r w:rsidR="00803CC9">
        <w:rPr>
          <w:sz w:val="24"/>
          <w:szCs w:val="24"/>
        </w:rPr>
        <w:t xml:space="preserve"> management</w:t>
      </w:r>
      <w:r w:rsidR="00A21AAA">
        <w:rPr>
          <w:sz w:val="24"/>
          <w:szCs w:val="24"/>
        </w:rPr>
        <w:t xml:space="preserve"> to decrease planned admissions for </w:t>
      </w:r>
      <w:r w:rsidR="00D86192">
        <w:rPr>
          <w:sz w:val="24"/>
          <w:szCs w:val="24"/>
        </w:rPr>
        <w:t>ACSC</w:t>
      </w:r>
      <w:r w:rsidR="00A21AAA">
        <w:rPr>
          <w:sz w:val="24"/>
          <w:szCs w:val="24"/>
        </w:rPr>
        <w:t xml:space="preserve">s. </w:t>
      </w:r>
    </w:p>
    <w:p w14:paraId="347A01F4" w14:textId="77777777" w:rsidR="002739E5" w:rsidRPr="00F8605C" w:rsidRDefault="002739E5" w:rsidP="001D1600">
      <w:pPr>
        <w:spacing w:after="0" w:line="480" w:lineRule="auto"/>
        <w:jc w:val="both"/>
        <w:rPr>
          <w:sz w:val="24"/>
          <w:szCs w:val="24"/>
        </w:rPr>
      </w:pPr>
    </w:p>
    <w:p w14:paraId="6144461C" w14:textId="77777777" w:rsidR="00386926" w:rsidRDefault="00386926" w:rsidP="001D1600">
      <w:pPr>
        <w:spacing w:after="0" w:line="480" w:lineRule="auto"/>
        <w:jc w:val="both"/>
        <w:rPr>
          <w:i/>
          <w:sz w:val="24"/>
          <w:szCs w:val="24"/>
        </w:rPr>
      </w:pPr>
      <w:r w:rsidRPr="00EC4EF9">
        <w:rPr>
          <w:i/>
          <w:sz w:val="24"/>
          <w:szCs w:val="24"/>
        </w:rPr>
        <w:t>Implications</w:t>
      </w:r>
    </w:p>
    <w:p w14:paraId="4F673981" w14:textId="6F3572B1" w:rsidR="0051121E" w:rsidRPr="00BD7946" w:rsidRDefault="001C76BA" w:rsidP="001D1600">
      <w:pPr>
        <w:spacing w:after="0" w:line="480" w:lineRule="auto"/>
        <w:jc w:val="both"/>
        <w:rPr>
          <w:sz w:val="24"/>
          <w:szCs w:val="24"/>
        </w:rPr>
      </w:pPr>
      <w:r w:rsidRPr="00EC4EF9">
        <w:rPr>
          <w:sz w:val="24"/>
          <w:szCs w:val="24"/>
        </w:rPr>
        <w:t xml:space="preserve">Accurate </w:t>
      </w:r>
      <w:r w:rsidR="00483B6B">
        <w:rPr>
          <w:sz w:val="24"/>
          <w:szCs w:val="24"/>
        </w:rPr>
        <w:t xml:space="preserve">and detailed </w:t>
      </w:r>
      <w:r w:rsidRPr="00EC4EF9">
        <w:rPr>
          <w:sz w:val="24"/>
          <w:szCs w:val="24"/>
        </w:rPr>
        <w:t xml:space="preserve">information on </w:t>
      </w:r>
      <w:r w:rsidR="00483B6B">
        <w:rPr>
          <w:sz w:val="24"/>
          <w:szCs w:val="24"/>
        </w:rPr>
        <w:t xml:space="preserve">the </w:t>
      </w:r>
      <w:r w:rsidRPr="00EC4EF9">
        <w:rPr>
          <w:sz w:val="24"/>
          <w:szCs w:val="24"/>
        </w:rPr>
        <w:t>hospitalisation</w:t>
      </w:r>
      <w:r w:rsidR="00483B6B">
        <w:rPr>
          <w:sz w:val="24"/>
          <w:szCs w:val="24"/>
        </w:rPr>
        <w:t xml:space="preserve"> patterns of people with ID</w:t>
      </w:r>
      <w:r w:rsidRPr="00EC4EF9">
        <w:rPr>
          <w:sz w:val="24"/>
          <w:szCs w:val="24"/>
        </w:rPr>
        <w:t xml:space="preserve"> is essential for future planning</w:t>
      </w:r>
      <w:r w:rsidR="00483B6B">
        <w:rPr>
          <w:sz w:val="24"/>
          <w:szCs w:val="24"/>
        </w:rPr>
        <w:t xml:space="preserve"> and policy making</w:t>
      </w:r>
      <w:r w:rsidR="00682B53">
        <w:rPr>
          <w:sz w:val="24"/>
          <w:szCs w:val="24"/>
        </w:rPr>
        <w:fldChar w:fldCharType="begin"/>
      </w:r>
      <w:r w:rsidR="00370022">
        <w:rPr>
          <w:sz w:val="24"/>
          <w:szCs w:val="24"/>
        </w:rPr>
        <w:instrText xml:space="preserve"> ADDIN EN.CITE &lt;EndNote&gt;&lt;Cite&gt;&lt;Author&gt;Glover&lt;/Author&gt;&lt;Year&gt;2015&lt;/Year&gt;&lt;RecNum&gt;533&lt;/RecNum&gt;&lt;DisplayText&gt;&lt;style face="superscript"&gt;22&lt;/style&gt;&lt;/DisplayText&gt;&lt;record&gt;&lt;rec-number&gt;533&lt;/rec-number&gt;&lt;foreign-keys&gt;&lt;key app="EN" db-id="9vd5rfe5s0azere5pfyx0xrzazafratsxvvv" timestamp="1466420132"&gt;533&lt;/key&gt;&lt;/foreign-keys&gt;&lt;ref-type name="Journal Article"&gt;17&lt;/ref-type&gt;&lt;contributors&gt;&lt;authors&gt;&lt;author&gt;Glover, Gyles&lt;/author&gt;&lt;/authors&gt;&lt;/contributors&gt;&lt;titles&gt;&lt;title&gt;Numbers and Policy in Care for People with Intellectual Disability in the United Kingdom&lt;/title&gt;&lt;secondary-title&gt;Journal of Applied Research in Intellectual Disabilities&lt;/secondary-title&gt;&lt;/titles&gt;&lt;periodical&gt;&lt;full-title&gt;Journal of Applied Research in Intellectual Disabilities&lt;/full-title&gt;&lt;abbr-1&gt;J Appl Res Intellect Disabil&lt;/abbr-1&gt;&lt;/periodical&gt;&lt;pages&gt;12-21&lt;/pages&gt;&lt;volume&gt;28&lt;/volume&gt;&lt;number&gt;1&lt;/number&gt;&lt;dates&gt;&lt;year&gt;2015&lt;/year&gt;&lt;pub-dates&gt;&lt;date&gt;Jan&lt;/date&gt;&lt;/pub-dates&gt;&lt;/dates&gt;&lt;isbn&gt;1360-2322&lt;/isbn&gt;&lt;accession-num&gt;WOS:000346735200003&lt;/accession-num&gt;&lt;urls&gt;&lt;related-urls&gt;&lt;url&gt;&amp;lt;Go to ISI&amp;gt;://WOS:000346735200003&lt;/url&gt;&lt;/related-urls&gt;&lt;/urls&gt;&lt;electronic-resource-num&gt;10.1111/jar.12131&lt;/electronic-resource-num&gt;&lt;/record&gt;&lt;/Cite&gt;&lt;/EndNote&gt;</w:instrText>
      </w:r>
      <w:r w:rsidR="00682B53">
        <w:rPr>
          <w:sz w:val="24"/>
          <w:szCs w:val="24"/>
        </w:rPr>
        <w:fldChar w:fldCharType="separate"/>
      </w:r>
      <w:r w:rsidR="00370022" w:rsidRPr="00370022">
        <w:rPr>
          <w:noProof/>
          <w:sz w:val="24"/>
          <w:szCs w:val="24"/>
          <w:vertAlign w:val="superscript"/>
        </w:rPr>
        <w:t>22</w:t>
      </w:r>
      <w:r w:rsidR="00682B53">
        <w:rPr>
          <w:sz w:val="24"/>
          <w:szCs w:val="24"/>
        </w:rPr>
        <w:fldChar w:fldCharType="end"/>
      </w:r>
      <w:r w:rsidRPr="00EC4EF9">
        <w:rPr>
          <w:sz w:val="24"/>
          <w:szCs w:val="24"/>
        </w:rPr>
        <w:t>. In particular</w:t>
      </w:r>
      <w:r w:rsidR="00336A12">
        <w:rPr>
          <w:sz w:val="24"/>
          <w:szCs w:val="24"/>
        </w:rPr>
        <w:t>,</w:t>
      </w:r>
      <w:r w:rsidRPr="00EC4EF9">
        <w:rPr>
          <w:sz w:val="24"/>
          <w:szCs w:val="24"/>
        </w:rPr>
        <w:t xml:space="preserve"> </w:t>
      </w:r>
      <w:r w:rsidR="0074523D">
        <w:rPr>
          <w:sz w:val="24"/>
          <w:szCs w:val="24"/>
        </w:rPr>
        <w:t xml:space="preserve">with increasing </w:t>
      </w:r>
      <w:r w:rsidRPr="00EC4EF9">
        <w:rPr>
          <w:sz w:val="24"/>
          <w:szCs w:val="24"/>
        </w:rPr>
        <w:t>life expectancy</w:t>
      </w:r>
      <w:r w:rsidR="0074523D">
        <w:rPr>
          <w:sz w:val="24"/>
          <w:szCs w:val="24"/>
        </w:rPr>
        <w:t xml:space="preserve"> for</w:t>
      </w:r>
      <w:r w:rsidRPr="00EC4EF9">
        <w:rPr>
          <w:sz w:val="24"/>
          <w:szCs w:val="24"/>
        </w:rPr>
        <w:t>adults with ID</w:t>
      </w:r>
      <w:r w:rsidR="00682B53">
        <w:rPr>
          <w:sz w:val="24"/>
          <w:szCs w:val="24"/>
        </w:rPr>
        <w:fldChar w:fldCharType="begin"/>
      </w:r>
      <w:r w:rsidR="00370022">
        <w:rPr>
          <w:sz w:val="24"/>
          <w:szCs w:val="24"/>
        </w:rPr>
        <w:instrText xml:space="preserve"> ADDIN EN.CITE &lt;EndNote&gt;&lt;Cite&gt;&lt;Author&gt;Patja&lt;/Author&gt;&lt;Year&gt;2000&lt;/Year&gt;&lt;RecNum&gt;425&lt;/RecNum&gt;&lt;DisplayText&gt;&lt;style face="superscript"&gt;23&lt;/style&gt;&lt;/DisplayText&gt;&lt;record&gt;&lt;rec-number&gt;425&lt;/rec-number&gt;&lt;foreign-keys&gt;&lt;key app="EN" db-id="9vd5rfe5s0azere5pfyx0xrzazafratsxvvv" timestamp="1466419996"&gt;425&lt;/key&gt;&lt;/foreign-keys&gt;&lt;ref-type name="Journal Article"&gt;17&lt;/ref-type&gt;&lt;contributors&gt;&lt;authors&gt;&lt;author&gt;Patja, K.&lt;/author&gt;&lt;author&gt;Iivanainen, M.&lt;/author&gt;&lt;author&gt;Vesala, H.&lt;/author&gt;&lt;author&gt;Oksanen, H.&lt;/author&gt;&lt;author&gt;Ruoppila, I.&lt;/author&gt;&lt;/authors&gt;&lt;/contributors&gt;&lt;auth-address&gt;Department of Child Neurology, Hospital for Children and Adolescents, University of Helsinki, Finland.&lt;/auth-address&gt;&lt;titles&gt;&lt;title&gt;Life expectancy of people with intellectual disability: a 35-year follow-up study&lt;/title&gt;&lt;secondary-title&gt;J Intellect Disabil Res&lt;/secondary-title&gt;&lt;/titles&gt;&lt;periodical&gt;&lt;full-title&gt;J Intellect Disabil Res&lt;/full-title&gt;&lt;/periodical&gt;&lt;pages&gt;591-9&lt;/pages&gt;&lt;volume&gt;44 ( Pt 5)&lt;/volume&gt;&lt;edition&gt;2000/11/18&lt;/edition&gt;&lt;keywords&gt;&lt;keyword&gt;Adolescent&lt;/keyword&gt;&lt;keyword&gt;Adult&lt;/keyword&gt;&lt;keyword&gt;Aged&lt;/keyword&gt;&lt;keyword&gt;Aged, 80 and over&lt;/keyword&gt;&lt;keyword&gt;Child&lt;/keyword&gt;&lt;keyword&gt;Child, Preschool&lt;/keyword&gt;&lt;keyword&gt;Female&lt;/keyword&gt;&lt;keyword&gt;Follow-Up Studies&lt;/keyword&gt;&lt;keyword&gt;Health Status&lt;/keyword&gt;&lt;keyword&gt;Humans&lt;/keyword&gt;&lt;keyword&gt;Intellectual Disability/diagnosis/epidemiology&lt;/keyword&gt;&lt;keyword&gt;Life Expectancy&lt;/keyword&gt;&lt;keyword&gt;Male&lt;/keyword&gt;&lt;keyword&gt;Middle Aged&lt;/keyword&gt;&lt;keyword&gt;Risk Factors&lt;/keyword&gt;&lt;keyword&gt;Severity of Illness Index&lt;/keyword&gt;&lt;keyword&gt;Sex Factors&lt;/keyword&gt;&lt;/keywords&gt;&lt;dates&gt;&lt;year&gt;2000&lt;/year&gt;&lt;pub-dates&gt;&lt;date&gt;Oct&lt;/date&gt;&lt;/pub-dates&gt;&lt;/dates&gt;&lt;isbn&gt;0964-2633 (Print)0964-2633 (Linking)&lt;/isbn&gt;&lt;accession-num&gt;11079356&lt;/accession-num&gt;&lt;urls&gt;&lt;related-urls&gt;&lt;url&gt;http://dx.doi.org/&lt;/url&gt;&lt;/related-urls&gt;&lt;/urls&gt;&lt;remote-database-provider&gt;NLM&lt;/remote-database-provider&gt;&lt;language&gt;eng&lt;/language&gt;&lt;/record&gt;&lt;/Cite&gt;&lt;/EndNote&gt;</w:instrText>
      </w:r>
      <w:r w:rsidR="00682B53">
        <w:rPr>
          <w:sz w:val="24"/>
          <w:szCs w:val="24"/>
        </w:rPr>
        <w:fldChar w:fldCharType="separate"/>
      </w:r>
      <w:r w:rsidR="00370022" w:rsidRPr="00370022">
        <w:rPr>
          <w:noProof/>
          <w:sz w:val="24"/>
          <w:szCs w:val="24"/>
          <w:vertAlign w:val="superscript"/>
        </w:rPr>
        <w:t>23</w:t>
      </w:r>
      <w:r w:rsidR="00682B53">
        <w:rPr>
          <w:sz w:val="24"/>
          <w:szCs w:val="24"/>
        </w:rPr>
        <w:fldChar w:fldCharType="end"/>
      </w:r>
      <w:r w:rsidR="00336A12">
        <w:rPr>
          <w:sz w:val="24"/>
          <w:szCs w:val="24"/>
        </w:rPr>
        <w:t xml:space="preserve"> it</w:t>
      </w:r>
      <w:r w:rsidRPr="00EC4EF9">
        <w:rPr>
          <w:sz w:val="24"/>
          <w:szCs w:val="24"/>
        </w:rPr>
        <w:t xml:space="preserve"> is essential that </w:t>
      </w:r>
      <w:r w:rsidR="005049EB">
        <w:rPr>
          <w:sz w:val="24"/>
          <w:szCs w:val="24"/>
        </w:rPr>
        <w:t>preventable</w:t>
      </w:r>
      <w:r w:rsidR="00E442ED">
        <w:rPr>
          <w:sz w:val="24"/>
          <w:szCs w:val="24"/>
        </w:rPr>
        <w:t xml:space="preserve"> </w:t>
      </w:r>
      <w:r w:rsidRPr="00EC4EF9">
        <w:rPr>
          <w:sz w:val="24"/>
          <w:szCs w:val="24"/>
        </w:rPr>
        <w:t xml:space="preserve">admissions are described </w:t>
      </w:r>
      <w:r w:rsidR="00336A12">
        <w:rPr>
          <w:sz w:val="24"/>
          <w:szCs w:val="24"/>
        </w:rPr>
        <w:t>so</w:t>
      </w:r>
      <w:r w:rsidRPr="00EC4EF9">
        <w:rPr>
          <w:sz w:val="24"/>
          <w:szCs w:val="24"/>
        </w:rPr>
        <w:t xml:space="preserve"> that appropriate interventions</w:t>
      </w:r>
      <w:r w:rsidR="00336A12">
        <w:rPr>
          <w:sz w:val="24"/>
          <w:szCs w:val="24"/>
        </w:rPr>
        <w:t xml:space="preserve"> </w:t>
      </w:r>
      <w:r w:rsidRPr="00BD7946">
        <w:rPr>
          <w:sz w:val="24"/>
          <w:szCs w:val="24"/>
        </w:rPr>
        <w:t xml:space="preserve">can be developed. Our work is the first in the UK </w:t>
      </w:r>
      <w:r w:rsidR="00227206">
        <w:rPr>
          <w:sz w:val="24"/>
          <w:szCs w:val="24"/>
        </w:rPr>
        <w:t>to</w:t>
      </w:r>
      <w:r w:rsidRPr="00BD7946">
        <w:rPr>
          <w:sz w:val="24"/>
          <w:szCs w:val="24"/>
        </w:rPr>
        <w:t xml:space="preserve"> use an unselected group of adults with ID to </w:t>
      </w:r>
      <w:r w:rsidR="00F12FE5" w:rsidRPr="00BD7946">
        <w:rPr>
          <w:sz w:val="24"/>
          <w:szCs w:val="24"/>
        </w:rPr>
        <w:t xml:space="preserve">accurately </w:t>
      </w:r>
      <w:r w:rsidRPr="00BD7946">
        <w:rPr>
          <w:sz w:val="24"/>
          <w:szCs w:val="24"/>
        </w:rPr>
        <w:t xml:space="preserve">quantify differences in </w:t>
      </w:r>
      <w:r w:rsidR="00D65579" w:rsidRPr="00BD7946">
        <w:rPr>
          <w:sz w:val="24"/>
          <w:szCs w:val="24"/>
        </w:rPr>
        <w:t>emergency admissions</w:t>
      </w:r>
      <w:r w:rsidRPr="00BD7946">
        <w:rPr>
          <w:sz w:val="24"/>
          <w:szCs w:val="24"/>
        </w:rPr>
        <w:t xml:space="preserve">. The higher emergency admission rate, which </w:t>
      </w:r>
      <w:r w:rsidR="00D65579" w:rsidRPr="00BD7946">
        <w:rPr>
          <w:sz w:val="24"/>
          <w:szCs w:val="24"/>
        </w:rPr>
        <w:t xml:space="preserve">is even more marked for </w:t>
      </w:r>
      <w:r w:rsidR="005049EB">
        <w:rPr>
          <w:sz w:val="24"/>
          <w:szCs w:val="24"/>
        </w:rPr>
        <w:t>preventable</w:t>
      </w:r>
      <w:r w:rsidR="00D65579" w:rsidRPr="00BD7946">
        <w:rPr>
          <w:sz w:val="24"/>
          <w:szCs w:val="24"/>
        </w:rPr>
        <w:t xml:space="preserve"> admissions</w:t>
      </w:r>
      <w:r w:rsidR="009E6284" w:rsidRPr="00BD7946">
        <w:rPr>
          <w:sz w:val="24"/>
          <w:szCs w:val="24"/>
        </w:rPr>
        <w:t>,</w:t>
      </w:r>
      <w:r w:rsidR="00D65579" w:rsidRPr="00BD7946">
        <w:rPr>
          <w:sz w:val="24"/>
          <w:szCs w:val="24"/>
        </w:rPr>
        <w:t xml:space="preserve"> highlights</w:t>
      </w:r>
      <w:r w:rsidRPr="00BD7946">
        <w:rPr>
          <w:sz w:val="24"/>
          <w:szCs w:val="24"/>
        </w:rPr>
        <w:t xml:space="preserve"> an area </w:t>
      </w:r>
      <w:r w:rsidR="00D65579" w:rsidRPr="00BD7946">
        <w:rPr>
          <w:sz w:val="24"/>
          <w:szCs w:val="24"/>
        </w:rPr>
        <w:t>where improvements could be made</w:t>
      </w:r>
      <w:r w:rsidR="0051121E" w:rsidRPr="00BD7946">
        <w:rPr>
          <w:sz w:val="24"/>
          <w:szCs w:val="24"/>
        </w:rPr>
        <w:t>.</w:t>
      </w:r>
      <w:r w:rsidR="009B55E9">
        <w:rPr>
          <w:sz w:val="24"/>
          <w:szCs w:val="24"/>
        </w:rPr>
        <w:t xml:space="preserve"> We have also highlighted important ACSCs for this group (aspiration, constipation, GERD) which are often absent from general population definitions.</w:t>
      </w:r>
    </w:p>
    <w:p w14:paraId="01246715" w14:textId="77777777" w:rsidR="0051121E" w:rsidRPr="00BD7946" w:rsidRDefault="0051121E" w:rsidP="001D1600">
      <w:pPr>
        <w:spacing w:after="0" w:line="480" w:lineRule="auto"/>
        <w:jc w:val="both"/>
        <w:rPr>
          <w:sz w:val="24"/>
          <w:szCs w:val="24"/>
        </w:rPr>
      </w:pPr>
    </w:p>
    <w:p w14:paraId="1F771765" w14:textId="27D9F522" w:rsidR="00BD7946" w:rsidRDefault="00BD7946" w:rsidP="001D1600">
      <w:pPr>
        <w:pStyle w:val="NormalWeb"/>
        <w:spacing w:before="0" w:beforeAutospacing="0" w:after="0" w:afterAutospacing="0" w:line="480" w:lineRule="auto"/>
        <w:jc w:val="both"/>
        <w:rPr>
          <w:rStyle w:val="Strong"/>
          <w:rFonts w:asciiTheme="minorHAnsi" w:hAnsiTheme="minorHAnsi"/>
          <w:b w:val="0"/>
        </w:rPr>
      </w:pPr>
      <w:r w:rsidRPr="00BD7946">
        <w:rPr>
          <w:rFonts w:asciiTheme="minorHAnsi" w:hAnsiTheme="minorHAnsi"/>
        </w:rPr>
        <w:t xml:space="preserve">Over half of those adults with ID admitted for </w:t>
      </w:r>
      <w:r w:rsidR="005D4D8F">
        <w:rPr>
          <w:rFonts w:asciiTheme="minorHAnsi" w:hAnsiTheme="minorHAnsi"/>
        </w:rPr>
        <w:t xml:space="preserve">a </w:t>
      </w:r>
      <w:r w:rsidRPr="00BD7946">
        <w:rPr>
          <w:rFonts w:asciiTheme="minorHAnsi" w:hAnsiTheme="minorHAnsi"/>
        </w:rPr>
        <w:t xml:space="preserve">UTI or </w:t>
      </w:r>
      <w:r w:rsidR="005D4D8F">
        <w:rPr>
          <w:rFonts w:asciiTheme="minorHAnsi" w:hAnsiTheme="minorHAnsi"/>
        </w:rPr>
        <w:t xml:space="preserve">a </w:t>
      </w:r>
      <w:r w:rsidRPr="00BD7946">
        <w:rPr>
          <w:rFonts w:asciiTheme="minorHAnsi" w:hAnsiTheme="minorHAnsi"/>
        </w:rPr>
        <w:t>LRTI present to primary care i</w:t>
      </w:r>
      <w:r w:rsidR="00F40A49">
        <w:rPr>
          <w:rFonts w:asciiTheme="minorHAnsi" w:hAnsiTheme="minorHAnsi"/>
        </w:rPr>
        <w:t xml:space="preserve">n the </w:t>
      </w:r>
      <w:r w:rsidR="0074523D">
        <w:rPr>
          <w:rFonts w:asciiTheme="minorHAnsi" w:hAnsiTheme="minorHAnsi"/>
        </w:rPr>
        <w:t xml:space="preserve">prior </w:t>
      </w:r>
      <w:r w:rsidR="00F40A49">
        <w:rPr>
          <w:rFonts w:asciiTheme="minorHAnsi" w:hAnsiTheme="minorHAnsi"/>
        </w:rPr>
        <w:t>two weeks</w:t>
      </w:r>
      <w:r w:rsidR="005C4E3A">
        <w:rPr>
          <w:rFonts w:asciiTheme="minorHAnsi" w:hAnsiTheme="minorHAnsi"/>
        </w:rPr>
        <w:t>, providing opportunities for management to avoid admissions</w:t>
      </w:r>
      <w:r w:rsidR="005D4D8F">
        <w:rPr>
          <w:rFonts w:asciiTheme="minorHAnsi" w:hAnsiTheme="minorHAnsi"/>
        </w:rPr>
        <w:t>. However, their primary care utilisation and management was not noticeably different from</w:t>
      </w:r>
      <w:r w:rsidR="00F556D8">
        <w:rPr>
          <w:rFonts w:asciiTheme="minorHAnsi" w:hAnsiTheme="minorHAnsi"/>
        </w:rPr>
        <w:t xml:space="preserve"> patients</w:t>
      </w:r>
      <w:r w:rsidR="005D4D8F">
        <w:rPr>
          <w:rFonts w:asciiTheme="minorHAnsi" w:hAnsiTheme="minorHAnsi"/>
        </w:rPr>
        <w:t xml:space="preserve"> without ID, despite </w:t>
      </w:r>
      <w:r w:rsidRPr="00BD7946">
        <w:rPr>
          <w:rFonts w:asciiTheme="minorHAnsi" w:hAnsiTheme="minorHAnsi"/>
        </w:rPr>
        <w:t>their primary care records</w:t>
      </w:r>
      <w:r w:rsidR="00B9121F">
        <w:rPr>
          <w:rFonts w:asciiTheme="minorHAnsi" w:hAnsiTheme="minorHAnsi"/>
        </w:rPr>
        <w:t xml:space="preserve"> more likely to</w:t>
      </w:r>
      <w:r w:rsidRPr="00BD7946">
        <w:rPr>
          <w:rFonts w:asciiTheme="minorHAnsi" w:hAnsiTheme="minorHAnsi"/>
        </w:rPr>
        <w:t xml:space="preserve"> identify them </w:t>
      </w:r>
      <w:r w:rsidR="00B9121F">
        <w:rPr>
          <w:rFonts w:asciiTheme="minorHAnsi" w:hAnsiTheme="minorHAnsi"/>
        </w:rPr>
        <w:t>as being</w:t>
      </w:r>
      <w:r w:rsidRPr="00BD7946">
        <w:rPr>
          <w:rFonts w:asciiTheme="minorHAnsi" w:hAnsiTheme="minorHAnsi"/>
        </w:rPr>
        <w:t xml:space="preserve"> </w:t>
      </w:r>
      <w:r w:rsidR="007C5F24">
        <w:rPr>
          <w:rFonts w:asciiTheme="minorHAnsi" w:hAnsiTheme="minorHAnsi"/>
        </w:rPr>
        <w:t xml:space="preserve">at </w:t>
      </w:r>
      <w:r w:rsidRPr="00BD7946">
        <w:rPr>
          <w:rFonts w:asciiTheme="minorHAnsi" w:hAnsiTheme="minorHAnsi"/>
        </w:rPr>
        <w:t xml:space="preserve">high </w:t>
      </w:r>
      <w:r w:rsidR="00A80D53">
        <w:rPr>
          <w:rFonts w:asciiTheme="minorHAnsi" w:hAnsiTheme="minorHAnsi"/>
        </w:rPr>
        <w:t xml:space="preserve">of </w:t>
      </w:r>
      <w:r w:rsidR="007C5F24">
        <w:rPr>
          <w:rFonts w:asciiTheme="minorHAnsi" w:hAnsiTheme="minorHAnsi"/>
        </w:rPr>
        <w:t>complications from these conditions</w:t>
      </w:r>
      <w:r w:rsidRPr="00BD7946">
        <w:rPr>
          <w:rFonts w:asciiTheme="minorHAnsi" w:hAnsiTheme="minorHAnsi"/>
        </w:rPr>
        <w:t>.</w:t>
      </w:r>
      <w:r w:rsidR="005D4D8F">
        <w:rPr>
          <w:rFonts w:asciiTheme="minorHAnsi" w:hAnsiTheme="minorHAnsi"/>
        </w:rPr>
        <w:t xml:space="preserve"> </w:t>
      </w:r>
      <w:r w:rsidRPr="00BD7946">
        <w:rPr>
          <w:rStyle w:val="Strong"/>
          <w:rFonts w:asciiTheme="minorHAnsi" w:hAnsiTheme="minorHAnsi"/>
          <w:b w:val="0"/>
        </w:rPr>
        <w:t>Integrated risk stratification software is increasingly available in primary care</w:t>
      </w:r>
      <w:r w:rsidR="00682B53">
        <w:rPr>
          <w:rStyle w:val="Strong"/>
          <w:rFonts w:asciiTheme="minorHAnsi" w:hAnsiTheme="minorHAnsi"/>
          <w:b w:val="0"/>
        </w:rPr>
        <w:fldChar w:fldCharType="begin"/>
      </w:r>
      <w:r w:rsidR="00370022">
        <w:rPr>
          <w:rStyle w:val="Strong"/>
          <w:rFonts w:asciiTheme="minorHAnsi" w:hAnsiTheme="minorHAnsi"/>
          <w:b w:val="0"/>
        </w:rPr>
        <w:instrText xml:space="preserve"> ADDIN EN.CITE &lt;EndNote&gt;&lt;Cite&gt;&lt;Author&gt;Hippisley-Cox&lt;/Author&gt;&lt;Year&gt;2013&lt;/Year&gt;&lt;RecNum&gt;245&lt;/RecNum&gt;&lt;DisplayText&gt;&lt;style face="superscript"&gt;24&lt;/style&gt;&lt;/DisplayText&gt;&lt;record&gt;&lt;rec-number&gt;245&lt;/rec-number&gt;&lt;foreign-keys&gt;&lt;key app="EN" db-id="9vd5rfe5s0azere5pfyx0xrzazafratsxvvv" timestamp="1466419826"&gt;245&lt;/key&gt;&lt;/foreign-keys&gt;&lt;ref-type name="Journal Article"&gt;17&lt;/ref-type&gt;&lt;contributors&gt;&lt;authors&gt;&lt;author&gt;Hippisley-Cox, Julia&lt;/author&gt;&lt;author&gt;Coupland, Carol&lt;/author&gt;&lt;/authors&gt;&lt;/contributors&gt;&lt;titles&gt;&lt;title&gt;Predicting risk of emergency admission to hospital using primary care data: derivation and validation of QAdmissions score&lt;/title&gt;&lt;secondary-title&gt;Bmj Open&lt;/secondary-title&gt;&lt;/titles&gt;&lt;periodical&gt;&lt;full-title&gt;Bmj Open&lt;/full-title&gt;&lt;/periodical&gt;&lt;volume&gt;3&lt;/volume&gt;&lt;number&gt;8&lt;/number&gt;&lt;dates&gt;&lt;year&gt;2013&lt;/year&gt;&lt;pub-dates&gt;&lt;date&gt;2013&lt;/date&gt;&lt;/pub-dates&gt;&lt;/dates&gt;&lt;isbn&gt;2044-6055&lt;/isbn&gt;&lt;accession-num&gt;WOS:000330561300035&lt;/accession-num&gt;&lt;urls&gt;&lt;related-urls&gt;&lt;url&gt;&amp;lt;Go to WoS&amp;gt;://WOS:000330561300035&lt;/url&gt;&lt;/related-urls&gt;&lt;/urls&gt;&lt;custom7&gt;e003482&lt;/custom7&gt;&lt;electronic-resource-num&gt;10.1136/bmjopen-2013-003482&lt;/electronic-resource-num&gt;&lt;/record&gt;&lt;/Cite&gt;&lt;/EndNote&gt;</w:instrText>
      </w:r>
      <w:r w:rsidR="00682B53">
        <w:rPr>
          <w:rStyle w:val="Strong"/>
          <w:rFonts w:asciiTheme="minorHAnsi" w:hAnsiTheme="minorHAnsi"/>
          <w:b w:val="0"/>
        </w:rPr>
        <w:fldChar w:fldCharType="separate"/>
      </w:r>
      <w:r w:rsidR="00370022" w:rsidRPr="00370022">
        <w:rPr>
          <w:rStyle w:val="Strong"/>
          <w:rFonts w:asciiTheme="minorHAnsi" w:hAnsiTheme="minorHAnsi"/>
          <w:b w:val="0"/>
          <w:noProof/>
          <w:vertAlign w:val="superscript"/>
        </w:rPr>
        <w:t>24</w:t>
      </w:r>
      <w:r w:rsidR="00682B53">
        <w:rPr>
          <w:rStyle w:val="Strong"/>
          <w:rFonts w:asciiTheme="minorHAnsi" w:hAnsiTheme="minorHAnsi"/>
          <w:b w:val="0"/>
        </w:rPr>
        <w:fldChar w:fldCharType="end"/>
      </w:r>
      <w:r w:rsidRPr="00BD7946">
        <w:rPr>
          <w:rStyle w:val="Strong"/>
          <w:rFonts w:asciiTheme="minorHAnsi" w:hAnsiTheme="minorHAnsi"/>
          <w:b w:val="0"/>
        </w:rPr>
        <w:t xml:space="preserve"> and could be extended to </w:t>
      </w:r>
      <w:r w:rsidR="003C681A">
        <w:rPr>
          <w:rStyle w:val="Strong"/>
          <w:rFonts w:asciiTheme="minorHAnsi" w:hAnsiTheme="minorHAnsi"/>
          <w:b w:val="0"/>
        </w:rPr>
        <w:t xml:space="preserve">better </w:t>
      </w:r>
      <w:r w:rsidR="00351DFC">
        <w:rPr>
          <w:rStyle w:val="Strong"/>
          <w:rFonts w:asciiTheme="minorHAnsi" w:hAnsiTheme="minorHAnsi"/>
          <w:b w:val="0"/>
        </w:rPr>
        <w:t>incorporate</w:t>
      </w:r>
      <w:r w:rsidRPr="00BD7946">
        <w:rPr>
          <w:rStyle w:val="Strong"/>
          <w:rFonts w:asciiTheme="minorHAnsi" w:hAnsiTheme="minorHAnsi"/>
          <w:b w:val="0"/>
        </w:rPr>
        <w:t xml:space="preserve"> ID patients</w:t>
      </w:r>
      <w:r w:rsidR="00DC7BC5">
        <w:rPr>
          <w:rStyle w:val="Strong"/>
          <w:rFonts w:asciiTheme="minorHAnsi" w:hAnsiTheme="minorHAnsi"/>
          <w:b w:val="0"/>
        </w:rPr>
        <w:t>, thereby facilitating the most appropriate</w:t>
      </w:r>
      <w:r w:rsidR="005C4E3A">
        <w:rPr>
          <w:rStyle w:val="Strong"/>
          <w:rFonts w:asciiTheme="minorHAnsi" w:hAnsiTheme="minorHAnsi"/>
          <w:b w:val="0"/>
        </w:rPr>
        <w:t xml:space="preserve"> initial</w:t>
      </w:r>
      <w:r w:rsidR="00DC7BC5">
        <w:rPr>
          <w:rStyle w:val="Strong"/>
          <w:rFonts w:asciiTheme="minorHAnsi" w:hAnsiTheme="minorHAnsi"/>
          <w:b w:val="0"/>
        </w:rPr>
        <w:t xml:space="preserve"> management</w:t>
      </w:r>
      <w:r w:rsidR="00D86192">
        <w:fldChar w:fldCharType="begin"/>
      </w:r>
      <w:r w:rsidR="00370022">
        <w:instrText xml:space="preserve"> ADDIN EN.CITE &lt;EndNote&gt;&lt;Cite&gt;&lt;Author&gt;Freund&lt;/Author&gt;&lt;Year&gt;2013&lt;/Year&gt;&lt;RecNum&gt;501&lt;/RecNum&gt;&lt;DisplayText&gt;&lt;style face="superscript"&gt;25&lt;/style&gt;&lt;/DisplayText&gt;&lt;record&gt;&lt;rec-number&gt;501&lt;/rec-number&gt;&lt;foreign-keys&gt;&lt;key app="EN" db-id="9vd5rfe5s0azere5pfyx0xrzazafratsxvvv" timestamp="1466420099"&gt;501&lt;/key&gt;&lt;key app="ENWeb" db-id=""&gt;0&lt;/key&gt;&lt;/foreign-keys&gt;&lt;ref-type name="Journal Article"&gt;17&lt;/ref-type&gt;&lt;contributors&gt;&lt;authors&gt;&lt;author&gt;Freund, T.&lt;/author&gt;&lt;author&gt;Campbell, S. M.&lt;/author&gt;&lt;author&gt;Geissler, S.&lt;/author&gt;&lt;author&gt;Kunz, C. U.&lt;/author&gt;&lt;author&gt;Mahler, C.&lt;/author&gt;&lt;author&gt;Peters-Klimm, F.&lt;/author&gt;&lt;author&gt;Szecsenyi, J.&lt;/author&gt;&lt;/authors&gt;&lt;/contributors&gt;&lt;titles&gt;&lt;title&gt;Strategies for Reducing Potentially Avoidable Hospitalizations for Ambulatory Care-Sensitive Conditions&lt;/title&gt;&lt;secondary-title&gt;Annals of Family Medicine&lt;/secondary-title&gt;&lt;/titles&gt;&lt;periodical&gt;&lt;full-title&gt;Annals of Family Medicine&lt;/full-title&gt;&lt;/periodical&gt;&lt;pages&gt;363-370&lt;/pages&gt;&lt;volume&gt;11&lt;/volume&gt;&lt;number&gt;4&lt;/number&gt;&lt;dates&gt;&lt;year&gt;2013&lt;/year&gt;&lt;pub-dates&gt;&lt;date&gt;Jul-Aug&lt;/date&gt;&lt;/pub-dates&gt;&lt;/dates&gt;&lt;isbn&gt;1544-1709&lt;/isbn&gt;&lt;accession-num&gt;WOS:000336798500010&lt;/accession-num&gt;&lt;urls&gt;&lt;related-urls&gt;&lt;url&gt;&amp;lt;Go to ISI&amp;gt;://WOS:000336798500010&lt;/url&gt;&lt;url&gt;http://www.ncbi.nlm.nih.gov/pmc/articles/PMC3704497/pdf/0110363.pdf&lt;/url&gt;&lt;/related-urls&gt;&lt;/urls&gt;&lt;electronic-resource-num&gt;10.1370/afm.1498&lt;/electronic-resource-num&gt;&lt;/record&gt;&lt;/Cite&gt;&lt;/EndNote&gt;</w:instrText>
      </w:r>
      <w:r w:rsidR="00D86192">
        <w:fldChar w:fldCharType="separate"/>
      </w:r>
      <w:r w:rsidR="00370022" w:rsidRPr="00370022">
        <w:rPr>
          <w:noProof/>
          <w:vertAlign w:val="superscript"/>
        </w:rPr>
        <w:t>25</w:t>
      </w:r>
      <w:r w:rsidR="00D86192">
        <w:fldChar w:fldCharType="end"/>
      </w:r>
      <w:r w:rsidR="00DC7BC5">
        <w:rPr>
          <w:rStyle w:val="Strong"/>
          <w:rFonts w:asciiTheme="minorHAnsi" w:hAnsiTheme="minorHAnsi"/>
          <w:b w:val="0"/>
        </w:rPr>
        <w:t xml:space="preserve"> and follow-up</w:t>
      </w:r>
      <w:r w:rsidR="00D86192">
        <w:rPr>
          <w:rStyle w:val="Strong"/>
          <w:rFonts w:asciiTheme="minorHAnsi" w:hAnsiTheme="minorHAnsi"/>
          <w:b w:val="0"/>
        </w:rPr>
        <w:t xml:space="preserve"> monitoring</w:t>
      </w:r>
      <w:r w:rsidRPr="00BD7946">
        <w:rPr>
          <w:rStyle w:val="Strong"/>
          <w:rFonts w:asciiTheme="minorHAnsi" w:hAnsiTheme="minorHAnsi"/>
          <w:b w:val="0"/>
        </w:rPr>
        <w:t>.</w:t>
      </w:r>
    </w:p>
    <w:p w14:paraId="60733983" w14:textId="77777777" w:rsidR="00C61D5B" w:rsidRPr="00BD7946" w:rsidRDefault="00C61D5B" w:rsidP="001D1600">
      <w:pPr>
        <w:pStyle w:val="NormalWeb"/>
        <w:spacing w:before="0" w:beforeAutospacing="0" w:after="0" w:afterAutospacing="0" w:line="480" w:lineRule="auto"/>
        <w:jc w:val="both"/>
        <w:rPr>
          <w:rFonts w:asciiTheme="minorHAnsi" w:hAnsiTheme="minorHAnsi"/>
        </w:rPr>
      </w:pPr>
    </w:p>
    <w:p w14:paraId="5F684028" w14:textId="16CA1008" w:rsidR="00E67B76" w:rsidRDefault="00F556D8" w:rsidP="001D1600">
      <w:pPr>
        <w:pStyle w:val="NormalWeb"/>
        <w:spacing w:before="0" w:beforeAutospacing="0" w:after="0" w:afterAutospacing="0" w:line="480" w:lineRule="auto"/>
        <w:jc w:val="both"/>
        <w:rPr>
          <w:color w:val="1F497D"/>
        </w:rPr>
      </w:pPr>
      <w:r>
        <w:rPr>
          <w:rStyle w:val="Strong"/>
          <w:rFonts w:asciiTheme="minorHAnsi" w:hAnsiTheme="minorHAnsi"/>
          <w:b w:val="0"/>
        </w:rPr>
        <w:t>O</w:t>
      </w:r>
      <w:r w:rsidR="00BD7946" w:rsidRPr="00BD7946">
        <w:rPr>
          <w:rFonts w:asciiTheme="minorHAnsi" w:hAnsiTheme="minorHAnsi"/>
        </w:rPr>
        <w:t xml:space="preserve">ur previous work has </w:t>
      </w:r>
      <w:r w:rsidR="00BA1666">
        <w:rPr>
          <w:rFonts w:asciiTheme="minorHAnsi" w:hAnsiTheme="minorHAnsi"/>
        </w:rPr>
        <w:t xml:space="preserve">identified the potential for improvements in primary care for adults with ID, </w:t>
      </w:r>
      <w:r w:rsidR="00BA1666" w:rsidRPr="00472A1A">
        <w:rPr>
          <w:rFonts w:asciiTheme="minorHAnsi" w:hAnsiTheme="minorHAnsi"/>
        </w:rPr>
        <w:t xml:space="preserve">making sure they </w:t>
      </w:r>
      <w:r w:rsidR="009F6CB0" w:rsidRPr="00472A1A">
        <w:rPr>
          <w:rFonts w:asciiTheme="minorHAnsi" w:hAnsiTheme="minorHAnsi"/>
        </w:rPr>
        <w:t>see their usual doctor</w:t>
      </w:r>
      <w:r w:rsidR="00BA1666" w:rsidRPr="00472A1A">
        <w:rPr>
          <w:rFonts w:asciiTheme="minorHAnsi" w:hAnsiTheme="minorHAnsi"/>
        </w:rPr>
        <w:t xml:space="preserve"> where possible,</w:t>
      </w:r>
      <w:r w:rsidR="00BD7946" w:rsidRPr="00472A1A">
        <w:rPr>
          <w:rFonts w:asciiTheme="minorHAnsi" w:hAnsiTheme="minorHAnsi"/>
        </w:rPr>
        <w:t xml:space="preserve"> and </w:t>
      </w:r>
      <w:r w:rsidR="00BA1666" w:rsidRPr="00472A1A">
        <w:rPr>
          <w:rFonts w:asciiTheme="minorHAnsi" w:hAnsiTheme="minorHAnsi"/>
        </w:rPr>
        <w:t xml:space="preserve">are offered </w:t>
      </w:r>
      <w:r w:rsidR="00BD7946" w:rsidRPr="00472A1A">
        <w:rPr>
          <w:rFonts w:asciiTheme="minorHAnsi" w:hAnsiTheme="minorHAnsi"/>
        </w:rPr>
        <w:t>longer consultations</w:t>
      </w:r>
      <w:r w:rsidR="00BA1666" w:rsidRPr="00472A1A">
        <w:rPr>
          <w:rFonts w:asciiTheme="minorHAnsi" w:hAnsiTheme="minorHAnsi"/>
        </w:rPr>
        <w:t xml:space="preserve"> where necessary</w:t>
      </w:r>
      <w:r w:rsidR="00682B53" w:rsidRPr="00472A1A">
        <w:rPr>
          <w:rFonts w:asciiTheme="minorHAnsi" w:hAnsiTheme="minorHAnsi"/>
        </w:rPr>
        <w:fldChar w:fldCharType="begin"/>
      </w:r>
      <w:r w:rsidR="00370022">
        <w:rPr>
          <w:rFonts w:asciiTheme="minorHAnsi" w:hAnsiTheme="minorHAnsi"/>
        </w:rPr>
        <w:instrText xml:space="preserve"> ADDIN EN.CITE &lt;EndNote&gt;&lt;Cite&gt;&lt;Author&gt;Carey&lt;/Author&gt;&lt;Year&gt;2016&lt;/Year&gt;&lt;RecNum&gt;706&lt;/RecNum&gt;&lt;DisplayText&gt;&lt;style face="superscript"&gt;12&lt;/style&gt;&lt;/DisplayText&gt;&lt;record&gt;&lt;rec-number&gt;706&lt;/rec-number&gt;&lt;foreign-keys&gt;&lt;key app="EN" db-id="9vd5rfe5s0azere5pfyx0xrzazafratsxvvv" timestamp="1466420380"&gt;706&lt;/key&gt;&lt;key app="ENWeb" db-id=""&gt;0&lt;/key&gt;&lt;/foreign-keys&gt;&lt;ref-type name="Journal Article"&gt;17&lt;/ref-type&gt;&lt;contributors&gt;&lt;authors&gt;&lt;author&gt;Carey, I. M.&lt;/author&gt;&lt;author&gt;Shah, S. M.&lt;/author&gt;&lt;author&gt;Hosking, F. J.&lt;/author&gt;&lt;author&gt;DeWilde, S.&lt;/author&gt;&lt;author&gt;Harris, T.&lt;/author&gt;&lt;author&gt;Beighton, C.&lt;/author&gt;&lt;author&gt;Cook, D. G.&lt;/author&gt;&lt;/authors&gt;&lt;/contributors&gt;&lt;titles&gt;&lt;title&gt;Health characteristics and consultation patterns of people with intellectual disability: a cross-sectional database study in English general practice&lt;/title&gt;&lt;secondary-title&gt;British Journal of General Practice&lt;/secondary-title&gt;&lt;/titles&gt;&lt;periodical&gt;&lt;full-title&gt;British Journal of General Practice&lt;/full-title&gt;&lt;abbr-1&gt;Br. J. Gen. Pract.&lt;/abbr-1&gt;&lt;abbr-2&gt;Br J Gen Pract&lt;/abbr-2&gt;&lt;/periodical&gt;&lt;pages&gt;e264-70&lt;/pages&gt;&lt;volume&gt;66&lt;/volume&gt;&lt;number&gt;645&lt;/number&gt;&lt;dates&gt;&lt;year&gt;2016&lt;/year&gt;&lt;pub-dates&gt;&lt;date&gt;Apr&lt;/date&gt;&lt;/pub-dates&gt;&lt;/dates&gt;&lt;isbn&gt;1478-5242 (Electronic)&amp;#xD;0960-1643 (Linking)&lt;/isbn&gt;&lt;accession-num&gt;WOS:000376585200006&lt;/accession-num&gt;&lt;urls&gt;&lt;related-urls&gt;&lt;url&gt;&amp;lt;Go to ISI&amp;gt;://WOS:000376585200006&lt;/url&gt;&lt;url&gt;http://www.ncbi.nlm.nih.gov/pmc/articles/PMC4809710/pdf/bjgpapr-2016-66-645-e264-oa.pdf&lt;/url&gt;&lt;/related-urls&gt;&lt;/urls&gt;&lt;custom2&gt;PMC4809710&lt;/custom2&gt;&lt;electronic-resource-num&gt;10.3399/bjgp16X684301&lt;/electronic-resource-num&gt;&lt;/record&gt;&lt;/Cite&gt;&lt;/EndNote&gt;</w:instrText>
      </w:r>
      <w:r w:rsidR="00682B53" w:rsidRPr="00472A1A">
        <w:rPr>
          <w:rFonts w:asciiTheme="minorHAnsi" w:hAnsiTheme="minorHAnsi"/>
        </w:rPr>
        <w:fldChar w:fldCharType="separate"/>
      </w:r>
      <w:r w:rsidR="00682B53" w:rsidRPr="00472A1A">
        <w:rPr>
          <w:rFonts w:asciiTheme="minorHAnsi" w:hAnsiTheme="minorHAnsi"/>
          <w:noProof/>
          <w:vertAlign w:val="superscript"/>
        </w:rPr>
        <w:t>12</w:t>
      </w:r>
      <w:r w:rsidR="00682B53" w:rsidRPr="00472A1A">
        <w:rPr>
          <w:rFonts w:asciiTheme="minorHAnsi" w:hAnsiTheme="minorHAnsi"/>
        </w:rPr>
        <w:fldChar w:fldCharType="end"/>
      </w:r>
      <w:r w:rsidR="00BD7946" w:rsidRPr="00932C6B">
        <w:rPr>
          <w:rFonts w:asciiTheme="minorHAnsi" w:hAnsiTheme="minorHAnsi"/>
        </w:rPr>
        <w:t>.</w:t>
      </w:r>
      <w:r w:rsidR="00BA1666" w:rsidRPr="00932C6B">
        <w:rPr>
          <w:rFonts w:asciiTheme="minorHAnsi" w:hAnsiTheme="minorHAnsi"/>
        </w:rPr>
        <w:t xml:space="preserve"> </w:t>
      </w:r>
      <w:r w:rsidR="00472A1A" w:rsidRPr="00932C6B">
        <w:rPr>
          <w:rFonts w:asciiTheme="minorHAnsi" w:hAnsiTheme="minorHAnsi"/>
        </w:rPr>
        <w:t xml:space="preserve"> </w:t>
      </w:r>
      <w:r w:rsidR="00932C6B" w:rsidRPr="00932C6B">
        <w:rPr>
          <w:rFonts w:asciiTheme="minorHAnsi" w:hAnsiTheme="minorHAnsi"/>
        </w:rPr>
        <w:t>The introduction of annual health checks by NHS England for this group may</w:t>
      </w:r>
      <w:r w:rsidR="00081C04">
        <w:rPr>
          <w:rFonts w:asciiTheme="minorHAnsi" w:hAnsiTheme="minorHAnsi"/>
        </w:rPr>
        <w:t xml:space="preserve"> be</w:t>
      </w:r>
      <w:r w:rsidR="00932C6B" w:rsidRPr="00932C6B">
        <w:rPr>
          <w:rFonts w:asciiTheme="minorHAnsi" w:hAnsiTheme="minorHAnsi"/>
        </w:rPr>
        <w:t xml:space="preserve"> provid</w:t>
      </w:r>
      <w:r w:rsidR="00081C04">
        <w:rPr>
          <w:rFonts w:asciiTheme="minorHAnsi" w:hAnsiTheme="minorHAnsi"/>
        </w:rPr>
        <w:t>ing</w:t>
      </w:r>
      <w:r w:rsidR="00932C6B" w:rsidRPr="00932C6B">
        <w:rPr>
          <w:rFonts w:asciiTheme="minorHAnsi" w:hAnsiTheme="minorHAnsi"/>
        </w:rPr>
        <w:t xml:space="preserve"> other improvements in their quality of care</w:t>
      </w:r>
      <w:r w:rsidR="00932C6B" w:rsidRPr="00932C6B">
        <w:rPr>
          <w:rFonts w:asciiTheme="minorHAnsi" w:hAnsiTheme="minorHAnsi"/>
        </w:rPr>
        <w:fldChar w:fldCharType="begin"/>
      </w:r>
      <w:r w:rsidR="00370022">
        <w:rPr>
          <w:rFonts w:asciiTheme="minorHAnsi" w:hAnsiTheme="minorHAnsi"/>
        </w:rPr>
        <w:instrText xml:space="preserve"> ADDIN EN.CITE &lt;EndNote&gt;&lt;Cite&gt;&lt;Author&gt;Buszewicz&lt;/Author&gt;&lt;Year&gt;2014&lt;/Year&gt;&lt;RecNum&gt;387&lt;/RecNum&gt;&lt;DisplayText&gt;&lt;style face="superscript"&gt;26&lt;/style&gt;&lt;/DisplayText&gt;&lt;record&gt;&lt;rec-number&gt;387&lt;/rec-number&gt;&lt;foreign-keys&gt;&lt;key app="EN" db-id="9vd5rfe5s0azere5pfyx0xrzazafratsxvvv" timestamp="1466419945"&gt;387&lt;/key&gt;&lt;/foreign-keys&gt;&lt;ref-type name="Journal Article"&gt;17&lt;/ref-type&gt;&lt;contributors&gt;&lt;authors&gt;&lt;author&gt;Buszewicz, Marta&lt;/author&gt;&lt;author&gt;Welch, Catherine&lt;/author&gt;&lt;author&gt;Horsfall, Laura&lt;/author&gt;&lt;author&gt;Nazareth, Irwin&lt;/author&gt;&lt;author&gt;Osborn, David&lt;/author&gt;&lt;author&gt;Hassiotis, Angela&lt;/author&gt;&lt;author&gt;Glover, Gyles&lt;/author&gt;&lt;author&gt;Chauhan, Umesh&lt;/author&gt;&lt;author&gt;Hoghton, Matthew&lt;/author&gt;&lt;author&gt;Cooper, Sally-Ann&lt;/author&gt;&lt;author&gt;Moulster, Gwen&lt;/author&gt;&lt;author&gt;Hithersay, Rosalyn&lt;/author&gt;&lt;author&gt;Hunter, Rachael&lt;/author&gt;&lt;author&gt;Heslop, Pauline&lt;/author&gt;&lt;author&gt;Courtenay, Ken&lt;/author&gt;&lt;author&gt;Strydom, Andre&lt;/author&gt;&lt;/authors&gt;&lt;/contributors&gt;&lt;titles&gt;&lt;title&gt;Assessment of an incentivised scheme to provide annual health checks in primary care for adults with intellectual disability: a longitudinal cohort study&lt;/title&gt;&lt;secondary-title&gt;Lancet Psychiatry&lt;/secondary-title&gt;&lt;/titles&gt;&lt;periodical&gt;&lt;full-title&gt;Lancet Psychiatry&lt;/full-title&gt;&lt;/periodical&gt;&lt;pages&gt;522-530&lt;/pages&gt;&lt;volume&gt;1&lt;/volume&gt;&lt;number&gt;7&lt;/number&gt;&lt;dates&gt;&lt;year&gt;2014&lt;/year&gt;&lt;pub-dates&gt;&lt;date&gt;Dec&lt;/date&gt;&lt;/pub-dates&gt;&lt;/dates&gt;&lt;isbn&gt;2215-0374&lt;/isbn&gt;&lt;accession-num&gt;WOS:000345635600022&lt;/accession-num&gt;&lt;urls&gt;&lt;related-urls&gt;&lt;url&gt;&amp;lt;Go to ISI&amp;gt;://WOS:000345635600022&lt;/url&gt;&lt;/related-urls&gt;&lt;/urls&gt;&lt;electronic-resource-num&gt;10.1016/s2215-0366(14)00079-0&lt;/electronic-resource-num&gt;&lt;/record&gt;&lt;/Cite&gt;&lt;/EndNote&gt;</w:instrText>
      </w:r>
      <w:r w:rsidR="00932C6B" w:rsidRPr="00932C6B">
        <w:rPr>
          <w:rFonts w:asciiTheme="minorHAnsi" w:hAnsiTheme="minorHAnsi"/>
        </w:rPr>
        <w:fldChar w:fldCharType="separate"/>
      </w:r>
      <w:r w:rsidR="00370022" w:rsidRPr="00370022">
        <w:rPr>
          <w:rFonts w:asciiTheme="minorHAnsi" w:hAnsiTheme="minorHAnsi"/>
          <w:noProof/>
          <w:vertAlign w:val="superscript"/>
        </w:rPr>
        <w:t>26</w:t>
      </w:r>
      <w:r w:rsidR="00932C6B" w:rsidRPr="00932C6B">
        <w:rPr>
          <w:rFonts w:asciiTheme="minorHAnsi" w:hAnsiTheme="minorHAnsi"/>
        </w:rPr>
        <w:fldChar w:fldCharType="end"/>
      </w:r>
      <w:r w:rsidR="00081C04">
        <w:rPr>
          <w:rFonts w:asciiTheme="minorHAnsi" w:hAnsiTheme="minorHAnsi"/>
        </w:rPr>
        <w:t>. Despite</w:t>
      </w:r>
      <w:r w:rsidR="00932C6B" w:rsidRPr="00932C6B">
        <w:rPr>
          <w:rFonts w:asciiTheme="minorHAnsi" w:hAnsiTheme="minorHAnsi"/>
        </w:rPr>
        <w:t xml:space="preserve"> approximately only half of those eligible</w:t>
      </w:r>
      <w:r w:rsidR="00932C6B">
        <w:rPr>
          <w:rFonts w:asciiTheme="minorHAnsi" w:hAnsiTheme="minorHAnsi"/>
        </w:rPr>
        <w:t xml:space="preserve"> currently</w:t>
      </w:r>
      <w:r w:rsidR="00932C6B" w:rsidRPr="00932C6B">
        <w:rPr>
          <w:rFonts w:asciiTheme="minorHAnsi" w:hAnsiTheme="minorHAnsi"/>
        </w:rPr>
        <w:t xml:space="preserve"> receiv</w:t>
      </w:r>
      <w:r w:rsidR="00081C04">
        <w:rPr>
          <w:rFonts w:asciiTheme="minorHAnsi" w:hAnsiTheme="minorHAnsi"/>
        </w:rPr>
        <w:t>ing</w:t>
      </w:r>
      <w:r w:rsidR="00932C6B" w:rsidRPr="00932C6B">
        <w:rPr>
          <w:rFonts w:asciiTheme="minorHAnsi" w:hAnsiTheme="minorHAnsi"/>
        </w:rPr>
        <w:t xml:space="preserve"> one</w:t>
      </w:r>
      <w:r w:rsidR="00932C6B" w:rsidRPr="00932C6B">
        <w:rPr>
          <w:rFonts w:asciiTheme="minorHAnsi" w:hAnsiTheme="minorHAnsi"/>
        </w:rPr>
        <w:fldChar w:fldCharType="begin"/>
      </w:r>
      <w:r w:rsidR="00370022">
        <w:rPr>
          <w:rFonts w:asciiTheme="minorHAnsi" w:hAnsiTheme="minorHAnsi"/>
        </w:rPr>
        <w:instrText xml:space="preserve"> ADDIN EN.CITE &lt;EndNote&gt;&lt;Cite&gt;&lt;Author&gt;Glover&lt;/Author&gt;&lt;Year&gt;2012&lt;/Year&gt;&lt;RecNum&gt;567&lt;/RecNum&gt;&lt;DisplayText&gt;&lt;style face="superscript"&gt;27&lt;/style&gt;&lt;/DisplayText&gt;&lt;record&gt;&lt;rec-number&gt;567&lt;/rec-number&gt;&lt;foreign-keys&gt;&lt;key app="EN" db-id="9vd5rfe5s0azere5pfyx0xrzazafratsxvvv" timestamp="1466420178"&gt;567&lt;/key&gt;&lt;/foreign-keys&gt;&lt;ref-type name="Electronic Book"&gt;44&lt;/ref-type&gt;&lt;contributors&gt;&lt;authors&gt;&lt;author&gt;Glover, Gyles&lt;/author&gt;&lt;author&gt;Emerson, Eric&lt;/author&gt;&lt;author&gt;Evison, Felicity&lt;/author&gt;&lt;/authors&gt;&lt;/contributors&gt;&lt;titles&gt;&lt;title&gt;The Uptake of Health Checks for Adults with Learning Disabilities: 2008/9 to 2011/12&lt;/title&gt;&lt;/titles&gt;&lt;dates&gt;&lt;year&gt;2012&lt;/year&gt;&lt;pub-dates&gt;&lt;date&gt;29-02-2016&lt;/date&gt;&lt;/pub-dates&gt;&lt;/dates&gt;&lt;pub-location&gt;United Kingdom&lt;/pub-location&gt;&lt;publisher&gt;Improving Health and Lives: Learning Disabilities Observatory&lt;/publisher&gt;&lt;urls&gt;&lt;related-urls&gt;&lt;url&gt;http://www.improvinghealthandlives.org.uk/uploads/doc/vid_16402_IHAL2012-07%20Health%20Checks%20for%20People%20with%20Learning%20Disabilities%202008-9%20to%202011-12v3.pdf&lt;/url&gt;&lt;/related-urls&gt;&lt;/urls&gt;&lt;/record&gt;&lt;/Cite&gt;&lt;/EndNote&gt;</w:instrText>
      </w:r>
      <w:r w:rsidR="00932C6B" w:rsidRPr="00932C6B">
        <w:rPr>
          <w:rFonts w:asciiTheme="minorHAnsi" w:hAnsiTheme="minorHAnsi"/>
        </w:rPr>
        <w:fldChar w:fldCharType="separate"/>
      </w:r>
      <w:r w:rsidR="00370022" w:rsidRPr="00370022">
        <w:rPr>
          <w:rFonts w:asciiTheme="minorHAnsi" w:hAnsiTheme="minorHAnsi"/>
          <w:noProof/>
          <w:vertAlign w:val="superscript"/>
        </w:rPr>
        <w:t>27</w:t>
      </w:r>
      <w:r w:rsidR="00932C6B" w:rsidRPr="00932C6B">
        <w:rPr>
          <w:rFonts w:asciiTheme="minorHAnsi" w:hAnsiTheme="minorHAnsi"/>
        </w:rPr>
        <w:fldChar w:fldCharType="end"/>
      </w:r>
      <w:r w:rsidR="00081C04">
        <w:rPr>
          <w:rFonts w:asciiTheme="minorHAnsi" w:hAnsiTheme="minorHAnsi"/>
        </w:rPr>
        <w:t>, w</w:t>
      </w:r>
      <w:r w:rsidR="00E67B76" w:rsidRPr="00472A1A">
        <w:rPr>
          <w:rFonts w:asciiTheme="minorHAnsi" w:hAnsiTheme="minorHAnsi"/>
        </w:rPr>
        <w:t xml:space="preserve">e </w:t>
      </w:r>
      <w:r w:rsidR="00370022">
        <w:rPr>
          <w:rFonts w:asciiTheme="minorHAnsi" w:hAnsiTheme="minorHAnsi"/>
        </w:rPr>
        <w:t xml:space="preserve">showed </w:t>
      </w:r>
      <w:r w:rsidR="00E67B76" w:rsidRPr="00472A1A">
        <w:rPr>
          <w:rFonts w:asciiTheme="minorHAnsi" w:hAnsiTheme="minorHAnsi"/>
        </w:rPr>
        <w:t>an association between health checks and reduced admissions for ACSCs</w:t>
      </w:r>
      <w:r w:rsidR="000B28FB">
        <w:rPr>
          <w:rFonts w:asciiTheme="minorHAnsi" w:hAnsiTheme="minorHAnsi"/>
        </w:rPr>
        <w:fldChar w:fldCharType="begin">
          <w:fldData xml:space="preserve">PEVuZE5vdGU+PENpdGUgRXhjbHVkZVllYXI9IjEiPjxBdXRob3I+Q2FyZXk8L0F1dGhvcj48WWVh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==
</w:fldData>
        </w:fldChar>
      </w:r>
      <w:r w:rsidR="00370022">
        <w:rPr>
          <w:rFonts w:asciiTheme="minorHAnsi" w:hAnsiTheme="minorHAnsi"/>
        </w:rPr>
        <w:instrText xml:space="preserve"> ADDIN EN.CITE </w:instrText>
      </w:r>
      <w:r w:rsidR="00370022">
        <w:rPr>
          <w:rFonts w:asciiTheme="minorHAnsi" w:hAnsiTheme="minorHAnsi"/>
        </w:rPr>
        <w:fldChar w:fldCharType="begin">
          <w:fldData xml:space="preserve">PEVuZE5vdGU+PENpdGUgRXhjbHVkZVllYXI9IjEiPjxBdXRob3I+Q2FyZXk8L0F1dGhvcj48WWVh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==
</w:fldData>
        </w:fldChar>
      </w:r>
      <w:r w:rsidR="00370022">
        <w:rPr>
          <w:rFonts w:asciiTheme="minorHAnsi" w:hAnsiTheme="minorHAnsi"/>
        </w:rPr>
        <w:instrText xml:space="preserve"> ADDIN EN.CITE.DATA </w:instrText>
      </w:r>
      <w:r w:rsidR="00370022">
        <w:rPr>
          <w:rFonts w:asciiTheme="minorHAnsi" w:hAnsiTheme="minorHAnsi"/>
        </w:rPr>
      </w:r>
      <w:r w:rsidR="00370022">
        <w:rPr>
          <w:rFonts w:asciiTheme="minorHAnsi" w:hAnsiTheme="minorHAnsi"/>
        </w:rPr>
        <w:fldChar w:fldCharType="end"/>
      </w:r>
      <w:r w:rsidR="000B28FB">
        <w:rPr>
          <w:rFonts w:asciiTheme="minorHAnsi" w:hAnsiTheme="minorHAnsi"/>
        </w:rPr>
      </w:r>
      <w:r w:rsidR="000B28FB">
        <w:rPr>
          <w:rFonts w:asciiTheme="minorHAnsi" w:hAnsiTheme="minorHAnsi"/>
        </w:rPr>
        <w:fldChar w:fldCharType="separate"/>
      </w:r>
      <w:r w:rsidR="00370022" w:rsidRPr="00370022">
        <w:rPr>
          <w:rFonts w:asciiTheme="minorHAnsi" w:hAnsiTheme="minorHAnsi"/>
          <w:noProof/>
          <w:vertAlign w:val="superscript"/>
        </w:rPr>
        <w:t>28</w:t>
      </w:r>
      <w:r w:rsidR="000B28FB">
        <w:rPr>
          <w:rFonts w:asciiTheme="minorHAnsi" w:hAnsiTheme="minorHAnsi"/>
        </w:rPr>
        <w:fldChar w:fldCharType="end"/>
      </w:r>
      <w:r w:rsidR="00E67B76" w:rsidRPr="00472A1A">
        <w:rPr>
          <w:rFonts w:asciiTheme="minorHAnsi" w:hAnsiTheme="minorHAnsi"/>
        </w:rPr>
        <w:t>. Therefore, identifying further improvements in surveillance</w:t>
      </w:r>
      <w:r w:rsidR="007C5F24">
        <w:rPr>
          <w:rFonts w:asciiTheme="minorHAnsi" w:hAnsiTheme="minorHAnsi"/>
        </w:rPr>
        <w:t>,</w:t>
      </w:r>
      <w:r w:rsidR="00E67B76" w:rsidRPr="00472A1A">
        <w:rPr>
          <w:rFonts w:asciiTheme="minorHAnsi" w:hAnsiTheme="minorHAnsi"/>
        </w:rPr>
        <w:t xml:space="preserve"> together with appropriate treatment reflecting their increased risk and unique healthcare needs, may improve their overall primary care management and potentially lead to a reduction in unplanned hospital admissions.</w:t>
      </w:r>
    </w:p>
    <w:p w14:paraId="7E992C55" w14:textId="77777777" w:rsidR="00472A1A" w:rsidRDefault="00472A1A" w:rsidP="001D1600">
      <w:pPr>
        <w:pStyle w:val="NormalWeb"/>
        <w:spacing w:before="0" w:beforeAutospacing="0" w:after="0" w:afterAutospacing="0" w:line="480" w:lineRule="auto"/>
        <w:jc w:val="both"/>
        <w:rPr>
          <w:color w:val="1F497D"/>
        </w:rPr>
      </w:pPr>
    </w:p>
    <w:p w14:paraId="72053B15" w14:textId="77777777" w:rsidR="002F137C" w:rsidRPr="002F137C" w:rsidRDefault="002F137C" w:rsidP="001D1600">
      <w:pPr>
        <w:autoSpaceDE w:val="0"/>
        <w:autoSpaceDN w:val="0"/>
        <w:adjustRightInd w:val="0"/>
        <w:spacing w:after="0" w:line="480" w:lineRule="auto"/>
        <w:jc w:val="both"/>
        <w:rPr>
          <w:rFonts w:cs="ArialMT"/>
          <w:b/>
          <w:sz w:val="24"/>
          <w:szCs w:val="24"/>
        </w:rPr>
      </w:pPr>
      <w:r w:rsidRPr="002F137C">
        <w:rPr>
          <w:rFonts w:cs="ArialMT"/>
          <w:b/>
          <w:sz w:val="24"/>
          <w:szCs w:val="24"/>
        </w:rPr>
        <w:t>Conflicts of Interest</w:t>
      </w:r>
    </w:p>
    <w:p w14:paraId="7BE02C89" w14:textId="40B22470" w:rsidR="006A532F" w:rsidRDefault="002F137C" w:rsidP="0042067A">
      <w:pPr>
        <w:autoSpaceDE w:val="0"/>
        <w:autoSpaceDN w:val="0"/>
        <w:adjustRightInd w:val="0"/>
        <w:spacing w:after="0" w:line="480" w:lineRule="auto"/>
        <w:jc w:val="both"/>
        <w:rPr>
          <w:rFonts w:cs="AdvTTef45df09"/>
        </w:rPr>
      </w:pPr>
      <w:r w:rsidRPr="002F137C">
        <w:rPr>
          <w:rFonts w:cs="ArialMT"/>
          <w:sz w:val="24"/>
          <w:szCs w:val="24"/>
        </w:rPr>
        <w:t>None</w:t>
      </w:r>
      <w:r w:rsidR="006A532F">
        <w:rPr>
          <w:rFonts w:cs="AdvTTef45df09"/>
        </w:rPr>
        <w:br w:type="page"/>
      </w:r>
    </w:p>
    <w:p w14:paraId="62198279" w14:textId="77777777" w:rsidR="006A532F" w:rsidRPr="00DC7BC5" w:rsidRDefault="006A532F" w:rsidP="006A532F">
      <w:pPr>
        <w:spacing w:after="0" w:line="240" w:lineRule="auto"/>
        <w:jc w:val="both"/>
        <w:rPr>
          <w:b/>
          <w:sz w:val="24"/>
          <w:szCs w:val="24"/>
        </w:rPr>
      </w:pPr>
      <w:r w:rsidRPr="00DC7BC5">
        <w:rPr>
          <w:b/>
          <w:sz w:val="24"/>
          <w:szCs w:val="24"/>
        </w:rPr>
        <w:t xml:space="preserve">References </w:t>
      </w:r>
    </w:p>
    <w:p w14:paraId="07AF3BCB" w14:textId="77777777" w:rsidR="006A532F" w:rsidRDefault="006A532F" w:rsidP="006A532F">
      <w:pPr>
        <w:spacing w:line="240" w:lineRule="auto"/>
        <w:rPr>
          <w:sz w:val="24"/>
          <w:szCs w:val="24"/>
        </w:rPr>
      </w:pPr>
    </w:p>
    <w:p w14:paraId="0D766D93" w14:textId="3105979E" w:rsidR="00370022" w:rsidRPr="00370022" w:rsidRDefault="006A532F" w:rsidP="00370022">
      <w:pPr>
        <w:pStyle w:val="EndNoteBibliography"/>
        <w:spacing w:after="0"/>
        <w:ind w:left="720" w:hanging="720"/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ADDIN EN.REFLIST </w:instrText>
      </w:r>
      <w:r>
        <w:rPr>
          <w:sz w:val="24"/>
          <w:szCs w:val="24"/>
        </w:rPr>
        <w:fldChar w:fldCharType="separate"/>
      </w:r>
      <w:r w:rsidR="00370022" w:rsidRPr="00370022">
        <w:t>1.</w:t>
      </w:r>
      <w:r w:rsidR="00370022" w:rsidRPr="00370022">
        <w:tab/>
        <w:t xml:space="preserve">Emerson EB, S. Health Inequalities &amp; People with Learning Disabilities in the UK: 2010. United Kingdom: Improving Health and Lives: Learning Disabilities Observatory; 2010: </w:t>
      </w:r>
      <w:hyperlink r:id="rId9" w:history="1">
        <w:r w:rsidR="00370022" w:rsidRPr="00370022">
          <w:rPr>
            <w:rStyle w:val="Hyperlink"/>
          </w:rPr>
          <w:t>https://www.improvinghealthandlives.org.uk/uploads/doc/vid_7479_IHaL2010-3HealthInequality2010.pdf</w:t>
        </w:r>
      </w:hyperlink>
      <w:r w:rsidR="00370022" w:rsidRPr="00370022">
        <w:t>. Accessed 29-02-2016.</w:t>
      </w:r>
    </w:p>
    <w:p w14:paraId="75882E44" w14:textId="57D60BA1" w:rsidR="00370022" w:rsidRPr="00370022" w:rsidRDefault="00370022" w:rsidP="00370022">
      <w:pPr>
        <w:pStyle w:val="EndNoteBibliography"/>
        <w:spacing w:after="0"/>
        <w:ind w:left="720" w:hanging="720"/>
      </w:pPr>
      <w:r w:rsidRPr="00370022">
        <w:t>2.</w:t>
      </w:r>
      <w:r w:rsidRPr="00370022">
        <w:tab/>
        <w:t xml:space="preserve">Michael J. Healthcare for All. Report of the independent inquiry into access to healthcare for people with learning disabilities. London: Department of Health; 2008: </w:t>
      </w:r>
      <w:hyperlink r:id="rId10" w:history="1">
        <w:r w:rsidRPr="00370022">
          <w:rPr>
            <w:rStyle w:val="Hyperlink"/>
          </w:rPr>
          <w:t>http://webarchive.nationalarchives.gov.uk/20130107105354/http://www.dh.gov.uk/en/Publicationsandstatistics/Publications/PublicationsPolicyAndGuidance/DH_099255</w:t>
        </w:r>
      </w:hyperlink>
      <w:r w:rsidRPr="00370022">
        <w:t>. Accessed 15-10-2015.</w:t>
      </w:r>
    </w:p>
    <w:p w14:paraId="7C8CAF3E" w14:textId="33C0570D" w:rsidR="00370022" w:rsidRPr="00370022" w:rsidRDefault="00370022" w:rsidP="00370022">
      <w:pPr>
        <w:pStyle w:val="EndNoteBibliography"/>
        <w:spacing w:after="0"/>
        <w:ind w:left="720" w:hanging="720"/>
      </w:pPr>
      <w:r w:rsidRPr="00370022">
        <w:t>3.</w:t>
      </w:r>
      <w:r w:rsidRPr="00370022">
        <w:tab/>
        <w:t xml:space="preserve">Office of the Surgeon General (US), National Institute of Child Health and Human Development (US), Centers for Disease Control and Prevention (US). Closing the Gap: A National Blueprint to Improve the Health of Persons with Mental Retardation: Report of the Surgeon General's Conference on Health Disparities and Mental Retardation. Washington (DC): US Department of Health and Human Services; 2002: </w:t>
      </w:r>
      <w:hyperlink r:id="rId11" w:history="1">
        <w:r w:rsidRPr="00370022">
          <w:rPr>
            <w:rStyle w:val="Hyperlink"/>
          </w:rPr>
          <w:t>http://www.ncbi.nlm.nih.gov/books/NBK44354/</w:t>
        </w:r>
      </w:hyperlink>
      <w:r w:rsidRPr="00370022">
        <w:t>. Accessed 29-04-2016.</w:t>
      </w:r>
    </w:p>
    <w:p w14:paraId="456D2C8F" w14:textId="0C8F1E6C" w:rsidR="00370022" w:rsidRPr="00370022" w:rsidRDefault="00370022" w:rsidP="00370022">
      <w:pPr>
        <w:pStyle w:val="EndNoteBibliography"/>
        <w:spacing w:after="0"/>
        <w:ind w:left="720" w:hanging="720"/>
      </w:pPr>
      <w:r w:rsidRPr="00370022">
        <w:t>4.</w:t>
      </w:r>
      <w:r w:rsidRPr="00370022">
        <w:tab/>
        <w:t xml:space="preserve">Glover G, Emerson E, Baines S. NHS Data Gaps for Learning Disabilities. United Kingdom: Improving Health and Lives: Learning Disabilities Observatory; 2011: </w:t>
      </w:r>
      <w:hyperlink r:id="rId12" w:history="1">
        <w:r w:rsidRPr="00370022">
          <w:rPr>
            <w:rStyle w:val="Hyperlink"/>
          </w:rPr>
          <w:t>http://www.improvinghealthandlives.org.uk/uploads/doc/vid_11422_IHAL2011-06-NHSDataGaps.pdf</w:t>
        </w:r>
      </w:hyperlink>
      <w:r w:rsidRPr="00370022">
        <w:t>. Accessed 28-04-2016.</w:t>
      </w:r>
    </w:p>
    <w:p w14:paraId="2279E86C" w14:textId="77777777" w:rsidR="00370022" w:rsidRPr="00370022" w:rsidRDefault="00370022" w:rsidP="00370022">
      <w:pPr>
        <w:pStyle w:val="EndNoteBibliography"/>
        <w:spacing w:after="0"/>
        <w:ind w:left="720" w:hanging="720"/>
      </w:pPr>
      <w:r w:rsidRPr="00370022">
        <w:t>5.</w:t>
      </w:r>
      <w:r w:rsidRPr="00370022">
        <w:tab/>
        <w:t xml:space="preserve">Purdy S, Griffin T, Salisbury C, Sharp D. Ambulatory care sensitive conditions: terminology and disease coding need to be more specific to aid policy makers and clinicians. </w:t>
      </w:r>
      <w:r w:rsidRPr="00370022">
        <w:rPr>
          <w:i/>
        </w:rPr>
        <w:t xml:space="preserve">Public Health. </w:t>
      </w:r>
      <w:r w:rsidRPr="00370022">
        <w:t>2009;123(2):169-173.</w:t>
      </w:r>
    </w:p>
    <w:p w14:paraId="3BADF852" w14:textId="77777777" w:rsidR="00370022" w:rsidRPr="00370022" w:rsidRDefault="00370022" w:rsidP="00370022">
      <w:pPr>
        <w:pStyle w:val="EndNoteBibliography"/>
        <w:spacing w:after="0"/>
        <w:ind w:left="720" w:hanging="720"/>
      </w:pPr>
      <w:r w:rsidRPr="00370022">
        <w:t>6.</w:t>
      </w:r>
      <w:r w:rsidRPr="00370022">
        <w:tab/>
        <w:t xml:space="preserve">Bardsley M, Blunt I, Davies S, Dixon J. Is secondary preventive care improving? Observational study of 10-year trends in emergency admissions for conditions amenable to ambulatory care. </w:t>
      </w:r>
      <w:r w:rsidRPr="00370022">
        <w:rPr>
          <w:i/>
        </w:rPr>
        <w:t xml:space="preserve">BMJ Open. </w:t>
      </w:r>
      <w:r w:rsidRPr="00370022">
        <w:t>2013;3(1).</w:t>
      </w:r>
    </w:p>
    <w:p w14:paraId="01CC654D" w14:textId="77777777" w:rsidR="00370022" w:rsidRPr="00370022" w:rsidRDefault="00370022" w:rsidP="00370022">
      <w:pPr>
        <w:pStyle w:val="EndNoteBibliography"/>
        <w:spacing w:after="0"/>
        <w:ind w:left="720" w:hanging="720"/>
      </w:pPr>
      <w:r w:rsidRPr="00370022">
        <w:t>7.</w:t>
      </w:r>
      <w:r w:rsidRPr="00370022">
        <w:tab/>
        <w:t xml:space="preserve">Billings J, Zeitel L, Lukomnik J, Carey TS, Blank AE, Newman L. Impact of socioeconomic status on hospital use in New York City. </w:t>
      </w:r>
      <w:r w:rsidRPr="00370022">
        <w:rPr>
          <w:i/>
        </w:rPr>
        <w:t xml:space="preserve">Health Affairs. </w:t>
      </w:r>
      <w:r w:rsidRPr="00370022">
        <w:t>1993;12(1):162-173.</w:t>
      </w:r>
    </w:p>
    <w:p w14:paraId="77E3EF55" w14:textId="44C39562" w:rsidR="00370022" w:rsidRPr="00370022" w:rsidRDefault="00370022" w:rsidP="00370022">
      <w:pPr>
        <w:pStyle w:val="EndNoteBibliography"/>
        <w:spacing w:after="0"/>
        <w:ind w:left="720" w:hanging="720"/>
      </w:pPr>
      <w:r w:rsidRPr="00370022">
        <w:t>8.</w:t>
      </w:r>
      <w:r w:rsidRPr="00370022">
        <w:tab/>
        <w:t xml:space="preserve">Glover G, Evison F. Hospital admissions that should not happen. United Kingdom: Improving Health and Lives: Learning Disabilities Observatory; 2013: </w:t>
      </w:r>
      <w:hyperlink r:id="rId13" w:history="1">
        <w:r w:rsidRPr="00370022">
          <w:rPr>
            <w:rStyle w:val="Hyperlink"/>
          </w:rPr>
          <w:t>http://www.ndti.org.uk/uploads/files/IHAL-2013-02_Hospital_admissions_that_should_not_happen_ii.pdf</w:t>
        </w:r>
      </w:hyperlink>
      <w:r w:rsidRPr="00370022">
        <w:t>. Accessed 03/11/2015.</w:t>
      </w:r>
    </w:p>
    <w:p w14:paraId="0AB93146" w14:textId="77777777" w:rsidR="00370022" w:rsidRPr="00370022" w:rsidRDefault="00370022" w:rsidP="00370022">
      <w:pPr>
        <w:pStyle w:val="EndNoteBibliography"/>
        <w:spacing w:after="0"/>
        <w:ind w:left="720" w:hanging="720"/>
      </w:pPr>
      <w:r w:rsidRPr="00370022">
        <w:t>9.</w:t>
      </w:r>
      <w:r w:rsidRPr="00370022">
        <w:tab/>
        <w:t xml:space="preserve">Balogh R, Brownell M, Ouellette-Kuntz H, Colantonio A. Hospitalisation rates for ambulatory care sensitive conditions for persons with and without an intellectual disability-a population perspective. </w:t>
      </w:r>
      <w:r w:rsidRPr="00370022">
        <w:rPr>
          <w:i/>
        </w:rPr>
        <w:t xml:space="preserve">J Intellect Disabil Res. </w:t>
      </w:r>
      <w:r w:rsidRPr="00370022">
        <w:t>2010;54:820-832.</w:t>
      </w:r>
    </w:p>
    <w:p w14:paraId="5B14738E" w14:textId="77777777" w:rsidR="00370022" w:rsidRPr="00370022" w:rsidRDefault="00370022" w:rsidP="00370022">
      <w:pPr>
        <w:pStyle w:val="EndNoteBibliography"/>
        <w:spacing w:after="0"/>
        <w:ind w:left="720" w:hanging="720"/>
      </w:pPr>
      <w:r w:rsidRPr="00370022">
        <w:t>10.</w:t>
      </w:r>
      <w:r w:rsidRPr="00370022">
        <w:tab/>
        <w:t xml:space="preserve">Herrett E, Gallagher AM, Bhaskaran K, et al. Data Resource Profile: Clinical Practice Research Datalink (CPRD). </w:t>
      </w:r>
      <w:r w:rsidRPr="00370022">
        <w:rPr>
          <w:i/>
        </w:rPr>
        <w:t xml:space="preserve">Int. J. Epidemiol. </w:t>
      </w:r>
      <w:r w:rsidRPr="00370022">
        <w:t>2015;44(3):827-836.</w:t>
      </w:r>
    </w:p>
    <w:p w14:paraId="72277AB4" w14:textId="77777777" w:rsidR="00370022" w:rsidRPr="00370022" w:rsidRDefault="00370022" w:rsidP="00370022">
      <w:pPr>
        <w:pStyle w:val="EndNoteBibliography"/>
        <w:spacing w:after="0"/>
        <w:ind w:left="720" w:hanging="720"/>
      </w:pPr>
      <w:r w:rsidRPr="00370022">
        <w:t>11.</w:t>
      </w:r>
      <w:r w:rsidRPr="00370022">
        <w:tab/>
        <w:t xml:space="preserve">Chisholm J. The Read clinical classification. </w:t>
      </w:r>
      <w:r w:rsidRPr="00370022">
        <w:rPr>
          <w:i/>
        </w:rPr>
        <w:t xml:space="preserve">BMJ. </w:t>
      </w:r>
      <w:r w:rsidRPr="00370022">
        <w:t>1990;300(6732):1092-1092.</w:t>
      </w:r>
    </w:p>
    <w:p w14:paraId="3D0CAE6F" w14:textId="77777777" w:rsidR="00370022" w:rsidRPr="00370022" w:rsidRDefault="00370022" w:rsidP="00370022">
      <w:pPr>
        <w:pStyle w:val="EndNoteBibliography"/>
        <w:spacing w:after="0"/>
        <w:ind w:left="720" w:hanging="720"/>
      </w:pPr>
      <w:r w:rsidRPr="00370022">
        <w:t>12.</w:t>
      </w:r>
      <w:r w:rsidRPr="00370022">
        <w:tab/>
        <w:t xml:space="preserve">Carey IM, Shah SM, Hosking FJ, et al. Health characteristics and consultation patterns of people with intellectual disability: a cross-sectional database study in English general practice. </w:t>
      </w:r>
      <w:r w:rsidRPr="00370022">
        <w:rPr>
          <w:i/>
        </w:rPr>
        <w:t xml:space="preserve">Br. J. Gen. Pract. </w:t>
      </w:r>
      <w:r w:rsidRPr="00370022">
        <w:t>2016;66(645):e264-270.</w:t>
      </w:r>
    </w:p>
    <w:p w14:paraId="6D7A9852" w14:textId="77777777" w:rsidR="00370022" w:rsidRPr="00370022" w:rsidRDefault="00370022" w:rsidP="00370022">
      <w:pPr>
        <w:pStyle w:val="EndNoteBibliography"/>
        <w:spacing w:after="0"/>
        <w:ind w:left="720" w:hanging="720"/>
      </w:pPr>
      <w:r w:rsidRPr="00370022">
        <w:t>13.</w:t>
      </w:r>
      <w:r w:rsidRPr="00370022">
        <w:tab/>
        <w:t xml:space="preserve">Hosking FJ, Carey IM, Shah SM, et al. Mortality Among Adults With Intellectual Disability in England: Comparisons With the General Population. </w:t>
      </w:r>
      <w:r w:rsidRPr="00370022">
        <w:rPr>
          <w:i/>
        </w:rPr>
        <w:t xml:space="preserve">American Journal of Public Health. </w:t>
      </w:r>
      <w:r w:rsidRPr="00370022">
        <w:t>2016;106(8):1483-1490.</w:t>
      </w:r>
    </w:p>
    <w:p w14:paraId="585EFE8B" w14:textId="77777777" w:rsidR="00370022" w:rsidRPr="00370022" w:rsidRDefault="00370022" w:rsidP="00370022">
      <w:pPr>
        <w:pStyle w:val="EndNoteBibliography"/>
        <w:spacing w:after="0"/>
        <w:ind w:left="720" w:hanging="720"/>
      </w:pPr>
      <w:r w:rsidRPr="00370022">
        <w:t>14.</w:t>
      </w:r>
      <w:r w:rsidRPr="00370022">
        <w:tab/>
        <w:t xml:space="preserve">Balogh RS, Ouellette-Kuntz H, Brownell M, Colantonio A. Factors associated with hospitalisations for ambulatory care-sensitive conditions among persons with an intellectual disability - a publicly insured population perspective. </w:t>
      </w:r>
      <w:r w:rsidRPr="00370022">
        <w:rPr>
          <w:i/>
        </w:rPr>
        <w:t xml:space="preserve">J Intellect Disabil Res. </w:t>
      </w:r>
      <w:r w:rsidRPr="00370022">
        <w:t>2013;57(3):226-239.</w:t>
      </w:r>
    </w:p>
    <w:p w14:paraId="304E7E41" w14:textId="77777777" w:rsidR="00370022" w:rsidRPr="00370022" w:rsidRDefault="00370022" w:rsidP="00370022">
      <w:pPr>
        <w:pStyle w:val="EndNoteBibliography"/>
        <w:spacing w:after="0"/>
        <w:ind w:left="720" w:hanging="720"/>
      </w:pPr>
      <w:r w:rsidRPr="00370022">
        <w:t>15.</w:t>
      </w:r>
      <w:r w:rsidRPr="00370022">
        <w:tab/>
        <w:t xml:space="preserve">Carey IM, Shah SM, Harris T, DeWilde S, Cook DG. A new simple primary care morbidity score predicted mortality and better explains between practice variations than the Charlson index. </w:t>
      </w:r>
      <w:r w:rsidRPr="00370022">
        <w:rPr>
          <w:i/>
        </w:rPr>
        <w:t xml:space="preserve">J Clin Epidemiol. </w:t>
      </w:r>
      <w:r w:rsidRPr="00370022">
        <w:t>2013;66(4):436-444.</w:t>
      </w:r>
    </w:p>
    <w:p w14:paraId="65639101" w14:textId="080CF5DF" w:rsidR="00370022" w:rsidRPr="00370022" w:rsidRDefault="00370022" w:rsidP="00370022">
      <w:pPr>
        <w:pStyle w:val="EndNoteBibliography"/>
        <w:spacing w:after="0"/>
        <w:ind w:left="720" w:hanging="720"/>
      </w:pPr>
      <w:r w:rsidRPr="00370022">
        <w:t>16.</w:t>
      </w:r>
      <w:r w:rsidRPr="00370022">
        <w:tab/>
        <w:t xml:space="preserve">English indices of deprivation 2010. London: Department for Communities and Local Government; 2011: </w:t>
      </w:r>
      <w:hyperlink r:id="rId14" w:history="1">
        <w:r w:rsidRPr="00370022">
          <w:rPr>
            <w:rStyle w:val="Hyperlink"/>
          </w:rPr>
          <w:t>https://www.gov.uk/government/statistics/english-indices-of-deprivation-2010</w:t>
        </w:r>
      </w:hyperlink>
      <w:r w:rsidRPr="00370022">
        <w:t>. Accessed 28-10-2015.</w:t>
      </w:r>
    </w:p>
    <w:p w14:paraId="2C2F3139" w14:textId="77777777" w:rsidR="00370022" w:rsidRPr="00370022" w:rsidRDefault="00370022" w:rsidP="00370022">
      <w:pPr>
        <w:pStyle w:val="EndNoteBibliography"/>
        <w:spacing w:after="0"/>
        <w:ind w:left="720" w:hanging="720"/>
      </w:pPr>
      <w:r w:rsidRPr="00370022">
        <w:t>17.</w:t>
      </w:r>
      <w:r w:rsidRPr="00370022">
        <w:tab/>
        <w:t xml:space="preserve">Williamson T, Flowers J, Cooke M. Quantifying emergency department admission rates for people with a learning disability. </w:t>
      </w:r>
      <w:r w:rsidRPr="00370022">
        <w:rPr>
          <w:i/>
        </w:rPr>
        <w:t xml:space="preserve">Emerg Med J. </w:t>
      </w:r>
      <w:r w:rsidRPr="00370022">
        <w:t>2012;29(9):771-772.</w:t>
      </w:r>
    </w:p>
    <w:p w14:paraId="41BC08D7" w14:textId="77777777" w:rsidR="00370022" w:rsidRPr="00370022" w:rsidRDefault="00370022" w:rsidP="00370022">
      <w:pPr>
        <w:pStyle w:val="EndNoteBibliography"/>
        <w:spacing w:after="0"/>
        <w:ind w:left="720" w:hanging="720"/>
      </w:pPr>
      <w:r w:rsidRPr="00370022">
        <w:t>18.</w:t>
      </w:r>
      <w:r w:rsidRPr="00370022">
        <w:tab/>
        <w:t xml:space="preserve">Heslop P, Lauer E, Hoghton M. Mortality in People with Intellectual Disabilities. </w:t>
      </w:r>
      <w:r w:rsidRPr="00370022">
        <w:rPr>
          <w:i/>
        </w:rPr>
        <w:t xml:space="preserve">J Appl Res Intellect Disabil. </w:t>
      </w:r>
      <w:r w:rsidRPr="00370022">
        <w:t>2015;28(5):367-372.</w:t>
      </w:r>
    </w:p>
    <w:p w14:paraId="163C3E11" w14:textId="77777777" w:rsidR="00370022" w:rsidRPr="00370022" w:rsidRDefault="00370022" w:rsidP="00370022">
      <w:pPr>
        <w:pStyle w:val="EndNoteBibliography"/>
        <w:spacing w:after="0"/>
        <w:ind w:left="720" w:hanging="720"/>
      </w:pPr>
      <w:r w:rsidRPr="00370022">
        <w:t>19.</w:t>
      </w:r>
      <w:r w:rsidRPr="00370022">
        <w:tab/>
        <w:t xml:space="preserve">Morgan CL, Ahmed Z, Kerr MP. Health care provision for people with a learning disability - Record-linkage study of epidemiology and factors contributing to hospital care uptake. </w:t>
      </w:r>
      <w:r w:rsidRPr="00370022">
        <w:rPr>
          <w:i/>
        </w:rPr>
        <w:t xml:space="preserve">Br. J. Psychiatry. </w:t>
      </w:r>
      <w:r w:rsidRPr="00370022">
        <w:t>2000;176:37-41.</w:t>
      </w:r>
    </w:p>
    <w:p w14:paraId="658F38A8" w14:textId="77777777" w:rsidR="00370022" w:rsidRPr="00370022" w:rsidRDefault="00370022" w:rsidP="00370022">
      <w:pPr>
        <w:pStyle w:val="EndNoteBibliography"/>
        <w:spacing w:after="0"/>
        <w:ind w:left="720" w:hanging="720"/>
      </w:pPr>
      <w:r w:rsidRPr="00370022">
        <w:t>20.</w:t>
      </w:r>
      <w:r w:rsidRPr="00370022">
        <w:tab/>
        <w:t xml:space="preserve">Ailey SH, Johnson T, Fogg L, Friese TR. Hospitalizations of Adults With Intellectual Disability in Academic Medical Centers. </w:t>
      </w:r>
      <w:r w:rsidRPr="00370022">
        <w:rPr>
          <w:i/>
        </w:rPr>
        <w:t xml:space="preserve">Intellectual and Developmental Disabilities. </w:t>
      </w:r>
      <w:r w:rsidRPr="00370022">
        <w:t>2014;52(3):187-192.</w:t>
      </w:r>
    </w:p>
    <w:p w14:paraId="191D63A4" w14:textId="77777777" w:rsidR="00370022" w:rsidRPr="00370022" w:rsidRDefault="00370022" w:rsidP="00370022">
      <w:pPr>
        <w:pStyle w:val="EndNoteBibliography"/>
        <w:spacing w:after="0"/>
        <w:ind w:left="720" w:hanging="720"/>
      </w:pPr>
      <w:r w:rsidRPr="00370022">
        <w:t>21.</w:t>
      </w:r>
      <w:r w:rsidRPr="00370022">
        <w:tab/>
        <w:t xml:space="preserve">Skorpen S, Nicolaisen M, Langballe EM. Hospitalisation in adults with intellectual disabilities compared with the general population in Norway. </w:t>
      </w:r>
      <w:r w:rsidRPr="00370022">
        <w:rPr>
          <w:i/>
        </w:rPr>
        <w:t xml:space="preserve">J Intellect Disabil Res. </w:t>
      </w:r>
      <w:r w:rsidRPr="00370022">
        <w:t>2016;60(4):365-377.</w:t>
      </w:r>
    </w:p>
    <w:p w14:paraId="0A6E1030" w14:textId="77777777" w:rsidR="00370022" w:rsidRPr="00370022" w:rsidRDefault="00370022" w:rsidP="00370022">
      <w:pPr>
        <w:pStyle w:val="EndNoteBibliography"/>
        <w:spacing w:after="0"/>
        <w:ind w:left="720" w:hanging="720"/>
      </w:pPr>
      <w:r w:rsidRPr="00370022">
        <w:t>22.</w:t>
      </w:r>
      <w:r w:rsidRPr="00370022">
        <w:tab/>
        <w:t xml:space="preserve">Glover G. Numbers and Policy in Care for People with Intellectual Disability in the United Kingdom. </w:t>
      </w:r>
      <w:r w:rsidRPr="00370022">
        <w:rPr>
          <w:i/>
        </w:rPr>
        <w:t xml:space="preserve">J Appl Res Intellect Disabil. </w:t>
      </w:r>
      <w:r w:rsidRPr="00370022">
        <w:t>2015;28(1):12-21.</w:t>
      </w:r>
    </w:p>
    <w:p w14:paraId="63C6BB1F" w14:textId="77777777" w:rsidR="00370022" w:rsidRPr="00370022" w:rsidRDefault="00370022" w:rsidP="00370022">
      <w:pPr>
        <w:pStyle w:val="EndNoteBibliography"/>
        <w:spacing w:after="0"/>
        <w:ind w:left="720" w:hanging="720"/>
      </w:pPr>
      <w:r w:rsidRPr="00370022">
        <w:t>23.</w:t>
      </w:r>
      <w:r w:rsidRPr="00370022">
        <w:tab/>
        <w:t xml:space="preserve">Patja K, Iivanainen M, Vesala H, Oksanen H, Ruoppila I. Life expectancy of people with intellectual disability: a 35-year follow-up study. </w:t>
      </w:r>
      <w:r w:rsidRPr="00370022">
        <w:rPr>
          <w:i/>
        </w:rPr>
        <w:t xml:space="preserve">J Intellect Disabil Res. </w:t>
      </w:r>
      <w:r w:rsidRPr="00370022">
        <w:t>2000;44 ( Pt 5):591-599.</w:t>
      </w:r>
    </w:p>
    <w:p w14:paraId="22F52CB7" w14:textId="77777777" w:rsidR="00370022" w:rsidRPr="00370022" w:rsidRDefault="00370022" w:rsidP="00370022">
      <w:pPr>
        <w:pStyle w:val="EndNoteBibliography"/>
        <w:spacing w:after="0"/>
        <w:ind w:left="720" w:hanging="720"/>
      </w:pPr>
      <w:r w:rsidRPr="00370022">
        <w:t>24.</w:t>
      </w:r>
      <w:r w:rsidRPr="00370022">
        <w:tab/>
        <w:t xml:space="preserve">Hippisley-Cox J, Coupland C. Predicting risk of emergency admission to hospital using primary care data: derivation and validation of QAdmissions score. </w:t>
      </w:r>
      <w:r w:rsidRPr="00370022">
        <w:rPr>
          <w:i/>
        </w:rPr>
        <w:t xml:space="preserve">Bmj Open. </w:t>
      </w:r>
      <w:r w:rsidRPr="00370022">
        <w:t>2013;3(8).</w:t>
      </w:r>
    </w:p>
    <w:p w14:paraId="73329DAE" w14:textId="77777777" w:rsidR="00370022" w:rsidRPr="00370022" w:rsidRDefault="00370022" w:rsidP="00370022">
      <w:pPr>
        <w:pStyle w:val="EndNoteBibliography"/>
        <w:spacing w:after="0"/>
        <w:ind w:left="720" w:hanging="720"/>
      </w:pPr>
      <w:r w:rsidRPr="00370022">
        <w:t>25.</w:t>
      </w:r>
      <w:r w:rsidRPr="00370022">
        <w:tab/>
        <w:t xml:space="preserve">Freund T, Campbell SM, Geissler S, et al. Strategies for Reducing Potentially Avoidable Hospitalizations for Ambulatory Care-Sensitive Conditions. </w:t>
      </w:r>
      <w:r w:rsidRPr="00370022">
        <w:rPr>
          <w:i/>
        </w:rPr>
        <w:t xml:space="preserve">Annals of Family Medicine. </w:t>
      </w:r>
      <w:r w:rsidRPr="00370022">
        <w:t>2013;11(4):363-370.</w:t>
      </w:r>
    </w:p>
    <w:p w14:paraId="24DA9F52" w14:textId="77777777" w:rsidR="00370022" w:rsidRPr="00370022" w:rsidRDefault="00370022" w:rsidP="00370022">
      <w:pPr>
        <w:pStyle w:val="EndNoteBibliography"/>
        <w:spacing w:after="0"/>
        <w:ind w:left="720" w:hanging="720"/>
      </w:pPr>
      <w:r w:rsidRPr="00370022">
        <w:t>26.</w:t>
      </w:r>
      <w:r w:rsidRPr="00370022">
        <w:tab/>
        <w:t xml:space="preserve">Buszewicz M, Welch C, Horsfall L, et al. Assessment of an incentivised scheme to provide annual health checks in primary care for adults with intellectual disability: a longitudinal cohort study. </w:t>
      </w:r>
      <w:r w:rsidRPr="00370022">
        <w:rPr>
          <w:i/>
        </w:rPr>
        <w:t xml:space="preserve">Lancet Psychiatry. </w:t>
      </w:r>
      <w:r w:rsidRPr="00370022">
        <w:t>2014;1(7):522-530.</w:t>
      </w:r>
    </w:p>
    <w:p w14:paraId="2A4A7259" w14:textId="5E5202F9" w:rsidR="00370022" w:rsidRPr="00370022" w:rsidRDefault="00370022" w:rsidP="00370022">
      <w:pPr>
        <w:pStyle w:val="EndNoteBibliography"/>
        <w:spacing w:after="0"/>
        <w:ind w:left="720" w:hanging="720"/>
      </w:pPr>
      <w:r w:rsidRPr="00370022">
        <w:t>27.</w:t>
      </w:r>
      <w:r w:rsidRPr="00370022">
        <w:tab/>
        <w:t xml:space="preserve">Glover G, Emerson E, Evison F. The Uptake of Health Checks for Adults with Learning Disabilities: 2008/9 to 2011/12. United Kingdom: Improving Health and Lives: Learning Disabilities Observatory; 2012: </w:t>
      </w:r>
      <w:hyperlink r:id="rId15" w:history="1">
        <w:r w:rsidRPr="00370022">
          <w:rPr>
            <w:rStyle w:val="Hyperlink"/>
          </w:rPr>
          <w:t>http://www.improvinghealthandlives.org.uk/uploads/doc/vid_16402_IHAL2012-07%20Health%20Checks%20for%20People%20with%20Learning%20Disabilities%202008-9%20to%202011-12v3.pdf</w:t>
        </w:r>
      </w:hyperlink>
      <w:r w:rsidRPr="00370022">
        <w:t>. Accessed 29-02-2016.</w:t>
      </w:r>
    </w:p>
    <w:p w14:paraId="0F8DD913" w14:textId="77777777" w:rsidR="00370022" w:rsidRPr="00370022" w:rsidRDefault="00370022" w:rsidP="00370022">
      <w:pPr>
        <w:pStyle w:val="EndNoteBibliography"/>
        <w:ind w:left="720" w:hanging="720"/>
      </w:pPr>
      <w:r w:rsidRPr="00370022">
        <w:t>28.</w:t>
      </w:r>
      <w:r w:rsidRPr="00370022">
        <w:tab/>
        <w:t xml:space="preserve">Carey IM, Hosking FJ, Harris T, et al. Do health checks for adults with intellectual disability reduce emergency hospital admissions? Evaluation of a natural experiment. </w:t>
      </w:r>
      <w:r w:rsidRPr="00370022">
        <w:rPr>
          <w:i/>
        </w:rPr>
        <w:t xml:space="preserve">J. Epidemiol. Community Health. </w:t>
      </w:r>
      <w:r w:rsidRPr="00370022">
        <w:t>2017;71(1):52-58.</w:t>
      </w:r>
    </w:p>
    <w:p w14:paraId="5CB5D663" w14:textId="05119BAC" w:rsidR="006A532F" w:rsidRPr="004C60CD" w:rsidRDefault="006A532F" w:rsidP="006A532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fldChar w:fldCharType="end"/>
      </w:r>
    </w:p>
    <w:p w14:paraId="4B7DA9BB" w14:textId="0A8A6F65" w:rsidR="006A532F" w:rsidRDefault="006A532F">
      <w:pPr>
        <w:rPr>
          <w:rFonts w:cs="AdvTTef45df09"/>
        </w:rPr>
      </w:pPr>
      <w:r>
        <w:rPr>
          <w:rFonts w:cs="AdvTTef45df09"/>
        </w:rPr>
        <w:br w:type="page"/>
      </w:r>
    </w:p>
    <w:p w14:paraId="7E93AE60" w14:textId="77777777" w:rsidR="006A532F" w:rsidRPr="00B215B7" w:rsidRDefault="006A532F" w:rsidP="001D1600">
      <w:pPr>
        <w:autoSpaceDE w:val="0"/>
        <w:autoSpaceDN w:val="0"/>
        <w:adjustRightInd w:val="0"/>
        <w:spacing w:after="0" w:line="480" w:lineRule="auto"/>
        <w:rPr>
          <w:rFonts w:cs="AdvTTef45df09"/>
        </w:rPr>
        <w:sectPr w:rsidR="006A532F" w:rsidRPr="00B215B7" w:rsidSect="009435F0">
          <w:footerReference w:type="default" r:id="rId1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A51BCD3" w14:textId="6C6DF013" w:rsidR="00112065" w:rsidRPr="004C60CD" w:rsidRDefault="00B53594" w:rsidP="00DC2D69">
      <w:pPr>
        <w:spacing w:after="0" w:line="240" w:lineRule="auto"/>
        <w:rPr>
          <w:b/>
          <w:sz w:val="24"/>
          <w:szCs w:val="24"/>
        </w:rPr>
      </w:pPr>
      <w:r w:rsidRPr="00491148">
        <w:rPr>
          <w:b/>
        </w:rPr>
        <w:t xml:space="preserve">Table 1: </w:t>
      </w:r>
      <w:r>
        <w:rPr>
          <w:b/>
        </w:rPr>
        <w:t>All e</w:t>
      </w:r>
      <w:r w:rsidRPr="00491148">
        <w:rPr>
          <w:b/>
        </w:rPr>
        <w:t>mergency admissions</w:t>
      </w:r>
      <w:r>
        <w:rPr>
          <w:b/>
        </w:rPr>
        <w:t xml:space="preserve"> during 2009-13</w:t>
      </w:r>
      <w:r w:rsidRPr="00491148">
        <w:rPr>
          <w:b/>
        </w:rPr>
        <w:t xml:space="preserve">, number of people, rates (per 1,000 people per year) and </w:t>
      </w:r>
      <w:r>
        <w:rPr>
          <w:b/>
        </w:rPr>
        <w:t xml:space="preserve">incidence rate ratios for ID versus controls from unadjusted and adjusted </w:t>
      </w:r>
      <w:r w:rsidRPr="00491148">
        <w:rPr>
          <w:b/>
        </w:rPr>
        <w:t>analysis, split by characteristics of the ID group.</w:t>
      </w:r>
      <w:r w:rsidR="00DC2D69">
        <w:rPr>
          <w:b/>
        </w:rPr>
        <w:br/>
      </w:r>
    </w:p>
    <w:tbl>
      <w:tblPr>
        <w:tblStyle w:val="ListTable1Light"/>
        <w:tblW w:w="13665" w:type="dxa"/>
        <w:tblLayout w:type="fixed"/>
        <w:tblLook w:val="06A0" w:firstRow="1" w:lastRow="0" w:firstColumn="1" w:lastColumn="0" w:noHBand="1" w:noVBand="1"/>
      </w:tblPr>
      <w:tblGrid>
        <w:gridCol w:w="2894"/>
        <w:gridCol w:w="1020"/>
        <w:gridCol w:w="1304"/>
        <w:gridCol w:w="907"/>
        <w:gridCol w:w="1870"/>
        <w:gridCol w:w="1814"/>
        <w:gridCol w:w="1022"/>
        <w:gridCol w:w="1813"/>
        <w:gridCol w:w="1021"/>
      </w:tblGrid>
      <w:tr w:rsidR="00EA2A8C" w:rsidRPr="00DC2D69" w14:paraId="70B65823" w14:textId="77777777" w:rsidTr="00DC2D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4" w:type="dxa"/>
            <w:tcBorders>
              <w:top w:val="single" w:sz="4" w:space="0" w:color="auto"/>
              <w:bottom w:val="none" w:sz="0" w:space="0" w:color="auto"/>
            </w:tcBorders>
          </w:tcPr>
          <w:p w14:paraId="7CC5B2CE" w14:textId="5BE3F2B8" w:rsidR="00112065" w:rsidRPr="00DC2D69" w:rsidRDefault="00112065" w:rsidP="006623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nil"/>
            </w:tcBorders>
          </w:tcPr>
          <w:p w14:paraId="476985F7" w14:textId="77777777" w:rsidR="00112065" w:rsidRPr="00DC2D69" w:rsidRDefault="00112065" w:rsidP="001A63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2D69">
              <w:rPr>
                <w:sz w:val="20"/>
                <w:szCs w:val="20"/>
              </w:rPr>
              <w:t>Adults with ID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</w:tcBorders>
          </w:tcPr>
          <w:p w14:paraId="36453BC2" w14:textId="1BB516BB" w:rsidR="00112065" w:rsidRPr="00DC2D69" w:rsidRDefault="00112065" w:rsidP="00EA2A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2D69">
              <w:rPr>
                <w:sz w:val="20"/>
                <w:szCs w:val="20"/>
              </w:rPr>
              <w:t>Age-sex-practice matched</w:t>
            </w:r>
            <w:r w:rsidR="00EA2A8C" w:rsidRPr="00DC2D69">
              <w:rPr>
                <w:sz w:val="20"/>
                <w:szCs w:val="20"/>
              </w:rPr>
              <w:t xml:space="preserve"> c</w:t>
            </w:r>
            <w:r w:rsidRPr="00DC2D69">
              <w:rPr>
                <w:sz w:val="20"/>
                <w:szCs w:val="20"/>
              </w:rPr>
              <w:t>ontrols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</w:tcBorders>
          </w:tcPr>
          <w:p w14:paraId="191251F4" w14:textId="77777777" w:rsidR="00112065" w:rsidRPr="00DC2D69" w:rsidRDefault="00112065" w:rsidP="001A63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DC2D69">
              <w:rPr>
                <w:sz w:val="20"/>
                <w:szCs w:val="20"/>
              </w:rPr>
              <w:t>Unadjusted Model*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</w:tcBorders>
          </w:tcPr>
          <w:p w14:paraId="6EDEB443" w14:textId="77777777" w:rsidR="00112065" w:rsidRPr="00DC2D69" w:rsidRDefault="00112065" w:rsidP="001A63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2D69">
              <w:rPr>
                <w:sz w:val="20"/>
                <w:szCs w:val="20"/>
              </w:rPr>
              <w:t>Adjusted Model</w:t>
            </w:r>
            <w:r w:rsidRPr="00DC2D69">
              <w:rPr>
                <w:rFonts w:cstheme="minorHAnsi"/>
                <w:sz w:val="20"/>
                <w:szCs w:val="20"/>
              </w:rPr>
              <w:t>†</w:t>
            </w:r>
          </w:p>
        </w:tc>
      </w:tr>
      <w:tr w:rsidR="00EA2A8C" w:rsidRPr="00DC2D69" w14:paraId="115083D0" w14:textId="77777777" w:rsidTr="00DC2D69">
        <w:trPr>
          <w:trHeight w:hRule="exact"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4" w:type="dxa"/>
            <w:tcBorders>
              <w:bottom w:val="single" w:sz="4" w:space="0" w:color="666666" w:themeColor="text1" w:themeTint="99"/>
            </w:tcBorders>
          </w:tcPr>
          <w:p w14:paraId="1E6022D7" w14:textId="77777777" w:rsidR="00112065" w:rsidRPr="00DC2D69" w:rsidRDefault="00112065" w:rsidP="001120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nil"/>
              <w:bottom w:val="single" w:sz="4" w:space="0" w:color="666666" w:themeColor="text1" w:themeTint="99"/>
            </w:tcBorders>
          </w:tcPr>
          <w:p w14:paraId="21D5373A" w14:textId="42C4C6D4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C2D69">
              <w:rPr>
                <w:b/>
                <w:sz w:val="20"/>
                <w:szCs w:val="20"/>
              </w:rPr>
              <w:t>People</w:t>
            </w:r>
          </w:p>
        </w:tc>
        <w:tc>
          <w:tcPr>
            <w:tcW w:w="1304" w:type="dxa"/>
            <w:tcBorders>
              <w:left w:val="nil"/>
              <w:bottom w:val="single" w:sz="4" w:space="0" w:color="666666" w:themeColor="text1" w:themeTint="99"/>
            </w:tcBorders>
          </w:tcPr>
          <w:p w14:paraId="692549C6" w14:textId="50C7F53F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C2D69">
              <w:rPr>
                <w:b/>
                <w:sz w:val="20"/>
                <w:szCs w:val="20"/>
              </w:rPr>
              <w:t xml:space="preserve"> Admissions</w:t>
            </w:r>
          </w:p>
        </w:tc>
        <w:tc>
          <w:tcPr>
            <w:tcW w:w="907" w:type="dxa"/>
            <w:tcBorders>
              <w:bottom w:val="single" w:sz="4" w:space="0" w:color="666666" w:themeColor="text1" w:themeTint="99"/>
            </w:tcBorders>
          </w:tcPr>
          <w:p w14:paraId="5B0959BD" w14:textId="77777777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C2D69">
              <w:rPr>
                <w:b/>
                <w:sz w:val="20"/>
                <w:szCs w:val="20"/>
              </w:rPr>
              <w:t>Rate</w:t>
            </w:r>
          </w:p>
        </w:tc>
        <w:tc>
          <w:tcPr>
            <w:tcW w:w="1870" w:type="dxa"/>
            <w:tcBorders>
              <w:left w:val="nil"/>
              <w:bottom w:val="single" w:sz="4" w:space="0" w:color="666666" w:themeColor="text1" w:themeTint="99"/>
            </w:tcBorders>
          </w:tcPr>
          <w:p w14:paraId="10C48ADE" w14:textId="77777777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C2D69">
              <w:rPr>
                <w:b/>
                <w:sz w:val="20"/>
                <w:szCs w:val="20"/>
              </w:rPr>
              <w:t>Rate</w:t>
            </w:r>
          </w:p>
        </w:tc>
        <w:tc>
          <w:tcPr>
            <w:tcW w:w="1814" w:type="dxa"/>
            <w:tcBorders>
              <w:left w:val="nil"/>
              <w:bottom w:val="single" w:sz="4" w:space="0" w:color="666666" w:themeColor="text1" w:themeTint="99"/>
            </w:tcBorders>
          </w:tcPr>
          <w:p w14:paraId="5F102D01" w14:textId="77777777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C2D69">
              <w:rPr>
                <w:b/>
                <w:sz w:val="20"/>
                <w:szCs w:val="20"/>
              </w:rPr>
              <w:t>IRR (95% CI)</w:t>
            </w:r>
          </w:p>
        </w:tc>
        <w:tc>
          <w:tcPr>
            <w:tcW w:w="1022" w:type="dxa"/>
            <w:tcBorders>
              <w:bottom w:val="single" w:sz="4" w:space="0" w:color="666666" w:themeColor="text1" w:themeTint="99"/>
            </w:tcBorders>
          </w:tcPr>
          <w:p w14:paraId="0A9B6EB6" w14:textId="77777777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C2D69">
              <w:rPr>
                <w:b/>
                <w:sz w:val="20"/>
                <w:szCs w:val="20"/>
              </w:rPr>
              <w:t>P value</w:t>
            </w:r>
            <w:r w:rsidRPr="00DC2D69">
              <w:rPr>
                <w:rFonts w:cstheme="minorHAnsi"/>
                <w:b/>
                <w:sz w:val="20"/>
                <w:szCs w:val="20"/>
              </w:rPr>
              <w:t>‡</w:t>
            </w:r>
          </w:p>
        </w:tc>
        <w:tc>
          <w:tcPr>
            <w:tcW w:w="1813" w:type="dxa"/>
            <w:tcBorders>
              <w:left w:val="nil"/>
              <w:bottom w:val="single" w:sz="4" w:space="0" w:color="666666" w:themeColor="text1" w:themeTint="99"/>
            </w:tcBorders>
          </w:tcPr>
          <w:p w14:paraId="07F2EC73" w14:textId="77777777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C2D69">
              <w:rPr>
                <w:b/>
                <w:sz w:val="20"/>
                <w:szCs w:val="20"/>
              </w:rPr>
              <w:t>IRR (95% CI)</w:t>
            </w:r>
          </w:p>
        </w:tc>
        <w:tc>
          <w:tcPr>
            <w:tcW w:w="1021" w:type="dxa"/>
            <w:tcBorders>
              <w:bottom w:val="single" w:sz="4" w:space="0" w:color="666666" w:themeColor="text1" w:themeTint="99"/>
            </w:tcBorders>
          </w:tcPr>
          <w:p w14:paraId="0D65B153" w14:textId="77777777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C2D69">
              <w:rPr>
                <w:b/>
                <w:sz w:val="20"/>
                <w:szCs w:val="20"/>
              </w:rPr>
              <w:t>P value</w:t>
            </w:r>
            <w:r w:rsidRPr="00DC2D69">
              <w:rPr>
                <w:rFonts w:cstheme="minorHAnsi"/>
                <w:b/>
                <w:sz w:val="20"/>
                <w:szCs w:val="20"/>
              </w:rPr>
              <w:t>‡</w:t>
            </w:r>
          </w:p>
        </w:tc>
      </w:tr>
      <w:tr w:rsidR="00EA2A8C" w:rsidRPr="00DC2D69" w14:paraId="2A15D2CE" w14:textId="77777777" w:rsidTr="00DC2D6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4" w:type="dxa"/>
            <w:tcBorders>
              <w:top w:val="single" w:sz="4" w:space="0" w:color="666666" w:themeColor="text1" w:themeTint="99"/>
            </w:tcBorders>
          </w:tcPr>
          <w:p w14:paraId="0E05847B" w14:textId="77777777" w:rsidR="00662383" w:rsidRPr="00DC2D69" w:rsidRDefault="00662383" w:rsidP="00112065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666666" w:themeColor="text1" w:themeTint="99"/>
              <w:left w:val="nil"/>
            </w:tcBorders>
            <w:vAlign w:val="center"/>
          </w:tcPr>
          <w:p w14:paraId="04B8089A" w14:textId="77777777" w:rsidR="00662383" w:rsidRPr="00DC2D69" w:rsidRDefault="00662383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666666" w:themeColor="text1" w:themeTint="99"/>
              <w:left w:val="nil"/>
            </w:tcBorders>
            <w:vAlign w:val="center"/>
          </w:tcPr>
          <w:p w14:paraId="232EABFA" w14:textId="77777777" w:rsidR="00662383" w:rsidRPr="00DC2D69" w:rsidRDefault="00662383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666666" w:themeColor="text1" w:themeTint="99"/>
            </w:tcBorders>
            <w:vAlign w:val="center"/>
          </w:tcPr>
          <w:p w14:paraId="508859DB" w14:textId="77777777" w:rsidR="00662383" w:rsidRPr="00DC2D69" w:rsidRDefault="00662383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666666" w:themeColor="text1" w:themeTint="99"/>
              <w:left w:val="nil"/>
            </w:tcBorders>
            <w:vAlign w:val="center"/>
          </w:tcPr>
          <w:p w14:paraId="19EBFDB4" w14:textId="77777777" w:rsidR="00662383" w:rsidRPr="00DC2D69" w:rsidRDefault="00662383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666666" w:themeColor="text1" w:themeTint="99"/>
              <w:left w:val="nil"/>
            </w:tcBorders>
            <w:vAlign w:val="center"/>
          </w:tcPr>
          <w:p w14:paraId="0D709F63" w14:textId="77777777" w:rsidR="00662383" w:rsidRPr="00DC2D69" w:rsidRDefault="00662383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666666" w:themeColor="text1" w:themeTint="99"/>
            </w:tcBorders>
            <w:vAlign w:val="center"/>
          </w:tcPr>
          <w:p w14:paraId="349F46E6" w14:textId="77777777" w:rsidR="00662383" w:rsidRPr="00DC2D69" w:rsidRDefault="00662383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666666" w:themeColor="text1" w:themeTint="99"/>
              <w:left w:val="nil"/>
            </w:tcBorders>
            <w:vAlign w:val="center"/>
          </w:tcPr>
          <w:p w14:paraId="5D6FA64B" w14:textId="77777777" w:rsidR="00662383" w:rsidRPr="00DC2D69" w:rsidRDefault="00662383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666666" w:themeColor="text1" w:themeTint="99"/>
            </w:tcBorders>
            <w:vAlign w:val="center"/>
          </w:tcPr>
          <w:p w14:paraId="1F4B62B1" w14:textId="77777777" w:rsidR="00662383" w:rsidRPr="00DC2D69" w:rsidRDefault="00662383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A2A8C" w:rsidRPr="00DC2D69" w14:paraId="7B7B5171" w14:textId="77777777" w:rsidTr="00EA2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4" w:type="dxa"/>
          </w:tcPr>
          <w:p w14:paraId="58DD810D" w14:textId="1C594A6E" w:rsidR="00112065" w:rsidRPr="00DC2D69" w:rsidRDefault="00662383" w:rsidP="00662383">
            <w:pPr>
              <w:rPr>
                <w:b w:val="0"/>
                <w:sz w:val="20"/>
                <w:szCs w:val="20"/>
              </w:rPr>
            </w:pPr>
            <w:r w:rsidRPr="00DC2D69">
              <w:rPr>
                <w:b w:val="0"/>
                <w:sz w:val="20"/>
                <w:szCs w:val="20"/>
              </w:rPr>
              <w:t>All Adults</w:t>
            </w:r>
            <w:r w:rsidR="00112065" w:rsidRPr="00DC2D69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14:paraId="266859FE" w14:textId="120C90AE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2D69">
              <w:rPr>
                <w:sz w:val="20"/>
                <w:szCs w:val="20"/>
              </w:rPr>
              <w:t>16,666</w:t>
            </w:r>
          </w:p>
        </w:tc>
        <w:tc>
          <w:tcPr>
            <w:tcW w:w="1304" w:type="dxa"/>
            <w:tcBorders>
              <w:left w:val="nil"/>
            </w:tcBorders>
            <w:vAlign w:val="center"/>
          </w:tcPr>
          <w:p w14:paraId="44ACBC4B" w14:textId="0BB47E92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2D69">
              <w:rPr>
                <w:sz w:val="20"/>
                <w:szCs w:val="20"/>
              </w:rPr>
              <w:t>9,026</w:t>
            </w:r>
          </w:p>
        </w:tc>
        <w:tc>
          <w:tcPr>
            <w:tcW w:w="907" w:type="dxa"/>
            <w:vAlign w:val="center"/>
          </w:tcPr>
          <w:p w14:paraId="3DC8679A" w14:textId="77777777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2D69">
              <w:rPr>
                <w:sz w:val="20"/>
                <w:szCs w:val="20"/>
              </w:rPr>
              <w:t>182.2</w:t>
            </w:r>
          </w:p>
        </w:tc>
        <w:tc>
          <w:tcPr>
            <w:tcW w:w="1870" w:type="dxa"/>
            <w:tcBorders>
              <w:left w:val="nil"/>
            </w:tcBorders>
            <w:vAlign w:val="center"/>
          </w:tcPr>
          <w:p w14:paraId="4C3B5E1B" w14:textId="77777777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2D69">
              <w:rPr>
                <w:sz w:val="20"/>
                <w:szCs w:val="20"/>
              </w:rPr>
              <w:t>67.7</w:t>
            </w:r>
          </w:p>
        </w:tc>
        <w:tc>
          <w:tcPr>
            <w:tcW w:w="1814" w:type="dxa"/>
            <w:tcBorders>
              <w:left w:val="nil"/>
            </w:tcBorders>
            <w:vAlign w:val="center"/>
          </w:tcPr>
          <w:p w14:paraId="1C95FF83" w14:textId="77777777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2D69">
              <w:rPr>
                <w:sz w:val="20"/>
                <w:szCs w:val="20"/>
              </w:rPr>
              <w:t>2.82 (2.66 – 2.98)</w:t>
            </w:r>
          </w:p>
        </w:tc>
        <w:tc>
          <w:tcPr>
            <w:tcW w:w="1022" w:type="dxa"/>
            <w:vAlign w:val="center"/>
          </w:tcPr>
          <w:p w14:paraId="417805ED" w14:textId="77777777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2D69">
              <w:rPr>
                <w:sz w:val="20"/>
                <w:szCs w:val="20"/>
              </w:rPr>
              <w:t>-</w:t>
            </w:r>
          </w:p>
        </w:tc>
        <w:tc>
          <w:tcPr>
            <w:tcW w:w="1813" w:type="dxa"/>
            <w:tcBorders>
              <w:left w:val="nil"/>
            </w:tcBorders>
            <w:vAlign w:val="center"/>
          </w:tcPr>
          <w:p w14:paraId="34883DEC" w14:textId="77777777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2D69">
              <w:rPr>
                <w:sz w:val="20"/>
                <w:szCs w:val="20"/>
              </w:rPr>
              <w:t>2.16 (2.02 – 2.30)</w:t>
            </w:r>
          </w:p>
        </w:tc>
        <w:tc>
          <w:tcPr>
            <w:tcW w:w="1021" w:type="dxa"/>
            <w:vAlign w:val="center"/>
          </w:tcPr>
          <w:p w14:paraId="69BC64FE" w14:textId="77777777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2D69">
              <w:rPr>
                <w:sz w:val="20"/>
                <w:szCs w:val="20"/>
              </w:rPr>
              <w:t>-</w:t>
            </w:r>
          </w:p>
        </w:tc>
      </w:tr>
      <w:tr w:rsidR="00EA2A8C" w:rsidRPr="00DC2D69" w14:paraId="1C1CFF51" w14:textId="77777777" w:rsidTr="00EA2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4" w:type="dxa"/>
          </w:tcPr>
          <w:p w14:paraId="44F04ED7" w14:textId="77777777" w:rsidR="00112065" w:rsidRPr="00DC2D69" w:rsidRDefault="00112065" w:rsidP="00112065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nil"/>
            </w:tcBorders>
            <w:vAlign w:val="center"/>
          </w:tcPr>
          <w:p w14:paraId="21262D48" w14:textId="77777777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nil"/>
            </w:tcBorders>
            <w:vAlign w:val="center"/>
          </w:tcPr>
          <w:p w14:paraId="520D726F" w14:textId="0C512C89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E28BC93" w14:textId="77777777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nil"/>
            </w:tcBorders>
            <w:vAlign w:val="center"/>
          </w:tcPr>
          <w:p w14:paraId="3BD72FB7" w14:textId="77777777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left w:val="nil"/>
            </w:tcBorders>
            <w:vAlign w:val="center"/>
          </w:tcPr>
          <w:p w14:paraId="494E50ED" w14:textId="77777777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5C837EF2" w14:textId="77777777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3" w:type="dxa"/>
            <w:tcBorders>
              <w:left w:val="nil"/>
            </w:tcBorders>
            <w:vAlign w:val="center"/>
          </w:tcPr>
          <w:p w14:paraId="3BA9E481" w14:textId="77777777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14:paraId="7FAFF37D" w14:textId="77777777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A2A8C" w:rsidRPr="00DC2D69" w14:paraId="23F1C033" w14:textId="77777777" w:rsidTr="00EA2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4" w:type="dxa"/>
          </w:tcPr>
          <w:p w14:paraId="557804AB" w14:textId="68D11757" w:rsidR="00EA2A8C" w:rsidRPr="00DC2D69" w:rsidRDefault="00EA2A8C" w:rsidP="00112065">
            <w:pPr>
              <w:rPr>
                <w:sz w:val="20"/>
                <w:szCs w:val="20"/>
              </w:rPr>
            </w:pPr>
            <w:r w:rsidRPr="00DC2D69">
              <w:rPr>
                <w:sz w:val="20"/>
                <w:szCs w:val="20"/>
              </w:rPr>
              <w:t>Stratified by matched factor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14:paraId="7857EA49" w14:textId="77777777" w:rsidR="00EA2A8C" w:rsidRPr="00DC2D69" w:rsidRDefault="00EA2A8C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nil"/>
            </w:tcBorders>
            <w:vAlign w:val="center"/>
          </w:tcPr>
          <w:p w14:paraId="5FC3EE60" w14:textId="77777777" w:rsidR="00EA2A8C" w:rsidRPr="00DC2D69" w:rsidRDefault="00EA2A8C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7A9CBC74" w14:textId="77777777" w:rsidR="00EA2A8C" w:rsidRPr="00DC2D69" w:rsidRDefault="00EA2A8C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nil"/>
            </w:tcBorders>
            <w:vAlign w:val="center"/>
          </w:tcPr>
          <w:p w14:paraId="69F69756" w14:textId="77777777" w:rsidR="00EA2A8C" w:rsidRPr="00DC2D69" w:rsidRDefault="00EA2A8C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left w:val="nil"/>
            </w:tcBorders>
            <w:vAlign w:val="center"/>
          </w:tcPr>
          <w:p w14:paraId="3418BF58" w14:textId="77777777" w:rsidR="00EA2A8C" w:rsidRPr="00DC2D69" w:rsidRDefault="00EA2A8C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34716B89" w14:textId="77777777" w:rsidR="00EA2A8C" w:rsidRPr="00DC2D69" w:rsidRDefault="00EA2A8C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3" w:type="dxa"/>
            <w:tcBorders>
              <w:left w:val="nil"/>
            </w:tcBorders>
            <w:vAlign w:val="center"/>
          </w:tcPr>
          <w:p w14:paraId="7E373511" w14:textId="77777777" w:rsidR="00EA2A8C" w:rsidRPr="00DC2D69" w:rsidRDefault="00EA2A8C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14:paraId="26FBC643" w14:textId="77777777" w:rsidR="00EA2A8C" w:rsidRPr="00DC2D69" w:rsidRDefault="00EA2A8C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A2A8C" w:rsidRPr="00DC2D69" w14:paraId="27320C03" w14:textId="77777777" w:rsidTr="00EA2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4" w:type="dxa"/>
          </w:tcPr>
          <w:p w14:paraId="1F7B9879" w14:textId="4D645BEF" w:rsidR="00112065" w:rsidRPr="00DC2D69" w:rsidRDefault="00AC3E5C" w:rsidP="00AC3E5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Sex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14:paraId="3C0B6CE2" w14:textId="77777777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nil"/>
            </w:tcBorders>
            <w:vAlign w:val="center"/>
          </w:tcPr>
          <w:p w14:paraId="63952FD3" w14:textId="50A3EEC2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79D7E7D6" w14:textId="77777777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nil"/>
            </w:tcBorders>
            <w:vAlign w:val="center"/>
          </w:tcPr>
          <w:p w14:paraId="6AE603D6" w14:textId="77777777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left w:val="nil"/>
            </w:tcBorders>
            <w:vAlign w:val="center"/>
          </w:tcPr>
          <w:p w14:paraId="152E15C4" w14:textId="77777777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2405BEC5" w14:textId="77777777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3" w:type="dxa"/>
            <w:tcBorders>
              <w:left w:val="nil"/>
            </w:tcBorders>
            <w:vAlign w:val="center"/>
          </w:tcPr>
          <w:p w14:paraId="0B7458BF" w14:textId="77777777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14:paraId="097D4E50" w14:textId="77777777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A2A8C" w:rsidRPr="00DC2D69" w14:paraId="21F158E3" w14:textId="77777777" w:rsidTr="00EA2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4" w:type="dxa"/>
          </w:tcPr>
          <w:p w14:paraId="4603845D" w14:textId="7FB84945" w:rsidR="00112065" w:rsidRPr="00DC2D69" w:rsidRDefault="00EA2A8C" w:rsidP="00112065">
            <w:pPr>
              <w:jc w:val="right"/>
              <w:rPr>
                <w:b w:val="0"/>
                <w:sz w:val="20"/>
                <w:szCs w:val="20"/>
              </w:rPr>
            </w:pPr>
            <w:r w:rsidRPr="00DC2D69">
              <w:rPr>
                <w:b w:val="0"/>
                <w:sz w:val="20"/>
                <w:szCs w:val="20"/>
              </w:rPr>
              <w:t xml:space="preserve">- </w:t>
            </w:r>
            <w:r w:rsidR="00112065" w:rsidRPr="00DC2D69">
              <w:rPr>
                <w:b w:val="0"/>
                <w:sz w:val="20"/>
                <w:szCs w:val="20"/>
              </w:rPr>
              <w:t>Female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14:paraId="0E91DE0F" w14:textId="071718A3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2D69">
              <w:rPr>
                <w:sz w:val="20"/>
                <w:szCs w:val="20"/>
              </w:rPr>
              <w:t>6,989</w:t>
            </w:r>
          </w:p>
        </w:tc>
        <w:tc>
          <w:tcPr>
            <w:tcW w:w="1304" w:type="dxa"/>
            <w:tcBorders>
              <w:left w:val="nil"/>
            </w:tcBorders>
            <w:vAlign w:val="center"/>
          </w:tcPr>
          <w:p w14:paraId="0FF9C33F" w14:textId="1D5CDCDD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2D69">
              <w:rPr>
                <w:sz w:val="20"/>
                <w:szCs w:val="20"/>
              </w:rPr>
              <w:t>4,250</w:t>
            </w:r>
          </w:p>
        </w:tc>
        <w:tc>
          <w:tcPr>
            <w:tcW w:w="907" w:type="dxa"/>
            <w:vAlign w:val="center"/>
          </w:tcPr>
          <w:p w14:paraId="2AEA954D" w14:textId="77777777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2D69">
              <w:rPr>
                <w:sz w:val="20"/>
                <w:szCs w:val="20"/>
              </w:rPr>
              <w:t>203.8</w:t>
            </w:r>
          </w:p>
        </w:tc>
        <w:tc>
          <w:tcPr>
            <w:tcW w:w="1870" w:type="dxa"/>
            <w:tcBorders>
              <w:left w:val="nil"/>
            </w:tcBorders>
            <w:vAlign w:val="center"/>
          </w:tcPr>
          <w:p w14:paraId="046E6EF0" w14:textId="77777777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2D69">
              <w:rPr>
                <w:sz w:val="20"/>
                <w:szCs w:val="20"/>
              </w:rPr>
              <w:t>73.5</w:t>
            </w:r>
          </w:p>
        </w:tc>
        <w:tc>
          <w:tcPr>
            <w:tcW w:w="1814" w:type="dxa"/>
            <w:tcBorders>
              <w:left w:val="nil"/>
            </w:tcBorders>
            <w:vAlign w:val="center"/>
          </w:tcPr>
          <w:p w14:paraId="1BA29700" w14:textId="77777777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2D69">
              <w:rPr>
                <w:sz w:val="20"/>
                <w:szCs w:val="20"/>
              </w:rPr>
              <w:t>2.90 (2.66 – 3.15)</w:t>
            </w:r>
          </w:p>
        </w:tc>
        <w:tc>
          <w:tcPr>
            <w:tcW w:w="1022" w:type="dxa"/>
            <w:vAlign w:val="center"/>
          </w:tcPr>
          <w:p w14:paraId="47879C1D" w14:textId="77777777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2D69">
              <w:rPr>
                <w:sz w:val="20"/>
                <w:szCs w:val="20"/>
              </w:rPr>
              <w:t>-</w:t>
            </w:r>
          </w:p>
        </w:tc>
        <w:tc>
          <w:tcPr>
            <w:tcW w:w="1813" w:type="dxa"/>
            <w:tcBorders>
              <w:left w:val="nil"/>
            </w:tcBorders>
            <w:vAlign w:val="center"/>
          </w:tcPr>
          <w:p w14:paraId="387CD875" w14:textId="77777777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2D69">
              <w:rPr>
                <w:sz w:val="20"/>
                <w:szCs w:val="20"/>
              </w:rPr>
              <w:t>2.09 (1.89 – 2.30)</w:t>
            </w:r>
          </w:p>
        </w:tc>
        <w:tc>
          <w:tcPr>
            <w:tcW w:w="1021" w:type="dxa"/>
            <w:vAlign w:val="center"/>
          </w:tcPr>
          <w:p w14:paraId="2888C4C4" w14:textId="77777777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2D69">
              <w:rPr>
                <w:sz w:val="20"/>
                <w:szCs w:val="20"/>
              </w:rPr>
              <w:t>-</w:t>
            </w:r>
          </w:p>
        </w:tc>
      </w:tr>
      <w:tr w:rsidR="00EA2A8C" w:rsidRPr="00DC2D69" w14:paraId="5C1EFF0D" w14:textId="77777777" w:rsidTr="00EA2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4" w:type="dxa"/>
          </w:tcPr>
          <w:p w14:paraId="42EBD375" w14:textId="7493B908" w:rsidR="00112065" w:rsidRPr="00DC2D69" w:rsidRDefault="00EA2A8C" w:rsidP="00112065">
            <w:pPr>
              <w:jc w:val="right"/>
              <w:rPr>
                <w:b w:val="0"/>
                <w:sz w:val="20"/>
                <w:szCs w:val="20"/>
              </w:rPr>
            </w:pPr>
            <w:r w:rsidRPr="00DC2D69">
              <w:rPr>
                <w:b w:val="0"/>
                <w:sz w:val="20"/>
                <w:szCs w:val="20"/>
              </w:rPr>
              <w:t xml:space="preserve">- </w:t>
            </w:r>
            <w:r w:rsidR="00112065" w:rsidRPr="00DC2D69">
              <w:rPr>
                <w:b w:val="0"/>
                <w:sz w:val="20"/>
                <w:szCs w:val="20"/>
              </w:rPr>
              <w:t>Male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14:paraId="6B64C8DA" w14:textId="1C18EC40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2D69">
              <w:rPr>
                <w:sz w:val="20"/>
                <w:szCs w:val="20"/>
              </w:rPr>
              <w:t>9,677</w:t>
            </w:r>
          </w:p>
        </w:tc>
        <w:tc>
          <w:tcPr>
            <w:tcW w:w="1304" w:type="dxa"/>
            <w:tcBorders>
              <w:left w:val="nil"/>
            </w:tcBorders>
            <w:vAlign w:val="center"/>
          </w:tcPr>
          <w:p w14:paraId="6C1C04EB" w14:textId="0D009BC7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2D69">
              <w:rPr>
                <w:sz w:val="20"/>
                <w:szCs w:val="20"/>
              </w:rPr>
              <w:t>4,776</w:t>
            </w:r>
          </w:p>
        </w:tc>
        <w:tc>
          <w:tcPr>
            <w:tcW w:w="907" w:type="dxa"/>
            <w:vAlign w:val="center"/>
          </w:tcPr>
          <w:p w14:paraId="312B737F" w14:textId="77777777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2D69">
              <w:rPr>
                <w:sz w:val="20"/>
                <w:szCs w:val="20"/>
              </w:rPr>
              <w:t>166.5</w:t>
            </w:r>
          </w:p>
        </w:tc>
        <w:tc>
          <w:tcPr>
            <w:tcW w:w="1870" w:type="dxa"/>
            <w:tcBorders>
              <w:left w:val="nil"/>
            </w:tcBorders>
            <w:vAlign w:val="center"/>
          </w:tcPr>
          <w:p w14:paraId="6AFA8E39" w14:textId="77777777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2D69">
              <w:rPr>
                <w:sz w:val="20"/>
                <w:szCs w:val="20"/>
              </w:rPr>
              <w:t>63.4</w:t>
            </w:r>
          </w:p>
        </w:tc>
        <w:tc>
          <w:tcPr>
            <w:tcW w:w="1814" w:type="dxa"/>
            <w:tcBorders>
              <w:left w:val="nil"/>
            </w:tcBorders>
            <w:vAlign w:val="center"/>
          </w:tcPr>
          <w:p w14:paraId="292F1EAA" w14:textId="77777777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2D69">
              <w:rPr>
                <w:sz w:val="20"/>
                <w:szCs w:val="20"/>
              </w:rPr>
              <w:t>2.75 (2.55 – 2.96)</w:t>
            </w:r>
          </w:p>
        </w:tc>
        <w:tc>
          <w:tcPr>
            <w:tcW w:w="1022" w:type="dxa"/>
            <w:vAlign w:val="center"/>
          </w:tcPr>
          <w:p w14:paraId="0FB82046" w14:textId="77777777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2D69">
              <w:rPr>
                <w:sz w:val="20"/>
                <w:szCs w:val="20"/>
              </w:rPr>
              <w:t>0.36</w:t>
            </w:r>
          </w:p>
        </w:tc>
        <w:tc>
          <w:tcPr>
            <w:tcW w:w="1813" w:type="dxa"/>
            <w:tcBorders>
              <w:left w:val="nil"/>
            </w:tcBorders>
            <w:vAlign w:val="center"/>
          </w:tcPr>
          <w:p w14:paraId="25BADFF8" w14:textId="77777777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2D69">
              <w:rPr>
                <w:sz w:val="20"/>
                <w:szCs w:val="20"/>
              </w:rPr>
              <w:t>2.20 (2.01 – 2.41)</w:t>
            </w:r>
          </w:p>
        </w:tc>
        <w:tc>
          <w:tcPr>
            <w:tcW w:w="1021" w:type="dxa"/>
            <w:vAlign w:val="center"/>
          </w:tcPr>
          <w:p w14:paraId="0D2EEBF6" w14:textId="77777777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2D69">
              <w:rPr>
                <w:sz w:val="20"/>
                <w:szCs w:val="20"/>
              </w:rPr>
              <w:t>0.45</w:t>
            </w:r>
          </w:p>
        </w:tc>
      </w:tr>
      <w:tr w:rsidR="00EA2A8C" w:rsidRPr="00DC2D69" w14:paraId="68FB066B" w14:textId="77777777" w:rsidTr="00EA2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4" w:type="dxa"/>
          </w:tcPr>
          <w:p w14:paraId="2C2B88E4" w14:textId="77777777" w:rsidR="00112065" w:rsidRPr="00DC2D69" w:rsidRDefault="00112065" w:rsidP="0011206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nil"/>
            </w:tcBorders>
            <w:vAlign w:val="center"/>
          </w:tcPr>
          <w:p w14:paraId="33544803" w14:textId="77777777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nil"/>
            </w:tcBorders>
            <w:vAlign w:val="center"/>
          </w:tcPr>
          <w:p w14:paraId="1D2F4D46" w14:textId="147A4FCE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0A0CDF3" w14:textId="77777777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nil"/>
            </w:tcBorders>
            <w:vAlign w:val="center"/>
          </w:tcPr>
          <w:p w14:paraId="2409ADFC" w14:textId="77777777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left w:val="nil"/>
            </w:tcBorders>
            <w:vAlign w:val="center"/>
          </w:tcPr>
          <w:p w14:paraId="226453B2" w14:textId="77777777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7DEBA183" w14:textId="77777777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3" w:type="dxa"/>
            <w:tcBorders>
              <w:left w:val="nil"/>
            </w:tcBorders>
            <w:vAlign w:val="center"/>
          </w:tcPr>
          <w:p w14:paraId="53A0143A" w14:textId="77777777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14:paraId="3F34D5CE" w14:textId="77777777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A2A8C" w:rsidRPr="00DC2D69" w14:paraId="59BC0728" w14:textId="77777777" w:rsidTr="00EA2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4" w:type="dxa"/>
          </w:tcPr>
          <w:p w14:paraId="013214C3" w14:textId="695AFA25" w:rsidR="00112065" w:rsidRPr="00DC2D69" w:rsidRDefault="00112065" w:rsidP="00112065">
            <w:pPr>
              <w:rPr>
                <w:b w:val="0"/>
                <w:sz w:val="20"/>
                <w:szCs w:val="20"/>
              </w:rPr>
            </w:pPr>
            <w:r w:rsidRPr="00DC2D69">
              <w:rPr>
                <w:b w:val="0"/>
                <w:sz w:val="20"/>
                <w:szCs w:val="20"/>
              </w:rPr>
              <w:t>Age</w:t>
            </w:r>
            <w:r w:rsidR="00DC2D69">
              <w:rPr>
                <w:b w:val="0"/>
                <w:sz w:val="20"/>
                <w:szCs w:val="20"/>
              </w:rPr>
              <w:t xml:space="preserve"> (at baseline)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14:paraId="22C1ECC1" w14:textId="77777777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nil"/>
            </w:tcBorders>
            <w:vAlign w:val="center"/>
          </w:tcPr>
          <w:p w14:paraId="795320CD" w14:textId="435B5B14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7950B5B7" w14:textId="77777777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nil"/>
            </w:tcBorders>
            <w:vAlign w:val="center"/>
          </w:tcPr>
          <w:p w14:paraId="2858272A" w14:textId="77777777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left w:val="nil"/>
            </w:tcBorders>
            <w:vAlign w:val="center"/>
          </w:tcPr>
          <w:p w14:paraId="58E34F7F" w14:textId="77777777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236DA1CA" w14:textId="77777777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3" w:type="dxa"/>
            <w:tcBorders>
              <w:left w:val="nil"/>
            </w:tcBorders>
            <w:vAlign w:val="center"/>
          </w:tcPr>
          <w:p w14:paraId="3FE49661" w14:textId="77777777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14:paraId="3F69D277" w14:textId="77777777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A2A8C" w:rsidRPr="00DC2D69" w14:paraId="296525B7" w14:textId="77777777" w:rsidTr="00EA2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4" w:type="dxa"/>
          </w:tcPr>
          <w:p w14:paraId="1D6B60E6" w14:textId="7E46EEEF" w:rsidR="00112065" w:rsidRPr="00DC2D69" w:rsidRDefault="00EA2A8C" w:rsidP="00112065">
            <w:pPr>
              <w:jc w:val="right"/>
              <w:rPr>
                <w:b w:val="0"/>
                <w:sz w:val="20"/>
                <w:szCs w:val="20"/>
              </w:rPr>
            </w:pPr>
            <w:r w:rsidRPr="00DC2D69">
              <w:rPr>
                <w:b w:val="0"/>
                <w:sz w:val="20"/>
                <w:szCs w:val="20"/>
              </w:rPr>
              <w:t xml:space="preserve">- 18 to </w:t>
            </w:r>
            <w:r w:rsidR="00112065" w:rsidRPr="00DC2D69">
              <w:rPr>
                <w:b w:val="0"/>
                <w:sz w:val="20"/>
                <w:szCs w:val="20"/>
              </w:rPr>
              <w:t>34</w:t>
            </w:r>
            <w:r w:rsidRPr="00DC2D69">
              <w:rPr>
                <w:b w:val="0"/>
                <w:sz w:val="20"/>
                <w:szCs w:val="20"/>
              </w:rPr>
              <w:t xml:space="preserve"> years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14:paraId="30A25E4C" w14:textId="032C0E39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2D69">
              <w:rPr>
                <w:sz w:val="20"/>
                <w:szCs w:val="20"/>
              </w:rPr>
              <w:t>6,981</w:t>
            </w:r>
          </w:p>
        </w:tc>
        <w:tc>
          <w:tcPr>
            <w:tcW w:w="1304" w:type="dxa"/>
            <w:tcBorders>
              <w:left w:val="nil"/>
            </w:tcBorders>
            <w:vAlign w:val="center"/>
          </w:tcPr>
          <w:p w14:paraId="3B712974" w14:textId="04A45D77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2D69">
              <w:rPr>
                <w:sz w:val="20"/>
                <w:szCs w:val="20"/>
              </w:rPr>
              <w:t>2,374</w:t>
            </w:r>
          </w:p>
        </w:tc>
        <w:tc>
          <w:tcPr>
            <w:tcW w:w="907" w:type="dxa"/>
            <w:vAlign w:val="center"/>
          </w:tcPr>
          <w:p w14:paraId="3D5F0DC4" w14:textId="77777777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2D69">
              <w:rPr>
                <w:sz w:val="20"/>
                <w:szCs w:val="20"/>
              </w:rPr>
              <w:t>125.3</w:t>
            </w:r>
          </w:p>
        </w:tc>
        <w:tc>
          <w:tcPr>
            <w:tcW w:w="1870" w:type="dxa"/>
            <w:tcBorders>
              <w:left w:val="nil"/>
            </w:tcBorders>
            <w:vAlign w:val="center"/>
          </w:tcPr>
          <w:p w14:paraId="029FE529" w14:textId="77777777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2D69">
              <w:rPr>
                <w:sz w:val="20"/>
                <w:szCs w:val="20"/>
              </w:rPr>
              <w:t>50.5</w:t>
            </w:r>
          </w:p>
        </w:tc>
        <w:tc>
          <w:tcPr>
            <w:tcW w:w="1814" w:type="dxa"/>
            <w:tcBorders>
              <w:left w:val="nil"/>
            </w:tcBorders>
            <w:vAlign w:val="center"/>
          </w:tcPr>
          <w:p w14:paraId="4B26F7E9" w14:textId="77777777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2D69">
              <w:rPr>
                <w:sz w:val="20"/>
                <w:szCs w:val="20"/>
              </w:rPr>
              <w:t>2.54 (2.31 – 2.80)</w:t>
            </w:r>
          </w:p>
        </w:tc>
        <w:tc>
          <w:tcPr>
            <w:tcW w:w="1022" w:type="dxa"/>
            <w:vAlign w:val="center"/>
          </w:tcPr>
          <w:p w14:paraId="31019152" w14:textId="77777777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2D69">
              <w:rPr>
                <w:sz w:val="20"/>
                <w:szCs w:val="20"/>
              </w:rPr>
              <w:t>-</w:t>
            </w:r>
          </w:p>
        </w:tc>
        <w:tc>
          <w:tcPr>
            <w:tcW w:w="1813" w:type="dxa"/>
            <w:tcBorders>
              <w:left w:val="nil"/>
            </w:tcBorders>
            <w:vAlign w:val="center"/>
          </w:tcPr>
          <w:p w14:paraId="2430C1F2" w14:textId="77777777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2D69">
              <w:rPr>
                <w:sz w:val="20"/>
                <w:szCs w:val="20"/>
              </w:rPr>
              <w:t>1.81 (1.61 – 2.04)</w:t>
            </w:r>
          </w:p>
        </w:tc>
        <w:tc>
          <w:tcPr>
            <w:tcW w:w="1021" w:type="dxa"/>
            <w:vAlign w:val="center"/>
          </w:tcPr>
          <w:p w14:paraId="7D8D1B81" w14:textId="77777777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2D69">
              <w:rPr>
                <w:sz w:val="20"/>
                <w:szCs w:val="20"/>
              </w:rPr>
              <w:t>-</w:t>
            </w:r>
          </w:p>
        </w:tc>
      </w:tr>
      <w:tr w:rsidR="00EA2A8C" w:rsidRPr="00DC2D69" w14:paraId="6BB8AB6B" w14:textId="77777777" w:rsidTr="00EA2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4" w:type="dxa"/>
          </w:tcPr>
          <w:p w14:paraId="2864AF14" w14:textId="6C67D245" w:rsidR="00112065" w:rsidRPr="00DC2D69" w:rsidRDefault="00EA2A8C" w:rsidP="00EA2A8C">
            <w:pPr>
              <w:jc w:val="right"/>
              <w:rPr>
                <w:b w:val="0"/>
                <w:sz w:val="20"/>
                <w:szCs w:val="20"/>
              </w:rPr>
            </w:pPr>
            <w:r w:rsidRPr="00DC2D69">
              <w:rPr>
                <w:b w:val="0"/>
                <w:sz w:val="20"/>
                <w:szCs w:val="20"/>
              </w:rPr>
              <w:t xml:space="preserve">- </w:t>
            </w:r>
            <w:r w:rsidR="00112065" w:rsidRPr="00DC2D69">
              <w:rPr>
                <w:b w:val="0"/>
                <w:sz w:val="20"/>
                <w:szCs w:val="20"/>
              </w:rPr>
              <w:t>35</w:t>
            </w:r>
            <w:r w:rsidRPr="00DC2D69">
              <w:rPr>
                <w:b w:val="0"/>
                <w:sz w:val="20"/>
                <w:szCs w:val="20"/>
              </w:rPr>
              <w:t xml:space="preserve"> to </w:t>
            </w:r>
            <w:r w:rsidR="00112065" w:rsidRPr="00DC2D69">
              <w:rPr>
                <w:b w:val="0"/>
                <w:sz w:val="20"/>
                <w:szCs w:val="20"/>
              </w:rPr>
              <w:t>54</w:t>
            </w:r>
            <w:r w:rsidRPr="00DC2D69">
              <w:rPr>
                <w:b w:val="0"/>
                <w:sz w:val="20"/>
                <w:szCs w:val="20"/>
              </w:rPr>
              <w:t xml:space="preserve"> years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14:paraId="38D9D29F" w14:textId="4C2A524F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2D69">
              <w:rPr>
                <w:sz w:val="20"/>
                <w:szCs w:val="20"/>
              </w:rPr>
              <w:t>6,283</w:t>
            </w:r>
          </w:p>
        </w:tc>
        <w:tc>
          <w:tcPr>
            <w:tcW w:w="1304" w:type="dxa"/>
            <w:tcBorders>
              <w:left w:val="nil"/>
            </w:tcBorders>
            <w:vAlign w:val="center"/>
          </w:tcPr>
          <w:p w14:paraId="399D64B0" w14:textId="600848B3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2D69">
              <w:rPr>
                <w:sz w:val="20"/>
                <w:szCs w:val="20"/>
              </w:rPr>
              <w:t>3,201</w:t>
            </w:r>
          </w:p>
        </w:tc>
        <w:tc>
          <w:tcPr>
            <w:tcW w:w="907" w:type="dxa"/>
            <w:vAlign w:val="center"/>
          </w:tcPr>
          <w:p w14:paraId="552869E5" w14:textId="77777777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2D69">
              <w:rPr>
                <w:sz w:val="20"/>
                <w:szCs w:val="20"/>
              </w:rPr>
              <w:t>159.3</w:t>
            </w:r>
          </w:p>
        </w:tc>
        <w:tc>
          <w:tcPr>
            <w:tcW w:w="1870" w:type="dxa"/>
            <w:tcBorders>
              <w:left w:val="nil"/>
            </w:tcBorders>
            <w:vAlign w:val="center"/>
          </w:tcPr>
          <w:p w14:paraId="0A736C0F" w14:textId="77777777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2D69">
              <w:rPr>
                <w:sz w:val="20"/>
                <w:szCs w:val="20"/>
              </w:rPr>
              <w:t>55.6</w:t>
            </w:r>
          </w:p>
        </w:tc>
        <w:tc>
          <w:tcPr>
            <w:tcW w:w="1814" w:type="dxa"/>
            <w:tcBorders>
              <w:left w:val="nil"/>
            </w:tcBorders>
            <w:vAlign w:val="center"/>
          </w:tcPr>
          <w:p w14:paraId="09052437" w14:textId="77777777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2D69">
              <w:rPr>
                <w:sz w:val="20"/>
                <w:szCs w:val="20"/>
              </w:rPr>
              <w:t>2.96 (2.69 – 3.25)</w:t>
            </w:r>
          </w:p>
        </w:tc>
        <w:tc>
          <w:tcPr>
            <w:tcW w:w="1022" w:type="dxa"/>
            <w:vAlign w:val="center"/>
          </w:tcPr>
          <w:p w14:paraId="254AFE44" w14:textId="77777777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2D69">
              <w:rPr>
                <w:sz w:val="20"/>
                <w:szCs w:val="20"/>
              </w:rPr>
              <w:t>0.03</w:t>
            </w:r>
          </w:p>
        </w:tc>
        <w:tc>
          <w:tcPr>
            <w:tcW w:w="1813" w:type="dxa"/>
            <w:tcBorders>
              <w:left w:val="nil"/>
            </w:tcBorders>
            <w:vAlign w:val="center"/>
          </w:tcPr>
          <w:p w14:paraId="49093797" w14:textId="77777777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2D69">
              <w:rPr>
                <w:sz w:val="20"/>
                <w:szCs w:val="20"/>
              </w:rPr>
              <w:t>2.10 (1.87 – 2.37)</w:t>
            </w:r>
          </w:p>
        </w:tc>
        <w:tc>
          <w:tcPr>
            <w:tcW w:w="1021" w:type="dxa"/>
            <w:vAlign w:val="center"/>
          </w:tcPr>
          <w:p w14:paraId="01A6813D" w14:textId="77777777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2D69">
              <w:rPr>
                <w:sz w:val="20"/>
                <w:szCs w:val="20"/>
              </w:rPr>
              <w:t>0.09</w:t>
            </w:r>
          </w:p>
        </w:tc>
      </w:tr>
      <w:tr w:rsidR="00EA2A8C" w:rsidRPr="00DC2D69" w14:paraId="0F37799A" w14:textId="77777777" w:rsidTr="00EA2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4" w:type="dxa"/>
          </w:tcPr>
          <w:p w14:paraId="269512CC" w14:textId="1099FF62" w:rsidR="00112065" w:rsidRPr="00DC2D69" w:rsidRDefault="00EA2A8C" w:rsidP="00EA2A8C">
            <w:pPr>
              <w:jc w:val="right"/>
              <w:rPr>
                <w:b w:val="0"/>
                <w:sz w:val="20"/>
                <w:szCs w:val="20"/>
              </w:rPr>
            </w:pPr>
            <w:r w:rsidRPr="00DC2D69">
              <w:rPr>
                <w:b w:val="0"/>
                <w:sz w:val="20"/>
                <w:szCs w:val="20"/>
              </w:rPr>
              <w:t xml:space="preserve">- </w:t>
            </w:r>
            <w:r w:rsidR="00112065" w:rsidRPr="00DC2D69">
              <w:rPr>
                <w:b w:val="0"/>
                <w:sz w:val="20"/>
                <w:szCs w:val="20"/>
              </w:rPr>
              <w:t>55</w:t>
            </w:r>
            <w:r w:rsidRPr="00DC2D69">
              <w:rPr>
                <w:b w:val="0"/>
                <w:sz w:val="20"/>
                <w:szCs w:val="20"/>
              </w:rPr>
              <w:t xml:space="preserve"> to </w:t>
            </w:r>
            <w:r w:rsidR="00112065" w:rsidRPr="00DC2D69">
              <w:rPr>
                <w:b w:val="0"/>
                <w:sz w:val="20"/>
                <w:szCs w:val="20"/>
              </w:rPr>
              <w:t>84</w:t>
            </w:r>
            <w:r w:rsidRPr="00DC2D69">
              <w:rPr>
                <w:b w:val="0"/>
                <w:sz w:val="20"/>
                <w:szCs w:val="20"/>
              </w:rPr>
              <w:t xml:space="preserve"> years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14:paraId="06662C76" w14:textId="0EA483FC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2D69">
              <w:rPr>
                <w:sz w:val="20"/>
                <w:szCs w:val="20"/>
              </w:rPr>
              <w:t>3,402</w:t>
            </w:r>
          </w:p>
        </w:tc>
        <w:tc>
          <w:tcPr>
            <w:tcW w:w="1304" w:type="dxa"/>
            <w:tcBorders>
              <w:left w:val="nil"/>
            </w:tcBorders>
            <w:vAlign w:val="center"/>
          </w:tcPr>
          <w:p w14:paraId="3FFEE2EB" w14:textId="1771DE34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2D69">
              <w:rPr>
                <w:sz w:val="20"/>
                <w:szCs w:val="20"/>
              </w:rPr>
              <w:t>3,451</w:t>
            </w:r>
          </w:p>
        </w:tc>
        <w:tc>
          <w:tcPr>
            <w:tcW w:w="907" w:type="dxa"/>
            <w:vAlign w:val="center"/>
          </w:tcPr>
          <w:p w14:paraId="2607FF71" w14:textId="77777777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2D69">
              <w:rPr>
                <w:sz w:val="20"/>
                <w:szCs w:val="20"/>
              </w:rPr>
              <w:t>328.7</w:t>
            </w:r>
          </w:p>
        </w:tc>
        <w:tc>
          <w:tcPr>
            <w:tcW w:w="1870" w:type="dxa"/>
            <w:tcBorders>
              <w:left w:val="nil"/>
            </w:tcBorders>
            <w:vAlign w:val="center"/>
          </w:tcPr>
          <w:p w14:paraId="1BDF4DD9" w14:textId="77777777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2D69">
              <w:rPr>
                <w:sz w:val="20"/>
                <w:szCs w:val="20"/>
              </w:rPr>
              <w:t>116.7</w:t>
            </w:r>
          </w:p>
        </w:tc>
        <w:tc>
          <w:tcPr>
            <w:tcW w:w="1814" w:type="dxa"/>
            <w:tcBorders>
              <w:left w:val="nil"/>
            </w:tcBorders>
            <w:vAlign w:val="center"/>
          </w:tcPr>
          <w:p w14:paraId="60BA2F5C" w14:textId="77777777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2D69">
              <w:rPr>
                <w:sz w:val="20"/>
                <w:szCs w:val="20"/>
              </w:rPr>
              <w:t>2.90 (2.63 – 3.19)</w:t>
            </w:r>
          </w:p>
        </w:tc>
        <w:tc>
          <w:tcPr>
            <w:tcW w:w="1022" w:type="dxa"/>
            <w:vAlign w:val="center"/>
          </w:tcPr>
          <w:p w14:paraId="61B7B8BB" w14:textId="77777777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2D69">
              <w:rPr>
                <w:sz w:val="20"/>
                <w:szCs w:val="20"/>
              </w:rPr>
              <w:t>0.06</w:t>
            </w:r>
          </w:p>
        </w:tc>
        <w:tc>
          <w:tcPr>
            <w:tcW w:w="1813" w:type="dxa"/>
            <w:tcBorders>
              <w:left w:val="nil"/>
            </w:tcBorders>
            <w:vAlign w:val="center"/>
          </w:tcPr>
          <w:p w14:paraId="6036D5BE" w14:textId="77777777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2D69">
              <w:rPr>
                <w:sz w:val="20"/>
                <w:szCs w:val="20"/>
              </w:rPr>
              <w:t>2.43 (2.19 – 2.70)</w:t>
            </w:r>
          </w:p>
        </w:tc>
        <w:tc>
          <w:tcPr>
            <w:tcW w:w="1021" w:type="dxa"/>
            <w:vAlign w:val="center"/>
          </w:tcPr>
          <w:p w14:paraId="32B2C4DF" w14:textId="77777777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2D69">
              <w:rPr>
                <w:sz w:val="20"/>
                <w:szCs w:val="20"/>
              </w:rPr>
              <w:t>&lt;0.001</w:t>
            </w:r>
          </w:p>
        </w:tc>
      </w:tr>
      <w:tr w:rsidR="00EA2A8C" w:rsidRPr="00DC2D69" w14:paraId="5E8FE3D5" w14:textId="77777777" w:rsidTr="00EA2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4" w:type="dxa"/>
          </w:tcPr>
          <w:p w14:paraId="5E40D393" w14:textId="77777777" w:rsidR="00112065" w:rsidRPr="00DC2D69" w:rsidRDefault="00112065" w:rsidP="00112065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nil"/>
            </w:tcBorders>
            <w:vAlign w:val="center"/>
          </w:tcPr>
          <w:p w14:paraId="42B72CDF" w14:textId="77777777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nil"/>
            </w:tcBorders>
            <w:vAlign w:val="center"/>
          </w:tcPr>
          <w:p w14:paraId="780184F1" w14:textId="18C46DDB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8C61884" w14:textId="77777777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nil"/>
            </w:tcBorders>
            <w:vAlign w:val="center"/>
          </w:tcPr>
          <w:p w14:paraId="02A74BB6" w14:textId="77777777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left w:val="nil"/>
            </w:tcBorders>
            <w:vAlign w:val="center"/>
          </w:tcPr>
          <w:p w14:paraId="67102ABB" w14:textId="77777777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724428D1" w14:textId="77777777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3" w:type="dxa"/>
            <w:tcBorders>
              <w:left w:val="nil"/>
            </w:tcBorders>
            <w:vAlign w:val="center"/>
          </w:tcPr>
          <w:p w14:paraId="3BDEC573" w14:textId="77777777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14:paraId="6C49996D" w14:textId="77777777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A2A8C" w:rsidRPr="00DC2D69" w14:paraId="21F82D03" w14:textId="77777777" w:rsidTr="001A63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5" w:type="dxa"/>
            <w:gridSpan w:val="9"/>
          </w:tcPr>
          <w:p w14:paraId="6468C270" w14:textId="21C35BE1" w:rsidR="00EA2A8C" w:rsidRPr="00DC2D69" w:rsidRDefault="00EA2A8C" w:rsidP="00EA2A8C">
            <w:pPr>
              <w:rPr>
                <w:sz w:val="20"/>
                <w:szCs w:val="20"/>
              </w:rPr>
            </w:pPr>
            <w:r w:rsidRPr="00DC2D69">
              <w:rPr>
                <w:sz w:val="20"/>
                <w:szCs w:val="20"/>
              </w:rPr>
              <w:t>Stratified by characteristic of adult with ID</w:t>
            </w:r>
          </w:p>
        </w:tc>
      </w:tr>
      <w:tr w:rsidR="00EA2A8C" w:rsidRPr="00DC2D69" w14:paraId="7214E03F" w14:textId="77777777" w:rsidTr="00EA2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4" w:type="dxa"/>
          </w:tcPr>
          <w:p w14:paraId="51243852" w14:textId="77777777" w:rsidR="00112065" w:rsidRPr="00DC2D69" w:rsidRDefault="00112065" w:rsidP="00112065">
            <w:pPr>
              <w:rPr>
                <w:b w:val="0"/>
                <w:sz w:val="20"/>
                <w:szCs w:val="20"/>
              </w:rPr>
            </w:pPr>
            <w:r w:rsidRPr="00DC2D69">
              <w:rPr>
                <w:b w:val="0"/>
                <w:sz w:val="20"/>
                <w:szCs w:val="20"/>
              </w:rPr>
              <w:t>Down Syndrome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14:paraId="48F4AD4B" w14:textId="77777777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nil"/>
            </w:tcBorders>
            <w:vAlign w:val="center"/>
          </w:tcPr>
          <w:p w14:paraId="759188BD" w14:textId="08413757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195DE39" w14:textId="77777777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nil"/>
            </w:tcBorders>
            <w:vAlign w:val="center"/>
          </w:tcPr>
          <w:p w14:paraId="7D7B212C" w14:textId="77777777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left w:val="nil"/>
            </w:tcBorders>
            <w:vAlign w:val="center"/>
          </w:tcPr>
          <w:p w14:paraId="77B48779" w14:textId="77777777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63BE1BC6" w14:textId="77777777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3" w:type="dxa"/>
            <w:tcBorders>
              <w:left w:val="nil"/>
            </w:tcBorders>
            <w:vAlign w:val="center"/>
          </w:tcPr>
          <w:p w14:paraId="0F3C6DA6" w14:textId="77777777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14:paraId="1C47304E" w14:textId="77777777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A2A8C" w:rsidRPr="00DC2D69" w14:paraId="4E54A25F" w14:textId="77777777" w:rsidTr="00EA2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4" w:type="dxa"/>
          </w:tcPr>
          <w:p w14:paraId="25EBCEC5" w14:textId="62A59544" w:rsidR="00112065" w:rsidRPr="00DC2D69" w:rsidRDefault="00EA2A8C" w:rsidP="00112065">
            <w:pPr>
              <w:jc w:val="right"/>
              <w:rPr>
                <w:b w:val="0"/>
                <w:sz w:val="20"/>
                <w:szCs w:val="20"/>
              </w:rPr>
            </w:pPr>
            <w:r w:rsidRPr="00DC2D69">
              <w:rPr>
                <w:b w:val="0"/>
                <w:sz w:val="20"/>
                <w:szCs w:val="20"/>
              </w:rPr>
              <w:t xml:space="preserve">- </w:t>
            </w:r>
            <w:r w:rsidR="00112065" w:rsidRPr="00DC2D69">
              <w:rPr>
                <w:b w:val="0"/>
                <w:sz w:val="20"/>
                <w:szCs w:val="20"/>
              </w:rPr>
              <w:t>Yes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14:paraId="02F0061C" w14:textId="58681883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2D69">
              <w:rPr>
                <w:sz w:val="20"/>
                <w:szCs w:val="20"/>
              </w:rPr>
              <w:t>1,793</w:t>
            </w:r>
          </w:p>
        </w:tc>
        <w:tc>
          <w:tcPr>
            <w:tcW w:w="1304" w:type="dxa"/>
            <w:tcBorders>
              <w:left w:val="nil"/>
            </w:tcBorders>
            <w:vAlign w:val="center"/>
          </w:tcPr>
          <w:p w14:paraId="62681509" w14:textId="6DA8E1EC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2D69">
              <w:rPr>
                <w:sz w:val="20"/>
                <w:szCs w:val="20"/>
              </w:rPr>
              <w:t>804</w:t>
            </w:r>
          </w:p>
        </w:tc>
        <w:tc>
          <w:tcPr>
            <w:tcW w:w="907" w:type="dxa"/>
            <w:vAlign w:val="center"/>
          </w:tcPr>
          <w:p w14:paraId="52D992C3" w14:textId="77777777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2D69">
              <w:rPr>
                <w:sz w:val="20"/>
                <w:szCs w:val="20"/>
              </w:rPr>
              <w:t>150.0</w:t>
            </w:r>
          </w:p>
        </w:tc>
        <w:tc>
          <w:tcPr>
            <w:tcW w:w="1870" w:type="dxa"/>
            <w:tcBorders>
              <w:left w:val="nil"/>
            </w:tcBorders>
            <w:vAlign w:val="center"/>
          </w:tcPr>
          <w:p w14:paraId="7FE02F08" w14:textId="77777777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2D69">
              <w:rPr>
                <w:sz w:val="20"/>
                <w:szCs w:val="20"/>
              </w:rPr>
              <w:t>62.9</w:t>
            </w:r>
          </w:p>
        </w:tc>
        <w:tc>
          <w:tcPr>
            <w:tcW w:w="1814" w:type="dxa"/>
            <w:tcBorders>
              <w:left w:val="nil"/>
            </w:tcBorders>
            <w:vAlign w:val="center"/>
          </w:tcPr>
          <w:p w14:paraId="56795132" w14:textId="77777777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2D69">
              <w:rPr>
                <w:sz w:val="20"/>
                <w:szCs w:val="20"/>
              </w:rPr>
              <w:t>2.61 (2.23 – 3.05)</w:t>
            </w:r>
          </w:p>
        </w:tc>
        <w:tc>
          <w:tcPr>
            <w:tcW w:w="1022" w:type="dxa"/>
            <w:vAlign w:val="center"/>
          </w:tcPr>
          <w:p w14:paraId="072CDEC8" w14:textId="77777777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2D69">
              <w:rPr>
                <w:sz w:val="20"/>
                <w:szCs w:val="20"/>
              </w:rPr>
              <w:t>-</w:t>
            </w:r>
          </w:p>
        </w:tc>
        <w:tc>
          <w:tcPr>
            <w:tcW w:w="1813" w:type="dxa"/>
            <w:tcBorders>
              <w:left w:val="nil"/>
            </w:tcBorders>
            <w:vAlign w:val="center"/>
          </w:tcPr>
          <w:p w14:paraId="5F6B5C8C" w14:textId="77777777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2D69">
              <w:rPr>
                <w:sz w:val="20"/>
                <w:szCs w:val="20"/>
              </w:rPr>
              <w:t>2.37 (1.97 – 2.84)</w:t>
            </w:r>
          </w:p>
        </w:tc>
        <w:tc>
          <w:tcPr>
            <w:tcW w:w="1021" w:type="dxa"/>
            <w:vAlign w:val="center"/>
          </w:tcPr>
          <w:p w14:paraId="34CA420C" w14:textId="77777777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2D69">
              <w:rPr>
                <w:sz w:val="20"/>
                <w:szCs w:val="20"/>
              </w:rPr>
              <w:t>-</w:t>
            </w:r>
          </w:p>
        </w:tc>
      </w:tr>
      <w:tr w:rsidR="00EA2A8C" w:rsidRPr="00DC2D69" w14:paraId="55827DEE" w14:textId="77777777" w:rsidTr="00EA2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4" w:type="dxa"/>
          </w:tcPr>
          <w:p w14:paraId="1FE5F273" w14:textId="019928EF" w:rsidR="00112065" w:rsidRPr="00DC2D69" w:rsidRDefault="00EA2A8C" w:rsidP="00112065">
            <w:pPr>
              <w:jc w:val="right"/>
              <w:rPr>
                <w:b w:val="0"/>
                <w:sz w:val="20"/>
                <w:szCs w:val="20"/>
              </w:rPr>
            </w:pPr>
            <w:r w:rsidRPr="00DC2D69">
              <w:rPr>
                <w:b w:val="0"/>
                <w:sz w:val="20"/>
                <w:szCs w:val="20"/>
              </w:rPr>
              <w:t>-</w:t>
            </w:r>
            <w:r w:rsidR="00112065" w:rsidRPr="00DC2D69">
              <w:rPr>
                <w:b w:val="0"/>
                <w:sz w:val="20"/>
                <w:szCs w:val="20"/>
              </w:rPr>
              <w:t xml:space="preserve"> No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14:paraId="70D8C594" w14:textId="2C813BBF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2D69">
              <w:rPr>
                <w:sz w:val="20"/>
                <w:szCs w:val="20"/>
              </w:rPr>
              <w:t>14,873</w:t>
            </w:r>
          </w:p>
        </w:tc>
        <w:tc>
          <w:tcPr>
            <w:tcW w:w="1304" w:type="dxa"/>
            <w:tcBorders>
              <w:left w:val="nil"/>
            </w:tcBorders>
            <w:vAlign w:val="center"/>
          </w:tcPr>
          <w:p w14:paraId="5392FABF" w14:textId="4D271EE3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2D69">
              <w:rPr>
                <w:sz w:val="20"/>
                <w:szCs w:val="20"/>
              </w:rPr>
              <w:t>8,222</w:t>
            </w:r>
          </w:p>
        </w:tc>
        <w:tc>
          <w:tcPr>
            <w:tcW w:w="907" w:type="dxa"/>
            <w:vAlign w:val="center"/>
          </w:tcPr>
          <w:p w14:paraId="47F80309" w14:textId="77777777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2D69">
              <w:rPr>
                <w:sz w:val="20"/>
                <w:szCs w:val="20"/>
              </w:rPr>
              <w:t>186.1</w:t>
            </w:r>
          </w:p>
        </w:tc>
        <w:tc>
          <w:tcPr>
            <w:tcW w:w="1870" w:type="dxa"/>
            <w:tcBorders>
              <w:left w:val="nil"/>
            </w:tcBorders>
            <w:vAlign w:val="center"/>
          </w:tcPr>
          <w:p w14:paraId="10994C82" w14:textId="77777777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2D69">
              <w:rPr>
                <w:sz w:val="20"/>
                <w:szCs w:val="20"/>
              </w:rPr>
              <w:t>68.2</w:t>
            </w:r>
          </w:p>
        </w:tc>
        <w:tc>
          <w:tcPr>
            <w:tcW w:w="1814" w:type="dxa"/>
            <w:tcBorders>
              <w:left w:val="nil"/>
            </w:tcBorders>
            <w:vAlign w:val="center"/>
          </w:tcPr>
          <w:p w14:paraId="6418E1B4" w14:textId="77777777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2D69">
              <w:rPr>
                <w:sz w:val="20"/>
                <w:szCs w:val="20"/>
              </w:rPr>
              <w:t>2.84 (2.68 – 3.01)</w:t>
            </w:r>
          </w:p>
        </w:tc>
        <w:tc>
          <w:tcPr>
            <w:tcW w:w="1022" w:type="dxa"/>
            <w:vAlign w:val="center"/>
          </w:tcPr>
          <w:p w14:paraId="2997A55C" w14:textId="77777777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2D69">
              <w:rPr>
                <w:sz w:val="20"/>
                <w:szCs w:val="20"/>
              </w:rPr>
              <w:t>0.31</w:t>
            </w:r>
          </w:p>
        </w:tc>
        <w:tc>
          <w:tcPr>
            <w:tcW w:w="1813" w:type="dxa"/>
            <w:tcBorders>
              <w:left w:val="nil"/>
            </w:tcBorders>
            <w:vAlign w:val="center"/>
          </w:tcPr>
          <w:p w14:paraId="39AF94A3" w14:textId="77777777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2D69">
              <w:rPr>
                <w:sz w:val="20"/>
                <w:szCs w:val="20"/>
              </w:rPr>
              <w:t>2.11 (1.96 – 2.26)</w:t>
            </w:r>
          </w:p>
        </w:tc>
        <w:tc>
          <w:tcPr>
            <w:tcW w:w="1021" w:type="dxa"/>
            <w:vAlign w:val="center"/>
          </w:tcPr>
          <w:p w14:paraId="1FE5FF5E" w14:textId="77777777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2D69">
              <w:rPr>
                <w:sz w:val="20"/>
                <w:szCs w:val="20"/>
              </w:rPr>
              <w:t>0.27</w:t>
            </w:r>
          </w:p>
        </w:tc>
      </w:tr>
      <w:tr w:rsidR="00EA2A8C" w:rsidRPr="00DC2D69" w14:paraId="75A7C908" w14:textId="77777777" w:rsidTr="00EA2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4" w:type="dxa"/>
            <w:vAlign w:val="center"/>
          </w:tcPr>
          <w:p w14:paraId="0A2609ED" w14:textId="77777777" w:rsidR="00112065" w:rsidRPr="00DC2D69" w:rsidRDefault="00112065" w:rsidP="00112065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nil"/>
            </w:tcBorders>
            <w:vAlign w:val="center"/>
          </w:tcPr>
          <w:p w14:paraId="4B45C4B4" w14:textId="77777777" w:rsidR="00112065" w:rsidRPr="00DC2D69" w:rsidRDefault="00112065" w:rsidP="00112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nil"/>
            </w:tcBorders>
            <w:vAlign w:val="center"/>
          </w:tcPr>
          <w:p w14:paraId="7057833D" w14:textId="4720AAD0" w:rsidR="00112065" w:rsidRPr="00DC2D69" w:rsidRDefault="00112065" w:rsidP="00112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48A5B3A3" w14:textId="77777777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nil"/>
            </w:tcBorders>
            <w:vAlign w:val="center"/>
          </w:tcPr>
          <w:p w14:paraId="17E94464" w14:textId="77777777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left w:val="nil"/>
            </w:tcBorders>
            <w:vAlign w:val="center"/>
          </w:tcPr>
          <w:p w14:paraId="6AF17170" w14:textId="77777777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4B99CFF8" w14:textId="77777777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3" w:type="dxa"/>
            <w:tcBorders>
              <w:left w:val="nil"/>
            </w:tcBorders>
            <w:vAlign w:val="center"/>
          </w:tcPr>
          <w:p w14:paraId="66CC47B7" w14:textId="77777777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14:paraId="45E82387" w14:textId="77777777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A2A8C" w:rsidRPr="00DC2D69" w14:paraId="2F8E3A4D" w14:textId="77777777" w:rsidTr="00EA2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4" w:type="dxa"/>
            <w:vAlign w:val="center"/>
          </w:tcPr>
          <w:p w14:paraId="40D833B0" w14:textId="2553232F" w:rsidR="00112065" w:rsidRPr="00DC2D69" w:rsidRDefault="00112065" w:rsidP="00662383">
            <w:pPr>
              <w:rPr>
                <w:b w:val="0"/>
                <w:bCs w:val="0"/>
                <w:sz w:val="20"/>
                <w:szCs w:val="20"/>
              </w:rPr>
            </w:pPr>
            <w:r w:rsidRPr="00DC2D69">
              <w:rPr>
                <w:b w:val="0"/>
                <w:sz w:val="20"/>
                <w:szCs w:val="20"/>
              </w:rPr>
              <w:t xml:space="preserve">Communal </w:t>
            </w:r>
            <w:r w:rsidR="00662383" w:rsidRPr="00DC2D69">
              <w:rPr>
                <w:b w:val="0"/>
                <w:sz w:val="20"/>
                <w:szCs w:val="20"/>
              </w:rPr>
              <w:t>Accommodation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14:paraId="3AC743AF" w14:textId="77777777" w:rsidR="00112065" w:rsidRPr="00DC2D69" w:rsidRDefault="00112065" w:rsidP="00112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nil"/>
            </w:tcBorders>
            <w:vAlign w:val="center"/>
          </w:tcPr>
          <w:p w14:paraId="4143C379" w14:textId="4E9810BF" w:rsidR="00112065" w:rsidRPr="00DC2D69" w:rsidRDefault="00112065" w:rsidP="00112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2B9B82F" w14:textId="77777777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nil"/>
            </w:tcBorders>
            <w:vAlign w:val="center"/>
          </w:tcPr>
          <w:p w14:paraId="39DBBECA" w14:textId="77777777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left w:val="nil"/>
            </w:tcBorders>
            <w:vAlign w:val="center"/>
          </w:tcPr>
          <w:p w14:paraId="3E330B72" w14:textId="77777777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474AF9DE" w14:textId="77777777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3" w:type="dxa"/>
            <w:tcBorders>
              <w:left w:val="nil"/>
            </w:tcBorders>
            <w:vAlign w:val="center"/>
          </w:tcPr>
          <w:p w14:paraId="2260913E" w14:textId="77777777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14:paraId="6DB0B7F6" w14:textId="77777777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A2A8C" w:rsidRPr="00DC2D69" w14:paraId="4DC0A44D" w14:textId="77777777" w:rsidTr="00EA2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4" w:type="dxa"/>
          </w:tcPr>
          <w:p w14:paraId="7E5F5F08" w14:textId="6FC8BF2A" w:rsidR="00112065" w:rsidRPr="00DC2D69" w:rsidRDefault="00EA2A8C" w:rsidP="00112065">
            <w:pPr>
              <w:jc w:val="right"/>
              <w:rPr>
                <w:b w:val="0"/>
                <w:sz w:val="20"/>
                <w:szCs w:val="20"/>
              </w:rPr>
            </w:pPr>
            <w:r w:rsidRPr="00DC2D69">
              <w:rPr>
                <w:b w:val="0"/>
                <w:sz w:val="20"/>
                <w:szCs w:val="20"/>
              </w:rPr>
              <w:t xml:space="preserve">- </w:t>
            </w:r>
            <w:r w:rsidR="00112065" w:rsidRPr="00DC2D69">
              <w:rPr>
                <w:b w:val="0"/>
                <w:sz w:val="20"/>
                <w:szCs w:val="20"/>
              </w:rPr>
              <w:t>Yes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14:paraId="01484182" w14:textId="74DDE646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2D69">
              <w:rPr>
                <w:sz w:val="20"/>
                <w:szCs w:val="20"/>
              </w:rPr>
              <w:t>3,392</w:t>
            </w:r>
          </w:p>
        </w:tc>
        <w:tc>
          <w:tcPr>
            <w:tcW w:w="1304" w:type="dxa"/>
            <w:tcBorders>
              <w:left w:val="nil"/>
            </w:tcBorders>
            <w:vAlign w:val="center"/>
          </w:tcPr>
          <w:p w14:paraId="2BCDA58D" w14:textId="097C5151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2D69">
              <w:rPr>
                <w:sz w:val="20"/>
                <w:szCs w:val="20"/>
              </w:rPr>
              <w:t>2,141</w:t>
            </w:r>
          </w:p>
        </w:tc>
        <w:tc>
          <w:tcPr>
            <w:tcW w:w="907" w:type="dxa"/>
            <w:vAlign w:val="center"/>
          </w:tcPr>
          <w:p w14:paraId="51EB8AC3" w14:textId="77777777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2D69">
              <w:rPr>
                <w:sz w:val="20"/>
                <w:szCs w:val="20"/>
              </w:rPr>
              <w:t>205.7</w:t>
            </w:r>
          </w:p>
        </w:tc>
        <w:tc>
          <w:tcPr>
            <w:tcW w:w="1870" w:type="dxa"/>
            <w:tcBorders>
              <w:left w:val="nil"/>
            </w:tcBorders>
            <w:vAlign w:val="center"/>
          </w:tcPr>
          <w:p w14:paraId="5437411E" w14:textId="77777777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2D69">
              <w:rPr>
                <w:sz w:val="20"/>
                <w:szCs w:val="20"/>
              </w:rPr>
              <w:t>75.0</w:t>
            </w:r>
          </w:p>
        </w:tc>
        <w:tc>
          <w:tcPr>
            <w:tcW w:w="1814" w:type="dxa"/>
            <w:tcBorders>
              <w:left w:val="nil"/>
            </w:tcBorders>
            <w:vAlign w:val="center"/>
          </w:tcPr>
          <w:p w14:paraId="66C9F36A" w14:textId="77777777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2D69">
              <w:rPr>
                <w:sz w:val="20"/>
                <w:szCs w:val="20"/>
              </w:rPr>
              <w:t>2.91 (2.63 – 3.22)</w:t>
            </w:r>
          </w:p>
        </w:tc>
        <w:tc>
          <w:tcPr>
            <w:tcW w:w="1022" w:type="dxa"/>
            <w:vAlign w:val="center"/>
          </w:tcPr>
          <w:p w14:paraId="6C8C0957" w14:textId="77777777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2D69">
              <w:rPr>
                <w:sz w:val="20"/>
                <w:szCs w:val="20"/>
              </w:rPr>
              <w:t>-</w:t>
            </w:r>
          </w:p>
        </w:tc>
        <w:tc>
          <w:tcPr>
            <w:tcW w:w="1813" w:type="dxa"/>
            <w:tcBorders>
              <w:left w:val="nil"/>
            </w:tcBorders>
            <w:vAlign w:val="center"/>
          </w:tcPr>
          <w:p w14:paraId="534F34A8" w14:textId="77777777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2D69">
              <w:rPr>
                <w:sz w:val="20"/>
                <w:szCs w:val="20"/>
              </w:rPr>
              <w:t>2.15 (1.88 – 2.47)</w:t>
            </w:r>
          </w:p>
        </w:tc>
        <w:tc>
          <w:tcPr>
            <w:tcW w:w="1021" w:type="dxa"/>
            <w:vAlign w:val="center"/>
          </w:tcPr>
          <w:p w14:paraId="20A3FA28" w14:textId="77777777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2D69">
              <w:rPr>
                <w:sz w:val="20"/>
                <w:szCs w:val="20"/>
              </w:rPr>
              <w:t>-</w:t>
            </w:r>
          </w:p>
        </w:tc>
      </w:tr>
      <w:tr w:rsidR="00EA2A8C" w:rsidRPr="00DC2D69" w14:paraId="4C8A2F4E" w14:textId="77777777" w:rsidTr="00EA2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4" w:type="dxa"/>
          </w:tcPr>
          <w:p w14:paraId="726BFAA8" w14:textId="756BA190" w:rsidR="00112065" w:rsidRPr="00DC2D69" w:rsidRDefault="00EA2A8C" w:rsidP="00112065">
            <w:pPr>
              <w:jc w:val="right"/>
              <w:rPr>
                <w:b w:val="0"/>
                <w:sz w:val="20"/>
                <w:szCs w:val="20"/>
              </w:rPr>
            </w:pPr>
            <w:r w:rsidRPr="00DC2D69">
              <w:rPr>
                <w:b w:val="0"/>
                <w:sz w:val="20"/>
                <w:szCs w:val="20"/>
              </w:rPr>
              <w:t xml:space="preserve">- </w:t>
            </w:r>
            <w:r w:rsidR="00112065" w:rsidRPr="00DC2D69">
              <w:rPr>
                <w:b w:val="0"/>
                <w:sz w:val="20"/>
                <w:szCs w:val="20"/>
              </w:rPr>
              <w:t>No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14:paraId="153F2BBF" w14:textId="7FD80E1A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2D69">
              <w:rPr>
                <w:sz w:val="20"/>
                <w:szCs w:val="20"/>
              </w:rPr>
              <w:t>13,274</w:t>
            </w:r>
          </w:p>
        </w:tc>
        <w:tc>
          <w:tcPr>
            <w:tcW w:w="1304" w:type="dxa"/>
            <w:tcBorders>
              <w:left w:val="nil"/>
            </w:tcBorders>
            <w:vAlign w:val="center"/>
          </w:tcPr>
          <w:p w14:paraId="337BF352" w14:textId="4C05CABA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2D69">
              <w:rPr>
                <w:sz w:val="20"/>
                <w:szCs w:val="20"/>
              </w:rPr>
              <w:t>6,885</w:t>
            </w:r>
          </w:p>
        </w:tc>
        <w:tc>
          <w:tcPr>
            <w:tcW w:w="907" w:type="dxa"/>
            <w:vAlign w:val="center"/>
          </w:tcPr>
          <w:p w14:paraId="69A77A5E" w14:textId="77777777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2D69">
              <w:rPr>
                <w:sz w:val="20"/>
                <w:szCs w:val="20"/>
              </w:rPr>
              <w:t>175.9</w:t>
            </w:r>
          </w:p>
        </w:tc>
        <w:tc>
          <w:tcPr>
            <w:tcW w:w="1870" w:type="dxa"/>
            <w:tcBorders>
              <w:left w:val="nil"/>
            </w:tcBorders>
            <w:vAlign w:val="center"/>
          </w:tcPr>
          <w:p w14:paraId="590E4788" w14:textId="77777777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2D69">
              <w:rPr>
                <w:sz w:val="20"/>
                <w:szCs w:val="20"/>
              </w:rPr>
              <w:t>65.7</w:t>
            </w:r>
          </w:p>
        </w:tc>
        <w:tc>
          <w:tcPr>
            <w:tcW w:w="1814" w:type="dxa"/>
            <w:tcBorders>
              <w:left w:val="nil"/>
            </w:tcBorders>
            <w:vAlign w:val="center"/>
          </w:tcPr>
          <w:p w14:paraId="13DB0F04" w14:textId="77777777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2D69">
              <w:rPr>
                <w:sz w:val="20"/>
                <w:szCs w:val="20"/>
              </w:rPr>
              <w:t>2.79 (2.61 – 2.98)</w:t>
            </w:r>
          </w:p>
        </w:tc>
        <w:tc>
          <w:tcPr>
            <w:tcW w:w="1022" w:type="dxa"/>
            <w:vAlign w:val="center"/>
          </w:tcPr>
          <w:p w14:paraId="55DBC16D" w14:textId="77777777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2D69">
              <w:rPr>
                <w:sz w:val="20"/>
                <w:szCs w:val="20"/>
              </w:rPr>
              <w:t>0.50</w:t>
            </w:r>
          </w:p>
        </w:tc>
        <w:tc>
          <w:tcPr>
            <w:tcW w:w="1813" w:type="dxa"/>
            <w:tcBorders>
              <w:left w:val="nil"/>
            </w:tcBorders>
            <w:vAlign w:val="center"/>
          </w:tcPr>
          <w:p w14:paraId="6A985C8B" w14:textId="77777777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2D69">
              <w:rPr>
                <w:sz w:val="20"/>
                <w:szCs w:val="20"/>
              </w:rPr>
              <w:t>2.16 (2.00 – 2.33)</w:t>
            </w:r>
          </w:p>
        </w:tc>
        <w:tc>
          <w:tcPr>
            <w:tcW w:w="1021" w:type="dxa"/>
            <w:vAlign w:val="center"/>
          </w:tcPr>
          <w:p w14:paraId="72233A8D" w14:textId="77777777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2D69">
              <w:rPr>
                <w:sz w:val="20"/>
                <w:szCs w:val="20"/>
              </w:rPr>
              <w:t>0.95</w:t>
            </w:r>
          </w:p>
        </w:tc>
      </w:tr>
      <w:tr w:rsidR="00EA2A8C" w:rsidRPr="00DC2D69" w14:paraId="0DF2140E" w14:textId="77777777" w:rsidTr="00EA2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4" w:type="dxa"/>
            <w:vAlign w:val="center"/>
          </w:tcPr>
          <w:p w14:paraId="6C459561" w14:textId="77777777" w:rsidR="00112065" w:rsidRPr="00DC2D69" w:rsidRDefault="00112065" w:rsidP="00112065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nil"/>
            </w:tcBorders>
            <w:vAlign w:val="center"/>
          </w:tcPr>
          <w:p w14:paraId="05A28FB2" w14:textId="77777777" w:rsidR="00112065" w:rsidRPr="00DC2D69" w:rsidRDefault="00112065" w:rsidP="00112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nil"/>
            </w:tcBorders>
            <w:vAlign w:val="center"/>
          </w:tcPr>
          <w:p w14:paraId="4480A678" w14:textId="337E0C17" w:rsidR="00112065" w:rsidRPr="00DC2D69" w:rsidRDefault="00112065" w:rsidP="00112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770A022" w14:textId="77777777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nil"/>
            </w:tcBorders>
            <w:vAlign w:val="center"/>
          </w:tcPr>
          <w:p w14:paraId="26BC10D8" w14:textId="77777777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left w:val="nil"/>
            </w:tcBorders>
            <w:vAlign w:val="center"/>
          </w:tcPr>
          <w:p w14:paraId="17DEF5CE" w14:textId="77777777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5F889050" w14:textId="77777777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3" w:type="dxa"/>
            <w:tcBorders>
              <w:left w:val="nil"/>
            </w:tcBorders>
            <w:vAlign w:val="center"/>
          </w:tcPr>
          <w:p w14:paraId="15153AE9" w14:textId="77777777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14:paraId="6A81BB0F" w14:textId="77777777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A2A8C" w:rsidRPr="00DC2D69" w14:paraId="1D7AEF0C" w14:textId="77777777" w:rsidTr="00EA2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4" w:type="dxa"/>
            <w:vAlign w:val="center"/>
          </w:tcPr>
          <w:p w14:paraId="1AF81C41" w14:textId="77777777" w:rsidR="00112065" w:rsidRPr="00DC2D69" w:rsidRDefault="00112065" w:rsidP="00112065">
            <w:pPr>
              <w:rPr>
                <w:b w:val="0"/>
                <w:bCs w:val="0"/>
                <w:sz w:val="20"/>
                <w:szCs w:val="20"/>
              </w:rPr>
            </w:pPr>
            <w:r w:rsidRPr="00DC2D69">
              <w:rPr>
                <w:b w:val="0"/>
                <w:sz w:val="20"/>
                <w:szCs w:val="20"/>
              </w:rPr>
              <w:t>High level of support needs†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14:paraId="741443E2" w14:textId="77777777" w:rsidR="00112065" w:rsidRPr="00DC2D69" w:rsidRDefault="00112065" w:rsidP="00112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nil"/>
            </w:tcBorders>
            <w:vAlign w:val="center"/>
          </w:tcPr>
          <w:p w14:paraId="3B60A1CF" w14:textId="486F6220" w:rsidR="00112065" w:rsidRPr="00DC2D69" w:rsidRDefault="00112065" w:rsidP="00112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326EE0C" w14:textId="77777777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nil"/>
            </w:tcBorders>
            <w:vAlign w:val="center"/>
          </w:tcPr>
          <w:p w14:paraId="578701D3" w14:textId="77777777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left w:val="nil"/>
            </w:tcBorders>
            <w:vAlign w:val="center"/>
          </w:tcPr>
          <w:p w14:paraId="715DCFB8" w14:textId="77777777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36F6BE67" w14:textId="77777777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3" w:type="dxa"/>
            <w:tcBorders>
              <w:left w:val="nil"/>
            </w:tcBorders>
            <w:vAlign w:val="center"/>
          </w:tcPr>
          <w:p w14:paraId="32F3594C" w14:textId="77777777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14:paraId="3CB59752" w14:textId="77777777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A2A8C" w:rsidRPr="00DC2D69" w14:paraId="20A83CBF" w14:textId="77777777" w:rsidTr="00EA2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4" w:type="dxa"/>
          </w:tcPr>
          <w:p w14:paraId="10315310" w14:textId="7713E5DD" w:rsidR="00112065" w:rsidRPr="00DC2D69" w:rsidRDefault="00EA2A8C" w:rsidP="00112065">
            <w:pPr>
              <w:jc w:val="right"/>
              <w:rPr>
                <w:b w:val="0"/>
                <w:sz w:val="20"/>
                <w:szCs w:val="20"/>
              </w:rPr>
            </w:pPr>
            <w:r w:rsidRPr="00DC2D69">
              <w:rPr>
                <w:b w:val="0"/>
                <w:sz w:val="20"/>
                <w:szCs w:val="20"/>
              </w:rPr>
              <w:t xml:space="preserve">- </w:t>
            </w:r>
            <w:r w:rsidR="00112065" w:rsidRPr="00DC2D69">
              <w:rPr>
                <w:b w:val="0"/>
                <w:sz w:val="20"/>
                <w:szCs w:val="20"/>
              </w:rPr>
              <w:t>Yes</w:t>
            </w:r>
          </w:p>
        </w:tc>
        <w:tc>
          <w:tcPr>
            <w:tcW w:w="1020" w:type="dxa"/>
            <w:tcBorders>
              <w:left w:val="nil"/>
            </w:tcBorders>
            <w:vAlign w:val="center"/>
          </w:tcPr>
          <w:p w14:paraId="0398A3EF" w14:textId="1EA1F342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2D69">
              <w:rPr>
                <w:sz w:val="20"/>
                <w:szCs w:val="20"/>
              </w:rPr>
              <w:t>3,263</w:t>
            </w:r>
          </w:p>
        </w:tc>
        <w:tc>
          <w:tcPr>
            <w:tcW w:w="1304" w:type="dxa"/>
            <w:tcBorders>
              <w:left w:val="nil"/>
            </w:tcBorders>
            <w:vAlign w:val="center"/>
          </w:tcPr>
          <w:p w14:paraId="4F4C4D07" w14:textId="487D2246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2D69">
              <w:rPr>
                <w:sz w:val="20"/>
                <w:szCs w:val="20"/>
              </w:rPr>
              <w:t>2,487</w:t>
            </w:r>
          </w:p>
        </w:tc>
        <w:tc>
          <w:tcPr>
            <w:tcW w:w="907" w:type="dxa"/>
            <w:vAlign w:val="center"/>
          </w:tcPr>
          <w:p w14:paraId="0821FA64" w14:textId="77777777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2D69">
              <w:rPr>
                <w:sz w:val="20"/>
                <w:szCs w:val="20"/>
              </w:rPr>
              <w:t>243.9</w:t>
            </w:r>
          </w:p>
        </w:tc>
        <w:tc>
          <w:tcPr>
            <w:tcW w:w="1870" w:type="dxa"/>
            <w:tcBorders>
              <w:left w:val="nil"/>
            </w:tcBorders>
            <w:vAlign w:val="center"/>
          </w:tcPr>
          <w:p w14:paraId="1A8F8F85" w14:textId="77777777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2D69">
              <w:rPr>
                <w:sz w:val="20"/>
                <w:szCs w:val="20"/>
              </w:rPr>
              <w:t>70.2</w:t>
            </w:r>
          </w:p>
        </w:tc>
        <w:tc>
          <w:tcPr>
            <w:tcW w:w="1814" w:type="dxa"/>
            <w:tcBorders>
              <w:left w:val="nil"/>
            </w:tcBorders>
            <w:vAlign w:val="center"/>
          </w:tcPr>
          <w:p w14:paraId="108195D8" w14:textId="77777777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2D69">
              <w:rPr>
                <w:sz w:val="20"/>
                <w:szCs w:val="20"/>
              </w:rPr>
              <w:t>3.67 (3.32 – 4.05)</w:t>
            </w:r>
          </w:p>
        </w:tc>
        <w:tc>
          <w:tcPr>
            <w:tcW w:w="1022" w:type="dxa"/>
            <w:vAlign w:val="center"/>
          </w:tcPr>
          <w:p w14:paraId="565E3F9B" w14:textId="77777777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2D69">
              <w:rPr>
                <w:sz w:val="20"/>
                <w:szCs w:val="20"/>
              </w:rPr>
              <w:t>-</w:t>
            </w:r>
          </w:p>
        </w:tc>
        <w:tc>
          <w:tcPr>
            <w:tcW w:w="1813" w:type="dxa"/>
            <w:tcBorders>
              <w:left w:val="nil"/>
            </w:tcBorders>
            <w:vAlign w:val="center"/>
          </w:tcPr>
          <w:p w14:paraId="78BB09BA" w14:textId="77777777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2D69">
              <w:rPr>
                <w:sz w:val="20"/>
                <w:szCs w:val="20"/>
              </w:rPr>
              <w:t>3.83 (3.42 – 4.28)</w:t>
            </w:r>
          </w:p>
        </w:tc>
        <w:tc>
          <w:tcPr>
            <w:tcW w:w="1021" w:type="dxa"/>
            <w:vAlign w:val="center"/>
          </w:tcPr>
          <w:p w14:paraId="3A711E68" w14:textId="77777777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2D69">
              <w:rPr>
                <w:sz w:val="20"/>
                <w:szCs w:val="20"/>
              </w:rPr>
              <w:t>-</w:t>
            </w:r>
          </w:p>
        </w:tc>
      </w:tr>
      <w:tr w:rsidR="00EA2A8C" w:rsidRPr="00DC2D69" w14:paraId="7ED494EF" w14:textId="77777777" w:rsidTr="00EA2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4" w:type="dxa"/>
            <w:tcBorders>
              <w:bottom w:val="single" w:sz="4" w:space="0" w:color="auto"/>
            </w:tcBorders>
          </w:tcPr>
          <w:p w14:paraId="712F315E" w14:textId="087FE511" w:rsidR="00112065" w:rsidRPr="00DC2D69" w:rsidRDefault="00EA2A8C" w:rsidP="00112065">
            <w:pPr>
              <w:jc w:val="right"/>
              <w:rPr>
                <w:b w:val="0"/>
                <w:sz w:val="20"/>
                <w:szCs w:val="20"/>
              </w:rPr>
            </w:pPr>
            <w:r w:rsidRPr="00DC2D69">
              <w:rPr>
                <w:b w:val="0"/>
                <w:sz w:val="20"/>
                <w:szCs w:val="20"/>
              </w:rPr>
              <w:t>-</w:t>
            </w:r>
            <w:r w:rsidR="00112065" w:rsidRPr="00DC2D69">
              <w:rPr>
                <w:b w:val="0"/>
                <w:sz w:val="20"/>
                <w:szCs w:val="20"/>
              </w:rPr>
              <w:t xml:space="preserve"> No</w:t>
            </w:r>
          </w:p>
        </w:tc>
        <w:tc>
          <w:tcPr>
            <w:tcW w:w="1020" w:type="dxa"/>
            <w:tcBorders>
              <w:left w:val="nil"/>
              <w:bottom w:val="single" w:sz="4" w:space="0" w:color="auto"/>
            </w:tcBorders>
            <w:vAlign w:val="center"/>
          </w:tcPr>
          <w:p w14:paraId="521D0C83" w14:textId="45FDEF89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2D69">
              <w:rPr>
                <w:sz w:val="20"/>
                <w:szCs w:val="20"/>
              </w:rPr>
              <w:t>13,403</w:t>
            </w:r>
          </w:p>
        </w:tc>
        <w:tc>
          <w:tcPr>
            <w:tcW w:w="1304" w:type="dxa"/>
            <w:tcBorders>
              <w:left w:val="nil"/>
              <w:bottom w:val="single" w:sz="4" w:space="0" w:color="auto"/>
            </w:tcBorders>
            <w:vAlign w:val="center"/>
          </w:tcPr>
          <w:p w14:paraId="3A85D604" w14:textId="11D5CCC3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2D69">
              <w:rPr>
                <w:sz w:val="20"/>
                <w:szCs w:val="20"/>
              </w:rPr>
              <w:t>6,539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14:paraId="5700BFDF" w14:textId="77777777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2D69">
              <w:rPr>
                <w:sz w:val="20"/>
                <w:szCs w:val="20"/>
              </w:rPr>
              <w:t>166.2</w:t>
            </w:r>
          </w:p>
        </w:tc>
        <w:tc>
          <w:tcPr>
            <w:tcW w:w="1870" w:type="dxa"/>
            <w:tcBorders>
              <w:left w:val="nil"/>
              <w:bottom w:val="single" w:sz="4" w:space="0" w:color="auto"/>
            </w:tcBorders>
            <w:vAlign w:val="center"/>
          </w:tcPr>
          <w:p w14:paraId="52CDA228" w14:textId="77777777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2D69">
              <w:rPr>
                <w:sz w:val="20"/>
                <w:szCs w:val="20"/>
              </w:rPr>
              <w:t>67.1</w:t>
            </w:r>
          </w:p>
        </w:tc>
        <w:tc>
          <w:tcPr>
            <w:tcW w:w="1814" w:type="dxa"/>
            <w:tcBorders>
              <w:left w:val="nil"/>
              <w:bottom w:val="single" w:sz="4" w:space="0" w:color="auto"/>
            </w:tcBorders>
            <w:vAlign w:val="center"/>
          </w:tcPr>
          <w:p w14:paraId="35D2B1B2" w14:textId="77777777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2D69">
              <w:rPr>
                <w:sz w:val="20"/>
                <w:szCs w:val="20"/>
              </w:rPr>
              <w:t>2.59 (2.42 – 2.77)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14:paraId="6EF7D958" w14:textId="77777777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2D69">
              <w:rPr>
                <w:sz w:val="20"/>
                <w:szCs w:val="20"/>
              </w:rPr>
              <w:t>&lt;0.001</w:t>
            </w:r>
          </w:p>
        </w:tc>
        <w:tc>
          <w:tcPr>
            <w:tcW w:w="1813" w:type="dxa"/>
            <w:tcBorders>
              <w:left w:val="nil"/>
              <w:bottom w:val="single" w:sz="4" w:space="0" w:color="auto"/>
            </w:tcBorders>
            <w:vAlign w:val="center"/>
          </w:tcPr>
          <w:p w14:paraId="355A0373" w14:textId="77777777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2D69">
              <w:rPr>
                <w:sz w:val="20"/>
                <w:szCs w:val="20"/>
              </w:rPr>
              <w:t>2.32 (2.16 – 2.49)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59431DA1" w14:textId="77777777" w:rsidR="00112065" w:rsidRPr="00DC2D69" w:rsidRDefault="00112065" w:rsidP="0011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2D69">
              <w:rPr>
                <w:sz w:val="20"/>
                <w:szCs w:val="20"/>
              </w:rPr>
              <w:t>&lt;0.001</w:t>
            </w:r>
          </w:p>
        </w:tc>
      </w:tr>
    </w:tbl>
    <w:p w14:paraId="3C6280CC" w14:textId="5E084792" w:rsidR="00112065" w:rsidRPr="00491148" w:rsidRDefault="00112065" w:rsidP="00112065">
      <w:pPr>
        <w:spacing w:after="0" w:line="240" w:lineRule="auto"/>
        <w:jc w:val="both"/>
        <w:rPr>
          <w:b/>
        </w:rPr>
      </w:pPr>
    </w:p>
    <w:p w14:paraId="36E7835C" w14:textId="0DC7EC7E" w:rsidR="00AA56D7" w:rsidRDefault="00AA56D7" w:rsidP="00AA56D7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* IRR from conditional Poisson model for ID vs control. Matched on age, </w:t>
      </w:r>
      <w:r w:rsidR="00B53594">
        <w:rPr>
          <w:rFonts w:cstheme="minorHAnsi"/>
          <w:sz w:val="20"/>
          <w:szCs w:val="20"/>
        </w:rPr>
        <w:t>sex</w:t>
      </w:r>
      <w:r>
        <w:rPr>
          <w:rFonts w:cstheme="minorHAnsi"/>
          <w:sz w:val="20"/>
          <w:szCs w:val="20"/>
        </w:rPr>
        <w:t xml:space="preserve"> and practice only.</w:t>
      </w:r>
    </w:p>
    <w:p w14:paraId="6AA72714" w14:textId="77777777" w:rsidR="00AA56D7" w:rsidRPr="00860407" w:rsidRDefault="00AA56D7" w:rsidP="00AA56D7">
      <w:pPr>
        <w:spacing w:after="0" w:line="240" w:lineRule="auto"/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>**Additionally a</w:t>
      </w:r>
      <w:r w:rsidRPr="00860407">
        <w:rPr>
          <w:sz w:val="20"/>
          <w:szCs w:val="20"/>
        </w:rPr>
        <w:t>djusted for nine QOF diseases, IMD quintile and smoking, apart from for High Support Needs where Epilepsy is not used in the adjustment.</w:t>
      </w:r>
    </w:p>
    <w:p w14:paraId="25166FE2" w14:textId="77777777" w:rsidR="00112065" w:rsidRPr="00860407" w:rsidRDefault="00112065" w:rsidP="00112065">
      <w:pPr>
        <w:spacing w:after="0" w:line="240" w:lineRule="auto"/>
        <w:jc w:val="both"/>
        <w:rPr>
          <w:sz w:val="20"/>
          <w:szCs w:val="20"/>
        </w:rPr>
      </w:pPr>
      <w:r w:rsidRPr="00860407">
        <w:rPr>
          <w:sz w:val="20"/>
          <w:szCs w:val="20"/>
        </w:rPr>
        <w:t>† Has been classed as having Severe or Profound ID by GP or has 2 or more of the following: epilepsy, cerebral palsy or significant mobility problem (wheelchair use or greater problem), severe visual impairment, severe hearing impairment, a continence problem or use of PEG feeding.</w:t>
      </w:r>
    </w:p>
    <w:p w14:paraId="68CEF4FC" w14:textId="581C8BEA" w:rsidR="00112065" w:rsidRPr="00860407" w:rsidRDefault="00112065" w:rsidP="00112065">
      <w:pPr>
        <w:spacing w:after="0" w:line="240" w:lineRule="auto"/>
        <w:jc w:val="both"/>
        <w:rPr>
          <w:sz w:val="20"/>
          <w:szCs w:val="20"/>
        </w:rPr>
      </w:pPr>
      <w:r w:rsidRPr="00860407">
        <w:rPr>
          <w:rFonts w:cstheme="minorHAnsi"/>
          <w:sz w:val="20"/>
          <w:szCs w:val="20"/>
        </w:rPr>
        <w:t>‡</w:t>
      </w:r>
      <w:r w:rsidRPr="00860407">
        <w:rPr>
          <w:sz w:val="20"/>
          <w:szCs w:val="20"/>
        </w:rPr>
        <w:t xml:space="preserve"> p-values test for difference</w:t>
      </w:r>
      <w:r w:rsidR="003A37AE">
        <w:rPr>
          <w:sz w:val="20"/>
          <w:szCs w:val="20"/>
        </w:rPr>
        <w:t xml:space="preserve"> in IRR</w:t>
      </w:r>
      <w:r w:rsidRPr="00860407">
        <w:rPr>
          <w:sz w:val="20"/>
          <w:szCs w:val="20"/>
        </w:rPr>
        <w:t xml:space="preserve"> between subgroups (for age, 18-34 years is taken as baseline group)</w:t>
      </w:r>
    </w:p>
    <w:p w14:paraId="44357A66" w14:textId="0EA4C073" w:rsidR="00D815DE" w:rsidRDefault="00112065" w:rsidP="000D3622">
      <w:pPr>
        <w:spacing w:after="0" w:line="240" w:lineRule="auto"/>
        <w:jc w:val="both"/>
        <w:sectPr w:rsidR="00D815DE" w:rsidSect="00DC2D69">
          <w:pgSz w:w="16838" w:h="11906" w:orient="landscape"/>
          <w:pgMar w:top="1134" w:right="1440" w:bottom="1134" w:left="1440" w:header="709" w:footer="709" w:gutter="0"/>
          <w:cols w:space="708"/>
          <w:docGrid w:linePitch="360"/>
        </w:sectPr>
      </w:pPr>
      <w:r w:rsidRPr="00860407">
        <w:rPr>
          <w:sz w:val="20"/>
          <w:szCs w:val="20"/>
        </w:rPr>
        <w:t>IRR: Incidence Rate Ratio, ID: Intellectual Disability</w:t>
      </w:r>
    </w:p>
    <w:p w14:paraId="06FE200C" w14:textId="77777777" w:rsidR="0032141B" w:rsidRDefault="0032141B" w:rsidP="000D3622">
      <w:pPr>
        <w:spacing w:after="0" w:line="240" w:lineRule="auto"/>
        <w:jc w:val="both"/>
      </w:pPr>
    </w:p>
    <w:p w14:paraId="350D3CA8" w14:textId="77777777" w:rsidR="00701816" w:rsidRDefault="00701816" w:rsidP="00701816">
      <w:pPr>
        <w:spacing w:after="0" w:line="240" w:lineRule="auto"/>
        <w:jc w:val="both"/>
        <w:rPr>
          <w:b/>
        </w:rPr>
      </w:pPr>
      <w:r w:rsidRPr="004C60CD">
        <w:rPr>
          <w:b/>
        </w:rPr>
        <w:t>Table 2: Number of admissions, rate per 1,000 individuals</w:t>
      </w:r>
      <w:r>
        <w:rPr>
          <w:b/>
        </w:rPr>
        <w:t xml:space="preserve"> per year</w:t>
      </w:r>
      <w:r w:rsidRPr="004C60CD">
        <w:rPr>
          <w:b/>
        </w:rPr>
        <w:t xml:space="preserve"> and incident rate ratios for </w:t>
      </w:r>
      <w:r>
        <w:rPr>
          <w:b/>
        </w:rPr>
        <w:t>conditions resulting in preventable admissions (ACSCs)</w:t>
      </w:r>
      <w:r w:rsidRPr="004C60CD">
        <w:rPr>
          <w:b/>
        </w:rPr>
        <w:t>.</w:t>
      </w:r>
    </w:p>
    <w:p w14:paraId="5E2033C4" w14:textId="77777777" w:rsidR="0032141B" w:rsidRDefault="0032141B" w:rsidP="000D3622">
      <w:pPr>
        <w:spacing w:after="0" w:line="240" w:lineRule="auto"/>
        <w:jc w:val="both"/>
      </w:pPr>
    </w:p>
    <w:tbl>
      <w:tblPr>
        <w:tblStyle w:val="LightShading"/>
        <w:tblW w:w="0" w:type="auto"/>
        <w:tblLayout w:type="fixed"/>
        <w:tblLook w:val="06A0" w:firstRow="1" w:lastRow="0" w:firstColumn="1" w:lastColumn="0" w:noHBand="1" w:noVBand="1"/>
      </w:tblPr>
      <w:tblGrid>
        <w:gridCol w:w="5386"/>
        <w:gridCol w:w="1417"/>
        <w:gridCol w:w="1418"/>
        <w:gridCol w:w="1417"/>
        <w:gridCol w:w="1418"/>
        <w:gridCol w:w="2551"/>
      </w:tblGrid>
      <w:tr w:rsidR="0032141B" w:rsidRPr="00701816" w14:paraId="208E8BCE" w14:textId="77777777" w:rsidTr="001A63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6" w:type="dxa"/>
            <w:vMerge w:val="restart"/>
          </w:tcPr>
          <w:p w14:paraId="786290CF" w14:textId="77777777" w:rsidR="0032141B" w:rsidRPr="00701816" w:rsidRDefault="0032141B" w:rsidP="000D3622">
            <w:pPr>
              <w:rPr>
                <w:rFonts w:cs="Courier New"/>
                <w:sz w:val="20"/>
                <w:szCs w:val="20"/>
              </w:rPr>
            </w:pPr>
            <w:r w:rsidRPr="00701816">
              <w:rPr>
                <w:rFonts w:cs="Courier New"/>
                <w:sz w:val="20"/>
                <w:szCs w:val="20"/>
              </w:rPr>
              <w:t xml:space="preserve">Condition </w:t>
            </w:r>
          </w:p>
          <w:p w14:paraId="785A60B6" w14:textId="77777777" w:rsidR="0032141B" w:rsidRPr="00701816" w:rsidRDefault="0032141B" w:rsidP="000D3622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3E3D2EB6" w14:textId="1BE91FF1" w:rsidR="0032141B" w:rsidRPr="00701816" w:rsidRDefault="00EB21BD" w:rsidP="000D36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1816">
              <w:rPr>
                <w:sz w:val="20"/>
                <w:szCs w:val="20"/>
              </w:rPr>
              <w:t>Adults</w:t>
            </w:r>
            <w:r w:rsidR="0032141B" w:rsidRPr="00701816">
              <w:rPr>
                <w:sz w:val="20"/>
                <w:szCs w:val="20"/>
              </w:rPr>
              <w:t xml:space="preserve"> with ID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4C35DB0D" w14:textId="78BCCF52" w:rsidR="0032141B" w:rsidRPr="00701816" w:rsidRDefault="001A6381" w:rsidP="001A63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Age-sex-practice matched c</w:t>
            </w:r>
            <w:r w:rsidR="0013777B" w:rsidRPr="00701816">
              <w:rPr>
                <w:sz w:val="20"/>
                <w:szCs w:val="20"/>
              </w:rPr>
              <w:t>ontrols</w:t>
            </w:r>
          </w:p>
        </w:tc>
        <w:tc>
          <w:tcPr>
            <w:tcW w:w="2551" w:type="dxa"/>
            <w:tcBorders>
              <w:bottom w:val="nil"/>
            </w:tcBorders>
          </w:tcPr>
          <w:p w14:paraId="492160E2" w14:textId="4221D863" w:rsidR="0032141B" w:rsidRPr="00701816" w:rsidRDefault="0032141B" w:rsidP="000D36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1816">
              <w:rPr>
                <w:sz w:val="20"/>
                <w:szCs w:val="20"/>
              </w:rPr>
              <w:t>IRR (95% CI)</w:t>
            </w:r>
          </w:p>
        </w:tc>
      </w:tr>
      <w:tr w:rsidR="001A6381" w:rsidRPr="00701816" w14:paraId="1EB8F5C8" w14:textId="77777777" w:rsidTr="001A63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6" w:type="dxa"/>
            <w:vMerge/>
            <w:tcBorders>
              <w:bottom w:val="single" w:sz="4" w:space="0" w:color="auto"/>
              <w:right w:val="nil"/>
            </w:tcBorders>
          </w:tcPr>
          <w:p w14:paraId="17961F2D" w14:textId="77777777" w:rsidR="0032141B" w:rsidRPr="00701816" w:rsidRDefault="0032141B" w:rsidP="000D3622">
            <w:pPr>
              <w:jc w:val="both"/>
              <w:rPr>
                <w:rFonts w:cs="Courier New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536C3CE" w14:textId="77777777" w:rsidR="0032141B" w:rsidRPr="00701816" w:rsidRDefault="0032141B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01816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102BA75" w14:textId="245C16B2" w:rsidR="0032141B" w:rsidRPr="00701816" w:rsidRDefault="0032141B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01816">
              <w:rPr>
                <w:b/>
                <w:sz w:val="20"/>
                <w:szCs w:val="20"/>
              </w:rPr>
              <w:t>Rate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B807D2" w14:textId="77777777" w:rsidR="0032141B" w:rsidRPr="00701816" w:rsidRDefault="0032141B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01816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F110404" w14:textId="7BDF7B82" w:rsidR="0032141B" w:rsidRPr="00701816" w:rsidRDefault="0032141B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01816">
              <w:rPr>
                <w:b/>
                <w:sz w:val="20"/>
                <w:szCs w:val="20"/>
              </w:rPr>
              <w:t>Rate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14:paraId="2AD3E9B1" w14:textId="77777777" w:rsidR="0032141B" w:rsidRPr="00701816" w:rsidRDefault="0032141B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1A6381" w:rsidRPr="00701816" w14:paraId="011FF8AE" w14:textId="77777777" w:rsidTr="001A63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6" w:type="dxa"/>
            <w:tcBorders>
              <w:top w:val="single" w:sz="4" w:space="0" w:color="auto"/>
              <w:bottom w:val="nil"/>
              <w:right w:val="nil"/>
            </w:tcBorders>
          </w:tcPr>
          <w:p w14:paraId="537524FC" w14:textId="77777777" w:rsidR="00F36F2C" w:rsidRPr="00701816" w:rsidRDefault="00F36F2C" w:rsidP="000D3622">
            <w:pPr>
              <w:rPr>
                <w:rFonts w:cs="Courier New"/>
                <w:b w:val="0"/>
                <w:sz w:val="20"/>
                <w:szCs w:val="20"/>
              </w:rPr>
            </w:pPr>
            <w:r w:rsidRPr="00701816">
              <w:rPr>
                <w:rFonts w:cs="Courier New"/>
                <w:b w:val="0"/>
                <w:sz w:val="20"/>
                <w:szCs w:val="20"/>
              </w:rPr>
              <w:t>Angina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</w:tcBorders>
          </w:tcPr>
          <w:p w14:paraId="5018B894" w14:textId="77777777" w:rsidR="00F36F2C" w:rsidRPr="00701816" w:rsidRDefault="00F36F2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1816">
              <w:rPr>
                <w:sz w:val="20"/>
                <w:szCs w:val="20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  <w:right w:val="nil"/>
            </w:tcBorders>
          </w:tcPr>
          <w:p w14:paraId="5F6DE838" w14:textId="77777777" w:rsidR="00F36F2C" w:rsidRPr="00701816" w:rsidRDefault="00F36F2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1816">
              <w:rPr>
                <w:sz w:val="20"/>
                <w:szCs w:val="20"/>
              </w:rPr>
              <w:t>1.0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</w:tcBorders>
          </w:tcPr>
          <w:p w14:paraId="1672A01C" w14:textId="77777777" w:rsidR="00F36F2C" w:rsidRPr="00701816" w:rsidRDefault="00F36F2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1816">
              <w:rPr>
                <w:sz w:val="20"/>
                <w:szCs w:val="20"/>
              </w:rPr>
              <w:t>329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  <w:right w:val="nil"/>
            </w:tcBorders>
          </w:tcPr>
          <w:p w14:paraId="46751E00" w14:textId="77777777" w:rsidR="00F36F2C" w:rsidRPr="00701816" w:rsidRDefault="00F36F2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1816">
              <w:rPr>
                <w:sz w:val="20"/>
                <w:szCs w:val="20"/>
              </w:rPr>
              <w:t>1.0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</w:tcBorders>
          </w:tcPr>
          <w:p w14:paraId="160CB8F3" w14:textId="77777777" w:rsidR="00F36F2C" w:rsidRPr="00701816" w:rsidRDefault="00F36F2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1816">
              <w:rPr>
                <w:sz w:val="20"/>
                <w:szCs w:val="20"/>
              </w:rPr>
              <w:t>1.00 (0.60 – 1.68)</w:t>
            </w:r>
          </w:p>
        </w:tc>
      </w:tr>
      <w:tr w:rsidR="001A6381" w:rsidRPr="00701816" w14:paraId="32291BFF" w14:textId="77777777" w:rsidTr="001A63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6" w:type="dxa"/>
            <w:tcBorders>
              <w:top w:val="nil"/>
              <w:right w:val="nil"/>
            </w:tcBorders>
            <w:vAlign w:val="center"/>
          </w:tcPr>
          <w:p w14:paraId="38B9C243" w14:textId="672DFD82" w:rsidR="00F36F2C" w:rsidRPr="00701816" w:rsidRDefault="00F36F2C" w:rsidP="000D3622">
            <w:pPr>
              <w:rPr>
                <w:rFonts w:cs="Courier New"/>
                <w:sz w:val="20"/>
                <w:szCs w:val="20"/>
              </w:rPr>
            </w:pPr>
            <w:r w:rsidRPr="00701816">
              <w:rPr>
                <w:rFonts w:cs="Courier New"/>
                <w:b w:val="0"/>
                <w:sz w:val="20"/>
                <w:szCs w:val="20"/>
              </w:rPr>
              <w:t xml:space="preserve">Aspiration </w:t>
            </w:r>
          </w:p>
        </w:tc>
        <w:tc>
          <w:tcPr>
            <w:tcW w:w="1417" w:type="dxa"/>
            <w:tcBorders>
              <w:top w:val="nil"/>
              <w:left w:val="nil"/>
            </w:tcBorders>
          </w:tcPr>
          <w:p w14:paraId="495E5E8E" w14:textId="6A636061" w:rsidR="00F36F2C" w:rsidRPr="00701816" w:rsidRDefault="00F36F2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01816">
              <w:rPr>
                <w:sz w:val="20"/>
                <w:szCs w:val="20"/>
              </w:rPr>
              <w:t>152</w:t>
            </w:r>
          </w:p>
        </w:tc>
        <w:tc>
          <w:tcPr>
            <w:tcW w:w="1418" w:type="dxa"/>
            <w:tcBorders>
              <w:top w:val="nil"/>
              <w:right w:val="nil"/>
            </w:tcBorders>
          </w:tcPr>
          <w:p w14:paraId="445E3BBC" w14:textId="0175689F" w:rsidR="00F36F2C" w:rsidRPr="00701816" w:rsidRDefault="00F36F2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01816">
              <w:rPr>
                <w:sz w:val="20"/>
                <w:szCs w:val="20"/>
              </w:rPr>
              <w:t>3.1</w:t>
            </w:r>
          </w:p>
        </w:tc>
        <w:tc>
          <w:tcPr>
            <w:tcW w:w="1417" w:type="dxa"/>
            <w:tcBorders>
              <w:top w:val="nil"/>
              <w:left w:val="nil"/>
            </w:tcBorders>
          </w:tcPr>
          <w:p w14:paraId="6E268671" w14:textId="103B4726" w:rsidR="00F36F2C" w:rsidRPr="00701816" w:rsidRDefault="00F36F2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01816">
              <w:rPr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nil"/>
              <w:right w:val="nil"/>
            </w:tcBorders>
          </w:tcPr>
          <w:p w14:paraId="57009383" w14:textId="4D2536CD" w:rsidR="00F36F2C" w:rsidRPr="00701816" w:rsidRDefault="00F36F2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01816">
              <w:rPr>
                <w:sz w:val="20"/>
                <w:szCs w:val="20"/>
              </w:rPr>
              <w:t>0.07</w:t>
            </w:r>
          </w:p>
        </w:tc>
        <w:tc>
          <w:tcPr>
            <w:tcW w:w="2551" w:type="dxa"/>
            <w:tcBorders>
              <w:top w:val="nil"/>
              <w:left w:val="nil"/>
            </w:tcBorders>
          </w:tcPr>
          <w:p w14:paraId="4C27E92C" w14:textId="27B42C14" w:rsidR="00F36F2C" w:rsidRPr="00701816" w:rsidRDefault="00F36F2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01816">
              <w:rPr>
                <w:sz w:val="20"/>
                <w:szCs w:val="20"/>
              </w:rPr>
              <w:t>85.9 (45.3 – 162.9)</w:t>
            </w:r>
          </w:p>
        </w:tc>
      </w:tr>
      <w:tr w:rsidR="001A6381" w:rsidRPr="00701816" w14:paraId="29171C98" w14:textId="77777777" w:rsidTr="001A63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6" w:type="dxa"/>
            <w:tcBorders>
              <w:right w:val="nil"/>
            </w:tcBorders>
          </w:tcPr>
          <w:p w14:paraId="6E23C566" w14:textId="18424F5F" w:rsidR="00F36F2C" w:rsidRPr="00701816" w:rsidRDefault="00F36F2C" w:rsidP="000D3622">
            <w:pPr>
              <w:rPr>
                <w:rFonts w:cs="Courier New"/>
                <w:b w:val="0"/>
                <w:sz w:val="20"/>
                <w:szCs w:val="20"/>
              </w:rPr>
            </w:pPr>
            <w:r w:rsidRPr="00701816">
              <w:rPr>
                <w:rFonts w:cs="Courier New"/>
                <w:b w:val="0"/>
                <w:sz w:val="20"/>
                <w:szCs w:val="20"/>
              </w:rPr>
              <w:t>Asthma</w:t>
            </w:r>
          </w:p>
        </w:tc>
        <w:tc>
          <w:tcPr>
            <w:tcW w:w="1417" w:type="dxa"/>
            <w:tcBorders>
              <w:left w:val="nil"/>
            </w:tcBorders>
          </w:tcPr>
          <w:p w14:paraId="6D58C9FF" w14:textId="42EB9D5E" w:rsidR="00F36F2C" w:rsidRPr="00701816" w:rsidRDefault="00F36F2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1816">
              <w:rPr>
                <w:sz w:val="20"/>
                <w:szCs w:val="20"/>
              </w:rPr>
              <w:t>91</w:t>
            </w:r>
          </w:p>
        </w:tc>
        <w:tc>
          <w:tcPr>
            <w:tcW w:w="1418" w:type="dxa"/>
            <w:tcBorders>
              <w:right w:val="nil"/>
            </w:tcBorders>
          </w:tcPr>
          <w:p w14:paraId="024A23DE" w14:textId="6400FF48" w:rsidR="00F36F2C" w:rsidRPr="00701816" w:rsidRDefault="00F36F2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1816">
              <w:rPr>
                <w:sz w:val="20"/>
                <w:szCs w:val="20"/>
              </w:rPr>
              <w:t>1.8</w:t>
            </w:r>
          </w:p>
        </w:tc>
        <w:tc>
          <w:tcPr>
            <w:tcW w:w="1417" w:type="dxa"/>
            <w:tcBorders>
              <w:left w:val="nil"/>
            </w:tcBorders>
          </w:tcPr>
          <w:p w14:paraId="714EA23C" w14:textId="154E48B9" w:rsidR="00F36F2C" w:rsidRPr="00701816" w:rsidRDefault="00F36F2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1816">
              <w:rPr>
                <w:sz w:val="20"/>
                <w:szCs w:val="20"/>
              </w:rPr>
              <w:t>233</w:t>
            </w:r>
          </w:p>
        </w:tc>
        <w:tc>
          <w:tcPr>
            <w:tcW w:w="1418" w:type="dxa"/>
            <w:tcBorders>
              <w:right w:val="nil"/>
            </w:tcBorders>
          </w:tcPr>
          <w:p w14:paraId="70B2C68A" w14:textId="77489355" w:rsidR="00F36F2C" w:rsidRPr="00701816" w:rsidRDefault="00F36F2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1816">
              <w:rPr>
                <w:sz w:val="20"/>
                <w:szCs w:val="20"/>
              </w:rPr>
              <w:t>0.7</w:t>
            </w:r>
          </w:p>
        </w:tc>
        <w:tc>
          <w:tcPr>
            <w:tcW w:w="2551" w:type="dxa"/>
            <w:tcBorders>
              <w:left w:val="nil"/>
            </w:tcBorders>
          </w:tcPr>
          <w:p w14:paraId="15779EE3" w14:textId="36491193" w:rsidR="00F36F2C" w:rsidRPr="00701816" w:rsidRDefault="00F36F2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1816">
              <w:rPr>
                <w:sz w:val="20"/>
                <w:szCs w:val="20"/>
              </w:rPr>
              <w:t>2.84 (1.99 – 4.06)</w:t>
            </w:r>
          </w:p>
        </w:tc>
      </w:tr>
      <w:tr w:rsidR="001A6381" w:rsidRPr="00701816" w14:paraId="1DAC6A06" w14:textId="77777777" w:rsidTr="001A63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6" w:type="dxa"/>
            <w:tcBorders>
              <w:right w:val="nil"/>
            </w:tcBorders>
          </w:tcPr>
          <w:p w14:paraId="76B0BA8C" w14:textId="2249C1F2" w:rsidR="00F36F2C" w:rsidRPr="00701816" w:rsidRDefault="00F36F2C" w:rsidP="000D3622">
            <w:pPr>
              <w:rPr>
                <w:rFonts w:cs="Courier New"/>
                <w:b w:val="0"/>
                <w:sz w:val="20"/>
                <w:szCs w:val="20"/>
              </w:rPr>
            </w:pPr>
            <w:r w:rsidRPr="00701816">
              <w:rPr>
                <w:rFonts w:cs="Courier New"/>
                <w:b w:val="0"/>
                <w:sz w:val="20"/>
                <w:szCs w:val="20"/>
              </w:rPr>
              <w:t>Cellulitis</w:t>
            </w:r>
          </w:p>
        </w:tc>
        <w:tc>
          <w:tcPr>
            <w:tcW w:w="1417" w:type="dxa"/>
            <w:tcBorders>
              <w:left w:val="nil"/>
            </w:tcBorders>
          </w:tcPr>
          <w:p w14:paraId="74F18A10" w14:textId="02A22A6C" w:rsidR="00F36F2C" w:rsidRPr="00701816" w:rsidRDefault="00F36F2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1816">
              <w:rPr>
                <w:sz w:val="20"/>
                <w:szCs w:val="20"/>
              </w:rPr>
              <w:t>156</w:t>
            </w:r>
          </w:p>
        </w:tc>
        <w:tc>
          <w:tcPr>
            <w:tcW w:w="1418" w:type="dxa"/>
            <w:tcBorders>
              <w:right w:val="nil"/>
            </w:tcBorders>
          </w:tcPr>
          <w:p w14:paraId="714A75BB" w14:textId="22422BFB" w:rsidR="00F36F2C" w:rsidRPr="00701816" w:rsidRDefault="00F36F2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1816">
              <w:rPr>
                <w:sz w:val="20"/>
                <w:szCs w:val="20"/>
              </w:rPr>
              <w:t>3.1</w:t>
            </w:r>
          </w:p>
        </w:tc>
        <w:tc>
          <w:tcPr>
            <w:tcW w:w="1417" w:type="dxa"/>
            <w:tcBorders>
              <w:left w:val="nil"/>
            </w:tcBorders>
          </w:tcPr>
          <w:p w14:paraId="509372C1" w14:textId="5F9DFF3F" w:rsidR="00F36F2C" w:rsidRPr="00701816" w:rsidRDefault="00F36F2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1816">
              <w:rPr>
                <w:sz w:val="20"/>
                <w:szCs w:val="20"/>
              </w:rPr>
              <w:t>331</w:t>
            </w:r>
          </w:p>
        </w:tc>
        <w:tc>
          <w:tcPr>
            <w:tcW w:w="1418" w:type="dxa"/>
            <w:tcBorders>
              <w:right w:val="nil"/>
            </w:tcBorders>
          </w:tcPr>
          <w:p w14:paraId="43A63EA3" w14:textId="4B55F42B" w:rsidR="00F36F2C" w:rsidRPr="00701816" w:rsidRDefault="00F36F2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1816">
              <w:rPr>
                <w:sz w:val="20"/>
                <w:szCs w:val="20"/>
              </w:rPr>
              <w:t>1.0</w:t>
            </w:r>
          </w:p>
        </w:tc>
        <w:tc>
          <w:tcPr>
            <w:tcW w:w="2551" w:type="dxa"/>
            <w:tcBorders>
              <w:left w:val="nil"/>
            </w:tcBorders>
          </w:tcPr>
          <w:p w14:paraId="5BBDDBF7" w14:textId="3B84FF1F" w:rsidR="00F36F2C" w:rsidRPr="00701816" w:rsidRDefault="00F36F2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1816">
              <w:rPr>
                <w:sz w:val="20"/>
                <w:szCs w:val="20"/>
              </w:rPr>
              <w:t>3.31 (2.56 – 4.28)</w:t>
            </w:r>
          </w:p>
        </w:tc>
      </w:tr>
      <w:tr w:rsidR="001A6381" w:rsidRPr="00701816" w14:paraId="3822035E" w14:textId="77777777" w:rsidTr="001A63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6" w:type="dxa"/>
            <w:tcBorders>
              <w:bottom w:val="nil"/>
              <w:right w:val="nil"/>
            </w:tcBorders>
          </w:tcPr>
          <w:p w14:paraId="7A6C331B" w14:textId="385CA4FD" w:rsidR="00F36F2C" w:rsidRPr="00701816" w:rsidRDefault="00F36F2C" w:rsidP="002E1C70">
            <w:pPr>
              <w:rPr>
                <w:rFonts w:cs="Courier New"/>
                <w:b w:val="0"/>
                <w:sz w:val="20"/>
                <w:szCs w:val="20"/>
              </w:rPr>
            </w:pPr>
            <w:r w:rsidRPr="00701816">
              <w:rPr>
                <w:rFonts w:cs="Courier New"/>
                <w:b w:val="0"/>
                <w:sz w:val="20"/>
                <w:szCs w:val="20"/>
              </w:rPr>
              <w:t>C</w:t>
            </w:r>
            <w:r w:rsidR="002B1D08" w:rsidRPr="00701816">
              <w:rPr>
                <w:rFonts w:cs="Courier New"/>
                <w:b w:val="0"/>
                <w:sz w:val="20"/>
                <w:szCs w:val="20"/>
              </w:rPr>
              <w:t xml:space="preserve">hronic </w:t>
            </w:r>
            <w:r w:rsidR="002E1C70" w:rsidRPr="00701816">
              <w:rPr>
                <w:rFonts w:cs="Courier New"/>
                <w:b w:val="0"/>
                <w:sz w:val="20"/>
                <w:szCs w:val="20"/>
              </w:rPr>
              <w:t>o</w:t>
            </w:r>
            <w:r w:rsidR="002B1D08" w:rsidRPr="00701816">
              <w:rPr>
                <w:rFonts w:cs="Courier New"/>
                <w:b w:val="0"/>
                <w:sz w:val="20"/>
                <w:szCs w:val="20"/>
              </w:rPr>
              <w:t xml:space="preserve">bstructive </w:t>
            </w:r>
            <w:r w:rsidR="002E1C70" w:rsidRPr="00701816">
              <w:rPr>
                <w:rFonts w:cs="Courier New"/>
                <w:b w:val="0"/>
                <w:sz w:val="20"/>
                <w:szCs w:val="20"/>
              </w:rPr>
              <w:t>pulmonary d</w:t>
            </w:r>
            <w:r w:rsidR="002B1D08" w:rsidRPr="00701816">
              <w:rPr>
                <w:rFonts w:cs="Courier New"/>
                <w:b w:val="0"/>
                <w:sz w:val="20"/>
                <w:szCs w:val="20"/>
              </w:rPr>
              <w:t>isease (C</w:t>
            </w:r>
            <w:r w:rsidRPr="00701816">
              <w:rPr>
                <w:rFonts w:cs="Courier New"/>
                <w:b w:val="0"/>
                <w:sz w:val="20"/>
                <w:szCs w:val="20"/>
              </w:rPr>
              <w:t>OPD</w:t>
            </w:r>
            <w:r w:rsidR="002B1D08" w:rsidRPr="00701816">
              <w:rPr>
                <w:rFonts w:cs="Courier New"/>
                <w:b w:val="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left w:val="nil"/>
              <w:bottom w:val="nil"/>
            </w:tcBorders>
          </w:tcPr>
          <w:p w14:paraId="23F1853A" w14:textId="77777777" w:rsidR="00F36F2C" w:rsidRPr="00701816" w:rsidRDefault="00F36F2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1816">
              <w:rPr>
                <w:sz w:val="20"/>
                <w:szCs w:val="20"/>
              </w:rPr>
              <w:t>105</w:t>
            </w:r>
          </w:p>
        </w:tc>
        <w:tc>
          <w:tcPr>
            <w:tcW w:w="1418" w:type="dxa"/>
            <w:tcBorders>
              <w:bottom w:val="nil"/>
              <w:right w:val="nil"/>
            </w:tcBorders>
          </w:tcPr>
          <w:p w14:paraId="0390C3A3" w14:textId="77777777" w:rsidR="00F36F2C" w:rsidRPr="00701816" w:rsidRDefault="00F36F2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1816">
              <w:rPr>
                <w:sz w:val="20"/>
                <w:szCs w:val="20"/>
              </w:rPr>
              <w:t>2.1</w:t>
            </w:r>
          </w:p>
        </w:tc>
        <w:tc>
          <w:tcPr>
            <w:tcW w:w="1417" w:type="dxa"/>
            <w:tcBorders>
              <w:left w:val="nil"/>
              <w:bottom w:val="nil"/>
            </w:tcBorders>
          </w:tcPr>
          <w:p w14:paraId="63ADF537" w14:textId="697AB929" w:rsidR="00F36F2C" w:rsidRPr="00701816" w:rsidRDefault="00F36F2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1816">
              <w:rPr>
                <w:sz w:val="20"/>
                <w:szCs w:val="20"/>
              </w:rPr>
              <w:t>454</w:t>
            </w:r>
          </w:p>
        </w:tc>
        <w:tc>
          <w:tcPr>
            <w:tcW w:w="1418" w:type="dxa"/>
            <w:tcBorders>
              <w:bottom w:val="nil"/>
              <w:right w:val="nil"/>
            </w:tcBorders>
          </w:tcPr>
          <w:p w14:paraId="23A5373E" w14:textId="77777777" w:rsidR="00F36F2C" w:rsidRPr="00701816" w:rsidRDefault="00F36F2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1816">
              <w:rPr>
                <w:sz w:val="20"/>
                <w:szCs w:val="20"/>
              </w:rPr>
              <w:t>1.3</w:t>
            </w:r>
          </w:p>
        </w:tc>
        <w:tc>
          <w:tcPr>
            <w:tcW w:w="2551" w:type="dxa"/>
            <w:tcBorders>
              <w:left w:val="nil"/>
              <w:bottom w:val="nil"/>
            </w:tcBorders>
          </w:tcPr>
          <w:p w14:paraId="14450D75" w14:textId="431E2667" w:rsidR="00F36F2C" w:rsidRPr="00701816" w:rsidRDefault="00F36F2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1816">
              <w:rPr>
                <w:sz w:val="20"/>
                <w:szCs w:val="20"/>
              </w:rPr>
              <w:t>1.68 (1.04 – 2.70)</w:t>
            </w:r>
          </w:p>
        </w:tc>
      </w:tr>
      <w:tr w:rsidR="001A6381" w:rsidRPr="00701816" w14:paraId="6B946C3B" w14:textId="77777777" w:rsidTr="001A63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6" w:type="dxa"/>
            <w:tcBorders>
              <w:top w:val="nil"/>
              <w:bottom w:val="nil"/>
              <w:right w:val="nil"/>
            </w:tcBorders>
          </w:tcPr>
          <w:p w14:paraId="0BE7FA07" w14:textId="77777777" w:rsidR="00F36F2C" w:rsidRPr="00701816" w:rsidRDefault="00F36F2C" w:rsidP="000D3622">
            <w:pPr>
              <w:rPr>
                <w:rFonts w:cs="Courier New"/>
                <w:b w:val="0"/>
                <w:sz w:val="20"/>
                <w:szCs w:val="20"/>
              </w:rPr>
            </w:pPr>
            <w:r w:rsidRPr="00701816">
              <w:rPr>
                <w:rFonts w:cs="Courier New"/>
                <w:b w:val="0"/>
                <w:sz w:val="20"/>
                <w:szCs w:val="20"/>
              </w:rPr>
              <w:t>Congestive heart failure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5D6F9FF4" w14:textId="77777777" w:rsidR="00F36F2C" w:rsidRPr="00701816" w:rsidRDefault="00F36F2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1816">
              <w:rPr>
                <w:sz w:val="20"/>
                <w:szCs w:val="20"/>
              </w:rPr>
              <w:t>44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1E584370" w14:textId="77777777" w:rsidR="00F36F2C" w:rsidRPr="00701816" w:rsidRDefault="00F36F2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1816">
              <w:rPr>
                <w:sz w:val="20"/>
                <w:szCs w:val="20"/>
              </w:rPr>
              <w:t>0.9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3B1FD377" w14:textId="77777777" w:rsidR="00F36F2C" w:rsidRPr="00701816" w:rsidRDefault="00F36F2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1816">
              <w:rPr>
                <w:sz w:val="20"/>
                <w:szCs w:val="20"/>
              </w:rPr>
              <w:t>156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4F004369" w14:textId="77777777" w:rsidR="00F36F2C" w:rsidRPr="00701816" w:rsidRDefault="00F36F2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1816">
              <w:rPr>
                <w:sz w:val="20"/>
                <w:szCs w:val="20"/>
              </w:rPr>
              <w:t>0.5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58270269" w14:textId="74C08F52" w:rsidR="00F36F2C" w:rsidRPr="00701816" w:rsidRDefault="00F36F2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1816">
              <w:rPr>
                <w:sz w:val="20"/>
                <w:szCs w:val="20"/>
              </w:rPr>
              <w:t>2.21 (1.44 -3.38)</w:t>
            </w:r>
          </w:p>
        </w:tc>
      </w:tr>
      <w:tr w:rsidR="001A6381" w:rsidRPr="00701816" w14:paraId="4338FF1F" w14:textId="77777777" w:rsidTr="001A63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6" w:type="dxa"/>
            <w:tcBorders>
              <w:top w:val="nil"/>
              <w:bottom w:val="nil"/>
              <w:right w:val="nil"/>
            </w:tcBorders>
            <w:vAlign w:val="center"/>
          </w:tcPr>
          <w:p w14:paraId="2BEE4311" w14:textId="4F854891" w:rsidR="00F36F2C" w:rsidRPr="00701816" w:rsidRDefault="00F36F2C" w:rsidP="000D3622">
            <w:pPr>
              <w:rPr>
                <w:rFonts w:cs="Courier New"/>
                <w:sz w:val="20"/>
                <w:szCs w:val="20"/>
              </w:rPr>
            </w:pPr>
            <w:r w:rsidRPr="00701816">
              <w:rPr>
                <w:rFonts w:cs="Courier New"/>
                <w:b w:val="0"/>
                <w:sz w:val="20"/>
                <w:szCs w:val="20"/>
              </w:rPr>
              <w:t>Constipation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6E8FB3DF" w14:textId="473DB326" w:rsidR="00F36F2C" w:rsidRPr="00701816" w:rsidRDefault="00F36F2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01816">
              <w:rPr>
                <w:sz w:val="20"/>
                <w:szCs w:val="20"/>
              </w:rPr>
              <w:t>128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19F463E8" w14:textId="250E95CB" w:rsidR="00F36F2C" w:rsidRPr="00701816" w:rsidRDefault="00F36F2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01816">
              <w:rPr>
                <w:sz w:val="20"/>
                <w:szCs w:val="20"/>
              </w:rPr>
              <w:t>2.6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4FA9725A" w14:textId="3B95502F" w:rsidR="00F36F2C" w:rsidRPr="00701816" w:rsidRDefault="00F36F2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01816">
              <w:rPr>
                <w:sz w:val="20"/>
                <w:szCs w:val="20"/>
              </w:rPr>
              <w:t>142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3294D3F1" w14:textId="6A31E0D5" w:rsidR="00F36F2C" w:rsidRPr="00701816" w:rsidRDefault="00F36F2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01816">
              <w:rPr>
                <w:sz w:val="20"/>
                <w:szCs w:val="20"/>
              </w:rPr>
              <w:t>0.4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129397F3" w14:textId="168B2958" w:rsidR="00F36F2C" w:rsidRPr="00701816" w:rsidRDefault="00F36F2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01816">
              <w:rPr>
                <w:sz w:val="20"/>
                <w:szCs w:val="20"/>
              </w:rPr>
              <w:t>6.79 (5.17 – 8.91)</w:t>
            </w:r>
          </w:p>
        </w:tc>
      </w:tr>
      <w:tr w:rsidR="001A6381" w:rsidRPr="00701816" w14:paraId="35563D71" w14:textId="77777777" w:rsidTr="001A63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6" w:type="dxa"/>
            <w:tcBorders>
              <w:top w:val="nil"/>
              <w:bottom w:val="nil"/>
              <w:right w:val="nil"/>
            </w:tcBorders>
          </w:tcPr>
          <w:p w14:paraId="7CA02ACA" w14:textId="777CD118" w:rsidR="00F36F2C" w:rsidRPr="00701816" w:rsidRDefault="00F36F2C" w:rsidP="000D3622">
            <w:pPr>
              <w:rPr>
                <w:rFonts w:cs="Courier New"/>
                <w:b w:val="0"/>
                <w:sz w:val="20"/>
                <w:szCs w:val="20"/>
              </w:rPr>
            </w:pPr>
            <w:r w:rsidRPr="00701816">
              <w:rPr>
                <w:rFonts w:cs="Courier New"/>
                <w:b w:val="0"/>
                <w:sz w:val="20"/>
                <w:szCs w:val="20"/>
              </w:rPr>
              <w:t>Convulsions/epilepsy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2796821E" w14:textId="0A6E7058" w:rsidR="00F36F2C" w:rsidRPr="00701816" w:rsidRDefault="00F36F2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1816">
              <w:rPr>
                <w:sz w:val="20"/>
                <w:szCs w:val="20"/>
              </w:rPr>
              <w:t>1,081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540A80C1" w14:textId="49D8A5BA" w:rsidR="00F36F2C" w:rsidRPr="00701816" w:rsidRDefault="00F36F2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1816">
              <w:rPr>
                <w:sz w:val="20"/>
                <w:szCs w:val="20"/>
              </w:rPr>
              <w:t>21.8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31FA4D5F" w14:textId="175AAE88" w:rsidR="00F36F2C" w:rsidRPr="00701816" w:rsidRDefault="00F36F2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1816">
              <w:rPr>
                <w:sz w:val="20"/>
                <w:szCs w:val="20"/>
              </w:rPr>
              <w:t>256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6A770682" w14:textId="0CE668B5" w:rsidR="00F36F2C" w:rsidRPr="00701816" w:rsidRDefault="00F36F2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1816">
              <w:rPr>
                <w:sz w:val="20"/>
                <w:szCs w:val="20"/>
              </w:rPr>
              <w:t>0.8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734190A0" w14:textId="7E4B9E4C" w:rsidR="00F36F2C" w:rsidRPr="00701816" w:rsidRDefault="00F36F2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1816">
              <w:rPr>
                <w:sz w:val="20"/>
                <w:szCs w:val="20"/>
              </w:rPr>
              <w:t>31.2 (24.6 – 39.5)</w:t>
            </w:r>
          </w:p>
        </w:tc>
      </w:tr>
      <w:tr w:rsidR="001A6381" w:rsidRPr="00701816" w14:paraId="08CD13E2" w14:textId="77777777" w:rsidTr="001A63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6" w:type="dxa"/>
            <w:tcBorders>
              <w:top w:val="nil"/>
              <w:bottom w:val="nil"/>
              <w:right w:val="nil"/>
            </w:tcBorders>
          </w:tcPr>
          <w:p w14:paraId="487FE082" w14:textId="0D4582CF" w:rsidR="00F36F2C" w:rsidRPr="00701816" w:rsidRDefault="0013777B" w:rsidP="000D3622">
            <w:pPr>
              <w:rPr>
                <w:rFonts w:cs="Courier New"/>
                <w:b w:val="0"/>
                <w:sz w:val="20"/>
                <w:szCs w:val="20"/>
              </w:rPr>
            </w:pPr>
            <w:r w:rsidRPr="00701816">
              <w:rPr>
                <w:rFonts w:cs="Courier New"/>
                <w:b w:val="0"/>
                <w:sz w:val="20"/>
                <w:szCs w:val="20"/>
              </w:rPr>
              <w:t>Dehydration &amp; g</w:t>
            </w:r>
            <w:r w:rsidR="00F36F2C" w:rsidRPr="00701816">
              <w:rPr>
                <w:rFonts w:cs="Courier New"/>
                <w:b w:val="0"/>
                <w:sz w:val="20"/>
                <w:szCs w:val="20"/>
              </w:rPr>
              <w:t>astroenteritis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6CD4A780" w14:textId="1EDF55C0" w:rsidR="00F36F2C" w:rsidRPr="00701816" w:rsidRDefault="00F36F2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1816">
              <w:rPr>
                <w:sz w:val="20"/>
                <w:szCs w:val="20"/>
              </w:rPr>
              <w:t>141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352AD642" w14:textId="78E96337" w:rsidR="00F36F2C" w:rsidRPr="00701816" w:rsidRDefault="00F36F2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1816">
              <w:rPr>
                <w:sz w:val="20"/>
                <w:szCs w:val="20"/>
              </w:rPr>
              <w:t>2.9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476A6616" w14:textId="2C902539" w:rsidR="00F36F2C" w:rsidRPr="00701816" w:rsidRDefault="00F36F2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1816">
              <w:rPr>
                <w:sz w:val="20"/>
                <w:szCs w:val="20"/>
              </w:rPr>
              <w:t>224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57DB381A" w14:textId="30F0D972" w:rsidR="00F36F2C" w:rsidRPr="00701816" w:rsidRDefault="00F36F2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1816">
              <w:rPr>
                <w:sz w:val="20"/>
                <w:szCs w:val="20"/>
              </w:rPr>
              <w:t>0.7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10041CAF" w14:textId="22D2A6CF" w:rsidR="00F36F2C" w:rsidRPr="00701816" w:rsidRDefault="00F36F2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1816">
              <w:rPr>
                <w:sz w:val="20"/>
                <w:szCs w:val="20"/>
              </w:rPr>
              <w:t>4.71 (3.60 – 6.17)</w:t>
            </w:r>
          </w:p>
        </w:tc>
      </w:tr>
      <w:tr w:rsidR="001A6381" w:rsidRPr="00701816" w14:paraId="3DC782B9" w14:textId="77777777" w:rsidTr="001A63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6" w:type="dxa"/>
            <w:tcBorders>
              <w:top w:val="nil"/>
              <w:bottom w:val="nil"/>
              <w:right w:val="nil"/>
            </w:tcBorders>
          </w:tcPr>
          <w:p w14:paraId="3E808252" w14:textId="0656161D" w:rsidR="00F36F2C" w:rsidRPr="00701816" w:rsidRDefault="00F36F2C" w:rsidP="000D3622">
            <w:pPr>
              <w:rPr>
                <w:rFonts w:cs="Courier New"/>
                <w:b w:val="0"/>
                <w:sz w:val="20"/>
                <w:szCs w:val="20"/>
              </w:rPr>
            </w:pPr>
            <w:r w:rsidRPr="00701816">
              <w:rPr>
                <w:rFonts w:cs="Courier New"/>
                <w:b w:val="0"/>
                <w:sz w:val="20"/>
                <w:szCs w:val="20"/>
              </w:rPr>
              <w:t>Dental conditions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631446A0" w14:textId="2F9B11E1" w:rsidR="00F36F2C" w:rsidRPr="00701816" w:rsidRDefault="00F36F2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1816">
              <w:rPr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1BE642DE" w14:textId="6B09B92E" w:rsidR="00F36F2C" w:rsidRPr="00701816" w:rsidRDefault="00F36F2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1816">
              <w:rPr>
                <w:sz w:val="20"/>
                <w:szCs w:val="20"/>
              </w:rPr>
              <w:t>0.4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6B9FF0D9" w14:textId="6F120EBF" w:rsidR="00F36F2C" w:rsidRPr="00701816" w:rsidRDefault="00F36F2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1816">
              <w:rPr>
                <w:sz w:val="20"/>
                <w:szCs w:val="20"/>
              </w:rPr>
              <w:t>52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71E7A97E" w14:textId="22CCAB1A" w:rsidR="00F36F2C" w:rsidRPr="00701816" w:rsidRDefault="00F36F2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1816">
              <w:rPr>
                <w:sz w:val="20"/>
                <w:szCs w:val="20"/>
              </w:rPr>
              <w:t>0.2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5F5E3FEE" w14:textId="20CCC5B6" w:rsidR="00F36F2C" w:rsidRPr="00701816" w:rsidRDefault="00F36F2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1816">
              <w:rPr>
                <w:sz w:val="20"/>
                <w:szCs w:val="20"/>
              </w:rPr>
              <w:t>2.80 (1.67 – 4.71)</w:t>
            </w:r>
          </w:p>
        </w:tc>
      </w:tr>
      <w:tr w:rsidR="001A6381" w:rsidRPr="00701816" w14:paraId="4015A394" w14:textId="77777777" w:rsidTr="001A63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6" w:type="dxa"/>
            <w:tcBorders>
              <w:top w:val="nil"/>
              <w:bottom w:val="nil"/>
              <w:right w:val="nil"/>
            </w:tcBorders>
          </w:tcPr>
          <w:p w14:paraId="29EED750" w14:textId="086E0752" w:rsidR="00F36F2C" w:rsidRPr="00701816" w:rsidRDefault="00F36F2C" w:rsidP="000D3622">
            <w:pPr>
              <w:rPr>
                <w:rFonts w:cs="Courier New"/>
                <w:b w:val="0"/>
                <w:sz w:val="20"/>
                <w:szCs w:val="20"/>
              </w:rPr>
            </w:pPr>
            <w:r w:rsidRPr="00701816">
              <w:rPr>
                <w:rFonts w:cs="Courier New"/>
                <w:b w:val="0"/>
                <w:sz w:val="20"/>
                <w:szCs w:val="20"/>
              </w:rPr>
              <w:t>Diabetes complications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4AC6E550" w14:textId="001B8CB1" w:rsidR="00F36F2C" w:rsidRPr="00701816" w:rsidRDefault="00F36F2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1816">
              <w:rPr>
                <w:sz w:val="20"/>
                <w:szCs w:val="20"/>
              </w:rPr>
              <w:t>61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4B581251" w14:textId="3BF102BF" w:rsidR="00F36F2C" w:rsidRPr="00701816" w:rsidRDefault="00F36F2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1816">
              <w:rPr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0CC3889E" w14:textId="280325D1" w:rsidR="00F36F2C" w:rsidRPr="00701816" w:rsidRDefault="00F36F2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1816">
              <w:rPr>
                <w:sz w:val="20"/>
                <w:szCs w:val="20"/>
              </w:rPr>
              <w:t>140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445CCB0C" w14:textId="1BCE8F48" w:rsidR="00F36F2C" w:rsidRPr="00701816" w:rsidRDefault="00F36F2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1816">
              <w:rPr>
                <w:sz w:val="20"/>
                <w:szCs w:val="20"/>
              </w:rPr>
              <w:t>0.4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36E6674C" w14:textId="5E5B7427" w:rsidR="00F36F2C" w:rsidRPr="00701816" w:rsidRDefault="00F36F2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1816">
              <w:rPr>
                <w:sz w:val="20"/>
                <w:szCs w:val="20"/>
              </w:rPr>
              <w:t>3.26 (1.90 – 5.58)</w:t>
            </w:r>
          </w:p>
        </w:tc>
      </w:tr>
      <w:tr w:rsidR="001A6381" w:rsidRPr="00701816" w14:paraId="603793D6" w14:textId="77777777" w:rsidTr="001A63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6" w:type="dxa"/>
            <w:tcBorders>
              <w:top w:val="nil"/>
              <w:bottom w:val="nil"/>
              <w:right w:val="nil"/>
            </w:tcBorders>
          </w:tcPr>
          <w:p w14:paraId="19313DDC" w14:textId="69ACFF3A" w:rsidR="00F36F2C" w:rsidRPr="00701816" w:rsidRDefault="00F36F2C" w:rsidP="000D3622">
            <w:pPr>
              <w:rPr>
                <w:rFonts w:cs="Courier New"/>
                <w:b w:val="0"/>
                <w:sz w:val="20"/>
                <w:szCs w:val="20"/>
              </w:rPr>
            </w:pPr>
            <w:r w:rsidRPr="00701816">
              <w:rPr>
                <w:rFonts w:cs="Courier New"/>
                <w:b w:val="0"/>
                <w:sz w:val="20"/>
                <w:szCs w:val="20"/>
              </w:rPr>
              <w:t>Ear, nose and throat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111ED347" w14:textId="2CC8515A" w:rsidR="00F36F2C" w:rsidRPr="00701816" w:rsidRDefault="00F36F2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1816">
              <w:rPr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669C00AA" w14:textId="1BE5B826" w:rsidR="00F36F2C" w:rsidRPr="00701816" w:rsidRDefault="00F36F2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1816">
              <w:rPr>
                <w:sz w:val="20"/>
                <w:szCs w:val="20"/>
              </w:rPr>
              <w:t>0.6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09D26A9A" w14:textId="56D64419" w:rsidR="00F36F2C" w:rsidRPr="00701816" w:rsidRDefault="00F36F2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1816">
              <w:rPr>
                <w:sz w:val="20"/>
                <w:szCs w:val="20"/>
              </w:rPr>
              <w:t>132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68505E8C" w14:textId="74FF590E" w:rsidR="00F36F2C" w:rsidRPr="00701816" w:rsidRDefault="00F36F2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1816">
              <w:rPr>
                <w:sz w:val="20"/>
                <w:szCs w:val="20"/>
              </w:rPr>
              <w:t>0.4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6E48216F" w14:textId="03087676" w:rsidR="00F36F2C" w:rsidRPr="00701816" w:rsidRDefault="00F36F2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1816">
              <w:rPr>
                <w:sz w:val="20"/>
                <w:szCs w:val="20"/>
              </w:rPr>
              <w:t>1.42 (0.93 – 2.17)</w:t>
            </w:r>
          </w:p>
        </w:tc>
      </w:tr>
      <w:tr w:rsidR="001A6381" w:rsidRPr="00701816" w14:paraId="08C24CA2" w14:textId="77777777" w:rsidTr="001A63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6" w:type="dxa"/>
            <w:tcBorders>
              <w:top w:val="nil"/>
              <w:bottom w:val="nil"/>
              <w:right w:val="nil"/>
            </w:tcBorders>
          </w:tcPr>
          <w:p w14:paraId="4F2F63F7" w14:textId="3D3895D5" w:rsidR="00F36F2C" w:rsidRPr="00701816" w:rsidRDefault="00F36F2C" w:rsidP="000D3622">
            <w:pPr>
              <w:rPr>
                <w:rFonts w:cs="Courier New"/>
                <w:b w:val="0"/>
                <w:sz w:val="20"/>
                <w:szCs w:val="20"/>
              </w:rPr>
            </w:pPr>
            <w:r w:rsidRPr="00701816">
              <w:rPr>
                <w:rFonts w:cs="Courier New"/>
                <w:b w:val="0"/>
                <w:sz w:val="20"/>
                <w:szCs w:val="20"/>
              </w:rPr>
              <w:t>Gangrene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681AD1CC" w14:textId="3ED8E82B" w:rsidR="00F36F2C" w:rsidRPr="00701816" w:rsidRDefault="00F36F2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1816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67EF5B7E" w14:textId="224F80A8" w:rsidR="00F36F2C" w:rsidRPr="00701816" w:rsidRDefault="00F36F2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1816">
              <w:rPr>
                <w:sz w:val="20"/>
                <w:szCs w:val="20"/>
              </w:rPr>
              <w:t>0.02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6495EF8D" w14:textId="5F076800" w:rsidR="00F36F2C" w:rsidRPr="00701816" w:rsidRDefault="00F36F2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1816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6713DAF3" w14:textId="3A2D9FF7" w:rsidR="00F36F2C" w:rsidRPr="00701816" w:rsidRDefault="00F36F2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1816">
              <w:rPr>
                <w:sz w:val="20"/>
                <w:szCs w:val="20"/>
              </w:rPr>
              <w:t>0.03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7FC3773D" w14:textId="035EAA04" w:rsidR="00F36F2C" w:rsidRPr="00701816" w:rsidRDefault="00F36F2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1816">
              <w:rPr>
                <w:sz w:val="20"/>
                <w:szCs w:val="20"/>
              </w:rPr>
              <w:t>-</w:t>
            </w:r>
          </w:p>
        </w:tc>
      </w:tr>
      <w:tr w:rsidR="001A6381" w:rsidRPr="00701816" w14:paraId="1F3453EA" w14:textId="77777777" w:rsidTr="001A63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6" w:type="dxa"/>
            <w:tcBorders>
              <w:top w:val="nil"/>
              <w:bottom w:val="nil"/>
              <w:right w:val="nil"/>
            </w:tcBorders>
            <w:vAlign w:val="center"/>
          </w:tcPr>
          <w:p w14:paraId="5A132814" w14:textId="694AA1BB" w:rsidR="00F36F2C" w:rsidRPr="00701816" w:rsidRDefault="002B1D08" w:rsidP="000D3622">
            <w:pPr>
              <w:rPr>
                <w:rFonts w:cs="Courier New"/>
                <w:b w:val="0"/>
                <w:sz w:val="20"/>
                <w:szCs w:val="20"/>
              </w:rPr>
            </w:pPr>
            <w:r w:rsidRPr="00701816">
              <w:rPr>
                <w:b w:val="0"/>
                <w:sz w:val="20"/>
                <w:szCs w:val="20"/>
              </w:rPr>
              <w:t>Gastroesophageal reflux disease</w:t>
            </w:r>
            <w:r w:rsidRPr="00701816">
              <w:rPr>
                <w:rFonts w:cs="Courier New"/>
                <w:b w:val="0"/>
                <w:sz w:val="20"/>
                <w:szCs w:val="20"/>
              </w:rPr>
              <w:t xml:space="preserve"> (</w:t>
            </w:r>
            <w:r w:rsidR="00F36F2C" w:rsidRPr="00701816">
              <w:rPr>
                <w:rFonts w:cs="Courier New"/>
                <w:b w:val="0"/>
                <w:sz w:val="20"/>
                <w:szCs w:val="20"/>
              </w:rPr>
              <w:t>GERD</w:t>
            </w:r>
            <w:r w:rsidRPr="00701816">
              <w:rPr>
                <w:rFonts w:cs="Courier New"/>
                <w:b w:val="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2BF57ACE" w14:textId="4141C139" w:rsidR="00F36F2C" w:rsidRPr="00701816" w:rsidRDefault="00F36F2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1816">
              <w:rPr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03750E20" w14:textId="129E7809" w:rsidR="00F36F2C" w:rsidRPr="00701816" w:rsidRDefault="00F36F2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1816">
              <w:rPr>
                <w:sz w:val="20"/>
                <w:szCs w:val="20"/>
              </w:rPr>
              <w:t>0.4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3CAB9A92" w14:textId="646F99F4" w:rsidR="00F36F2C" w:rsidRPr="00701816" w:rsidRDefault="00F36F2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1816">
              <w:rPr>
                <w:sz w:val="20"/>
                <w:szCs w:val="20"/>
              </w:rPr>
              <w:t>74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1E55AEAE" w14:textId="287217AF" w:rsidR="00F36F2C" w:rsidRPr="00701816" w:rsidRDefault="00F36F2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1816">
              <w:rPr>
                <w:sz w:val="20"/>
                <w:szCs w:val="20"/>
              </w:rPr>
              <w:t>0.2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581B024E" w14:textId="3C035995" w:rsidR="00F36F2C" w:rsidRPr="00701816" w:rsidRDefault="00F36F2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1816">
              <w:rPr>
                <w:sz w:val="20"/>
                <w:szCs w:val="20"/>
              </w:rPr>
              <w:t>2.22 (1.35 – 3.67)</w:t>
            </w:r>
          </w:p>
        </w:tc>
      </w:tr>
      <w:tr w:rsidR="001A6381" w:rsidRPr="00701816" w14:paraId="51E1E4B1" w14:textId="77777777" w:rsidTr="001A63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6" w:type="dxa"/>
            <w:tcBorders>
              <w:top w:val="nil"/>
              <w:bottom w:val="nil"/>
              <w:right w:val="nil"/>
            </w:tcBorders>
          </w:tcPr>
          <w:p w14:paraId="2102A4DE" w14:textId="4795BB60" w:rsidR="00F36F2C" w:rsidRPr="00701816" w:rsidRDefault="00F36F2C" w:rsidP="000D3622">
            <w:pPr>
              <w:rPr>
                <w:rFonts w:cs="Courier New"/>
                <w:b w:val="0"/>
                <w:sz w:val="20"/>
                <w:szCs w:val="20"/>
              </w:rPr>
            </w:pPr>
            <w:r w:rsidRPr="00701816">
              <w:rPr>
                <w:rFonts w:cs="Courier New"/>
                <w:b w:val="0"/>
                <w:sz w:val="20"/>
                <w:szCs w:val="20"/>
              </w:rPr>
              <w:t>Hypertension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7D7B8D18" w14:textId="564228DE" w:rsidR="00F36F2C" w:rsidRPr="00701816" w:rsidRDefault="00F36F2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1816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07E0D79F" w14:textId="4326A211" w:rsidR="00F36F2C" w:rsidRPr="00701816" w:rsidRDefault="00F36F2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1816">
              <w:rPr>
                <w:sz w:val="20"/>
                <w:szCs w:val="20"/>
              </w:rPr>
              <w:t>0.06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57BC92A7" w14:textId="3C2442B6" w:rsidR="00F36F2C" w:rsidRPr="00701816" w:rsidRDefault="00F36F2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1816">
              <w:rPr>
                <w:sz w:val="20"/>
                <w:szCs w:val="20"/>
              </w:rPr>
              <w:t>32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7852EABB" w14:textId="56202678" w:rsidR="00F36F2C" w:rsidRPr="00701816" w:rsidRDefault="00F36F2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1816">
              <w:rPr>
                <w:sz w:val="20"/>
                <w:szCs w:val="20"/>
              </w:rPr>
              <w:t>0.1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2003EE83" w14:textId="2A70A814" w:rsidR="00F36F2C" w:rsidRPr="00701816" w:rsidRDefault="00F36F2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1816">
              <w:rPr>
                <w:sz w:val="20"/>
                <w:szCs w:val="20"/>
              </w:rPr>
              <w:t>-</w:t>
            </w:r>
          </w:p>
        </w:tc>
      </w:tr>
      <w:tr w:rsidR="001A6381" w:rsidRPr="00701816" w14:paraId="4E29B8E8" w14:textId="77777777" w:rsidTr="001A63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6" w:type="dxa"/>
            <w:tcBorders>
              <w:top w:val="nil"/>
              <w:bottom w:val="nil"/>
              <w:right w:val="nil"/>
            </w:tcBorders>
          </w:tcPr>
          <w:p w14:paraId="620F309E" w14:textId="4985CC8E" w:rsidR="00F36F2C" w:rsidRPr="00701816" w:rsidRDefault="00F36F2C" w:rsidP="000D3622">
            <w:pPr>
              <w:rPr>
                <w:rFonts w:cs="Courier New"/>
                <w:b w:val="0"/>
                <w:sz w:val="20"/>
                <w:szCs w:val="20"/>
              </w:rPr>
            </w:pPr>
            <w:r w:rsidRPr="00701816">
              <w:rPr>
                <w:rFonts w:cs="Courier New"/>
                <w:b w:val="0"/>
                <w:sz w:val="20"/>
                <w:szCs w:val="20"/>
              </w:rPr>
              <w:t xml:space="preserve">Influenza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7BC900D3" w14:textId="2D05418C" w:rsidR="00F36F2C" w:rsidRPr="00701816" w:rsidRDefault="00F36F2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1816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6931A047" w14:textId="3DB06928" w:rsidR="00F36F2C" w:rsidRPr="00701816" w:rsidRDefault="00F36F2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1816">
              <w:rPr>
                <w:sz w:val="20"/>
                <w:szCs w:val="20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2FDEA6ED" w14:textId="33BF0072" w:rsidR="00F36F2C" w:rsidRPr="00701816" w:rsidRDefault="00F36F2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1816">
              <w:rPr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0BB6917E" w14:textId="4180D1E2" w:rsidR="00F36F2C" w:rsidRPr="00701816" w:rsidRDefault="00F36F2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1816">
              <w:rPr>
                <w:sz w:val="20"/>
                <w:szCs w:val="20"/>
              </w:rPr>
              <w:t>0.05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75F83582" w14:textId="060094FC" w:rsidR="00F36F2C" w:rsidRPr="00701816" w:rsidRDefault="00F36F2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1816">
              <w:rPr>
                <w:sz w:val="20"/>
                <w:szCs w:val="20"/>
              </w:rPr>
              <w:t>-</w:t>
            </w:r>
          </w:p>
        </w:tc>
      </w:tr>
      <w:tr w:rsidR="001A6381" w:rsidRPr="00701816" w14:paraId="7012D179" w14:textId="77777777" w:rsidTr="001A63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6" w:type="dxa"/>
            <w:tcBorders>
              <w:top w:val="nil"/>
              <w:bottom w:val="nil"/>
              <w:right w:val="nil"/>
            </w:tcBorders>
          </w:tcPr>
          <w:p w14:paraId="31A77FB6" w14:textId="6D594FC1" w:rsidR="00F36F2C" w:rsidRPr="00701816" w:rsidRDefault="00F36F2C" w:rsidP="000D3622">
            <w:pPr>
              <w:rPr>
                <w:rFonts w:cs="Courier New"/>
                <w:b w:val="0"/>
                <w:sz w:val="20"/>
                <w:szCs w:val="20"/>
              </w:rPr>
            </w:pPr>
            <w:r w:rsidRPr="00701816">
              <w:rPr>
                <w:rFonts w:cs="Courier New"/>
                <w:b w:val="0"/>
                <w:sz w:val="20"/>
                <w:szCs w:val="20"/>
              </w:rPr>
              <w:t>Iron deficiency anaemia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01DB4462" w14:textId="1655870B" w:rsidR="00F36F2C" w:rsidRPr="00701816" w:rsidRDefault="00F36F2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1816">
              <w:rPr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53DB2038" w14:textId="6A2A6212" w:rsidR="00F36F2C" w:rsidRPr="00701816" w:rsidRDefault="00F36F2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1816">
              <w:rPr>
                <w:sz w:val="20"/>
                <w:szCs w:val="20"/>
              </w:rPr>
              <w:t>0.4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186FDC2A" w14:textId="77014BC4" w:rsidR="00F36F2C" w:rsidRPr="00701816" w:rsidRDefault="00F36F2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1816">
              <w:rPr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165DFD3E" w14:textId="07C48861" w:rsidR="00F36F2C" w:rsidRPr="00701816" w:rsidRDefault="00F36F2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1816">
              <w:rPr>
                <w:sz w:val="20"/>
                <w:szCs w:val="20"/>
              </w:rPr>
              <w:t>0.1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2EC90007" w14:textId="19B0B38D" w:rsidR="00F36F2C" w:rsidRPr="00701816" w:rsidRDefault="00F36F2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1816">
              <w:rPr>
                <w:sz w:val="20"/>
                <w:szCs w:val="20"/>
              </w:rPr>
              <w:t>3.97 (2.18 – 7.20)</w:t>
            </w:r>
          </w:p>
        </w:tc>
      </w:tr>
      <w:tr w:rsidR="001A6381" w:rsidRPr="00701816" w14:paraId="3DE61ECE" w14:textId="77777777" w:rsidTr="001A63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6" w:type="dxa"/>
            <w:tcBorders>
              <w:top w:val="nil"/>
              <w:bottom w:val="nil"/>
              <w:right w:val="nil"/>
            </w:tcBorders>
          </w:tcPr>
          <w:p w14:paraId="1CFB135C" w14:textId="3438ADC0" w:rsidR="00F36F2C" w:rsidRPr="00701816" w:rsidRDefault="00F36F2C" w:rsidP="000D3622">
            <w:pPr>
              <w:rPr>
                <w:rFonts w:cs="Courier New"/>
                <w:b w:val="0"/>
                <w:sz w:val="20"/>
                <w:szCs w:val="20"/>
              </w:rPr>
            </w:pPr>
            <w:r w:rsidRPr="00701816">
              <w:rPr>
                <w:rFonts w:cs="Courier New"/>
                <w:b w:val="0"/>
                <w:sz w:val="20"/>
                <w:szCs w:val="20"/>
              </w:rPr>
              <w:t xml:space="preserve">Nutritional </w:t>
            </w:r>
            <w:r w:rsidR="0013777B" w:rsidRPr="00701816">
              <w:rPr>
                <w:rFonts w:cs="Courier New"/>
                <w:b w:val="0"/>
                <w:sz w:val="20"/>
                <w:szCs w:val="20"/>
              </w:rPr>
              <w:t>d</w:t>
            </w:r>
            <w:r w:rsidRPr="00701816">
              <w:rPr>
                <w:rFonts w:cs="Courier New"/>
                <w:b w:val="0"/>
                <w:sz w:val="20"/>
                <w:szCs w:val="20"/>
              </w:rPr>
              <w:t>eficiencies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67226266" w14:textId="45AF71B9" w:rsidR="00F36F2C" w:rsidRPr="00701816" w:rsidRDefault="00F36F2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181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2D25C2D1" w14:textId="76AA9E18" w:rsidR="00F36F2C" w:rsidRPr="00701816" w:rsidRDefault="00F36F2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181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1CAF84A6" w14:textId="0A800166" w:rsidR="00F36F2C" w:rsidRPr="00701816" w:rsidRDefault="00F36F2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1816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14809B0A" w14:textId="6BC25123" w:rsidR="00F36F2C" w:rsidRPr="00701816" w:rsidRDefault="00F36F2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1816">
              <w:rPr>
                <w:sz w:val="20"/>
                <w:szCs w:val="20"/>
              </w:rPr>
              <w:t>0.01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24C89418" w14:textId="18AF9691" w:rsidR="00F36F2C" w:rsidRPr="00701816" w:rsidRDefault="00F36F2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1816">
              <w:rPr>
                <w:sz w:val="20"/>
                <w:szCs w:val="20"/>
              </w:rPr>
              <w:t>-</w:t>
            </w:r>
          </w:p>
        </w:tc>
      </w:tr>
      <w:tr w:rsidR="001A6381" w:rsidRPr="00701816" w14:paraId="15CD2503" w14:textId="77777777" w:rsidTr="001A63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6" w:type="dxa"/>
            <w:tcBorders>
              <w:top w:val="nil"/>
              <w:bottom w:val="nil"/>
              <w:right w:val="nil"/>
            </w:tcBorders>
          </w:tcPr>
          <w:p w14:paraId="40AF81AF" w14:textId="60798824" w:rsidR="00F36F2C" w:rsidRPr="00701816" w:rsidRDefault="00F36F2C" w:rsidP="000D3622">
            <w:pPr>
              <w:rPr>
                <w:rFonts w:cs="Courier New"/>
                <w:b w:val="0"/>
                <w:sz w:val="20"/>
                <w:szCs w:val="20"/>
              </w:rPr>
            </w:pPr>
            <w:r w:rsidRPr="00701816">
              <w:rPr>
                <w:rFonts w:cs="Courier New"/>
                <w:b w:val="0"/>
                <w:sz w:val="20"/>
                <w:szCs w:val="20"/>
              </w:rPr>
              <w:t>Pelvic inflammatory disease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280EEEEB" w14:textId="3168AAF7" w:rsidR="00F36F2C" w:rsidRPr="00701816" w:rsidRDefault="00F36F2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1816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5FF066C4" w14:textId="17739010" w:rsidR="00F36F2C" w:rsidRPr="00701816" w:rsidRDefault="00F36F2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1816">
              <w:rPr>
                <w:sz w:val="20"/>
                <w:szCs w:val="20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24A34C4A" w14:textId="476A707B" w:rsidR="00F36F2C" w:rsidRPr="00701816" w:rsidRDefault="00F36F2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1816">
              <w:rPr>
                <w:sz w:val="20"/>
                <w:szCs w:val="20"/>
              </w:rPr>
              <w:t>26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27B2799E" w14:textId="596A0123" w:rsidR="00F36F2C" w:rsidRPr="00701816" w:rsidRDefault="00F36F2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1816">
              <w:rPr>
                <w:sz w:val="20"/>
                <w:szCs w:val="20"/>
              </w:rPr>
              <w:t>0.08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04F067DC" w14:textId="52BA8F7A" w:rsidR="00F36F2C" w:rsidRPr="00701816" w:rsidRDefault="00F36F2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1816">
              <w:rPr>
                <w:sz w:val="20"/>
                <w:szCs w:val="20"/>
              </w:rPr>
              <w:t>-</w:t>
            </w:r>
          </w:p>
        </w:tc>
      </w:tr>
      <w:tr w:rsidR="001A6381" w:rsidRPr="00701816" w14:paraId="114C7B72" w14:textId="77777777" w:rsidTr="001A63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6" w:type="dxa"/>
            <w:tcBorders>
              <w:top w:val="nil"/>
              <w:bottom w:val="nil"/>
              <w:right w:val="nil"/>
            </w:tcBorders>
          </w:tcPr>
          <w:p w14:paraId="4038A69E" w14:textId="5A1F2D82" w:rsidR="00F36F2C" w:rsidRPr="00701816" w:rsidRDefault="00F36F2C" w:rsidP="000D3622">
            <w:pPr>
              <w:rPr>
                <w:rFonts w:cs="Courier New"/>
                <w:b w:val="0"/>
                <w:sz w:val="20"/>
                <w:szCs w:val="20"/>
              </w:rPr>
            </w:pPr>
            <w:r w:rsidRPr="00701816">
              <w:rPr>
                <w:rFonts w:cs="Courier New"/>
                <w:b w:val="0"/>
                <w:sz w:val="20"/>
                <w:szCs w:val="20"/>
              </w:rPr>
              <w:t>Perforated/bleeding ulcer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585CD6CF" w14:textId="7921CD88" w:rsidR="00F36F2C" w:rsidRPr="00701816" w:rsidRDefault="00F36F2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1816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7CA9B41D" w14:textId="20D6DD88" w:rsidR="00F36F2C" w:rsidRPr="00701816" w:rsidRDefault="00F36F2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1816">
              <w:rPr>
                <w:sz w:val="20"/>
                <w:szCs w:val="20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156FB27A" w14:textId="6DFD7F73" w:rsidR="00F36F2C" w:rsidRPr="00701816" w:rsidRDefault="00F36F2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1816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791EA232" w14:textId="310F3ED6" w:rsidR="00F36F2C" w:rsidRPr="00701816" w:rsidRDefault="00F36F2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1816">
              <w:rPr>
                <w:sz w:val="20"/>
                <w:szCs w:val="20"/>
              </w:rPr>
              <w:t>0.06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27415AFE" w14:textId="21D6E1B1" w:rsidR="00F36F2C" w:rsidRPr="00701816" w:rsidRDefault="00860407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1816">
              <w:rPr>
                <w:sz w:val="20"/>
                <w:szCs w:val="20"/>
              </w:rPr>
              <w:t>3.78 (1.63 – 8.75)</w:t>
            </w:r>
          </w:p>
        </w:tc>
      </w:tr>
      <w:tr w:rsidR="001A6381" w:rsidRPr="00701816" w14:paraId="3479D634" w14:textId="77777777" w:rsidTr="001A63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6" w:type="dxa"/>
            <w:tcBorders>
              <w:right w:val="nil"/>
            </w:tcBorders>
          </w:tcPr>
          <w:p w14:paraId="3E288E98" w14:textId="7A59A7A3" w:rsidR="00F36F2C" w:rsidRPr="00701816" w:rsidRDefault="00F36F2C" w:rsidP="000D3622">
            <w:pPr>
              <w:rPr>
                <w:rFonts w:cs="Courier New"/>
                <w:sz w:val="20"/>
                <w:szCs w:val="20"/>
              </w:rPr>
            </w:pPr>
            <w:r w:rsidRPr="00701816">
              <w:rPr>
                <w:rFonts w:cs="Courier New"/>
                <w:b w:val="0"/>
                <w:sz w:val="20"/>
                <w:szCs w:val="20"/>
              </w:rPr>
              <w:t xml:space="preserve">Pneumonia and other </w:t>
            </w:r>
            <w:r w:rsidR="002B1D08" w:rsidRPr="00701816">
              <w:rPr>
                <w:rFonts w:cs="Courier New"/>
                <w:b w:val="0"/>
                <w:sz w:val="20"/>
                <w:szCs w:val="20"/>
              </w:rPr>
              <w:t>lower respiratory tract infections (</w:t>
            </w:r>
            <w:r w:rsidRPr="00701816">
              <w:rPr>
                <w:rFonts w:cs="Courier New"/>
                <w:b w:val="0"/>
                <w:sz w:val="20"/>
                <w:szCs w:val="20"/>
              </w:rPr>
              <w:t>LRTI</w:t>
            </w:r>
            <w:r w:rsidR="002B1D08" w:rsidRPr="00701816">
              <w:rPr>
                <w:rFonts w:cs="Courier New"/>
                <w:b w:val="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left w:val="nil"/>
            </w:tcBorders>
          </w:tcPr>
          <w:p w14:paraId="34F33051" w14:textId="4938EE55" w:rsidR="00F36F2C" w:rsidRPr="00701816" w:rsidRDefault="00F36F2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01816">
              <w:rPr>
                <w:sz w:val="20"/>
                <w:szCs w:val="20"/>
              </w:rPr>
              <w:t>566</w:t>
            </w:r>
          </w:p>
        </w:tc>
        <w:tc>
          <w:tcPr>
            <w:tcW w:w="1418" w:type="dxa"/>
            <w:tcBorders>
              <w:right w:val="nil"/>
            </w:tcBorders>
          </w:tcPr>
          <w:p w14:paraId="709157C2" w14:textId="281C0225" w:rsidR="00F36F2C" w:rsidRPr="00701816" w:rsidRDefault="00F36F2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01816">
              <w:rPr>
                <w:sz w:val="20"/>
                <w:szCs w:val="20"/>
              </w:rPr>
              <w:t>11.4</w:t>
            </w:r>
          </w:p>
        </w:tc>
        <w:tc>
          <w:tcPr>
            <w:tcW w:w="1417" w:type="dxa"/>
            <w:tcBorders>
              <w:left w:val="nil"/>
            </w:tcBorders>
          </w:tcPr>
          <w:p w14:paraId="12E0A07F" w14:textId="558B16BD" w:rsidR="00F36F2C" w:rsidRPr="00701816" w:rsidRDefault="00F36F2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01816">
              <w:rPr>
                <w:sz w:val="20"/>
                <w:szCs w:val="20"/>
              </w:rPr>
              <w:t>772</w:t>
            </w:r>
          </w:p>
        </w:tc>
        <w:tc>
          <w:tcPr>
            <w:tcW w:w="1418" w:type="dxa"/>
            <w:tcBorders>
              <w:right w:val="nil"/>
            </w:tcBorders>
          </w:tcPr>
          <w:p w14:paraId="4E79D4B8" w14:textId="53F42D92" w:rsidR="00F36F2C" w:rsidRPr="00701816" w:rsidRDefault="00F36F2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01816">
              <w:rPr>
                <w:sz w:val="20"/>
                <w:szCs w:val="20"/>
              </w:rPr>
              <w:t>2.3</w:t>
            </w:r>
          </w:p>
        </w:tc>
        <w:tc>
          <w:tcPr>
            <w:tcW w:w="2551" w:type="dxa"/>
            <w:tcBorders>
              <w:left w:val="nil"/>
            </w:tcBorders>
          </w:tcPr>
          <w:p w14:paraId="32E2739B" w14:textId="59851CDE" w:rsidR="00F36F2C" w:rsidRPr="00701816" w:rsidRDefault="00F36F2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01816">
              <w:rPr>
                <w:sz w:val="20"/>
                <w:szCs w:val="20"/>
              </w:rPr>
              <w:t>5.59 (4.85 – 6.45)</w:t>
            </w:r>
          </w:p>
        </w:tc>
      </w:tr>
      <w:tr w:rsidR="001A6381" w:rsidRPr="00701816" w14:paraId="11854C9A" w14:textId="77777777" w:rsidTr="001A63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6" w:type="dxa"/>
            <w:tcBorders>
              <w:bottom w:val="nil"/>
              <w:right w:val="nil"/>
            </w:tcBorders>
            <w:shd w:val="clear" w:color="auto" w:fill="auto"/>
          </w:tcPr>
          <w:p w14:paraId="411B5B03" w14:textId="6A900C78" w:rsidR="00F36F2C" w:rsidRPr="00701816" w:rsidRDefault="002B1D08" w:rsidP="002B1D08">
            <w:pPr>
              <w:rPr>
                <w:rFonts w:cs="Courier New"/>
                <w:b w:val="0"/>
                <w:sz w:val="20"/>
                <w:szCs w:val="20"/>
              </w:rPr>
            </w:pPr>
            <w:r w:rsidRPr="00701816">
              <w:rPr>
                <w:rFonts w:cs="Courier New"/>
                <w:b w:val="0"/>
                <w:sz w:val="20"/>
                <w:szCs w:val="20"/>
              </w:rPr>
              <w:t>Tuberculosis</w:t>
            </w:r>
            <w:r w:rsidR="00F36F2C" w:rsidRPr="00701816">
              <w:rPr>
                <w:rFonts w:cs="Courier New"/>
                <w:b w:val="0"/>
                <w:sz w:val="20"/>
                <w:szCs w:val="20"/>
              </w:rPr>
              <w:t xml:space="preserve"> and other</w:t>
            </w:r>
            <w:r w:rsidRPr="00701816">
              <w:rPr>
                <w:rFonts w:cs="Courier New"/>
                <w:b w:val="0"/>
                <w:sz w:val="20"/>
                <w:szCs w:val="20"/>
              </w:rPr>
              <w:t xml:space="preserve"> vaccine preventable</w:t>
            </w:r>
          </w:p>
        </w:tc>
        <w:tc>
          <w:tcPr>
            <w:tcW w:w="1417" w:type="dxa"/>
            <w:tcBorders>
              <w:left w:val="nil"/>
              <w:bottom w:val="nil"/>
            </w:tcBorders>
            <w:shd w:val="clear" w:color="auto" w:fill="auto"/>
          </w:tcPr>
          <w:p w14:paraId="517F5EED" w14:textId="459C0021" w:rsidR="00F36F2C" w:rsidRPr="00701816" w:rsidRDefault="00F36F2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1816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nil"/>
              <w:right w:val="nil"/>
            </w:tcBorders>
            <w:shd w:val="clear" w:color="auto" w:fill="auto"/>
          </w:tcPr>
          <w:p w14:paraId="1E6985F6" w14:textId="0CBDDD84" w:rsidR="00F36F2C" w:rsidRPr="00701816" w:rsidRDefault="00F36F2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1816">
              <w:rPr>
                <w:sz w:val="20"/>
                <w:szCs w:val="20"/>
              </w:rPr>
              <w:t>0.02</w:t>
            </w:r>
          </w:p>
        </w:tc>
        <w:tc>
          <w:tcPr>
            <w:tcW w:w="1417" w:type="dxa"/>
            <w:tcBorders>
              <w:left w:val="nil"/>
              <w:bottom w:val="nil"/>
            </w:tcBorders>
            <w:shd w:val="clear" w:color="auto" w:fill="auto"/>
          </w:tcPr>
          <w:p w14:paraId="5144FC5E" w14:textId="6AE7B72A" w:rsidR="00F36F2C" w:rsidRPr="00701816" w:rsidRDefault="00F36F2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1816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bottom w:val="nil"/>
              <w:right w:val="nil"/>
            </w:tcBorders>
            <w:shd w:val="clear" w:color="auto" w:fill="auto"/>
          </w:tcPr>
          <w:p w14:paraId="5E927F5C" w14:textId="566AB886" w:rsidR="00F36F2C" w:rsidRPr="00701816" w:rsidRDefault="00F36F2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1816">
              <w:rPr>
                <w:sz w:val="20"/>
                <w:szCs w:val="20"/>
              </w:rPr>
              <w:t>0.03</w:t>
            </w:r>
          </w:p>
        </w:tc>
        <w:tc>
          <w:tcPr>
            <w:tcW w:w="2551" w:type="dxa"/>
            <w:tcBorders>
              <w:left w:val="nil"/>
              <w:bottom w:val="nil"/>
            </w:tcBorders>
            <w:shd w:val="clear" w:color="auto" w:fill="auto"/>
          </w:tcPr>
          <w:p w14:paraId="352CC4C3" w14:textId="5735C6AB" w:rsidR="00F36F2C" w:rsidRPr="00701816" w:rsidRDefault="00F36F2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01816">
              <w:rPr>
                <w:sz w:val="20"/>
                <w:szCs w:val="20"/>
              </w:rPr>
              <w:t>-</w:t>
            </w:r>
          </w:p>
        </w:tc>
      </w:tr>
      <w:tr w:rsidR="001A6381" w:rsidRPr="00701816" w14:paraId="583DC755" w14:textId="77777777" w:rsidTr="001A63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6" w:type="dxa"/>
            <w:tcBorders>
              <w:bottom w:val="nil"/>
              <w:right w:val="nil"/>
            </w:tcBorders>
            <w:shd w:val="clear" w:color="auto" w:fill="auto"/>
          </w:tcPr>
          <w:p w14:paraId="1B45CBDF" w14:textId="01EF94F9" w:rsidR="00F36F2C" w:rsidRPr="00701816" w:rsidRDefault="002B1D08" w:rsidP="000D3622">
            <w:pPr>
              <w:rPr>
                <w:rFonts w:cs="Courier New"/>
                <w:b w:val="0"/>
                <w:sz w:val="20"/>
                <w:szCs w:val="20"/>
              </w:rPr>
            </w:pPr>
            <w:r w:rsidRPr="00701816">
              <w:rPr>
                <w:rFonts w:cs="Courier New"/>
                <w:b w:val="0"/>
                <w:sz w:val="20"/>
                <w:szCs w:val="20"/>
              </w:rPr>
              <w:t>Urinary tract infections (</w:t>
            </w:r>
            <w:r w:rsidR="00F36F2C" w:rsidRPr="00701816">
              <w:rPr>
                <w:rFonts w:cs="Courier New"/>
                <w:b w:val="0"/>
                <w:sz w:val="20"/>
                <w:szCs w:val="20"/>
              </w:rPr>
              <w:t>UTI</w:t>
            </w:r>
            <w:r w:rsidRPr="00701816">
              <w:rPr>
                <w:rFonts w:cs="Courier New"/>
                <w:b w:val="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left w:val="nil"/>
              <w:bottom w:val="nil"/>
            </w:tcBorders>
            <w:shd w:val="clear" w:color="auto" w:fill="auto"/>
          </w:tcPr>
          <w:p w14:paraId="5FAAEDD2" w14:textId="49276353" w:rsidR="00F36F2C" w:rsidRPr="00701816" w:rsidRDefault="00F36F2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1816">
              <w:rPr>
                <w:sz w:val="20"/>
                <w:szCs w:val="20"/>
              </w:rPr>
              <w:t>345</w:t>
            </w:r>
          </w:p>
        </w:tc>
        <w:tc>
          <w:tcPr>
            <w:tcW w:w="1418" w:type="dxa"/>
            <w:tcBorders>
              <w:bottom w:val="nil"/>
              <w:right w:val="nil"/>
            </w:tcBorders>
            <w:shd w:val="clear" w:color="auto" w:fill="auto"/>
          </w:tcPr>
          <w:p w14:paraId="3B7279E4" w14:textId="071A3070" w:rsidR="00F36F2C" w:rsidRPr="00701816" w:rsidRDefault="00F36F2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1816">
              <w:rPr>
                <w:sz w:val="20"/>
                <w:szCs w:val="20"/>
              </w:rPr>
              <w:t>7.0</w:t>
            </w:r>
          </w:p>
        </w:tc>
        <w:tc>
          <w:tcPr>
            <w:tcW w:w="1417" w:type="dxa"/>
            <w:tcBorders>
              <w:left w:val="nil"/>
              <w:bottom w:val="nil"/>
            </w:tcBorders>
            <w:shd w:val="clear" w:color="auto" w:fill="auto"/>
          </w:tcPr>
          <w:p w14:paraId="31BAE92F" w14:textId="12C0DE88" w:rsidR="00F36F2C" w:rsidRPr="00701816" w:rsidRDefault="00F36F2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1816">
              <w:rPr>
                <w:sz w:val="20"/>
                <w:szCs w:val="20"/>
              </w:rPr>
              <w:t>528</w:t>
            </w:r>
          </w:p>
        </w:tc>
        <w:tc>
          <w:tcPr>
            <w:tcW w:w="1418" w:type="dxa"/>
            <w:tcBorders>
              <w:bottom w:val="nil"/>
              <w:right w:val="nil"/>
            </w:tcBorders>
            <w:shd w:val="clear" w:color="auto" w:fill="auto"/>
          </w:tcPr>
          <w:p w14:paraId="6A90833E" w14:textId="0C25B078" w:rsidR="00F36F2C" w:rsidRPr="00701816" w:rsidRDefault="00F36F2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1816">
              <w:rPr>
                <w:sz w:val="20"/>
                <w:szCs w:val="20"/>
              </w:rPr>
              <w:t>1.5</w:t>
            </w:r>
          </w:p>
        </w:tc>
        <w:tc>
          <w:tcPr>
            <w:tcW w:w="2551" w:type="dxa"/>
            <w:tcBorders>
              <w:left w:val="nil"/>
              <w:bottom w:val="nil"/>
            </w:tcBorders>
            <w:shd w:val="clear" w:color="auto" w:fill="auto"/>
          </w:tcPr>
          <w:p w14:paraId="4507D331" w14:textId="1CEFB3C1" w:rsidR="00F36F2C" w:rsidRPr="00701816" w:rsidRDefault="00F36F2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1816">
              <w:rPr>
                <w:sz w:val="20"/>
                <w:szCs w:val="20"/>
              </w:rPr>
              <w:t>4.76 (3.99 – 5.68)</w:t>
            </w:r>
          </w:p>
        </w:tc>
      </w:tr>
      <w:tr w:rsidR="001A6381" w:rsidRPr="00701816" w14:paraId="16E21BF0" w14:textId="77777777" w:rsidTr="001A63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F395555" w14:textId="618D4A95" w:rsidR="00F36F2C" w:rsidRPr="00701816" w:rsidRDefault="00F36F2C" w:rsidP="000D3622">
            <w:pPr>
              <w:rPr>
                <w:rFonts w:cs="Courier New"/>
                <w:sz w:val="20"/>
                <w:szCs w:val="20"/>
              </w:rPr>
            </w:pPr>
            <w:r w:rsidRPr="00701816">
              <w:rPr>
                <w:rFonts w:cs="Courier New"/>
                <w:sz w:val="20"/>
                <w:szCs w:val="20"/>
              </w:rPr>
              <w:t>All ACSCs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58B740C" w14:textId="7F9EFCE2" w:rsidR="00F36F2C" w:rsidRPr="00701816" w:rsidRDefault="00F36F2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01816">
              <w:rPr>
                <w:b/>
                <w:sz w:val="20"/>
                <w:szCs w:val="20"/>
              </w:rPr>
              <w:t>3,038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1EFC5DA" w14:textId="492F9722" w:rsidR="00F36F2C" w:rsidRPr="00701816" w:rsidRDefault="00F36F2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01816">
              <w:rPr>
                <w:b/>
                <w:sz w:val="20"/>
                <w:szCs w:val="20"/>
              </w:rPr>
              <w:t>61.3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6861FB4" w14:textId="39CF95A3" w:rsidR="00F36F2C" w:rsidRPr="00701816" w:rsidRDefault="00F36F2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01816">
              <w:rPr>
                <w:b/>
                <w:sz w:val="20"/>
                <w:szCs w:val="20"/>
              </w:rPr>
              <w:t>4,007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27AF843" w14:textId="5DA83399" w:rsidR="00F36F2C" w:rsidRPr="00701816" w:rsidRDefault="00F36F2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01816">
              <w:rPr>
                <w:b/>
                <w:sz w:val="20"/>
                <w:szCs w:val="20"/>
              </w:rPr>
              <w:t>11.7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292DAD6" w14:textId="4E3DC87C" w:rsidR="00F36F2C" w:rsidRPr="00701816" w:rsidRDefault="00F36F2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01816">
              <w:rPr>
                <w:b/>
                <w:sz w:val="20"/>
                <w:szCs w:val="20"/>
              </w:rPr>
              <w:t>5.62 (5.14 – 6.13)</w:t>
            </w:r>
          </w:p>
        </w:tc>
      </w:tr>
    </w:tbl>
    <w:p w14:paraId="1AC0D1F7" w14:textId="1C2015AB" w:rsidR="00860407" w:rsidRPr="00860407" w:rsidRDefault="00701816" w:rsidP="0086040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br/>
      </w:r>
      <w:r w:rsidR="00860407" w:rsidRPr="00860407">
        <w:rPr>
          <w:sz w:val="20"/>
          <w:szCs w:val="20"/>
        </w:rPr>
        <w:t xml:space="preserve">Note: </w:t>
      </w:r>
      <w:r w:rsidR="00860407">
        <w:rPr>
          <w:sz w:val="20"/>
          <w:szCs w:val="20"/>
        </w:rPr>
        <w:t xml:space="preserve">Estimates for </w:t>
      </w:r>
      <w:r w:rsidR="00860407" w:rsidRPr="00860407">
        <w:rPr>
          <w:sz w:val="20"/>
          <w:szCs w:val="20"/>
        </w:rPr>
        <w:t>Gangrene</w:t>
      </w:r>
      <w:r w:rsidR="00860407">
        <w:rPr>
          <w:sz w:val="20"/>
          <w:szCs w:val="20"/>
        </w:rPr>
        <w:t xml:space="preserve">, </w:t>
      </w:r>
      <w:r w:rsidR="00860407" w:rsidRPr="00860407">
        <w:rPr>
          <w:sz w:val="20"/>
          <w:szCs w:val="20"/>
        </w:rPr>
        <w:t>Hypertension</w:t>
      </w:r>
      <w:r w:rsidR="00860407">
        <w:rPr>
          <w:sz w:val="20"/>
          <w:szCs w:val="20"/>
        </w:rPr>
        <w:t xml:space="preserve">, </w:t>
      </w:r>
      <w:r w:rsidR="00860407" w:rsidRPr="00860407">
        <w:rPr>
          <w:sz w:val="20"/>
          <w:szCs w:val="20"/>
        </w:rPr>
        <w:t>Influenza</w:t>
      </w:r>
      <w:r w:rsidR="00860407">
        <w:rPr>
          <w:sz w:val="20"/>
          <w:szCs w:val="20"/>
        </w:rPr>
        <w:t xml:space="preserve">, </w:t>
      </w:r>
      <w:r w:rsidR="00860407" w:rsidRPr="00860407">
        <w:rPr>
          <w:sz w:val="20"/>
          <w:szCs w:val="20"/>
        </w:rPr>
        <w:t>Nutritional deficiencies</w:t>
      </w:r>
      <w:r w:rsidR="00860407">
        <w:rPr>
          <w:sz w:val="20"/>
          <w:szCs w:val="20"/>
        </w:rPr>
        <w:t xml:space="preserve">, </w:t>
      </w:r>
      <w:r w:rsidR="00860407" w:rsidRPr="00860407">
        <w:rPr>
          <w:sz w:val="20"/>
          <w:szCs w:val="20"/>
        </w:rPr>
        <w:t>Pelvic inflammatory disease</w:t>
      </w:r>
      <w:r w:rsidR="00860407">
        <w:rPr>
          <w:sz w:val="20"/>
          <w:szCs w:val="20"/>
        </w:rPr>
        <w:t xml:space="preserve"> and </w:t>
      </w:r>
      <w:r w:rsidR="00860407" w:rsidRPr="00860407">
        <w:rPr>
          <w:sz w:val="20"/>
          <w:szCs w:val="20"/>
        </w:rPr>
        <w:t>Tuberculosis</w:t>
      </w:r>
      <w:r w:rsidR="00860407">
        <w:rPr>
          <w:sz w:val="20"/>
          <w:szCs w:val="20"/>
        </w:rPr>
        <w:t xml:space="preserve"> were not estimated due to insufficient number of admissions.</w:t>
      </w:r>
      <w:r w:rsidR="00860407">
        <w:rPr>
          <w:sz w:val="20"/>
          <w:szCs w:val="20"/>
        </w:rPr>
        <w:br/>
      </w:r>
      <w:r w:rsidR="00860407" w:rsidRPr="00860407">
        <w:rPr>
          <w:sz w:val="20"/>
          <w:szCs w:val="20"/>
        </w:rPr>
        <w:t>IRR: Incidence Rate Ratio, ID: Intellectual Disability</w:t>
      </w:r>
    </w:p>
    <w:p w14:paraId="69731488" w14:textId="4AD2F9AA" w:rsidR="00860407" w:rsidRPr="00860407" w:rsidRDefault="00860407" w:rsidP="00860407">
      <w:pPr>
        <w:spacing w:after="0" w:line="240" w:lineRule="auto"/>
        <w:jc w:val="both"/>
        <w:rPr>
          <w:sz w:val="20"/>
          <w:szCs w:val="20"/>
        </w:rPr>
      </w:pPr>
    </w:p>
    <w:p w14:paraId="66C3EA54" w14:textId="2A64E939" w:rsidR="001A6381" w:rsidRDefault="001A6381">
      <w:pPr>
        <w:rPr>
          <w:highlight w:val="yellow"/>
        </w:rPr>
      </w:pPr>
    </w:p>
    <w:p w14:paraId="15FDA556" w14:textId="554E6B3A" w:rsidR="001A6381" w:rsidRDefault="001A6381">
      <w:pPr>
        <w:rPr>
          <w:highlight w:val="yellow"/>
        </w:rPr>
      </w:pPr>
      <w:r>
        <w:rPr>
          <w:highlight w:val="yellow"/>
        </w:rPr>
        <w:br w:type="page"/>
      </w:r>
    </w:p>
    <w:p w14:paraId="266F00DE" w14:textId="126E82D6" w:rsidR="001A6381" w:rsidRPr="004C60CD" w:rsidRDefault="00B53594" w:rsidP="001A6381">
      <w:pPr>
        <w:spacing w:after="0" w:line="240" w:lineRule="auto"/>
        <w:rPr>
          <w:b/>
          <w:sz w:val="24"/>
          <w:szCs w:val="24"/>
        </w:rPr>
      </w:pPr>
      <w:r w:rsidRPr="00491148">
        <w:rPr>
          <w:b/>
        </w:rPr>
        <w:t xml:space="preserve">Table </w:t>
      </w:r>
      <w:r>
        <w:rPr>
          <w:b/>
        </w:rPr>
        <w:t>3</w:t>
      </w:r>
      <w:r w:rsidRPr="00491148">
        <w:rPr>
          <w:b/>
        </w:rPr>
        <w:t xml:space="preserve">: </w:t>
      </w:r>
      <w:r w:rsidRPr="001A6381">
        <w:rPr>
          <w:b/>
        </w:rPr>
        <w:t xml:space="preserve">Emergency admissions for ACSCs </w:t>
      </w:r>
      <w:r>
        <w:rPr>
          <w:b/>
        </w:rPr>
        <w:t>during 2009-13</w:t>
      </w:r>
      <w:r w:rsidRPr="00491148">
        <w:rPr>
          <w:b/>
        </w:rPr>
        <w:t xml:space="preserve">, number of people, rates (per 1,000 people per year) and </w:t>
      </w:r>
      <w:r>
        <w:rPr>
          <w:b/>
        </w:rPr>
        <w:t xml:space="preserve">incidence rate ratios for ID versus controls from unadjusted and adjusted </w:t>
      </w:r>
      <w:r w:rsidRPr="00491148">
        <w:rPr>
          <w:b/>
        </w:rPr>
        <w:t>analysis, split by characteristics of the ID group.</w:t>
      </w:r>
      <w:r w:rsidR="001A6381">
        <w:rPr>
          <w:b/>
        </w:rPr>
        <w:br/>
      </w:r>
    </w:p>
    <w:tbl>
      <w:tblPr>
        <w:tblStyle w:val="ListTable1Light"/>
        <w:tblW w:w="13780" w:type="dxa"/>
        <w:tblLayout w:type="fixed"/>
        <w:tblLook w:val="06A0" w:firstRow="1" w:lastRow="0" w:firstColumn="1" w:lastColumn="0" w:noHBand="1" w:noVBand="1"/>
      </w:tblPr>
      <w:tblGrid>
        <w:gridCol w:w="2892"/>
        <w:gridCol w:w="1018"/>
        <w:gridCol w:w="1304"/>
        <w:gridCol w:w="907"/>
        <w:gridCol w:w="1870"/>
        <w:gridCol w:w="1871"/>
        <w:gridCol w:w="1022"/>
        <w:gridCol w:w="1813"/>
        <w:gridCol w:w="58"/>
        <w:gridCol w:w="963"/>
        <w:gridCol w:w="62"/>
      </w:tblGrid>
      <w:tr w:rsidR="001A6381" w:rsidRPr="00AA56D7" w14:paraId="18EC58FF" w14:textId="77777777" w:rsidTr="00AA56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  <w:tcBorders>
              <w:top w:val="single" w:sz="4" w:space="0" w:color="auto"/>
              <w:bottom w:val="none" w:sz="0" w:space="0" w:color="auto"/>
            </w:tcBorders>
          </w:tcPr>
          <w:p w14:paraId="0B811E31" w14:textId="77777777" w:rsidR="001A6381" w:rsidRPr="00AA56D7" w:rsidRDefault="001A6381" w:rsidP="001A63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29" w:type="dxa"/>
            <w:gridSpan w:val="3"/>
            <w:tcBorders>
              <w:top w:val="single" w:sz="4" w:space="0" w:color="auto"/>
              <w:left w:val="nil"/>
            </w:tcBorders>
          </w:tcPr>
          <w:p w14:paraId="736FF399" w14:textId="77777777" w:rsidR="001A6381" w:rsidRPr="00AA56D7" w:rsidRDefault="001A6381" w:rsidP="001A63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A56D7">
              <w:rPr>
                <w:sz w:val="20"/>
                <w:szCs w:val="20"/>
              </w:rPr>
              <w:t>Adults with ID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</w:tcBorders>
          </w:tcPr>
          <w:p w14:paraId="28E11E75" w14:textId="77777777" w:rsidR="001A6381" w:rsidRPr="00AA56D7" w:rsidRDefault="001A6381" w:rsidP="001A63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A56D7">
              <w:rPr>
                <w:sz w:val="20"/>
                <w:szCs w:val="20"/>
              </w:rPr>
              <w:t>Age-sex-practice matched controls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nil"/>
            </w:tcBorders>
          </w:tcPr>
          <w:p w14:paraId="5F5A3B4E" w14:textId="77777777" w:rsidR="001A6381" w:rsidRPr="00AA56D7" w:rsidRDefault="001A6381" w:rsidP="001A63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AA56D7">
              <w:rPr>
                <w:sz w:val="20"/>
                <w:szCs w:val="20"/>
              </w:rPr>
              <w:t>Unadjusted Model*</w:t>
            </w:r>
          </w:p>
        </w:tc>
        <w:tc>
          <w:tcPr>
            <w:tcW w:w="2891" w:type="dxa"/>
            <w:gridSpan w:val="4"/>
            <w:tcBorders>
              <w:top w:val="single" w:sz="4" w:space="0" w:color="auto"/>
              <w:left w:val="nil"/>
            </w:tcBorders>
          </w:tcPr>
          <w:p w14:paraId="23A20025" w14:textId="77777777" w:rsidR="001A6381" w:rsidRPr="00AA56D7" w:rsidRDefault="001A6381" w:rsidP="001A63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A56D7">
              <w:rPr>
                <w:sz w:val="20"/>
                <w:szCs w:val="20"/>
              </w:rPr>
              <w:t>Adjusted Model</w:t>
            </w:r>
            <w:r w:rsidRPr="00AA56D7">
              <w:rPr>
                <w:rFonts w:cstheme="minorHAnsi"/>
                <w:sz w:val="20"/>
                <w:szCs w:val="20"/>
              </w:rPr>
              <w:t>†</w:t>
            </w:r>
          </w:p>
        </w:tc>
      </w:tr>
      <w:tr w:rsidR="001A6381" w:rsidRPr="00AA56D7" w14:paraId="779A083A" w14:textId="77777777" w:rsidTr="00AA56D7">
        <w:trPr>
          <w:trHeight w:hRule="exact"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  <w:tcBorders>
              <w:bottom w:val="single" w:sz="4" w:space="0" w:color="666666" w:themeColor="text1" w:themeTint="99"/>
            </w:tcBorders>
          </w:tcPr>
          <w:p w14:paraId="3E1EE20A" w14:textId="77777777" w:rsidR="001A6381" w:rsidRPr="00AA56D7" w:rsidRDefault="001A6381" w:rsidP="001A63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nil"/>
              <w:bottom w:val="single" w:sz="4" w:space="0" w:color="666666" w:themeColor="text1" w:themeTint="99"/>
            </w:tcBorders>
          </w:tcPr>
          <w:p w14:paraId="41D26456" w14:textId="77777777" w:rsidR="001A6381" w:rsidRPr="00AA56D7" w:rsidRDefault="001A6381" w:rsidP="001A63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A56D7">
              <w:rPr>
                <w:b/>
                <w:sz w:val="20"/>
                <w:szCs w:val="20"/>
              </w:rPr>
              <w:t>People</w:t>
            </w:r>
          </w:p>
        </w:tc>
        <w:tc>
          <w:tcPr>
            <w:tcW w:w="1304" w:type="dxa"/>
            <w:tcBorders>
              <w:left w:val="nil"/>
              <w:bottom w:val="single" w:sz="4" w:space="0" w:color="666666" w:themeColor="text1" w:themeTint="99"/>
            </w:tcBorders>
          </w:tcPr>
          <w:p w14:paraId="3F6014C1" w14:textId="77777777" w:rsidR="001A6381" w:rsidRPr="00AA56D7" w:rsidRDefault="001A6381" w:rsidP="001A63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A56D7">
              <w:rPr>
                <w:b/>
                <w:sz w:val="20"/>
                <w:szCs w:val="20"/>
              </w:rPr>
              <w:t xml:space="preserve"> Admissions</w:t>
            </w:r>
          </w:p>
        </w:tc>
        <w:tc>
          <w:tcPr>
            <w:tcW w:w="907" w:type="dxa"/>
            <w:tcBorders>
              <w:bottom w:val="single" w:sz="4" w:space="0" w:color="666666" w:themeColor="text1" w:themeTint="99"/>
            </w:tcBorders>
          </w:tcPr>
          <w:p w14:paraId="6408FDF6" w14:textId="77777777" w:rsidR="001A6381" w:rsidRPr="00AA56D7" w:rsidRDefault="001A6381" w:rsidP="001A63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A56D7">
              <w:rPr>
                <w:b/>
                <w:sz w:val="20"/>
                <w:szCs w:val="20"/>
              </w:rPr>
              <w:t>Rate</w:t>
            </w:r>
          </w:p>
        </w:tc>
        <w:tc>
          <w:tcPr>
            <w:tcW w:w="1870" w:type="dxa"/>
            <w:tcBorders>
              <w:left w:val="nil"/>
              <w:bottom w:val="single" w:sz="4" w:space="0" w:color="666666" w:themeColor="text1" w:themeTint="99"/>
            </w:tcBorders>
          </w:tcPr>
          <w:p w14:paraId="4803BC01" w14:textId="77777777" w:rsidR="001A6381" w:rsidRPr="00AA56D7" w:rsidRDefault="001A6381" w:rsidP="001A63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A56D7">
              <w:rPr>
                <w:b/>
                <w:sz w:val="20"/>
                <w:szCs w:val="20"/>
              </w:rPr>
              <w:t>Rate</w:t>
            </w:r>
          </w:p>
        </w:tc>
        <w:tc>
          <w:tcPr>
            <w:tcW w:w="1871" w:type="dxa"/>
            <w:tcBorders>
              <w:left w:val="nil"/>
              <w:bottom w:val="single" w:sz="4" w:space="0" w:color="666666" w:themeColor="text1" w:themeTint="99"/>
            </w:tcBorders>
          </w:tcPr>
          <w:p w14:paraId="525052F2" w14:textId="77777777" w:rsidR="001A6381" w:rsidRPr="00AA56D7" w:rsidRDefault="001A6381" w:rsidP="001A63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A56D7">
              <w:rPr>
                <w:b/>
                <w:sz w:val="20"/>
                <w:szCs w:val="20"/>
              </w:rPr>
              <w:t>IRR (95% CI)</w:t>
            </w:r>
          </w:p>
        </w:tc>
        <w:tc>
          <w:tcPr>
            <w:tcW w:w="1022" w:type="dxa"/>
            <w:tcBorders>
              <w:bottom w:val="single" w:sz="4" w:space="0" w:color="666666" w:themeColor="text1" w:themeTint="99"/>
            </w:tcBorders>
          </w:tcPr>
          <w:p w14:paraId="6E8AECEC" w14:textId="77777777" w:rsidR="001A6381" w:rsidRPr="00AA56D7" w:rsidRDefault="001A6381" w:rsidP="001A63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A56D7">
              <w:rPr>
                <w:b/>
                <w:sz w:val="20"/>
                <w:szCs w:val="20"/>
              </w:rPr>
              <w:t>P value</w:t>
            </w:r>
            <w:r w:rsidRPr="00AA56D7">
              <w:rPr>
                <w:rFonts w:cstheme="minorHAnsi"/>
                <w:b/>
                <w:sz w:val="20"/>
                <w:szCs w:val="20"/>
              </w:rPr>
              <w:t>‡</w:t>
            </w:r>
          </w:p>
        </w:tc>
        <w:tc>
          <w:tcPr>
            <w:tcW w:w="1871" w:type="dxa"/>
            <w:gridSpan w:val="2"/>
            <w:tcBorders>
              <w:left w:val="nil"/>
              <w:bottom w:val="single" w:sz="4" w:space="0" w:color="666666" w:themeColor="text1" w:themeTint="99"/>
            </w:tcBorders>
          </w:tcPr>
          <w:p w14:paraId="62AFFFDC" w14:textId="77777777" w:rsidR="001A6381" w:rsidRPr="00AA56D7" w:rsidRDefault="001A6381" w:rsidP="001A63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A56D7">
              <w:rPr>
                <w:b/>
                <w:sz w:val="20"/>
                <w:szCs w:val="20"/>
              </w:rPr>
              <w:t>IRR (95% CI)</w:t>
            </w:r>
          </w:p>
        </w:tc>
        <w:tc>
          <w:tcPr>
            <w:tcW w:w="1025" w:type="dxa"/>
            <w:gridSpan w:val="2"/>
            <w:tcBorders>
              <w:bottom w:val="single" w:sz="4" w:space="0" w:color="666666" w:themeColor="text1" w:themeTint="99"/>
            </w:tcBorders>
          </w:tcPr>
          <w:p w14:paraId="14F78AF1" w14:textId="77777777" w:rsidR="001A6381" w:rsidRPr="00AA56D7" w:rsidRDefault="001A6381" w:rsidP="001A63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A56D7">
              <w:rPr>
                <w:b/>
                <w:sz w:val="20"/>
                <w:szCs w:val="20"/>
              </w:rPr>
              <w:t>P value</w:t>
            </w:r>
            <w:r w:rsidRPr="00AA56D7">
              <w:rPr>
                <w:rFonts w:cstheme="minorHAnsi"/>
                <w:b/>
                <w:sz w:val="20"/>
                <w:szCs w:val="20"/>
              </w:rPr>
              <w:t>‡</w:t>
            </w:r>
          </w:p>
        </w:tc>
      </w:tr>
      <w:tr w:rsidR="001A6381" w:rsidRPr="00AA56D7" w14:paraId="12CF952B" w14:textId="77777777" w:rsidTr="00AA56D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  <w:tcBorders>
              <w:top w:val="single" w:sz="4" w:space="0" w:color="666666" w:themeColor="text1" w:themeTint="99"/>
            </w:tcBorders>
          </w:tcPr>
          <w:p w14:paraId="6B3AA09D" w14:textId="77777777" w:rsidR="001A6381" w:rsidRPr="00AA56D7" w:rsidRDefault="001A6381" w:rsidP="001A6381">
            <w:pPr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666666" w:themeColor="text1" w:themeTint="99"/>
              <w:left w:val="nil"/>
            </w:tcBorders>
            <w:vAlign w:val="center"/>
          </w:tcPr>
          <w:p w14:paraId="43309781" w14:textId="77777777" w:rsidR="001A6381" w:rsidRPr="00AA56D7" w:rsidRDefault="001A6381" w:rsidP="001A63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666666" w:themeColor="text1" w:themeTint="99"/>
              <w:left w:val="nil"/>
            </w:tcBorders>
            <w:vAlign w:val="center"/>
          </w:tcPr>
          <w:p w14:paraId="3A30FC11" w14:textId="77777777" w:rsidR="001A6381" w:rsidRPr="00AA56D7" w:rsidRDefault="001A6381" w:rsidP="001A63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666666" w:themeColor="text1" w:themeTint="99"/>
            </w:tcBorders>
            <w:vAlign w:val="center"/>
          </w:tcPr>
          <w:p w14:paraId="0442E79B" w14:textId="77777777" w:rsidR="001A6381" w:rsidRPr="00AA56D7" w:rsidRDefault="001A6381" w:rsidP="001A63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666666" w:themeColor="text1" w:themeTint="99"/>
              <w:left w:val="nil"/>
            </w:tcBorders>
            <w:vAlign w:val="center"/>
          </w:tcPr>
          <w:p w14:paraId="15BBC71B" w14:textId="77777777" w:rsidR="001A6381" w:rsidRPr="00AA56D7" w:rsidRDefault="001A6381" w:rsidP="001A63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666666" w:themeColor="text1" w:themeTint="99"/>
              <w:left w:val="nil"/>
            </w:tcBorders>
            <w:vAlign w:val="center"/>
          </w:tcPr>
          <w:p w14:paraId="5FD20736" w14:textId="77777777" w:rsidR="001A6381" w:rsidRPr="00AA56D7" w:rsidRDefault="001A6381" w:rsidP="001A63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666666" w:themeColor="text1" w:themeTint="99"/>
            </w:tcBorders>
            <w:vAlign w:val="center"/>
          </w:tcPr>
          <w:p w14:paraId="176B897F" w14:textId="77777777" w:rsidR="001A6381" w:rsidRPr="00AA56D7" w:rsidRDefault="001A6381" w:rsidP="001A63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666666" w:themeColor="text1" w:themeTint="99"/>
              <w:left w:val="nil"/>
            </w:tcBorders>
            <w:vAlign w:val="center"/>
          </w:tcPr>
          <w:p w14:paraId="13868FAD" w14:textId="77777777" w:rsidR="001A6381" w:rsidRPr="00AA56D7" w:rsidRDefault="001A6381" w:rsidP="001A63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666666" w:themeColor="text1" w:themeTint="99"/>
            </w:tcBorders>
            <w:vAlign w:val="center"/>
          </w:tcPr>
          <w:p w14:paraId="2C429EB7" w14:textId="77777777" w:rsidR="001A6381" w:rsidRPr="00AA56D7" w:rsidRDefault="001A6381" w:rsidP="001A63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A56D7" w:rsidRPr="00AA56D7" w14:paraId="36FBA23F" w14:textId="77777777" w:rsidTr="00AA56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</w:tcPr>
          <w:p w14:paraId="409A5F6C" w14:textId="77777777" w:rsidR="00AA56D7" w:rsidRPr="00AA56D7" w:rsidRDefault="00AA56D7" w:rsidP="00AA56D7">
            <w:pPr>
              <w:rPr>
                <w:b w:val="0"/>
                <w:sz w:val="20"/>
                <w:szCs w:val="20"/>
              </w:rPr>
            </w:pPr>
            <w:r w:rsidRPr="00AA56D7">
              <w:rPr>
                <w:b w:val="0"/>
                <w:sz w:val="20"/>
                <w:szCs w:val="20"/>
              </w:rPr>
              <w:t xml:space="preserve">All Adults </w:t>
            </w:r>
          </w:p>
        </w:tc>
        <w:tc>
          <w:tcPr>
            <w:tcW w:w="1018" w:type="dxa"/>
            <w:tcBorders>
              <w:left w:val="nil"/>
            </w:tcBorders>
            <w:vAlign w:val="center"/>
          </w:tcPr>
          <w:p w14:paraId="7D4B930A" w14:textId="77777777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A56D7">
              <w:rPr>
                <w:sz w:val="20"/>
                <w:szCs w:val="20"/>
              </w:rPr>
              <w:t>16,666</w:t>
            </w:r>
          </w:p>
        </w:tc>
        <w:tc>
          <w:tcPr>
            <w:tcW w:w="1304" w:type="dxa"/>
            <w:tcBorders>
              <w:left w:val="nil"/>
            </w:tcBorders>
          </w:tcPr>
          <w:p w14:paraId="5754DA8C" w14:textId="279FD06C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A56D7">
              <w:rPr>
                <w:sz w:val="20"/>
                <w:szCs w:val="20"/>
              </w:rPr>
              <w:t>3,038</w:t>
            </w:r>
          </w:p>
        </w:tc>
        <w:tc>
          <w:tcPr>
            <w:tcW w:w="907" w:type="dxa"/>
          </w:tcPr>
          <w:p w14:paraId="6D5106B2" w14:textId="2D9BE23F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A56D7">
              <w:rPr>
                <w:sz w:val="20"/>
                <w:szCs w:val="20"/>
              </w:rPr>
              <w:t>61.3</w:t>
            </w:r>
          </w:p>
        </w:tc>
        <w:tc>
          <w:tcPr>
            <w:tcW w:w="1870" w:type="dxa"/>
            <w:tcBorders>
              <w:left w:val="nil"/>
            </w:tcBorders>
          </w:tcPr>
          <w:p w14:paraId="587AD2B3" w14:textId="5043543E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A56D7">
              <w:rPr>
                <w:sz w:val="20"/>
                <w:szCs w:val="20"/>
              </w:rPr>
              <w:t>11.7</w:t>
            </w:r>
          </w:p>
        </w:tc>
        <w:tc>
          <w:tcPr>
            <w:tcW w:w="1871" w:type="dxa"/>
            <w:tcBorders>
              <w:left w:val="nil"/>
            </w:tcBorders>
          </w:tcPr>
          <w:p w14:paraId="7AF1F690" w14:textId="4203A1B2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A56D7">
              <w:rPr>
                <w:sz w:val="20"/>
                <w:szCs w:val="20"/>
              </w:rPr>
              <w:t>5.62 (5.14 – 6.13)</w:t>
            </w:r>
          </w:p>
        </w:tc>
        <w:tc>
          <w:tcPr>
            <w:tcW w:w="1022" w:type="dxa"/>
            <w:vAlign w:val="center"/>
          </w:tcPr>
          <w:p w14:paraId="2F8CF4D7" w14:textId="205EF4F8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A56D7">
              <w:rPr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left w:val="nil"/>
            </w:tcBorders>
          </w:tcPr>
          <w:p w14:paraId="4D999FC4" w14:textId="75E8969F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A56D7">
              <w:rPr>
                <w:sz w:val="20"/>
                <w:szCs w:val="20"/>
              </w:rPr>
              <w:t>3.60 (3.25 – 3.99)</w:t>
            </w:r>
          </w:p>
        </w:tc>
        <w:tc>
          <w:tcPr>
            <w:tcW w:w="1025" w:type="dxa"/>
            <w:gridSpan w:val="2"/>
            <w:vAlign w:val="center"/>
          </w:tcPr>
          <w:p w14:paraId="1992FCDE" w14:textId="76E74B5E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A56D7">
              <w:rPr>
                <w:sz w:val="20"/>
                <w:szCs w:val="20"/>
              </w:rPr>
              <w:t>-</w:t>
            </w:r>
          </w:p>
        </w:tc>
      </w:tr>
      <w:tr w:rsidR="00AA56D7" w:rsidRPr="00AA56D7" w14:paraId="65B4D32A" w14:textId="77777777" w:rsidTr="00AA56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</w:tcPr>
          <w:p w14:paraId="6E8C1D4E" w14:textId="77777777" w:rsidR="00AA56D7" w:rsidRPr="00AA56D7" w:rsidRDefault="00AA56D7" w:rsidP="00AA56D7">
            <w:pPr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nil"/>
            </w:tcBorders>
            <w:vAlign w:val="center"/>
          </w:tcPr>
          <w:p w14:paraId="104D320C" w14:textId="77777777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nil"/>
            </w:tcBorders>
          </w:tcPr>
          <w:p w14:paraId="7C85C1CF" w14:textId="77777777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2691F08" w14:textId="77777777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nil"/>
            </w:tcBorders>
            <w:vAlign w:val="center"/>
          </w:tcPr>
          <w:p w14:paraId="05D84110" w14:textId="77777777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nil"/>
            </w:tcBorders>
            <w:vAlign w:val="center"/>
          </w:tcPr>
          <w:p w14:paraId="5444BD68" w14:textId="77777777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6C231A44" w14:textId="77777777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left w:val="nil"/>
            </w:tcBorders>
            <w:vAlign w:val="center"/>
          </w:tcPr>
          <w:p w14:paraId="19B39A97" w14:textId="77777777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25" w:type="dxa"/>
            <w:gridSpan w:val="2"/>
            <w:vAlign w:val="center"/>
          </w:tcPr>
          <w:p w14:paraId="1A3E5E50" w14:textId="77777777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A56D7" w:rsidRPr="00AA56D7" w14:paraId="5F5DA23C" w14:textId="77777777" w:rsidTr="00AA56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</w:tcPr>
          <w:p w14:paraId="6515E39F" w14:textId="77777777" w:rsidR="00AA56D7" w:rsidRPr="00AA56D7" w:rsidRDefault="00AA56D7" w:rsidP="00AA56D7">
            <w:pPr>
              <w:rPr>
                <w:sz w:val="20"/>
                <w:szCs w:val="20"/>
              </w:rPr>
            </w:pPr>
            <w:r w:rsidRPr="00AA56D7">
              <w:rPr>
                <w:sz w:val="20"/>
                <w:szCs w:val="20"/>
              </w:rPr>
              <w:t>Stratified by matched factor</w:t>
            </w:r>
          </w:p>
        </w:tc>
        <w:tc>
          <w:tcPr>
            <w:tcW w:w="1018" w:type="dxa"/>
            <w:tcBorders>
              <w:left w:val="nil"/>
            </w:tcBorders>
            <w:vAlign w:val="center"/>
          </w:tcPr>
          <w:p w14:paraId="13CA4426" w14:textId="77777777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nil"/>
            </w:tcBorders>
          </w:tcPr>
          <w:p w14:paraId="51A5232C" w14:textId="77777777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47431FC2" w14:textId="77777777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nil"/>
            </w:tcBorders>
            <w:vAlign w:val="center"/>
          </w:tcPr>
          <w:p w14:paraId="752627F8" w14:textId="77777777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nil"/>
            </w:tcBorders>
            <w:vAlign w:val="center"/>
          </w:tcPr>
          <w:p w14:paraId="53D854C5" w14:textId="77777777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2D38F730" w14:textId="77777777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left w:val="nil"/>
            </w:tcBorders>
            <w:vAlign w:val="center"/>
          </w:tcPr>
          <w:p w14:paraId="7D6FBC4F" w14:textId="77777777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25" w:type="dxa"/>
            <w:gridSpan w:val="2"/>
            <w:vAlign w:val="center"/>
          </w:tcPr>
          <w:p w14:paraId="429814AA" w14:textId="77777777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A56D7" w:rsidRPr="00AA56D7" w14:paraId="62D5AC6D" w14:textId="77777777" w:rsidTr="00AA56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</w:tcPr>
          <w:p w14:paraId="2625C7E4" w14:textId="77777777" w:rsidR="00AA56D7" w:rsidRPr="00AA56D7" w:rsidRDefault="00AA56D7" w:rsidP="00AA56D7">
            <w:pPr>
              <w:rPr>
                <w:b w:val="0"/>
                <w:sz w:val="20"/>
                <w:szCs w:val="20"/>
              </w:rPr>
            </w:pPr>
            <w:r w:rsidRPr="00AA56D7">
              <w:rPr>
                <w:b w:val="0"/>
                <w:sz w:val="20"/>
                <w:szCs w:val="20"/>
              </w:rPr>
              <w:t>Sex</w:t>
            </w:r>
          </w:p>
        </w:tc>
        <w:tc>
          <w:tcPr>
            <w:tcW w:w="1018" w:type="dxa"/>
            <w:tcBorders>
              <w:left w:val="nil"/>
            </w:tcBorders>
            <w:vAlign w:val="center"/>
          </w:tcPr>
          <w:p w14:paraId="1272457B" w14:textId="77777777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nil"/>
            </w:tcBorders>
          </w:tcPr>
          <w:p w14:paraId="44E03662" w14:textId="68FB4D87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68931801" w14:textId="77777777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nil"/>
            </w:tcBorders>
            <w:vAlign w:val="center"/>
          </w:tcPr>
          <w:p w14:paraId="6E0CC65C" w14:textId="77777777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nil"/>
            </w:tcBorders>
            <w:vAlign w:val="center"/>
          </w:tcPr>
          <w:p w14:paraId="7B22BC1E" w14:textId="77777777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7E97BF1C" w14:textId="77777777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left w:val="nil"/>
            </w:tcBorders>
            <w:vAlign w:val="center"/>
          </w:tcPr>
          <w:p w14:paraId="1E8B8AE3" w14:textId="77777777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25" w:type="dxa"/>
            <w:gridSpan w:val="2"/>
            <w:vAlign w:val="center"/>
          </w:tcPr>
          <w:p w14:paraId="6A5BE7BA" w14:textId="77777777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A56D7" w:rsidRPr="00AA56D7" w14:paraId="0B353C1B" w14:textId="77777777" w:rsidTr="00AA56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</w:tcPr>
          <w:p w14:paraId="3A44B3FB" w14:textId="77777777" w:rsidR="00AA56D7" w:rsidRPr="00AA56D7" w:rsidRDefault="00AA56D7" w:rsidP="00AA56D7">
            <w:pPr>
              <w:jc w:val="right"/>
              <w:rPr>
                <w:b w:val="0"/>
                <w:sz w:val="20"/>
                <w:szCs w:val="20"/>
              </w:rPr>
            </w:pPr>
            <w:r w:rsidRPr="00AA56D7">
              <w:rPr>
                <w:b w:val="0"/>
                <w:sz w:val="20"/>
                <w:szCs w:val="20"/>
              </w:rPr>
              <w:t>- Female</w:t>
            </w:r>
          </w:p>
        </w:tc>
        <w:tc>
          <w:tcPr>
            <w:tcW w:w="1018" w:type="dxa"/>
            <w:tcBorders>
              <w:left w:val="nil"/>
            </w:tcBorders>
            <w:vAlign w:val="center"/>
          </w:tcPr>
          <w:p w14:paraId="78B96A9D" w14:textId="77777777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A56D7">
              <w:rPr>
                <w:sz w:val="20"/>
                <w:szCs w:val="20"/>
              </w:rPr>
              <w:t>6,989</w:t>
            </w:r>
          </w:p>
        </w:tc>
        <w:tc>
          <w:tcPr>
            <w:tcW w:w="1304" w:type="dxa"/>
            <w:tcBorders>
              <w:left w:val="nil"/>
            </w:tcBorders>
          </w:tcPr>
          <w:p w14:paraId="7C3BFF58" w14:textId="4E76EE57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A56D7">
              <w:rPr>
                <w:sz w:val="20"/>
                <w:szCs w:val="20"/>
              </w:rPr>
              <w:t>1,428</w:t>
            </w:r>
          </w:p>
        </w:tc>
        <w:tc>
          <w:tcPr>
            <w:tcW w:w="907" w:type="dxa"/>
          </w:tcPr>
          <w:p w14:paraId="24BFCBFB" w14:textId="08F63351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A56D7">
              <w:rPr>
                <w:sz w:val="20"/>
                <w:szCs w:val="20"/>
              </w:rPr>
              <w:t>68.5</w:t>
            </w:r>
          </w:p>
        </w:tc>
        <w:tc>
          <w:tcPr>
            <w:tcW w:w="1870" w:type="dxa"/>
            <w:tcBorders>
              <w:left w:val="nil"/>
            </w:tcBorders>
          </w:tcPr>
          <w:p w14:paraId="6D011D25" w14:textId="681B6398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A56D7">
              <w:rPr>
                <w:sz w:val="20"/>
                <w:szCs w:val="20"/>
              </w:rPr>
              <w:t>13.1</w:t>
            </w:r>
          </w:p>
        </w:tc>
        <w:tc>
          <w:tcPr>
            <w:tcW w:w="1871" w:type="dxa"/>
            <w:tcBorders>
              <w:left w:val="nil"/>
            </w:tcBorders>
          </w:tcPr>
          <w:p w14:paraId="5EC800C9" w14:textId="7DC8AEC2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A56D7">
              <w:rPr>
                <w:sz w:val="20"/>
                <w:szCs w:val="20"/>
              </w:rPr>
              <w:t>5.68 (5.03 – 6.42)</w:t>
            </w:r>
          </w:p>
        </w:tc>
        <w:tc>
          <w:tcPr>
            <w:tcW w:w="1022" w:type="dxa"/>
            <w:vAlign w:val="center"/>
          </w:tcPr>
          <w:p w14:paraId="39D31209" w14:textId="16E541F0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A56D7">
              <w:rPr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left w:val="nil"/>
            </w:tcBorders>
          </w:tcPr>
          <w:p w14:paraId="7167B623" w14:textId="741F5898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A56D7">
              <w:rPr>
                <w:sz w:val="20"/>
                <w:szCs w:val="20"/>
              </w:rPr>
              <w:t>3.35 (2.87 – 3.91)</w:t>
            </w:r>
          </w:p>
        </w:tc>
        <w:tc>
          <w:tcPr>
            <w:tcW w:w="1025" w:type="dxa"/>
            <w:gridSpan w:val="2"/>
            <w:vAlign w:val="center"/>
          </w:tcPr>
          <w:p w14:paraId="32C358DF" w14:textId="7196B933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A56D7">
              <w:rPr>
                <w:sz w:val="20"/>
                <w:szCs w:val="20"/>
              </w:rPr>
              <w:t>-</w:t>
            </w:r>
          </w:p>
        </w:tc>
      </w:tr>
      <w:tr w:rsidR="00AA56D7" w:rsidRPr="00AA56D7" w14:paraId="6DAAB430" w14:textId="77777777" w:rsidTr="00AA56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</w:tcPr>
          <w:p w14:paraId="144F8A2A" w14:textId="77777777" w:rsidR="00AA56D7" w:rsidRPr="00AA56D7" w:rsidRDefault="00AA56D7" w:rsidP="00AA56D7">
            <w:pPr>
              <w:jc w:val="right"/>
              <w:rPr>
                <w:b w:val="0"/>
                <w:sz w:val="20"/>
                <w:szCs w:val="20"/>
              </w:rPr>
            </w:pPr>
            <w:r w:rsidRPr="00AA56D7">
              <w:rPr>
                <w:b w:val="0"/>
                <w:sz w:val="20"/>
                <w:szCs w:val="20"/>
              </w:rPr>
              <w:t>- Male</w:t>
            </w:r>
          </w:p>
        </w:tc>
        <w:tc>
          <w:tcPr>
            <w:tcW w:w="1018" w:type="dxa"/>
            <w:tcBorders>
              <w:left w:val="nil"/>
            </w:tcBorders>
            <w:vAlign w:val="center"/>
          </w:tcPr>
          <w:p w14:paraId="4A742322" w14:textId="77777777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A56D7">
              <w:rPr>
                <w:sz w:val="20"/>
                <w:szCs w:val="20"/>
              </w:rPr>
              <w:t>9,677</w:t>
            </w:r>
          </w:p>
        </w:tc>
        <w:tc>
          <w:tcPr>
            <w:tcW w:w="1304" w:type="dxa"/>
            <w:tcBorders>
              <w:left w:val="nil"/>
            </w:tcBorders>
          </w:tcPr>
          <w:p w14:paraId="647499D4" w14:textId="43A26908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A56D7">
              <w:rPr>
                <w:sz w:val="20"/>
                <w:szCs w:val="20"/>
              </w:rPr>
              <w:t>1,610</w:t>
            </w:r>
          </w:p>
        </w:tc>
        <w:tc>
          <w:tcPr>
            <w:tcW w:w="907" w:type="dxa"/>
          </w:tcPr>
          <w:p w14:paraId="683E48FB" w14:textId="3E4BCEA4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A56D7">
              <w:rPr>
                <w:sz w:val="20"/>
                <w:szCs w:val="20"/>
              </w:rPr>
              <w:t>56.1</w:t>
            </w:r>
          </w:p>
        </w:tc>
        <w:tc>
          <w:tcPr>
            <w:tcW w:w="1870" w:type="dxa"/>
            <w:tcBorders>
              <w:left w:val="nil"/>
            </w:tcBorders>
          </w:tcPr>
          <w:p w14:paraId="3882C5C3" w14:textId="7D433FD1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A56D7">
              <w:rPr>
                <w:sz w:val="20"/>
                <w:szCs w:val="20"/>
              </w:rPr>
              <w:t>10.7</w:t>
            </w:r>
          </w:p>
        </w:tc>
        <w:tc>
          <w:tcPr>
            <w:tcW w:w="1871" w:type="dxa"/>
            <w:tcBorders>
              <w:left w:val="nil"/>
            </w:tcBorders>
          </w:tcPr>
          <w:p w14:paraId="0BE997FE" w14:textId="17F437C1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A56D7">
              <w:rPr>
                <w:sz w:val="20"/>
                <w:szCs w:val="20"/>
              </w:rPr>
              <w:t>5.56 (4.91 – 6.30)</w:t>
            </w:r>
          </w:p>
        </w:tc>
        <w:tc>
          <w:tcPr>
            <w:tcW w:w="1022" w:type="dxa"/>
            <w:vAlign w:val="center"/>
          </w:tcPr>
          <w:p w14:paraId="1B78B00F" w14:textId="0F0BA049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A56D7">
              <w:rPr>
                <w:sz w:val="20"/>
                <w:szCs w:val="20"/>
              </w:rPr>
              <w:t>0.81</w:t>
            </w:r>
          </w:p>
        </w:tc>
        <w:tc>
          <w:tcPr>
            <w:tcW w:w="1871" w:type="dxa"/>
            <w:gridSpan w:val="2"/>
            <w:tcBorders>
              <w:left w:val="nil"/>
            </w:tcBorders>
          </w:tcPr>
          <w:p w14:paraId="0006FF8D" w14:textId="4C10DAB3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A56D7">
              <w:rPr>
                <w:sz w:val="20"/>
                <w:szCs w:val="20"/>
              </w:rPr>
              <w:t>3.89 (3.39 – 4.46)</w:t>
            </w:r>
          </w:p>
        </w:tc>
        <w:tc>
          <w:tcPr>
            <w:tcW w:w="1025" w:type="dxa"/>
            <w:gridSpan w:val="2"/>
            <w:vAlign w:val="center"/>
          </w:tcPr>
          <w:p w14:paraId="27867E5E" w14:textId="3DA2D820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A56D7">
              <w:rPr>
                <w:sz w:val="20"/>
                <w:szCs w:val="20"/>
              </w:rPr>
              <w:t>0.16</w:t>
            </w:r>
          </w:p>
        </w:tc>
      </w:tr>
      <w:tr w:rsidR="00AA56D7" w:rsidRPr="00AA56D7" w14:paraId="1D123410" w14:textId="77777777" w:rsidTr="00AA56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</w:tcPr>
          <w:p w14:paraId="48CF8D53" w14:textId="77777777" w:rsidR="00AA56D7" w:rsidRPr="00AA56D7" w:rsidRDefault="00AA56D7" w:rsidP="00AA56D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nil"/>
            </w:tcBorders>
            <w:vAlign w:val="center"/>
          </w:tcPr>
          <w:p w14:paraId="5D6D749B" w14:textId="77777777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nil"/>
            </w:tcBorders>
          </w:tcPr>
          <w:p w14:paraId="4B1F34C7" w14:textId="790C0631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0738814D" w14:textId="77777777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nil"/>
            </w:tcBorders>
          </w:tcPr>
          <w:p w14:paraId="1DC513A2" w14:textId="77777777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nil"/>
            </w:tcBorders>
          </w:tcPr>
          <w:p w14:paraId="2C8EEB38" w14:textId="77777777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01E2941F" w14:textId="77777777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left w:val="nil"/>
            </w:tcBorders>
          </w:tcPr>
          <w:p w14:paraId="6C591564" w14:textId="77777777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25" w:type="dxa"/>
            <w:gridSpan w:val="2"/>
            <w:vAlign w:val="center"/>
          </w:tcPr>
          <w:p w14:paraId="30969D02" w14:textId="77777777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A56D7" w:rsidRPr="00AA56D7" w14:paraId="21632C8D" w14:textId="77777777" w:rsidTr="00AA56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</w:tcPr>
          <w:p w14:paraId="5E641796" w14:textId="77777777" w:rsidR="00AA56D7" w:rsidRPr="00AA56D7" w:rsidRDefault="00AA56D7" w:rsidP="00AA56D7">
            <w:pPr>
              <w:rPr>
                <w:b w:val="0"/>
                <w:sz w:val="20"/>
                <w:szCs w:val="20"/>
              </w:rPr>
            </w:pPr>
            <w:r w:rsidRPr="00AA56D7">
              <w:rPr>
                <w:b w:val="0"/>
                <w:sz w:val="20"/>
                <w:szCs w:val="20"/>
              </w:rPr>
              <w:t>Age (at baseline)</w:t>
            </w:r>
          </w:p>
        </w:tc>
        <w:tc>
          <w:tcPr>
            <w:tcW w:w="1018" w:type="dxa"/>
            <w:tcBorders>
              <w:left w:val="nil"/>
            </w:tcBorders>
            <w:vAlign w:val="center"/>
          </w:tcPr>
          <w:p w14:paraId="40E9C429" w14:textId="77777777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nil"/>
            </w:tcBorders>
          </w:tcPr>
          <w:p w14:paraId="63173D99" w14:textId="1E6C68DE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0DA2F538" w14:textId="77777777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nil"/>
            </w:tcBorders>
          </w:tcPr>
          <w:p w14:paraId="3FA628A1" w14:textId="77777777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nil"/>
            </w:tcBorders>
          </w:tcPr>
          <w:p w14:paraId="647186AC" w14:textId="77777777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72485AAF" w14:textId="77777777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left w:val="nil"/>
            </w:tcBorders>
          </w:tcPr>
          <w:p w14:paraId="5CCBE27C" w14:textId="77777777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25" w:type="dxa"/>
            <w:gridSpan w:val="2"/>
            <w:vAlign w:val="center"/>
          </w:tcPr>
          <w:p w14:paraId="14BC9314" w14:textId="77777777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A56D7" w:rsidRPr="00AA56D7" w14:paraId="29E0784F" w14:textId="77777777" w:rsidTr="00AA56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</w:tcPr>
          <w:p w14:paraId="74B0DF3B" w14:textId="77777777" w:rsidR="00AA56D7" w:rsidRPr="00AA56D7" w:rsidRDefault="00AA56D7" w:rsidP="00AA56D7">
            <w:pPr>
              <w:jc w:val="right"/>
              <w:rPr>
                <w:b w:val="0"/>
                <w:sz w:val="20"/>
                <w:szCs w:val="20"/>
              </w:rPr>
            </w:pPr>
            <w:r w:rsidRPr="00AA56D7">
              <w:rPr>
                <w:b w:val="0"/>
                <w:sz w:val="20"/>
                <w:szCs w:val="20"/>
              </w:rPr>
              <w:t>- 18 to 34 years</w:t>
            </w:r>
          </w:p>
        </w:tc>
        <w:tc>
          <w:tcPr>
            <w:tcW w:w="1018" w:type="dxa"/>
            <w:tcBorders>
              <w:left w:val="nil"/>
            </w:tcBorders>
            <w:vAlign w:val="center"/>
          </w:tcPr>
          <w:p w14:paraId="4070DB9C" w14:textId="77777777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A56D7">
              <w:rPr>
                <w:sz w:val="20"/>
                <w:szCs w:val="20"/>
              </w:rPr>
              <w:t>6,981</w:t>
            </w:r>
          </w:p>
        </w:tc>
        <w:tc>
          <w:tcPr>
            <w:tcW w:w="1304" w:type="dxa"/>
            <w:tcBorders>
              <w:left w:val="nil"/>
            </w:tcBorders>
          </w:tcPr>
          <w:p w14:paraId="44A5CF35" w14:textId="2D2933C9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A56D7">
              <w:rPr>
                <w:sz w:val="20"/>
                <w:szCs w:val="20"/>
              </w:rPr>
              <w:t>805</w:t>
            </w:r>
          </w:p>
        </w:tc>
        <w:tc>
          <w:tcPr>
            <w:tcW w:w="907" w:type="dxa"/>
          </w:tcPr>
          <w:p w14:paraId="280AEE6F" w14:textId="2B4A07F6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A56D7">
              <w:rPr>
                <w:sz w:val="20"/>
                <w:szCs w:val="20"/>
              </w:rPr>
              <w:t>42.5</w:t>
            </w:r>
          </w:p>
        </w:tc>
        <w:tc>
          <w:tcPr>
            <w:tcW w:w="1870" w:type="dxa"/>
            <w:tcBorders>
              <w:left w:val="nil"/>
            </w:tcBorders>
          </w:tcPr>
          <w:p w14:paraId="4669EB6B" w14:textId="52203505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A56D7">
              <w:rPr>
                <w:sz w:val="20"/>
                <w:szCs w:val="20"/>
              </w:rPr>
              <w:t>6.2</w:t>
            </w:r>
          </w:p>
        </w:tc>
        <w:tc>
          <w:tcPr>
            <w:tcW w:w="1871" w:type="dxa"/>
            <w:tcBorders>
              <w:left w:val="nil"/>
            </w:tcBorders>
          </w:tcPr>
          <w:p w14:paraId="68795291" w14:textId="389ED3B0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A56D7">
              <w:rPr>
                <w:sz w:val="20"/>
                <w:szCs w:val="20"/>
              </w:rPr>
              <w:t>7.12 (5.96 – 8.51)</w:t>
            </w:r>
          </w:p>
        </w:tc>
        <w:tc>
          <w:tcPr>
            <w:tcW w:w="1022" w:type="dxa"/>
            <w:vAlign w:val="center"/>
          </w:tcPr>
          <w:p w14:paraId="116177B2" w14:textId="402BDCBB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A56D7">
              <w:rPr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left w:val="nil"/>
            </w:tcBorders>
          </w:tcPr>
          <w:p w14:paraId="6339942B" w14:textId="6DBFCAF2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A56D7">
              <w:rPr>
                <w:sz w:val="20"/>
                <w:szCs w:val="20"/>
              </w:rPr>
              <w:t>3.06 (2.47 – 3.79)</w:t>
            </w:r>
          </w:p>
        </w:tc>
        <w:tc>
          <w:tcPr>
            <w:tcW w:w="1025" w:type="dxa"/>
            <w:gridSpan w:val="2"/>
            <w:vAlign w:val="center"/>
          </w:tcPr>
          <w:p w14:paraId="32F631C7" w14:textId="71D99E05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A56D7">
              <w:rPr>
                <w:sz w:val="20"/>
                <w:szCs w:val="20"/>
              </w:rPr>
              <w:t>-</w:t>
            </w:r>
          </w:p>
        </w:tc>
      </w:tr>
      <w:tr w:rsidR="00AA56D7" w:rsidRPr="00AA56D7" w14:paraId="27AB6CB7" w14:textId="77777777" w:rsidTr="00AA56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</w:tcPr>
          <w:p w14:paraId="23744073" w14:textId="77777777" w:rsidR="00AA56D7" w:rsidRPr="00AA56D7" w:rsidRDefault="00AA56D7" w:rsidP="00AA56D7">
            <w:pPr>
              <w:jc w:val="right"/>
              <w:rPr>
                <w:b w:val="0"/>
                <w:sz w:val="20"/>
                <w:szCs w:val="20"/>
              </w:rPr>
            </w:pPr>
            <w:r w:rsidRPr="00AA56D7">
              <w:rPr>
                <w:b w:val="0"/>
                <w:sz w:val="20"/>
                <w:szCs w:val="20"/>
              </w:rPr>
              <w:t>- 35 to 54 years</w:t>
            </w:r>
          </w:p>
        </w:tc>
        <w:tc>
          <w:tcPr>
            <w:tcW w:w="1018" w:type="dxa"/>
            <w:tcBorders>
              <w:left w:val="nil"/>
            </w:tcBorders>
            <w:vAlign w:val="center"/>
          </w:tcPr>
          <w:p w14:paraId="3DD935C6" w14:textId="77777777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A56D7">
              <w:rPr>
                <w:sz w:val="20"/>
                <w:szCs w:val="20"/>
              </w:rPr>
              <w:t>6,283</w:t>
            </w:r>
          </w:p>
        </w:tc>
        <w:tc>
          <w:tcPr>
            <w:tcW w:w="1304" w:type="dxa"/>
            <w:tcBorders>
              <w:left w:val="nil"/>
            </w:tcBorders>
          </w:tcPr>
          <w:p w14:paraId="50F0B708" w14:textId="20B46975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A56D7">
              <w:rPr>
                <w:sz w:val="20"/>
                <w:szCs w:val="20"/>
              </w:rPr>
              <w:t>1,041</w:t>
            </w:r>
          </w:p>
        </w:tc>
        <w:tc>
          <w:tcPr>
            <w:tcW w:w="907" w:type="dxa"/>
          </w:tcPr>
          <w:p w14:paraId="3DAAA066" w14:textId="44902C9D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A56D7">
              <w:rPr>
                <w:sz w:val="20"/>
                <w:szCs w:val="20"/>
              </w:rPr>
              <w:t>51.8</w:t>
            </w:r>
          </w:p>
        </w:tc>
        <w:tc>
          <w:tcPr>
            <w:tcW w:w="1870" w:type="dxa"/>
            <w:tcBorders>
              <w:left w:val="nil"/>
            </w:tcBorders>
          </w:tcPr>
          <w:p w14:paraId="55D83182" w14:textId="6A0C542E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A56D7">
              <w:rPr>
                <w:sz w:val="20"/>
                <w:szCs w:val="20"/>
              </w:rPr>
              <w:t>8.6</w:t>
            </w:r>
          </w:p>
        </w:tc>
        <w:tc>
          <w:tcPr>
            <w:tcW w:w="1871" w:type="dxa"/>
            <w:tcBorders>
              <w:left w:val="nil"/>
            </w:tcBorders>
          </w:tcPr>
          <w:p w14:paraId="61F03ADD" w14:textId="76065E0C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A56D7">
              <w:rPr>
                <w:sz w:val="20"/>
                <w:szCs w:val="20"/>
              </w:rPr>
              <w:t>6.34 (5.43 – 7.39)</w:t>
            </w:r>
          </w:p>
        </w:tc>
        <w:tc>
          <w:tcPr>
            <w:tcW w:w="1022" w:type="dxa"/>
            <w:vAlign w:val="center"/>
          </w:tcPr>
          <w:p w14:paraId="580F2D0A" w14:textId="6D52DD6E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A56D7">
              <w:rPr>
                <w:sz w:val="20"/>
                <w:szCs w:val="20"/>
              </w:rPr>
              <w:t>0.34</w:t>
            </w:r>
          </w:p>
        </w:tc>
        <w:tc>
          <w:tcPr>
            <w:tcW w:w="1871" w:type="dxa"/>
            <w:gridSpan w:val="2"/>
            <w:tcBorders>
              <w:left w:val="nil"/>
            </w:tcBorders>
          </w:tcPr>
          <w:p w14:paraId="593FC308" w14:textId="1F05B488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A56D7">
              <w:rPr>
                <w:sz w:val="20"/>
                <w:szCs w:val="20"/>
              </w:rPr>
              <w:t>3.25 (2.74 – 3.87)</w:t>
            </w:r>
          </w:p>
        </w:tc>
        <w:tc>
          <w:tcPr>
            <w:tcW w:w="1025" w:type="dxa"/>
            <w:gridSpan w:val="2"/>
            <w:vAlign w:val="center"/>
          </w:tcPr>
          <w:p w14:paraId="7E29E10B" w14:textId="38EB8AB7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A56D7">
              <w:rPr>
                <w:sz w:val="20"/>
                <w:szCs w:val="20"/>
              </w:rPr>
              <w:t>0.67</w:t>
            </w:r>
          </w:p>
        </w:tc>
      </w:tr>
      <w:tr w:rsidR="00AA56D7" w:rsidRPr="00AA56D7" w14:paraId="7CB09555" w14:textId="77777777" w:rsidTr="00AA56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</w:tcPr>
          <w:p w14:paraId="76767CEC" w14:textId="77777777" w:rsidR="00AA56D7" w:rsidRPr="00AA56D7" w:rsidRDefault="00AA56D7" w:rsidP="00AA56D7">
            <w:pPr>
              <w:jc w:val="right"/>
              <w:rPr>
                <w:b w:val="0"/>
                <w:sz w:val="20"/>
                <w:szCs w:val="20"/>
              </w:rPr>
            </w:pPr>
            <w:r w:rsidRPr="00AA56D7">
              <w:rPr>
                <w:b w:val="0"/>
                <w:sz w:val="20"/>
                <w:szCs w:val="20"/>
              </w:rPr>
              <w:t>- 55 to 84 years</w:t>
            </w:r>
          </w:p>
        </w:tc>
        <w:tc>
          <w:tcPr>
            <w:tcW w:w="1018" w:type="dxa"/>
            <w:tcBorders>
              <w:left w:val="nil"/>
            </w:tcBorders>
            <w:vAlign w:val="center"/>
          </w:tcPr>
          <w:p w14:paraId="3AA35EC6" w14:textId="77777777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A56D7">
              <w:rPr>
                <w:sz w:val="20"/>
                <w:szCs w:val="20"/>
              </w:rPr>
              <w:t>3,402</w:t>
            </w:r>
          </w:p>
        </w:tc>
        <w:tc>
          <w:tcPr>
            <w:tcW w:w="1304" w:type="dxa"/>
            <w:tcBorders>
              <w:left w:val="nil"/>
            </w:tcBorders>
          </w:tcPr>
          <w:p w14:paraId="2877A148" w14:textId="443E7343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A56D7">
              <w:rPr>
                <w:sz w:val="20"/>
                <w:szCs w:val="20"/>
              </w:rPr>
              <w:t>1,192</w:t>
            </w:r>
          </w:p>
        </w:tc>
        <w:tc>
          <w:tcPr>
            <w:tcW w:w="907" w:type="dxa"/>
          </w:tcPr>
          <w:p w14:paraId="10730859" w14:textId="3F3568FF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A56D7">
              <w:rPr>
                <w:sz w:val="20"/>
                <w:szCs w:val="20"/>
              </w:rPr>
              <w:t>113.5</w:t>
            </w:r>
          </w:p>
        </w:tc>
        <w:tc>
          <w:tcPr>
            <w:tcW w:w="1870" w:type="dxa"/>
            <w:tcBorders>
              <w:left w:val="nil"/>
            </w:tcBorders>
          </w:tcPr>
          <w:p w14:paraId="2813F2DC" w14:textId="7F09C24B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A56D7">
              <w:rPr>
                <w:sz w:val="20"/>
                <w:szCs w:val="20"/>
              </w:rPr>
              <w:t>26.2</w:t>
            </w:r>
          </w:p>
        </w:tc>
        <w:tc>
          <w:tcPr>
            <w:tcW w:w="1871" w:type="dxa"/>
            <w:tcBorders>
              <w:left w:val="nil"/>
            </w:tcBorders>
          </w:tcPr>
          <w:p w14:paraId="2058A210" w14:textId="346FB846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A56D7">
              <w:rPr>
                <w:sz w:val="20"/>
                <w:szCs w:val="20"/>
              </w:rPr>
              <w:t>4.56 (4.00 – 5.20)</w:t>
            </w:r>
          </w:p>
        </w:tc>
        <w:tc>
          <w:tcPr>
            <w:tcW w:w="1022" w:type="dxa"/>
            <w:vAlign w:val="center"/>
          </w:tcPr>
          <w:p w14:paraId="034E05E0" w14:textId="3CFD272D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A56D7">
              <w:rPr>
                <w:sz w:val="20"/>
                <w:szCs w:val="20"/>
              </w:rPr>
              <w:t>&lt;0.001</w:t>
            </w:r>
          </w:p>
        </w:tc>
        <w:tc>
          <w:tcPr>
            <w:tcW w:w="1871" w:type="dxa"/>
            <w:gridSpan w:val="2"/>
            <w:tcBorders>
              <w:left w:val="nil"/>
            </w:tcBorders>
          </w:tcPr>
          <w:p w14:paraId="63440F7B" w14:textId="56D4C9B4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A56D7">
              <w:rPr>
                <w:sz w:val="20"/>
                <w:szCs w:val="20"/>
              </w:rPr>
              <w:t>4.09 (3.52 – 4.76)</w:t>
            </w:r>
          </w:p>
        </w:tc>
        <w:tc>
          <w:tcPr>
            <w:tcW w:w="1025" w:type="dxa"/>
            <w:gridSpan w:val="2"/>
            <w:vAlign w:val="center"/>
          </w:tcPr>
          <w:p w14:paraId="4512C8DD" w14:textId="3C4AEEDC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A56D7">
              <w:rPr>
                <w:sz w:val="20"/>
                <w:szCs w:val="20"/>
              </w:rPr>
              <w:t>0.03</w:t>
            </w:r>
          </w:p>
        </w:tc>
      </w:tr>
      <w:tr w:rsidR="00AA56D7" w:rsidRPr="00AA56D7" w14:paraId="3FEB12AC" w14:textId="77777777" w:rsidTr="00AA56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</w:tcPr>
          <w:p w14:paraId="1D5DCFEC" w14:textId="77777777" w:rsidR="00AA56D7" w:rsidRPr="00AA56D7" w:rsidRDefault="00AA56D7" w:rsidP="00AA56D7">
            <w:pPr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nil"/>
            </w:tcBorders>
            <w:vAlign w:val="center"/>
          </w:tcPr>
          <w:p w14:paraId="32FE55E5" w14:textId="77777777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nil"/>
            </w:tcBorders>
            <w:vAlign w:val="center"/>
          </w:tcPr>
          <w:p w14:paraId="6231FEC4" w14:textId="77777777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3079778" w14:textId="77777777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nil"/>
            </w:tcBorders>
            <w:vAlign w:val="center"/>
          </w:tcPr>
          <w:p w14:paraId="454AB082" w14:textId="77777777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nil"/>
            </w:tcBorders>
            <w:vAlign w:val="center"/>
          </w:tcPr>
          <w:p w14:paraId="5D6243DE" w14:textId="77777777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1DD270EB" w14:textId="77777777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left w:val="nil"/>
            </w:tcBorders>
            <w:vAlign w:val="center"/>
          </w:tcPr>
          <w:p w14:paraId="2D42B5F9" w14:textId="77777777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25" w:type="dxa"/>
            <w:gridSpan w:val="2"/>
            <w:vAlign w:val="center"/>
          </w:tcPr>
          <w:p w14:paraId="734BD9AF" w14:textId="77777777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A56D7" w:rsidRPr="00AA56D7" w14:paraId="5F15744E" w14:textId="77777777" w:rsidTr="00AA56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0" w:type="dxa"/>
            <w:gridSpan w:val="11"/>
          </w:tcPr>
          <w:p w14:paraId="38383351" w14:textId="77777777" w:rsidR="00AA56D7" w:rsidRPr="00AA56D7" w:rsidRDefault="00AA56D7" w:rsidP="00AA56D7">
            <w:pPr>
              <w:rPr>
                <w:sz w:val="20"/>
                <w:szCs w:val="20"/>
              </w:rPr>
            </w:pPr>
            <w:r w:rsidRPr="00AA56D7">
              <w:rPr>
                <w:sz w:val="20"/>
                <w:szCs w:val="20"/>
              </w:rPr>
              <w:t>Stratified by characteristic of adult with ID</w:t>
            </w:r>
          </w:p>
        </w:tc>
      </w:tr>
      <w:tr w:rsidR="00AA56D7" w:rsidRPr="00AA56D7" w14:paraId="43A43962" w14:textId="77777777" w:rsidTr="00AA56D7">
        <w:trPr>
          <w:gridAfter w:val="1"/>
          <w:wAfter w:w="6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</w:tcPr>
          <w:p w14:paraId="551BB1EC" w14:textId="77777777" w:rsidR="00AA56D7" w:rsidRPr="00AA56D7" w:rsidRDefault="00AA56D7" w:rsidP="00AA56D7">
            <w:pPr>
              <w:rPr>
                <w:b w:val="0"/>
                <w:sz w:val="20"/>
                <w:szCs w:val="20"/>
              </w:rPr>
            </w:pPr>
            <w:r w:rsidRPr="00AA56D7">
              <w:rPr>
                <w:b w:val="0"/>
                <w:sz w:val="20"/>
                <w:szCs w:val="20"/>
              </w:rPr>
              <w:t>Down Syndrome</w:t>
            </w:r>
          </w:p>
        </w:tc>
        <w:tc>
          <w:tcPr>
            <w:tcW w:w="1018" w:type="dxa"/>
            <w:tcBorders>
              <w:left w:val="nil"/>
            </w:tcBorders>
            <w:vAlign w:val="center"/>
          </w:tcPr>
          <w:p w14:paraId="22857F8E" w14:textId="77777777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nil"/>
            </w:tcBorders>
            <w:vAlign w:val="center"/>
          </w:tcPr>
          <w:p w14:paraId="767B35BC" w14:textId="77777777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6FC9749D" w14:textId="77777777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nil"/>
            </w:tcBorders>
            <w:vAlign w:val="center"/>
          </w:tcPr>
          <w:p w14:paraId="1E8BAD0A" w14:textId="77777777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nil"/>
            </w:tcBorders>
            <w:vAlign w:val="center"/>
          </w:tcPr>
          <w:p w14:paraId="6F7A11CD" w14:textId="77777777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3909D604" w14:textId="77777777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3" w:type="dxa"/>
            <w:tcBorders>
              <w:left w:val="nil"/>
            </w:tcBorders>
            <w:vAlign w:val="center"/>
          </w:tcPr>
          <w:p w14:paraId="49642AB3" w14:textId="77777777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Align w:val="center"/>
          </w:tcPr>
          <w:p w14:paraId="22C6E74D" w14:textId="77777777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A56D7" w:rsidRPr="00AA56D7" w14:paraId="1E89521F" w14:textId="77777777" w:rsidTr="00AA56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</w:tcPr>
          <w:p w14:paraId="0E3A383A" w14:textId="77777777" w:rsidR="00AA56D7" w:rsidRPr="00AA56D7" w:rsidRDefault="00AA56D7" w:rsidP="00AA56D7">
            <w:pPr>
              <w:jc w:val="right"/>
              <w:rPr>
                <w:b w:val="0"/>
                <w:sz w:val="20"/>
                <w:szCs w:val="20"/>
              </w:rPr>
            </w:pPr>
            <w:r w:rsidRPr="00AA56D7">
              <w:rPr>
                <w:b w:val="0"/>
                <w:sz w:val="20"/>
                <w:szCs w:val="20"/>
              </w:rPr>
              <w:t>- Yes</w:t>
            </w:r>
          </w:p>
        </w:tc>
        <w:tc>
          <w:tcPr>
            <w:tcW w:w="1018" w:type="dxa"/>
            <w:tcBorders>
              <w:left w:val="nil"/>
            </w:tcBorders>
            <w:vAlign w:val="center"/>
          </w:tcPr>
          <w:p w14:paraId="6A8BB174" w14:textId="77777777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A56D7">
              <w:rPr>
                <w:sz w:val="20"/>
                <w:szCs w:val="20"/>
              </w:rPr>
              <w:t>1,793</w:t>
            </w:r>
          </w:p>
        </w:tc>
        <w:tc>
          <w:tcPr>
            <w:tcW w:w="1304" w:type="dxa"/>
            <w:tcBorders>
              <w:left w:val="nil"/>
            </w:tcBorders>
          </w:tcPr>
          <w:p w14:paraId="0C23ABAD" w14:textId="56BD6B3C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A56D7">
              <w:rPr>
                <w:sz w:val="20"/>
                <w:szCs w:val="20"/>
              </w:rPr>
              <w:t>392</w:t>
            </w:r>
          </w:p>
        </w:tc>
        <w:tc>
          <w:tcPr>
            <w:tcW w:w="907" w:type="dxa"/>
          </w:tcPr>
          <w:p w14:paraId="4F7DBAFA" w14:textId="77F30D92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A56D7">
              <w:rPr>
                <w:sz w:val="20"/>
                <w:szCs w:val="20"/>
              </w:rPr>
              <w:t>73.1</w:t>
            </w:r>
          </w:p>
        </w:tc>
        <w:tc>
          <w:tcPr>
            <w:tcW w:w="1870" w:type="dxa"/>
            <w:tcBorders>
              <w:left w:val="nil"/>
            </w:tcBorders>
          </w:tcPr>
          <w:p w14:paraId="257AEC54" w14:textId="425C8AE2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A56D7">
              <w:rPr>
                <w:sz w:val="20"/>
                <w:szCs w:val="20"/>
              </w:rPr>
              <w:t>9.3</w:t>
            </w:r>
          </w:p>
        </w:tc>
        <w:tc>
          <w:tcPr>
            <w:tcW w:w="1871" w:type="dxa"/>
            <w:tcBorders>
              <w:left w:val="nil"/>
            </w:tcBorders>
          </w:tcPr>
          <w:p w14:paraId="77C90E61" w14:textId="7348C8DB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A56D7">
              <w:rPr>
                <w:sz w:val="20"/>
                <w:szCs w:val="20"/>
              </w:rPr>
              <w:t>10.00 (7.54 – 13.28)</w:t>
            </w:r>
          </w:p>
        </w:tc>
        <w:tc>
          <w:tcPr>
            <w:tcW w:w="1022" w:type="dxa"/>
            <w:vAlign w:val="center"/>
          </w:tcPr>
          <w:p w14:paraId="7739A475" w14:textId="4A4E61B5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A56D7">
              <w:rPr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left w:val="nil"/>
            </w:tcBorders>
          </w:tcPr>
          <w:p w14:paraId="79671B34" w14:textId="3C07492D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A56D7">
              <w:rPr>
                <w:sz w:val="20"/>
                <w:szCs w:val="20"/>
              </w:rPr>
              <w:t>8.28 (5.73 – 11.98)</w:t>
            </w:r>
          </w:p>
        </w:tc>
        <w:tc>
          <w:tcPr>
            <w:tcW w:w="1025" w:type="dxa"/>
            <w:gridSpan w:val="2"/>
            <w:vAlign w:val="center"/>
          </w:tcPr>
          <w:p w14:paraId="038BA017" w14:textId="7E8F16D0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A56D7">
              <w:rPr>
                <w:sz w:val="20"/>
                <w:szCs w:val="20"/>
              </w:rPr>
              <w:t>-</w:t>
            </w:r>
          </w:p>
        </w:tc>
      </w:tr>
      <w:tr w:rsidR="00AA56D7" w:rsidRPr="00AA56D7" w14:paraId="06972336" w14:textId="77777777" w:rsidTr="00AA56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</w:tcPr>
          <w:p w14:paraId="152038D8" w14:textId="77777777" w:rsidR="00AA56D7" w:rsidRPr="00AA56D7" w:rsidRDefault="00AA56D7" w:rsidP="00AA56D7">
            <w:pPr>
              <w:jc w:val="right"/>
              <w:rPr>
                <w:b w:val="0"/>
                <w:sz w:val="20"/>
                <w:szCs w:val="20"/>
              </w:rPr>
            </w:pPr>
            <w:r w:rsidRPr="00AA56D7">
              <w:rPr>
                <w:b w:val="0"/>
                <w:sz w:val="20"/>
                <w:szCs w:val="20"/>
              </w:rPr>
              <w:t>- No</w:t>
            </w:r>
          </w:p>
        </w:tc>
        <w:tc>
          <w:tcPr>
            <w:tcW w:w="1018" w:type="dxa"/>
            <w:tcBorders>
              <w:left w:val="nil"/>
            </w:tcBorders>
            <w:vAlign w:val="center"/>
          </w:tcPr>
          <w:p w14:paraId="1031782F" w14:textId="77777777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A56D7">
              <w:rPr>
                <w:sz w:val="20"/>
                <w:szCs w:val="20"/>
              </w:rPr>
              <w:t>14,873</w:t>
            </w:r>
          </w:p>
        </w:tc>
        <w:tc>
          <w:tcPr>
            <w:tcW w:w="1304" w:type="dxa"/>
            <w:tcBorders>
              <w:left w:val="nil"/>
            </w:tcBorders>
          </w:tcPr>
          <w:p w14:paraId="54DC6203" w14:textId="3BC7BB6F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A56D7">
              <w:rPr>
                <w:sz w:val="20"/>
                <w:szCs w:val="20"/>
              </w:rPr>
              <w:t>2,646</w:t>
            </w:r>
          </w:p>
        </w:tc>
        <w:tc>
          <w:tcPr>
            <w:tcW w:w="907" w:type="dxa"/>
          </w:tcPr>
          <w:p w14:paraId="25A8FD1C" w14:textId="526B371A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A56D7">
              <w:rPr>
                <w:sz w:val="20"/>
                <w:szCs w:val="20"/>
              </w:rPr>
              <w:t>59.9</w:t>
            </w:r>
          </w:p>
        </w:tc>
        <w:tc>
          <w:tcPr>
            <w:tcW w:w="1870" w:type="dxa"/>
            <w:tcBorders>
              <w:left w:val="nil"/>
            </w:tcBorders>
          </w:tcPr>
          <w:p w14:paraId="5F02E3DA" w14:textId="762DBEED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A56D7">
              <w:rPr>
                <w:sz w:val="20"/>
                <w:szCs w:val="20"/>
              </w:rPr>
              <w:t>12.0</w:t>
            </w:r>
          </w:p>
        </w:tc>
        <w:tc>
          <w:tcPr>
            <w:tcW w:w="1871" w:type="dxa"/>
            <w:tcBorders>
              <w:left w:val="nil"/>
            </w:tcBorders>
          </w:tcPr>
          <w:p w14:paraId="0CEC0361" w14:textId="54028C2C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A56D7">
              <w:rPr>
                <w:sz w:val="20"/>
                <w:szCs w:val="20"/>
              </w:rPr>
              <w:t>5.26 (4.79 – 5.77)</w:t>
            </w:r>
          </w:p>
        </w:tc>
        <w:tc>
          <w:tcPr>
            <w:tcW w:w="1022" w:type="dxa"/>
            <w:vAlign w:val="center"/>
          </w:tcPr>
          <w:p w14:paraId="554A6A44" w14:textId="00C85A6A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A56D7">
              <w:rPr>
                <w:sz w:val="20"/>
                <w:szCs w:val="20"/>
              </w:rPr>
              <w:t>0.001</w:t>
            </w:r>
          </w:p>
        </w:tc>
        <w:tc>
          <w:tcPr>
            <w:tcW w:w="1871" w:type="dxa"/>
            <w:gridSpan w:val="2"/>
            <w:tcBorders>
              <w:left w:val="nil"/>
            </w:tcBorders>
          </w:tcPr>
          <w:p w14:paraId="22DB9E3A" w14:textId="2141539A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A56D7">
              <w:rPr>
                <w:sz w:val="20"/>
                <w:szCs w:val="20"/>
              </w:rPr>
              <w:t>3.21 (2.88 – 3.58)</w:t>
            </w:r>
          </w:p>
        </w:tc>
        <w:tc>
          <w:tcPr>
            <w:tcW w:w="1025" w:type="dxa"/>
            <w:gridSpan w:val="2"/>
            <w:vAlign w:val="center"/>
          </w:tcPr>
          <w:p w14:paraId="5E51E3A5" w14:textId="6230EC2C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A56D7">
              <w:rPr>
                <w:sz w:val="20"/>
                <w:szCs w:val="20"/>
              </w:rPr>
              <w:t>0.002</w:t>
            </w:r>
          </w:p>
        </w:tc>
      </w:tr>
      <w:tr w:rsidR="00AA56D7" w:rsidRPr="00AA56D7" w14:paraId="15D2199C" w14:textId="77777777" w:rsidTr="00AA56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  <w:vAlign w:val="center"/>
          </w:tcPr>
          <w:p w14:paraId="6F2E822A" w14:textId="77777777" w:rsidR="00AA56D7" w:rsidRPr="00AA56D7" w:rsidRDefault="00AA56D7" w:rsidP="00AA56D7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nil"/>
            </w:tcBorders>
            <w:vAlign w:val="center"/>
          </w:tcPr>
          <w:p w14:paraId="66448442" w14:textId="77777777" w:rsidR="00AA56D7" w:rsidRPr="00AA56D7" w:rsidRDefault="00AA56D7" w:rsidP="00AA56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nil"/>
            </w:tcBorders>
            <w:vAlign w:val="center"/>
          </w:tcPr>
          <w:p w14:paraId="6D92D3AE" w14:textId="77777777" w:rsidR="00AA56D7" w:rsidRPr="00AA56D7" w:rsidRDefault="00AA56D7" w:rsidP="00AA56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34CFB625" w14:textId="77777777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nil"/>
            </w:tcBorders>
          </w:tcPr>
          <w:p w14:paraId="1F8B6DB4" w14:textId="77777777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nil"/>
            </w:tcBorders>
          </w:tcPr>
          <w:p w14:paraId="42FC5813" w14:textId="77777777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14:paraId="65CBA7E4" w14:textId="77777777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left w:val="nil"/>
            </w:tcBorders>
            <w:vAlign w:val="center"/>
          </w:tcPr>
          <w:p w14:paraId="50F4D19C" w14:textId="77777777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25" w:type="dxa"/>
            <w:gridSpan w:val="2"/>
          </w:tcPr>
          <w:p w14:paraId="5B1A2A35" w14:textId="77777777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A56D7" w:rsidRPr="00AA56D7" w14:paraId="43C40785" w14:textId="77777777" w:rsidTr="00AA56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  <w:vAlign w:val="center"/>
          </w:tcPr>
          <w:p w14:paraId="382D2DCB" w14:textId="77777777" w:rsidR="00AA56D7" w:rsidRPr="00AA56D7" w:rsidRDefault="00AA56D7" w:rsidP="00AA56D7">
            <w:pPr>
              <w:rPr>
                <w:b w:val="0"/>
                <w:bCs w:val="0"/>
                <w:sz w:val="20"/>
                <w:szCs w:val="20"/>
              </w:rPr>
            </w:pPr>
            <w:r w:rsidRPr="00AA56D7">
              <w:rPr>
                <w:b w:val="0"/>
                <w:sz w:val="20"/>
                <w:szCs w:val="20"/>
              </w:rPr>
              <w:t>Communal Accommodation</w:t>
            </w:r>
          </w:p>
        </w:tc>
        <w:tc>
          <w:tcPr>
            <w:tcW w:w="1018" w:type="dxa"/>
            <w:tcBorders>
              <w:left w:val="nil"/>
            </w:tcBorders>
            <w:vAlign w:val="center"/>
          </w:tcPr>
          <w:p w14:paraId="3842A076" w14:textId="77777777" w:rsidR="00AA56D7" w:rsidRPr="00AA56D7" w:rsidRDefault="00AA56D7" w:rsidP="00AA56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nil"/>
            </w:tcBorders>
            <w:vAlign w:val="center"/>
          </w:tcPr>
          <w:p w14:paraId="6F128EEE" w14:textId="77777777" w:rsidR="00AA56D7" w:rsidRPr="00AA56D7" w:rsidRDefault="00AA56D7" w:rsidP="00AA56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360225EA" w14:textId="77777777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nil"/>
            </w:tcBorders>
          </w:tcPr>
          <w:p w14:paraId="0B7559C1" w14:textId="77777777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nil"/>
            </w:tcBorders>
          </w:tcPr>
          <w:p w14:paraId="3000E920" w14:textId="77777777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14:paraId="2DFC4A51" w14:textId="77777777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left w:val="nil"/>
            </w:tcBorders>
            <w:vAlign w:val="center"/>
          </w:tcPr>
          <w:p w14:paraId="42BBC929" w14:textId="77777777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25" w:type="dxa"/>
            <w:gridSpan w:val="2"/>
          </w:tcPr>
          <w:p w14:paraId="39210B87" w14:textId="77777777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A56D7" w:rsidRPr="00AA56D7" w14:paraId="5A1B5AAC" w14:textId="77777777" w:rsidTr="00AA56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</w:tcPr>
          <w:p w14:paraId="52614C1D" w14:textId="77777777" w:rsidR="00AA56D7" w:rsidRPr="00AA56D7" w:rsidRDefault="00AA56D7" w:rsidP="00AA56D7">
            <w:pPr>
              <w:jc w:val="right"/>
              <w:rPr>
                <w:b w:val="0"/>
                <w:sz w:val="20"/>
                <w:szCs w:val="20"/>
              </w:rPr>
            </w:pPr>
            <w:r w:rsidRPr="00AA56D7">
              <w:rPr>
                <w:b w:val="0"/>
                <w:sz w:val="20"/>
                <w:szCs w:val="20"/>
              </w:rPr>
              <w:t>- Yes</w:t>
            </w:r>
          </w:p>
        </w:tc>
        <w:tc>
          <w:tcPr>
            <w:tcW w:w="1018" w:type="dxa"/>
            <w:tcBorders>
              <w:left w:val="nil"/>
            </w:tcBorders>
            <w:vAlign w:val="center"/>
          </w:tcPr>
          <w:p w14:paraId="79B1C35B" w14:textId="77777777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A56D7">
              <w:rPr>
                <w:sz w:val="20"/>
                <w:szCs w:val="20"/>
              </w:rPr>
              <w:t>3,392</w:t>
            </w:r>
          </w:p>
        </w:tc>
        <w:tc>
          <w:tcPr>
            <w:tcW w:w="1304" w:type="dxa"/>
            <w:tcBorders>
              <w:left w:val="nil"/>
            </w:tcBorders>
          </w:tcPr>
          <w:p w14:paraId="33A07D8F" w14:textId="786E549B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A56D7">
              <w:rPr>
                <w:sz w:val="20"/>
                <w:szCs w:val="20"/>
              </w:rPr>
              <w:t>915</w:t>
            </w:r>
          </w:p>
        </w:tc>
        <w:tc>
          <w:tcPr>
            <w:tcW w:w="907" w:type="dxa"/>
          </w:tcPr>
          <w:p w14:paraId="2EFDA866" w14:textId="09E1464B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A56D7">
              <w:rPr>
                <w:sz w:val="20"/>
                <w:szCs w:val="20"/>
              </w:rPr>
              <w:t>87.9</w:t>
            </w:r>
          </w:p>
        </w:tc>
        <w:tc>
          <w:tcPr>
            <w:tcW w:w="1870" w:type="dxa"/>
            <w:tcBorders>
              <w:left w:val="nil"/>
            </w:tcBorders>
          </w:tcPr>
          <w:p w14:paraId="5432158A" w14:textId="22524F10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A56D7">
              <w:rPr>
                <w:sz w:val="20"/>
                <w:szCs w:val="20"/>
              </w:rPr>
              <w:t>14.0</w:t>
            </w:r>
          </w:p>
        </w:tc>
        <w:tc>
          <w:tcPr>
            <w:tcW w:w="1871" w:type="dxa"/>
            <w:tcBorders>
              <w:left w:val="nil"/>
            </w:tcBorders>
          </w:tcPr>
          <w:p w14:paraId="207129B9" w14:textId="4AAFEBE8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A56D7">
              <w:rPr>
                <w:sz w:val="20"/>
                <w:szCs w:val="20"/>
              </w:rPr>
              <w:t>6.86 (5.78 – 8.14)</w:t>
            </w:r>
          </w:p>
        </w:tc>
        <w:tc>
          <w:tcPr>
            <w:tcW w:w="1022" w:type="dxa"/>
            <w:vAlign w:val="center"/>
          </w:tcPr>
          <w:p w14:paraId="305A68D6" w14:textId="59FA0DFA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A56D7">
              <w:rPr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left w:val="nil"/>
            </w:tcBorders>
          </w:tcPr>
          <w:p w14:paraId="1774B04A" w14:textId="68F722D5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A56D7">
              <w:rPr>
                <w:sz w:val="20"/>
                <w:szCs w:val="20"/>
              </w:rPr>
              <w:t>4.98 (4.01 – 6.20)</w:t>
            </w:r>
          </w:p>
        </w:tc>
        <w:tc>
          <w:tcPr>
            <w:tcW w:w="1025" w:type="dxa"/>
            <w:gridSpan w:val="2"/>
            <w:vAlign w:val="center"/>
          </w:tcPr>
          <w:p w14:paraId="729BB27D" w14:textId="6C003E9C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A56D7">
              <w:rPr>
                <w:sz w:val="20"/>
                <w:szCs w:val="20"/>
              </w:rPr>
              <w:t>-</w:t>
            </w:r>
          </w:p>
        </w:tc>
      </w:tr>
      <w:tr w:rsidR="00AA56D7" w:rsidRPr="00AA56D7" w14:paraId="2C1F08E3" w14:textId="77777777" w:rsidTr="00AA56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</w:tcPr>
          <w:p w14:paraId="66725CA9" w14:textId="77777777" w:rsidR="00AA56D7" w:rsidRPr="00AA56D7" w:rsidRDefault="00AA56D7" w:rsidP="00AA56D7">
            <w:pPr>
              <w:jc w:val="right"/>
              <w:rPr>
                <w:b w:val="0"/>
                <w:sz w:val="20"/>
                <w:szCs w:val="20"/>
              </w:rPr>
            </w:pPr>
            <w:r w:rsidRPr="00AA56D7">
              <w:rPr>
                <w:b w:val="0"/>
                <w:sz w:val="20"/>
                <w:szCs w:val="20"/>
              </w:rPr>
              <w:t>- No</w:t>
            </w:r>
          </w:p>
        </w:tc>
        <w:tc>
          <w:tcPr>
            <w:tcW w:w="1018" w:type="dxa"/>
            <w:tcBorders>
              <w:left w:val="nil"/>
            </w:tcBorders>
            <w:vAlign w:val="center"/>
          </w:tcPr>
          <w:p w14:paraId="4C59B9FA" w14:textId="77777777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A56D7">
              <w:rPr>
                <w:sz w:val="20"/>
                <w:szCs w:val="20"/>
              </w:rPr>
              <w:t>13,274</w:t>
            </w:r>
          </w:p>
        </w:tc>
        <w:tc>
          <w:tcPr>
            <w:tcW w:w="1304" w:type="dxa"/>
            <w:tcBorders>
              <w:left w:val="nil"/>
            </w:tcBorders>
          </w:tcPr>
          <w:p w14:paraId="29408BF4" w14:textId="3BB0C2DB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A56D7">
              <w:rPr>
                <w:sz w:val="20"/>
                <w:szCs w:val="20"/>
              </w:rPr>
              <w:t>2,123</w:t>
            </w:r>
          </w:p>
        </w:tc>
        <w:tc>
          <w:tcPr>
            <w:tcW w:w="907" w:type="dxa"/>
          </w:tcPr>
          <w:p w14:paraId="2C45EB34" w14:textId="606EE2D4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A56D7">
              <w:rPr>
                <w:sz w:val="20"/>
                <w:szCs w:val="20"/>
              </w:rPr>
              <w:t>54.2</w:t>
            </w:r>
          </w:p>
        </w:tc>
        <w:tc>
          <w:tcPr>
            <w:tcW w:w="1870" w:type="dxa"/>
            <w:tcBorders>
              <w:left w:val="nil"/>
            </w:tcBorders>
          </w:tcPr>
          <w:p w14:paraId="115D0262" w14:textId="1900B81C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A56D7">
              <w:rPr>
                <w:sz w:val="20"/>
                <w:szCs w:val="20"/>
              </w:rPr>
              <w:t>11.1</w:t>
            </w:r>
          </w:p>
        </w:tc>
        <w:tc>
          <w:tcPr>
            <w:tcW w:w="1871" w:type="dxa"/>
            <w:tcBorders>
              <w:left w:val="nil"/>
            </w:tcBorders>
          </w:tcPr>
          <w:p w14:paraId="383130EF" w14:textId="4BA3BC86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A56D7">
              <w:rPr>
                <w:sz w:val="20"/>
                <w:szCs w:val="20"/>
              </w:rPr>
              <w:t>5.20 (4.70 – 5.76)</w:t>
            </w:r>
          </w:p>
        </w:tc>
        <w:tc>
          <w:tcPr>
            <w:tcW w:w="1022" w:type="dxa"/>
            <w:vAlign w:val="center"/>
          </w:tcPr>
          <w:p w14:paraId="522F17AA" w14:textId="63843CEA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A56D7">
              <w:rPr>
                <w:sz w:val="20"/>
                <w:szCs w:val="20"/>
              </w:rPr>
              <w:t>0.01</w:t>
            </w:r>
          </w:p>
        </w:tc>
        <w:tc>
          <w:tcPr>
            <w:tcW w:w="1871" w:type="dxa"/>
            <w:gridSpan w:val="2"/>
            <w:tcBorders>
              <w:left w:val="nil"/>
            </w:tcBorders>
          </w:tcPr>
          <w:p w14:paraId="73ABC29A" w14:textId="6321CDD9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A56D7">
              <w:rPr>
                <w:sz w:val="20"/>
                <w:szCs w:val="20"/>
              </w:rPr>
              <w:t>3.35 (2.98 – 3.77)</w:t>
            </w:r>
          </w:p>
        </w:tc>
        <w:tc>
          <w:tcPr>
            <w:tcW w:w="1025" w:type="dxa"/>
            <w:gridSpan w:val="2"/>
            <w:vAlign w:val="center"/>
          </w:tcPr>
          <w:p w14:paraId="1F5572BA" w14:textId="22E2ECCE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A56D7">
              <w:rPr>
                <w:sz w:val="20"/>
                <w:szCs w:val="20"/>
              </w:rPr>
              <w:t>0.006</w:t>
            </w:r>
          </w:p>
        </w:tc>
      </w:tr>
      <w:tr w:rsidR="00AA56D7" w:rsidRPr="00AA56D7" w14:paraId="6B3A0F12" w14:textId="77777777" w:rsidTr="00AA56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  <w:vAlign w:val="center"/>
          </w:tcPr>
          <w:p w14:paraId="3DA4B299" w14:textId="77777777" w:rsidR="00AA56D7" w:rsidRPr="00AA56D7" w:rsidRDefault="00AA56D7" w:rsidP="00AA56D7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nil"/>
            </w:tcBorders>
            <w:vAlign w:val="center"/>
          </w:tcPr>
          <w:p w14:paraId="72647205" w14:textId="77777777" w:rsidR="00AA56D7" w:rsidRPr="00AA56D7" w:rsidRDefault="00AA56D7" w:rsidP="00AA56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nil"/>
            </w:tcBorders>
            <w:vAlign w:val="center"/>
          </w:tcPr>
          <w:p w14:paraId="12770CE0" w14:textId="77777777" w:rsidR="00AA56D7" w:rsidRPr="00AA56D7" w:rsidRDefault="00AA56D7" w:rsidP="00AA56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7C35A5F1" w14:textId="77777777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nil"/>
            </w:tcBorders>
          </w:tcPr>
          <w:p w14:paraId="312C1413" w14:textId="77777777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nil"/>
            </w:tcBorders>
          </w:tcPr>
          <w:p w14:paraId="030AEAC2" w14:textId="77777777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14:paraId="54DCBD63" w14:textId="77777777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left w:val="nil"/>
            </w:tcBorders>
            <w:vAlign w:val="center"/>
          </w:tcPr>
          <w:p w14:paraId="335A5F8D" w14:textId="77777777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25" w:type="dxa"/>
            <w:gridSpan w:val="2"/>
          </w:tcPr>
          <w:p w14:paraId="2D1073DF" w14:textId="77777777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A56D7" w:rsidRPr="00AA56D7" w14:paraId="433CEB00" w14:textId="77777777" w:rsidTr="00AA56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  <w:vAlign w:val="center"/>
          </w:tcPr>
          <w:p w14:paraId="2D61164F" w14:textId="77777777" w:rsidR="00AA56D7" w:rsidRPr="00AA56D7" w:rsidRDefault="00AA56D7" w:rsidP="00AA56D7">
            <w:pPr>
              <w:rPr>
                <w:b w:val="0"/>
                <w:bCs w:val="0"/>
                <w:sz w:val="20"/>
                <w:szCs w:val="20"/>
              </w:rPr>
            </w:pPr>
            <w:r w:rsidRPr="00AA56D7">
              <w:rPr>
                <w:b w:val="0"/>
                <w:sz w:val="20"/>
                <w:szCs w:val="20"/>
              </w:rPr>
              <w:t>High level of support needs†</w:t>
            </w:r>
          </w:p>
        </w:tc>
        <w:tc>
          <w:tcPr>
            <w:tcW w:w="1018" w:type="dxa"/>
            <w:tcBorders>
              <w:left w:val="nil"/>
            </w:tcBorders>
            <w:vAlign w:val="center"/>
          </w:tcPr>
          <w:p w14:paraId="00A1966A" w14:textId="77777777" w:rsidR="00AA56D7" w:rsidRPr="00AA56D7" w:rsidRDefault="00AA56D7" w:rsidP="00AA56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nil"/>
            </w:tcBorders>
            <w:vAlign w:val="center"/>
          </w:tcPr>
          <w:p w14:paraId="52141F72" w14:textId="77777777" w:rsidR="00AA56D7" w:rsidRPr="00AA56D7" w:rsidRDefault="00AA56D7" w:rsidP="00AA56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6907486E" w14:textId="77777777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nil"/>
            </w:tcBorders>
          </w:tcPr>
          <w:p w14:paraId="57729E78" w14:textId="77777777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nil"/>
            </w:tcBorders>
          </w:tcPr>
          <w:p w14:paraId="63363AC2" w14:textId="77777777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14:paraId="32790429" w14:textId="77777777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left w:val="nil"/>
            </w:tcBorders>
            <w:vAlign w:val="center"/>
          </w:tcPr>
          <w:p w14:paraId="67A17102" w14:textId="77777777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25" w:type="dxa"/>
            <w:gridSpan w:val="2"/>
          </w:tcPr>
          <w:p w14:paraId="37794AF2" w14:textId="77777777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A56D7" w:rsidRPr="00AA56D7" w14:paraId="3989D573" w14:textId="77777777" w:rsidTr="00AA56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</w:tcPr>
          <w:p w14:paraId="1310249D" w14:textId="77777777" w:rsidR="00AA56D7" w:rsidRPr="00AA56D7" w:rsidRDefault="00AA56D7" w:rsidP="00AA56D7">
            <w:pPr>
              <w:jc w:val="right"/>
              <w:rPr>
                <w:b w:val="0"/>
                <w:sz w:val="20"/>
                <w:szCs w:val="20"/>
              </w:rPr>
            </w:pPr>
            <w:r w:rsidRPr="00AA56D7">
              <w:rPr>
                <w:b w:val="0"/>
                <w:sz w:val="20"/>
                <w:szCs w:val="20"/>
              </w:rPr>
              <w:t>- Yes</w:t>
            </w:r>
          </w:p>
        </w:tc>
        <w:tc>
          <w:tcPr>
            <w:tcW w:w="1018" w:type="dxa"/>
            <w:tcBorders>
              <w:left w:val="nil"/>
            </w:tcBorders>
            <w:vAlign w:val="center"/>
          </w:tcPr>
          <w:p w14:paraId="6D5944B1" w14:textId="77777777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A56D7">
              <w:rPr>
                <w:sz w:val="20"/>
                <w:szCs w:val="20"/>
              </w:rPr>
              <w:t>3,263</w:t>
            </w:r>
          </w:p>
        </w:tc>
        <w:tc>
          <w:tcPr>
            <w:tcW w:w="1304" w:type="dxa"/>
            <w:tcBorders>
              <w:left w:val="nil"/>
            </w:tcBorders>
          </w:tcPr>
          <w:p w14:paraId="14AD3A35" w14:textId="073031D7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A56D7">
              <w:rPr>
                <w:sz w:val="20"/>
                <w:szCs w:val="20"/>
              </w:rPr>
              <w:t>1,154</w:t>
            </w:r>
          </w:p>
        </w:tc>
        <w:tc>
          <w:tcPr>
            <w:tcW w:w="907" w:type="dxa"/>
          </w:tcPr>
          <w:p w14:paraId="549EB920" w14:textId="76A34EAF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A56D7">
              <w:rPr>
                <w:sz w:val="20"/>
                <w:szCs w:val="20"/>
              </w:rPr>
              <w:t>113.2</w:t>
            </w:r>
          </w:p>
        </w:tc>
        <w:tc>
          <w:tcPr>
            <w:tcW w:w="1870" w:type="dxa"/>
            <w:tcBorders>
              <w:left w:val="nil"/>
            </w:tcBorders>
          </w:tcPr>
          <w:p w14:paraId="6830F177" w14:textId="720E8416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A56D7">
              <w:rPr>
                <w:sz w:val="20"/>
                <w:szCs w:val="20"/>
              </w:rPr>
              <w:t>12.1</w:t>
            </w:r>
          </w:p>
        </w:tc>
        <w:tc>
          <w:tcPr>
            <w:tcW w:w="1871" w:type="dxa"/>
            <w:tcBorders>
              <w:left w:val="nil"/>
            </w:tcBorders>
          </w:tcPr>
          <w:p w14:paraId="38AC5133" w14:textId="31EE2B37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A56D7">
              <w:rPr>
                <w:sz w:val="20"/>
                <w:szCs w:val="20"/>
              </w:rPr>
              <w:t>10.31 (8.81 – 12.07)</w:t>
            </w:r>
          </w:p>
        </w:tc>
        <w:tc>
          <w:tcPr>
            <w:tcW w:w="1022" w:type="dxa"/>
            <w:vAlign w:val="center"/>
          </w:tcPr>
          <w:p w14:paraId="45B3EBBE" w14:textId="18FCB420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A56D7">
              <w:rPr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left w:val="nil"/>
            </w:tcBorders>
          </w:tcPr>
          <w:p w14:paraId="2267A62D" w14:textId="3196EC9E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A56D7">
              <w:rPr>
                <w:sz w:val="20"/>
                <w:szCs w:val="20"/>
              </w:rPr>
              <w:t>11.78 (9.78 – 14.19)</w:t>
            </w:r>
          </w:p>
        </w:tc>
        <w:tc>
          <w:tcPr>
            <w:tcW w:w="1025" w:type="dxa"/>
            <w:gridSpan w:val="2"/>
            <w:vAlign w:val="center"/>
          </w:tcPr>
          <w:p w14:paraId="7D5ED121" w14:textId="06003DB2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A56D7">
              <w:rPr>
                <w:sz w:val="20"/>
                <w:szCs w:val="20"/>
              </w:rPr>
              <w:t>-</w:t>
            </w:r>
          </w:p>
        </w:tc>
      </w:tr>
      <w:tr w:rsidR="00AA56D7" w:rsidRPr="00AA56D7" w14:paraId="1CF1B25B" w14:textId="77777777" w:rsidTr="00AA56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  <w:tcBorders>
              <w:bottom w:val="single" w:sz="4" w:space="0" w:color="auto"/>
            </w:tcBorders>
          </w:tcPr>
          <w:p w14:paraId="77CE7D5B" w14:textId="77777777" w:rsidR="00AA56D7" w:rsidRPr="00AA56D7" w:rsidRDefault="00AA56D7" w:rsidP="00AA56D7">
            <w:pPr>
              <w:jc w:val="right"/>
              <w:rPr>
                <w:b w:val="0"/>
                <w:sz w:val="20"/>
                <w:szCs w:val="20"/>
              </w:rPr>
            </w:pPr>
            <w:r w:rsidRPr="00AA56D7">
              <w:rPr>
                <w:b w:val="0"/>
                <w:sz w:val="20"/>
                <w:szCs w:val="20"/>
              </w:rPr>
              <w:t>- No</w:t>
            </w:r>
          </w:p>
        </w:tc>
        <w:tc>
          <w:tcPr>
            <w:tcW w:w="1018" w:type="dxa"/>
            <w:tcBorders>
              <w:left w:val="nil"/>
              <w:bottom w:val="single" w:sz="4" w:space="0" w:color="auto"/>
            </w:tcBorders>
            <w:vAlign w:val="center"/>
          </w:tcPr>
          <w:p w14:paraId="47AC116E" w14:textId="77777777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A56D7">
              <w:rPr>
                <w:sz w:val="20"/>
                <w:szCs w:val="20"/>
              </w:rPr>
              <w:t>13,403</w:t>
            </w:r>
          </w:p>
        </w:tc>
        <w:tc>
          <w:tcPr>
            <w:tcW w:w="1304" w:type="dxa"/>
            <w:tcBorders>
              <w:left w:val="nil"/>
              <w:bottom w:val="single" w:sz="4" w:space="0" w:color="auto"/>
            </w:tcBorders>
          </w:tcPr>
          <w:p w14:paraId="2F258F17" w14:textId="5EF4B642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A56D7">
              <w:rPr>
                <w:sz w:val="20"/>
                <w:szCs w:val="20"/>
              </w:rPr>
              <w:t>1,884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4EEF2EEF" w14:textId="524B9667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A56D7">
              <w:rPr>
                <w:sz w:val="20"/>
                <w:szCs w:val="20"/>
              </w:rPr>
              <w:t>47.9</w:t>
            </w:r>
          </w:p>
        </w:tc>
        <w:tc>
          <w:tcPr>
            <w:tcW w:w="1870" w:type="dxa"/>
            <w:tcBorders>
              <w:left w:val="nil"/>
              <w:bottom w:val="single" w:sz="4" w:space="0" w:color="auto"/>
            </w:tcBorders>
          </w:tcPr>
          <w:p w14:paraId="48E86EE6" w14:textId="38D5C4DC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A56D7">
              <w:rPr>
                <w:sz w:val="20"/>
                <w:szCs w:val="20"/>
              </w:rPr>
              <w:t>11.6</w:t>
            </w:r>
          </w:p>
        </w:tc>
        <w:tc>
          <w:tcPr>
            <w:tcW w:w="1871" w:type="dxa"/>
            <w:tcBorders>
              <w:left w:val="nil"/>
              <w:bottom w:val="single" w:sz="4" w:space="0" w:color="auto"/>
            </w:tcBorders>
          </w:tcPr>
          <w:p w14:paraId="17F352DC" w14:textId="7BEE04C9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A56D7">
              <w:rPr>
                <w:sz w:val="20"/>
                <w:szCs w:val="20"/>
              </w:rPr>
              <w:t>4.40 (3.95 – 4.90)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14:paraId="6CBE8B93" w14:textId="753A7D31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A56D7">
              <w:rPr>
                <w:sz w:val="20"/>
                <w:szCs w:val="20"/>
              </w:rPr>
              <w:t>&lt;0.001</w:t>
            </w:r>
          </w:p>
        </w:tc>
        <w:tc>
          <w:tcPr>
            <w:tcW w:w="1871" w:type="dxa"/>
            <w:gridSpan w:val="2"/>
            <w:tcBorders>
              <w:left w:val="nil"/>
              <w:bottom w:val="single" w:sz="4" w:space="0" w:color="auto"/>
            </w:tcBorders>
          </w:tcPr>
          <w:p w14:paraId="64FD7572" w14:textId="5FE1A979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A56D7">
              <w:rPr>
                <w:sz w:val="20"/>
                <w:szCs w:val="20"/>
              </w:rPr>
              <w:t>4.28 (3.80 – 4.81)</w:t>
            </w:r>
          </w:p>
        </w:tc>
        <w:tc>
          <w:tcPr>
            <w:tcW w:w="1025" w:type="dxa"/>
            <w:gridSpan w:val="2"/>
            <w:tcBorders>
              <w:bottom w:val="single" w:sz="4" w:space="0" w:color="auto"/>
            </w:tcBorders>
            <w:vAlign w:val="center"/>
          </w:tcPr>
          <w:p w14:paraId="6A8F77BE" w14:textId="6F2F7DB7" w:rsidR="00AA56D7" w:rsidRPr="00AA56D7" w:rsidRDefault="00AA56D7" w:rsidP="00AA56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A56D7">
              <w:rPr>
                <w:sz w:val="20"/>
                <w:szCs w:val="20"/>
              </w:rPr>
              <w:t>&lt;0.001</w:t>
            </w:r>
          </w:p>
        </w:tc>
      </w:tr>
    </w:tbl>
    <w:p w14:paraId="7F5409F9" w14:textId="77777777" w:rsidR="001A6381" w:rsidRPr="00491148" w:rsidRDefault="001A6381" w:rsidP="001A6381">
      <w:pPr>
        <w:spacing w:after="0" w:line="240" w:lineRule="auto"/>
        <w:jc w:val="both"/>
        <w:rPr>
          <w:b/>
        </w:rPr>
      </w:pPr>
    </w:p>
    <w:p w14:paraId="560F8925" w14:textId="7E1DFE04" w:rsidR="001A6381" w:rsidRDefault="001A6381" w:rsidP="001A6381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* </w:t>
      </w:r>
      <w:r w:rsidR="00AA56D7">
        <w:rPr>
          <w:rFonts w:cstheme="minorHAnsi"/>
          <w:sz w:val="20"/>
          <w:szCs w:val="20"/>
        </w:rPr>
        <w:t xml:space="preserve">IRR from conditional Poisson model for ID vs control. </w:t>
      </w:r>
      <w:r>
        <w:rPr>
          <w:rFonts w:cstheme="minorHAnsi"/>
          <w:sz w:val="20"/>
          <w:szCs w:val="20"/>
        </w:rPr>
        <w:t xml:space="preserve">Matched on age, </w:t>
      </w:r>
      <w:r w:rsidR="00B53594">
        <w:rPr>
          <w:rFonts w:cstheme="minorHAnsi"/>
          <w:sz w:val="20"/>
          <w:szCs w:val="20"/>
        </w:rPr>
        <w:t>sex</w:t>
      </w:r>
      <w:r>
        <w:rPr>
          <w:rFonts w:cstheme="minorHAnsi"/>
          <w:sz w:val="20"/>
          <w:szCs w:val="20"/>
        </w:rPr>
        <w:t xml:space="preserve"> and practice only</w:t>
      </w:r>
      <w:r w:rsidR="00AA56D7">
        <w:rPr>
          <w:rFonts w:cstheme="minorHAnsi"/>
          <w:sz w:val="20"/>
          <w:szCs w:val="20"/>
        </w:rPr>
        <w:t>.</w:t>
      </w:r>
    </w:p>
    <w:p w14:paraId="2D0D3BAA" w14:textId="5E090A66" w:rsidR="001A6381" w:rsidRPr="00860407" w:rsidRDefault="001A6381" w:rsidP="001A6381">
      <w:pPr>
        <w:spacing w:after="0" w:line="240" w:lineRule="auto"/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>**</w:t>
      </w:r>
      <w:r w:rsidR="00AA56D7">
        <w:rPr>
          <w:rFonts w:cstheme="minorHAnsi"/>
          <w:sz w:val="20"/>
          <w:szCs w:val="20"/>
        </w:rPr>
        <w:t>Additionally a</w:t>
      </w:r>
      <w:r w:rsidRPr="00860407">
        <w:rPr>
          <w:sz w:val="20"/>
          <w:szCs w:val="20"/>
        </w:rPr>
        <w:t>djusted for nine QOF diseases, IMD quintile and smoking, apart from for High Support Needs where Epilepsy is not used in the adjustment.</w:t>
      </w:r>
    </w:p>
    <w:p w14:paraId="6FB6BFD2" w14:textId="77777777" w:rsidR="001A6381" w:rsidRPr="00860407" w:rsidRDefault="001A6381" w:rsidP="001A6381">
      <w:pPr>
        <w:spacing w:after="0" w:line="240" w:lineRule="auto"/>
        <w:jc w:val="both"/>
        <w:rPr>
          <w:sz w:val="20"/>
          <w:szCs w:val="20"/>
        </w:rPr>
      </w:pPr>
      <w:r w:rsidRPr="00860407">
        <w:rPr>
          <w:sz w:val="20"/>
          <w:szCs w:val="20"/>
        </w:rPr>
        <w:t>† Has been classed as having Severe or Profound ID by GP or has 2 or more of the following: epilepsy, cerebral palsy or significant mobility problem (wheelchair use or greater problem), severe visual impairment, severe hearing impairment, a continence problem or use of PEG feeding.</w:t>
      </w:r>
    </w:p>
    <w:p w14:paraId="50E9DE0A" w14:textId="77777777" w:rsidR="001A6381" w:rsidRPr="00860407" w:rsidRDefault="001A6381" w:rsidP="001A6381">
      <w:pPr>
        <w:spacing w:after="0" w:line="240" w:lineRule="auto"/>
        <w:jc w:val="both"/>
        <w:rPr>
          <w:sz w:val="20"/>
          <w:szCs w:val="20"/>
        </w:rPr>
      </w:pPr>
      <w:r w:rsidRPr="00860407">
        <w:rPr>
          <w:rFonts w:cstheme="minorHAnsi"/>
          <w:sz w:val="20"/>
          <w:szCs w:val="20"/>
        </w:rPr>
        <w:t>‡</w:t>
      </w:r>
      <w:r w:rsidRPr="00860407">
        <w:rPr>
          <w:sz w:val="20"/>
          <w:szCs w:val="20"/>
        </w:rPr>
        <w:t xml:space="preserve"> p-values test for difference</w:t>
      </w:r>
      <w:r>
        <w:rPr>
          <w:sz w:val="20"/>
          <w:szCs w:val="20"/>
        </w:rPr>
        <w:t xml:space="preserve"> in IRR</w:t>
      </w:r>
      <w:r w:rsidRPr="00860407">
        <w:rPr>
          <w:sz w:val="20"/>
          <w:szCs w:val="20"/>
        </w:rPr>
        <w:t xml:space="preserve"> between subgroups (for age, 18-34 years is taken as baseline group)</w:t>
      </w:r>
    </w:p>
    <w:p w14:paraId="3C746650" w14:textId="36F7FE20" w:rsidR="00860407" w:rsidRDefault="001A6381" w:rsidP="001A6381">
      <w:pPr>
        <w:spacing w:after="0" w:line="240" w:lineRule="auto"/>
        <w:jc w:val="both"/>
        <w:rPr>
          <w:highlight w:val="yellow"/>
        </w:rPr>
        <w:sectPr w:rsidR="00860407" w:rsidSect="002E1C70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860407">
        <w:rPr>
          <w:sz w:val="20"/>
          <w:szCs w:val="20"/>
        </w:rPr>
        <w:t>IRR: Incidence Rate Ratio, ID: Intellectual Disability</w:t>
      </w:r>
    </w:p>
    <w:p w14:paraId="47C1BC54" w14:textId="77777777" w:rsidR="0032141B" w:rsidRDefault="0032141B" w:rsidP="000D3622">
      <w:pPr>
        <w:spacing w:after="0" w:line="240" w:lineRule="auto"/>
        <w:jc w:val="both"/>
      </w:pPr>
    </w:p>
    <w:p w14:paraId="04201222" w14:textId="77777777" w:rsidR="005C421A" w:rsidRDefault="005C421A" w:rsidP="000D3622">
      <w:pPr>
        <w:spacing w:after="0" w:line="240" w:lineRule="auto"/>
        <w:jc w:val="both"/>
        <w:rPr>
          <w:sz w:val="24"/>
          <w:szCs w:val="24"/>
        </w:rPr>
      </w:pPr>
    </w:p>
    <w:p w14:paraId="2441FFF4" w14:textId="409097F1" w:rsidR="005C421A" w:rsidRDefault="005C421A" w:rsidP="000D3622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 wp14:anchorId="068739EC" wp14:editId="0621CE0C">
            <wp:extent cx="6969600" cy="4550400"/>
            <wp:effectExtent l="0" t="0" r="3175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9600" cy="455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04F235" w14:textId="77777777" w:rsidR="005C421A" w:rsidRDefault="005C421A" w:rsidP="000D3622">
      <w:pPr>
        <w:spacing w:after="0" w:line="240" w:lineRule="auto"/>
        <w:jc w:val="both"/>
        <w:rPr>
          <w:sz w:val="24"/>
          <w:szCs w:val="24"/>
        </w:rPr>
      </w:pPr>
    </w:p>
    <w:p w14:paraId="50A118F9" w14:textId="5B2DFFC3" w:rsidR="0032141B" w:rsidRPr="008003EA" w:rsidRDefault="0032141B" w:rsidP="000D3622">
      <w:pPr>
        <w:spacing w:after="0" w:line="240" w:lineRule="auto"/>
        <w:jc w:val="both"/>
      </w:pPr>
      <w:r w:rsidRPr="008003EA">
        <w:rPr>
          <w:b/>
        </w:rPr>
        <w:t xml:space="preserve">Figure 1: Differences in overall </w:t>
      </w:r>
      <w:r w:rsidR="0055273B">
        <w:rPr>
          <w:b/>
        </w:rPr>
        <w:t xml:space="preserve">rates for </w:t>
      </w:r>
      <w:r w:rsidRPr="008003EA">
        <w:rPr>
          <w:b/>
        </w:rPr>
        <w:t>emergency admission</w:t>
      </w:r>
      <w:r w:rsidR="0055273B">
        <w:rPr>
          <w:b/>
        </w:rPr>
        <w:t>s</w:t>
      </w:r>
      <w:r w:rsidRPr="008003EA">
        <w:rPr>
          <w:b/>
        </w:rPr>
        <w:t xml:space="preserve"> and</w:t>
      </w:r>
      <w:r w:rsidR="0055273B">
        <w:rPr>
          <w:b/>
        </w:rPr>
        <w:t xml:space="preserve"> admissions for</w:t>
      </w:r>
      <w:r w:rsidR="00D86192">
        <w:rPr>
          <w:b/>
        </w:rPr>
        <w:t xml:space="preserve"> ACSCs </w:t>
      </w:r>
      <w:r w:rsidRPr="008003EA">
        <w:rPr>
          <w:b/>
        </w:rPr>
        <w:t>by age group.</w:t>
      </w:r>
      <w:r w:rsidRPr="008003EA">
        <w:t xml:space="preserve"> Dark</w:t>
      </w:r>
      <w:r w:rsidR="005C421A">
        <w:t xml:space="preserve"> green (dark blue</w:t>
      </w:r>
      <w:r w:rsidRPr="008003EA">
        <w:t>) is the admission rates</w:t>
      </w:r>
      <w:r w:rsidR="00D86192">
        <w:t xml:space="preserve"> for ACSCs </w:t>
      </w:r>
      <w:r w:rsidRPr="008003EA">
        <w:t>for adults with ID</w:t>
      </w:r>
      <w:r w:rsidR="005C421A">
        <w:t xml:space="preserve"> (controls). Non-ACS emergency admission are plotted in light green</w:t>
      </w:r>
      <w:r w:rsidRPr="008003EA">
        <w:t xml:space="preserve"> (</w:t>
      </w:r>
      <w:r w:rsidR="005C421A">
        <w:t>light blue</w:t>
      </w:r>
      <w:r w:rsidRPr="008003EA">
        <w:t xml:space="preserve">) </w:t>
      </w:r>
      <w:r w:rsidR="005C421A">
        <w:t>for adults with ID (controls)</w:t>
      </w:r>
      <w:r w:rsidRPr="008003EA">
        <w:t>.</w:t>
      </w:r>
    </w:p>
    <w:p w14:paraId="3FCCA86E" w14:textId="77777777" w:rsidR="005C421A" w:rsidRDefault="005C421A" w:rsidP="000D3622">
      <w:pPr>
        <w:spacing w:line="240" w:lineRule="auto"/>
      </w:pPr>
    </w:p>
    <w:p w14:paraId="25AB1109" w14:textId="77777777" w:rsidR="005C421A" w:rsidRDefault="005C421A" w:rsidP="000D3622">
      <w:pPr>
        <w:spacing w:line="240" w:lineRule="auto"/>
        <w:sectPr w:rsidR="005C421A" w:rsidSect="005C421A">
          <w:footerReference w:type="default" r:id="rId18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4B69B12E" w14:textId="07E611D0" w:rsidR="00AA56D7" w:rsidRDefault="00AA56D7" w:rsidP="00AA56D7">
      <w:pPr>
        <w:spacing w:after="0" w:line="240" w:lineRule="auto"/>
        <w:jc w:val="both"/>
        <w:rPr>
          <w:b/>
        </w:rPr>
      </w:pPr>
      <w:r w:rsidRPr="005C4E3A">
        <w:rPr>
          <w:b/>
        </w:rPr>
        <w:t xml:space="preserve">Table 4: </w:t>
      </w:r>
      <w:r>
        <w:rPr>
          <w:b/>
        </w:rPr>
        <w:t>H</w:t>
      </w:r>
      <w:r w:rsidRPr="005C4E3A">
        <w:rPr>
          <w:b/>
        </w:rPr>
        <w:t>ealthcare usage in the two weeks prior to hospitalisation</w:t>
      </w:r>
      <w:r>
        <w:rPr>
          <w:b/>
        </w:rPr>
        <w:t xml:space="preserve"> among</w:t>
      </w:r>
      <w:r w:rsidRPr="005C4E3A">
        <w:rPr>
          <w:b/>
        </w:rPr>
        <w:t xml:space="preserve"> patients having a first emergency admission for UTI and LRTI</w:t>
      </w:r>
      <w:r>
        <w:rPr>
          <w:b/>
        </w:rPr>
        <w:t xml:space="preserve"> or pneumonia.</w:t>
      </w:r>
    </w:p>
    <w:p w14:paraId="2046109C" w14:textId="77777777" w:rsidR="00AA56D7" w:rsidRDefault="00AA56D7" w:rsidP="00AA56D7">
      <w:pPr>
        <w:spacing w:after="0" w:line="240" w:lineRule="auto"/>
        <w:jc w:val="both"/>
        <w:rPr>
          <w:b/>
          <w:sz w:val="20"/>
        </w:rPr>
      </w:pPr>
    </w:p>
    <w:tbl>
      <w:tblPr>
        <w:tblStyle w:val="ListTable1Light"/>
        <w:tblW w:w="12792" w:type="dxa"/>
        <w:tblLayout w:type="fixed"/>
        <w:tblLook w:val="06A0" w:firstRow="1" w:lastRow="0" w:firstColumn="1" w:lastColumn="0" w:noHBand="1" w:noVBand="1"/>
      </w:tblPr>
      <w:tblGrid>
        <w:gridCol w:w="4853"/>
        <w:gridCol w:w="1984"/>
        <w:gridCol w:w="1985"/>
        <w:gridCol w:w="1984"/>
        <w:gridCol w:w="1986"/>
      </w:tblGrid>
      <w:tr w:rsidR="00BD06C1" w:rsidRPr="0006444F" w14:paraId="4944C627" w14:textId="77777777" w:rsidTr="00AA56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  <w:tcBorders>
              <w:top w:val="single" w:sz="4" w:space="0" w:color="auto"/>
              <w:bottom w:val="none" w:sz="0" w:space="0" w:color="auto"/>
            </w:tcBorders>
          </w:tcPr>
          <w:p w14:paraId="037D590A" w14:textId="77777777" w:rsidR="00BD06C1" w:rsidRPr="0006444F" w:rsidRDefault="00BD06C1" w:rsidP="000D36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955F292" w14:textId="60586E7E" w:rsidR="00BD06C1" w:rsidRPr="0006444F" w:rsidRDefault="00BD06C1" w:rsidP="000D36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444F">
              <w:rPr>
                <w:sz w:val="20"/>
                <w:szCs w:val="20"/>
              </w:rPr>
              <w:t>UTI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2203959" w14:textId="4DFA9434" w:rsidR="00BD06C1" w:rsidRPr="0006444F" w:rsidRDefault="00FD1139" w:rsidP="00FD11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LRTI or </w:t>
            </w:r>
            <w:r w:rsidR="00BD06C1" w:rsidRPr="0006444F">
              <w:rPr>
                <w:sz w:val="20"/>
                <w:szCs w:val="20"/>
              </w:rPr>
              <w:t>Pneumonia</w:t>
            </w:r>
          </w:p>
        </w:tc>
      </w:tr>
      <w:tr w:rsidR="00BD06C1" w:rsidRPr="0006444F" w14:paraId="4387D986" w14:textId="056ECC7B" w:rsidTr="00AA56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  <w:tcBorders>
              <w:bottom w:val="single" w:sz="4" w:space="0" w:color="auto"/>
            </w:tcBorders>
          </w:tcPr>
          <w:p w14:paraId="2B2207FD" w14:textId="77777777" w:rsidR="00BD06C1" w:rsidRPr="0006444F" w:rsidRDefault="00BD06C1" w:rsidP="000D36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399411D" w14:textId="4C457D54" w:rsidR="00BD06C1" w:rsidRPr="0006444F" w:rsidRDefault="00C90456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6444F">
              <w:rPr>
                <w:b/>
                <w:sz w:val="20"/>
                <w:szCs w:val="20"/>
              </w:rPr>
              <w:t xml:space="preserve">Adults with </w:t>
            </w:r>
            <w:r w:rsidR="00BD06C1" w:rsidRPr="0006444F">
              <w:rPr>
                <w:b/>
                <w:sz w:val="20"/>
                <w:szCs w:val="20"/>
              </w:rPr>
              <w:t>ID</w:t>
            </w:r>
            <w:r w:rsidR="00FD1139">
              <w:rPr>
                <w:b/>
                <w:sz w:val="20"/>
                <w:szCs w:val="20"/>
              </w:rPr>
              <w:t xml:space="preserve"> (n=276)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963C4F6" w14:textId="7380438A" w:rsidR="00BD06C1" w:rsidRPr="0006444F" w:rsidRDefault="00C90456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6444F">
              <w:rPr>
                <w:b/>
                <w:sz w:val="20"/>
                <w:szCs w:val="20"/>
              </w:rPr>
              <w:t>Adults without ID</w:t>
            </w:r>
            <w:r w:rsidR="00FD1139">
              <w:rPr>
                <w:b/>
                <w:sz w:val="20"/>
                <w:szCs w:val="20"/>
              </w:rPr>
              <w:t xml:space="preserve"> (n=451)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A743B5" w14:textId="5EA10333" w:rsidR="00BD06C1" w:rsidRPr="0006444F" w:rsidRDefault="00C90456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6444F">
              <w:rPr>
                <w:b/>
                <w:sz w:val="20"/>
                <w:szCs w:val="20"/>
              </w:rPr>
              <w:t xml:space="preserve">Adults with </w:t>
            </w:r>
            <w:r w:rsidR="00BD06C1" w:rsidRPr="0006444F">
              <w:rPr>
                <w:b/>
                <w:sz w:val="20"/>
                <w:szCs w:val="20"/>
              </w:rPr>
              <w:t>ID</w:t>
            </w:r>
            <w:r w:rsidR="00FD1139">
              <w:rPr>
                <w:b/>
                <w:sz w:val="20"/>
                <w:szCs w:val="20"/>
              </w:rPr>
              <w:t xml:space="preserve"> </w:t>
            </w:r>
            <w:r w:rsidR="00FD1139">
              <w:rPr>
                <w:b/>
                <w:sz w:val="20"/>
                <w:szCs w:val="20"/>
              </w:rPr>
              <w:br/>
              <w:t>(n=457)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9DD32FF" w14:textId="156D3ADE" w:rsidR="00BD06C1" w:rsidRPr="0006444F" w:rsidRDefault="00C90456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6444F">
              <w:rPr>
                <w:b/>
                <w:sz w:val="20"/>
                <w:szCs w:val="20"/>
              </w:rPr>
              <w:t>Adults without ID</w:t>
            </w:r>
            <w:r w:rsidR="00FD1139">
              <w:rPr>
                <w:b/>
                <w:sz w:val="20"/>
                <w:szCs w:val="20"/>
              </w:rPr>
              <w:t xml:space="preserve"> (n=671)</w:t>
            </w:r>
          </w:p>
        </w:tc>
      </w:tr>
      <w:tr w:rsidR="00BD06C1" w:rsidRPr="0006444F" w14:paraId="4FC39078" w14:textId="6E43F409" w:rsidTr="00AA56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</w:tcPr>
          <w:p w14:paraId="47ABF327" w14:textId="24B74ABF" w:rsidR="00BD06C1" w:rsidRPr="0006444F" w:rsidRDefault="00FD1139" w:rsidP="00FD11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Age </w:t>
            </w:r>
          </w:p>
        </w:tc>
        <w:tc>
          <w:tcPr>
            <w:tcW w:w="1984" w:type="dxa"/>
            <w:tcBorders>
              <w:left w:val="nil"/>
            </w:tcBorders>
          </w:tcPr>
          <w:p w14:paraId="2A9BEBF9" w14:textId="77777777" w:rsidR="00BD06C1" w:rsidRPr="0006444F" w:rsidRDefault="00BD06C1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AB869E7" w14:textId="77777777" w:rsidR="00BD06C1" w:rsidRPr="0006444F" w:rsidRDefault="00BD06C1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14:paraId="3FF5F5AE" w14:textId="77777777" w:rsidR="00BD06C1" w:rsidRPr="0006444F" w:rsidRDefault="00BD06C1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9DEEA27" w14:textId="77777777" w:rsidR="00BD06C1" w:rsidRPr="0006444F" w:rsidRDefault="00BD06C1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B4485" w:rsidRPr="0006444F" w14:paraId="0642D398" w14:textId="5890231F" w:rsidTr="00AA56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  <w:vAlign w:val="center"/>
          </w:tcPr>
          <w:p w14:paraId="48EBAFF3" w14:textId="4D41894E" w:rsidR="001B4485" w:rsidRPr="0006444F" w:rsidRDefault="001B4485" w:rsidP="00FD1139">
            <w:pPr>
              <w:rPr>
                <w:b w:val="0"/>
                <w:sz w:val="20"/>
                <w:szCs w:val="20"/>
              </w:rPr>
            </w:pPr>
            <w:r w:rsidRPr="0006444F">
              <w:rPr>
                <w:b w:val="0"/>
                <w:sz w:val="20"/>
                <w:szCs w:val="20"/>
              </w:rPr>
              <w:t xml:space="preserve"> - </w:t>
            </w:r>
            <w:r w:rsidR="00FD1139">
              <w:rPr>
                <w:b w:val="0"/>
                <w:sz w:val="20"/>
                <w:szCs w:val="20"/>
              </w:rPr>
              <w:t>Mean (years)</w:t>
            </w:r>
          </w:p>
        </w:tc>
        <w:tc>
          <w:tcPr>
            <w:tcW w:w="1984" w:type="dxa"/>
            <w:tcBorders>
              <w:left w:val="nil"/>
            </w:tcBorders>
          </w:tcPr>
          <w:p w14:paraId="14C9DDDD" w14:textId="77777777" w:rsidR="001B4485" w:rsidRPr="0006444F" w:rsidRDefault="001B4485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444F">
              <w:rPr>
                <w:sz w:val="20"/>
                <w:szCs w:val="20"/>
              </w:rPr>
              <w:t>54.8</w:t>
            </w:r>
          </w:p>
        </w:tc>
        <w:tc>
          <w:tcPr>
            <w:tcW w:w="1984" w:type="dxa"/>
          </w:tcPr>
          <w:p w14:paraId="1F511FEF" w14:textId="77777777" w:rsidR="001B4485" w:rsidRPr="0006444F" w:rsidRDefault="001B4485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444F">
              <w:rPr>
                <w:sz w:val="20"/>
                <w:szCs w:val="20"/>
              </w:rPr>
              <w:t>51.6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2CA04BE8" w14:textId="29256055" w:rsidR="001B4485" w:rsidRPr="0006444F" w:rsidRDefault="001B4485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444F">
              <w:rPr>
                <w:sz w:val="20"/>
                <w:szCs w:val="20"/>
              </w:rPr>
              <w:t>52.2</w:t>
            </w:r>
          </w:p>
        </w:tc>
        <w:tc>
          <w:tcPr>
            <w:tcW w:w="1984" w:type="dxa"/>
            <w:vAlign w:val="center"/>
          </w:tcPr>
          <w:p w14:paraId="1C8CCF7C" w14:textId="442CF6D2" w:rsidR="001B4485" w:rsidRPr="0006444F" w:rsidRDefault="001B4485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444F">
              <w:rPr>
                <w:sz w:val="20"/>
                <w:szCs w:val="20"/>
              </w:rPr>
              <w:t>56.5</w:t>
            </w:r>
          </w:p>
        </w:tc>
      </w:tr>
      <w:tr w:rsidR="001B4485" w:rsidRPr="0006444F" w14:paraId="2232F814" w14:textId="61009778" w:rsidTr="00AA56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  <w:vAlign w:val="center"/>
          </w:tcPr>
          <w:p w14:paraId="4CBC116F" w14:textId="465BD324" w:rsidR="001B4485" w:rsidRPr="0006444F" w:rsidRDefault="00FD1139" w:rsidP="00B53594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  <w:r w:rsidR="001B4485" w:rsidRPr="0006444F">
              <w:rPr>
                <w:b w:val="0"/>
                <w:sz w:val="20"/>
                <w:szCs w:val="20"/>
              </w:rPr>
              <w:t>- 18</w:t>
            </w:r>
            <w:r w:rsidR="00B53594">
              <w:rPr>
                <w:b w:val="0"/>
                <w:sz w:val="20"/>
                <w:szCs w:val="20"/>
              </w:rPr>
              <w:t xml:space="preserve"> to </w:t>
            </w:r>
            <w:r w:rsidR="001B4485" w:rsidRPr="0006444F">
              <w:rPr>
                <w:b w:val="0"/>
                <w:sz w:val="20"/>
                <w:szCs w:val="20"/>
              </w:rPr>
              <w:t xml:space="preserve">34 </w:t>
            </w:r>
            <w:r w:rsidR="001C1F46">
              <w:rPr>
                <w:b w:val="0"/>
                <w:sz w:val="20"/>
                <w:szCs w:val="20"/>
              </w:rPr>
              <w:t>years</w:t>
            </w:r>
            <w:r w:rsidR="006A29A0">
              <w:rPr>
                <w:b w:val="0"/>
                <w:sz w:val="20"/>
                <w:szCs w:val="20"/>
              </w:rPr>
              <w:t>, No. (%)</w:t>
            </w:r>
          </w:p>
        </w:tc>
        <w:tc>
          <w:tcPr>
            <w:tcW w:w="1984" w:type="dxa"/>
            <w:tcBorders>
              <w:left w:val="nil"/>
            </w:tcBorders>
          </w:tcPr>
          <w:p w14:paraId="65F5B766" w14:textId="77777777" w:rsidR="001B4485" w:rsidRPr="0006444F" w:rsidRDefault="001B4485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444F">
              <w:rPr>
                <w:sz w:val="20"/>
                <w:szCs w:val="20"/>
              </w:rPr>
              <w:t>43 (16%)</w:t>
            </w:r>
          </w:p>
        </w:tc>
        <w:tc>
          <w:tcPr>
            <w:tcW w:w="1984" w:type="dxa"/>
          </w:tcPr>
          <w:p w14:paraId="1E89A95C" w14:textId="77777777" w:rsidR="001B4485" w:rsidRPr="0006444F" w:rsidRDefault="001B4485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444F">
              <w:rPr>
                <w:sz w:val="20"/>
                <w:szCs w:val="20"/>
              </w:rPr>
              <w:t>123 (27%)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6EBFC51C" w14:textId="255E1AED" w:rsidR="001B4485" w:rsidRPr="0006444F" w:rsidRDefault="001B4485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444F">
              <w:rPr>
                <w:sz w:val="20"/>
                <w:szCs w:val="20"/>
              </w:rPr>
              <w:t>84 (18%)</w:t>
            </w:r>
          </w:p>
        </w:tc>
        <w:tc>
          <w:tcPr>
            <w:tcW w:w="1984" w:type="dxa"/>
            <w:vAlign w:val="center"/>
          </w:tcPr>
          <w:p w14:paraId="4DF9C04D" w14:textId="5D467725" w:rsidR="001B4485" w:rsidRPr="0006444F" w:rsidRDefault="001B4485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444F">
              <w:rPr>
                <w:sz w:val="20"/>
                <w:szCs w:val="20"/>
              </w:rPr>
              <w:t>81 (12%)</w:t>
            </w:r>
          </w:p>
        </w:tc>
      </w:tr>
      <w:tr w:rsidR="001B4485" w:rsidRPr="0006444F" w14:paraId="6E7B4AB1" w14:textId="01533101" w:rsidTr="00AA56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  <w:vAlign w:val="center"/>
          </w:tcPr>
          <w:p w14:paraId="1863DFF3" w14:textId="0098FAB0" w:rsidR="001B4485" w:rsidRPr="0006444F" w:rsidRDefault="00FD1139" w:rsidP="00B53594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  <w:r w:rsidR="001B4485" w:rsidRPr="0006444F">
              <w:rPr>
                <w:b w:val="0"/>
                <w:sz w:val="20"/>
                <w:szCs w:val="20"/>
              </w:rPr>
              <w:t>- 35</w:t>
            </w:r>
            <w:r w:rsidR="00B53594">
              <w:rPr>
                <w:b w:val="0"/>
                <w:sz w:val="20"/>
                <w:szCs w:val="20"/>
              </w:rPr>
              <w:t xml:space="preserve"> to </w:t>
            </w:r>
            <w:r w:rsidR="001B4485" w:rsidRPr="0006444F">
              <w:rPr>
                <w:b w:val="0"/>
                <w:sz w:val="20"/>
                <w:szCs w:val="20"/>
              </w:rPr>
              <w:t>54</w:t>
            </w:r>
            <w:r w:rsidR="001C1F46">
              <w:rPr>
                <w:b w:val="0"/>
                <w:sz w:val="20"/>
                <w:szCs w:val="20"/>
              </w:rPr>
              <w:t xml:space="preserve"> years</w:t>
            </w:r>
            <w:r w:rsidR="006A29A0">
              <w:rPr>
                <w:b w:val="0"/>
                <w:sz w:val="20"/>
                <w:szCs w:val="20"/>
              </w:rPr>
              <w:t>, No. (%)</w:t>
            </w:r>
          </w:p>
        </w:tc>
        <w:tc>
          <w:tcPr>
            <w:tcW w:w="1984" w:type="dxa"/>
            <w:tcBorders>
              <w:left w:val="nil"/>
            </w:tcBorders>
          </w:tcPr>
          <w:p w14:paraId="4A932819" w14:textId="77777777" w:rsidR="001B4485" w:rsidRPr="0006444F" w:rsidRDefault="001B4485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444F">
              <w:rPr>
                <w:sz w:val="20"/>
                <w:szCs w:val="20"/>
              </w:rPr>
              <w:t>77 (28%)</w:t>
            </w:r>
          </w:p>
        </w:tc>
        <w:tc>
          <w:tcPr>
            <w:tcW w:w="1984" w:type="dxa"/>
          </w:tcPr>
          <w:p w14:paraId="0A76111D" w14:textId="77777777" w:rsidR="001B4485" w:rsidRPr="0006444F" w:rsidRDefault="001B4485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444F">
              <w:rPr>
                <w:sz w:val="20"/>
                <w:szCs w:val="20"/>
              </w:rPr>
              <w:t>115 (26%)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6F8B9D78" w14:textId="3AB5B081" w:rsidR="001B4485" w:rsidRPr="0006444F" w:rsidRDefault="001B4485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444F">
              <w:rPr>
                <w:sz w:val="20"/>
                <w:szCs w:val="20"/>
              </w:rPr>
              <w:t>145 (32%)</w:t>
            </w:r>
          </w:p>
        </w:tc>
        <w:tc>
          <w:tcPr>
            <w:tcW w:w="1984" w:type="dxa"/>
            <w:vAlign w:val="center"/>
          </w:tcPr>
          <w:p w14:paraId="5A2507F1" w14:textId="484970CE" w:rsidR="001B4485" w:rsidRPr="0006444F" w:rsidRDefault="001B4485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444F">
              <w:rPr>
                <w:sz w:val="20"/>
                <w:szCs w:val="20"/>
              </w:rPr>
              <w:t>194 (29%)</w:t>
            </w:r>
          </w:p>
        </w:tc>
      </w:tr>
      <w:tr w:rsidR="001B4485" w:rsidRPr="0006444F" w14:paraId="49916E03" w14:textId="59AE9DF6" w:rsidTr="00AA56D7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  <w:vAlign w:val="center"/>
          </w:tcPr>
          <w:p w14:paraId="0AED5B3F" w14:textId="30CD2F98" w:rsidR="001B4485" w:rsidRPr="0006444F" w:rsidRDefault="00FD1139" w:rsidP="00B53594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  <w:r w:rsidR="001B4485" w:rsidRPr="0006444F">
              <w:rPr>
                <w:b w:val="0"/>
                <w:sz w:val="20"/>
                <w:szCs w:val="20"/>
              </w:rPr>
              <w:t>- 55</w:t>
            </w:r>
            <w:r w:rsidR="00B53594">
              <w:rPr>
                <w:b w:val="0"/>
                <w:sz w:val="20"/>
                <w:szCs w:val="20"/>
              </w:rPr>
              <w:t xml:space="preserve"> to </w:t>
            </w:r>
            <w:r w:rsidR="001B4485" w:rsidRPr="0006444F">
              <w:rPr>
                <w:b w:val="0"/>
                <w:sz w:val="20"/>
                <w:szCs w:val="20"/>
              </w:rPr>
              <w:t>84</w:t>
            </w:r>
            <w:r w:rsidR="001C1F46">
              <w:rPr>
                <w:b w:val="0"/>
                <w:sz w:val="20"/>
                <w:szCs w:val="20"/>
              </w:rPr>
              <w:t xml:space="preserve"> years</w:t>
            </w:r>
            <w:r w:rsidR="006A29A0">
              <w:rPr>
                <w:b w:val="0"/>
                <w:sz w:val="20"/>
                <w:szCs w:val="20"/>
              </w:rPr>
              <w:t>, No. (%)</w:t>
            </w:r>
          </w:p>
        </w:tc>
        <w:tc>
          <w:tcPr>
            <w:tcW w:w="1984" w:type="dxa"/>
            <w:tcBorders>
              <w:left w:val="nil"/>
            </w:tcBorders>
          </w:tcPr>
          <w:p w14:paraId="4ED22593" w14:textId="77777777" w:rsidR="001B4485" w:rsidRPr="0006444F" w:rsidRDefault="001B4485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444F">
              <w:rPr>
                <w:sz w:val="20"/>
                <w:szCs w:val="20"/>
              </w:rPr>
              <w:t>156 (57%)</w:t>
            </w:r>
          </w:p>
        </w:tc>
        <w:tc>
          <w:tcPr>
            <w:tcW w:w="1984" w:type="dxa"/>
          </w:tcPr>
          <w:p w14:paraId="6EF86040" w14:textId="77777777" w:rsidR="001B4485" w:rsidRPr="0006444F" w:rsidRDefault="001B4485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444F">
              <w:rPr>
                <w:sz w:val="20"/>
                <w:szCs w:val="20"/>
              </w:rPr>
              <w:t>213 (47%)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1AEED869" w14:textId="7F641585" w:rsidR="001B4485" w:rsidRPr="0006444F" w:rsidRDefault="001B4485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444F">
              <w:rPr>
                <w:sz w:val="20"/>
                <w:szCs w:val="20"/>
              </w:rPr>
              <w:t>228 (50%)</w:t>
            </w:r>
          </w:p>
        </w:tc>
        <w:tc>
          <w:tcPr>
            <w:tcW w:w="1984" w:type="dxa"/>
            <w:vAlign w:val="center"/>
          </w:tcPr>
          <w:p w14:paraId="57F0F927" w14:textId="6A561788" w:rsidR="001B4485" w:rsidRPr="0006444F" w:rsidRDefault="001B4485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444F">
              <w:rPr>
                <w:sz w:val="20"/>
                <w:szCs w:val="20"/>
              </w:rPr>
              <w:t>396 (59%)</w:t>
            </w:r>
          </w:p>
        </w:tc>
      </w:tr>
      <w:tr w:rsidR="00FD1139" w:rsidRPr="0006444F" w14:paraId="0C7A7F28" w14:textId="77777777" w:rsidTr="00AA56D7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  <w:vAlign w:val="center"/>
          </w:tcPr>
          <w:p w14:paraId="40D5BCBC" w14:textId="77777777" w:rsidR="00FD1139" w:rsidRDefault="00FD1139" w:rsidP="00FD113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14:paraId="62B64F4A" w14:textId="77777777" w:rsidR="00FD1139" w:rsidRPr="0006444F" w:rsidRDefault="00FD1139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70CACF1" w14:textId="77777777" w:rsidR="00FD1139" w:rsidRPr="0006444F" w:rsidRDefault="00FD1139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C5351FA" w14:textId="77777777" w:rsidR="00FD1139" w:rsidRPr="0006444F" w:rsidRDefault="00FD1139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37C8EAD" w14:textId="77777777" w:rsidR="00FD1139" w:rsidRPr="0006444F" w:rsidRDefault="00FD1139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D1139" w:rsidRPr="0006444F" w14:paraId="375EA19C" w14:textId="77777777" w:rsidTr="00AA56D7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</w:tcPr>
          <w:p w14:paraId="3B478A46" w14:textId="23A82736" w:rsidR="00FD1139" w:rsidRPr="00FD1139" w:rsidRDefault="00FD1139" w:rsidP="000D3622">
            <w:pPr>
              <w:jc w:val="both"/>
              <w:rPr>
                <w:sz w:val="20"/>
                <w:szCs w:val="20"/>
              </w:rPr>
            </w:pPr>
            <w:r w:rsidRPr="00FD1139">
              <w:rPr>
                <w:sz w:val="20"/>
                <w:szCs w:val="20"/>
              </w:rPr>
              <w:t>Sex</w:t>
            </w:r>
          </w:p>
        </w:tc>
        <w:tc>
          <w:tcPr>
            <w:tcW w:w="1984" w:type="dxa"/>
            <w:tcBorders>
              <w:left w:val="nil"/>
            </w:tcBorders>
          </w:tcPr>
          <w:p w14:paraId="42908016" w14:textId="77777777" w:rsidR="00FD1139" w:rsidRPr="0006444F" w:rsidRDefault="00FD1139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C8EB1F8" w14:textId="77777777" w:rsidR="00FD1139" w:rsidRPr="0006444F" w:rsidRDefault="00FD1139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14:paraId="494E591A" w14:textId="77777777" w:rsidR="00FD1139" w:rsidRPr="0006444F" w:rsidRDefault="00FD1139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DBD0466" w14:textId="77777777" w:rsidR="00FD1139" w:rsidRPr="0006444F" w:rsidRDefault="00FD1139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83B1C" w:rsidRPr="0006444F" w14:paraId="7FC8D01B" w14:textId="5293322C" w:rsidTr="00AA56D7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  <w:vAlign w:val="center"/>
          </w:tcPr>
          <w:p w14:paraId="6B363F2E" w14:textId="32A78500" w:rsidR="00483B1C" w:rsidRPr="0006444F" w:rsidRDefault="00FD1139" w:rsidP="00FD113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  <w:r w:rsidR="00483B1C" w:rsidRPr="0006444F">
              <w:rPr>
                <w:b w:val="0"/>
                <w:sz w:val="20"/>
                <w:szCs w:val="20"/>
              </w:rPr>
              <w:t xml:space="preserve"> - Male</w:t>
            </w:r>
            <w:r>
              <w:rPr>
                <w:b w:val="0"/>
                <w:sz w:val="20"/>
                <w:szCs w:val="20"/>
              </w:rPr>
              <w:t>, No. (%)</w:t>
            </w:r>
          </w:p>
        </w:tc>
        <w:tc>
          <w:tcPr>
            <w:tcW w:w="1984" w:type="dxa"/>
            <w:tcBorders>
              <w:left w:val="nil"/>
            </w:tcBorders>
          </w:tcPr>
          <w:p w14:paraId="1B22BC9A" w14:textId="3304D068" w:rsidR="00483B1C" w:rsidRPr="0006444F" w:rsidRDefault="00483B1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444F">
              <w:rPr>
                <w:sz w:val="20"/>
                <w:szCs w:val="20"/>
              </w:rPr>
              <w:t>134 (49%)</w:t>
            </w:r>
          </w:p>
        </w:tc>
        <w:tc>
          <w:tcPr>
            <w:tcW w:w="1984" w:type="dxa"/>
          </w:tcPr>
          <w:p w14:paraId="1EAA2136" w14:textId="5ABBF488" w:rsidR="00483B1C" w:rsidRPr="0006444F" w:rsidRDefault="00483B1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444F">
              <w:rPr>
                <w:sz w:val="20"/>
                <w:szCs w:val="20"/>
              </w:rPr>
              <w:t>150 (33%)</w:t>
            </w:r>
          </w:p>
        </w:tc>
        <w:tc>
          <w:tcPr>
            <w:tcW w:w="1984" w:type="dxa"/>
            <w:tcBorders>
              <w:left w:val="nil"/>
            </w:tcBorders>
          </w:tcPr>
          <w:p w14:paraId="73F89620" w14:textId="2F35E7D1" w:rsidR="00483B1C" w:rsidRPr="0006444F" w:rsidRDefault="001B4485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444F">
              <w:rPr>
                <w:sz w:val="20"/>
                <w:szCs w:val="20"/>
              </w:rPr>
              <w:t>260 (57%)</w:t>
            </w:r>
          </w:p>
        </w:tc>
        <w:tc>
          <w:tcPr>
            <w:tcW w:w="1984" w:type="dxa"/>
          </w:tcPr>
          <w:p w14:paraId="22A44928" w14:textId="2BFBCC9A" w:rsidR="00483B1C" w:rsidRPr="0006444F" w:rsidRDefault="001B4485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444F">
              <w:rPr>
                <w:sz w:val="20"/>
                <w:szCs w:val="20"/>
              </w:rPr>
              <w:t>384 (57%)</w:t>
            </w:r>
          </w:p>
        </w:tc>
      </w:tr>
      <w:tr w:rsidR="00FD1139" w:rsidRPr="0006444F" w14:paraId="6CC3864C" w14:textId="77777777" w:rsidTr="00AA56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</w:tcPr>
          <w:p w14:paraId="7C086218" w14:textId="77777777" w:rsidR="00FD1139" w:rsidRPr="0006444F" w:rsidRDefault="00FD1139" w:rsidP="000D362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14:paraId="68A823A2" w14:textId="77777777" w:rsidR="00FD1139" w:rsidRPr="0006444F" w:rsidRDefault="00FD1139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56BF3DE" w14:textId="77777777" w:rsidR="00FD1139" w:rsidRPr="0006444F" w:rsidRDefault="00FD1139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14:paraId="69774258" w14:textId="77777777" w:rsidR="00FD1139" w:rsidRPr="0006444F" w:rsidRDefault="00FD1139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F391ABD" w14:textId="77777777" w:rsidR="00FD1139" w:rsidRPr="0006444F" w:rsidRDefault="00FD1139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D1139" w:rsidRPr="0006444F" w14:paraId="0DA763C4" w14:textId="77777777" w:rsidTr="00AA56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</w:tcPr>
          <w:p w14:paraId="27A11591" w14:textId="21D0734A" w:rsidR="00FD1139" w:rsidRPr="00FD1139" w:rsidRDefault="007C5F24" w:rsidP="00FD1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high risk of complications from i</w:t>
            </w:r>
            <w:r w:rsidR="00FD1139" w:rsidRPr="00FD1139">
              <w:rPr>
                <w:sz w:val="20"/>
                <w:szCs w:val="20"/>
              </w:rPr>
              <w:t>nfection</w:t>
            </w:r>
            <w:r w:rsidR="00FD1139" w:rsidRPr="00FD1139">
              <w:rPr>
                <w:sz w:val="20"/>
                <w:szCs w:val="20"/>
                <w:vertAlign w:val="superscript"/>
              </w:rPr>
              <w:t>%</w:t>
            </w:r>
            <w:r w:rsidR="00FD1139" w:rsidRPr="00FD1139">
              <w:rPr>
                <w:sz w:val="20"/>
                <w:szCs w:val="20"/>
              </w:rPr>
              <w:t xml:space="preserve">                                                                   </w:t>
            </w:r>
          </w:p>
        </w:tc>
        <w:tc>
          <w:tcPr>
            <w:tcW w:w="1984" w:type="dxa"/>
            <w:tcBorders>
              <w:left w:val="nil"/>
            </w:tcBorders>
          </w:tcPr>
          <w:p w14:paraId="69C52554" w14:textId="0EEBB33F" w:rsidR="00FD1139" w:rsidRPr="0006444F" w:rsidRDefault="00FD1139" w:rsidP="007C5F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B35F68F" w14:textId="7D64610A" w:rsidR="00FD1139" w:rsidRPr="0006444F" w:rsidRDefault="00FD1139" w:rsidP="007C5F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14:paraId="7040AD21" w14:textId="7BBF8529" w:rsidR="00FD1139" w:rsidRPr="0006444F" w:rsidRDefault="00FD1139" w:rsidP="007C5F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C3EBB61" w14:textId="25A9BCDF" w:rsidR="00FD1139" w:rsidRPr="0006444F" w:rsidRDefault="00FD1139" w:rsidP="007C5F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83B1C" w:rsidRPr="0006444F" w14:paraId="0DB3D1DF" w14:textId="14CF13CD" w:rsidTr="00AA56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  <w:vAlign w:val="center"/>
          </w:tcPr>
          <w:p w14:paraId="0332D615" w14:textId="2A2FC39E" w:rsidR="00483B1C" w:rsidRPr="0006444F" w:rsidRDefault="00FD1139" w:rsidP="00FD113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  <w:r w:rsidR="00483B1C" w:rsidRPr="0006444F">
              <w:rPr>
                <w:b w:val="0"/>
                <w:sz w:val="20"/>
                <w:szCs w:val="20"/>
              </w:rPr>
              <w:t>- Yes</w:t>
            </w:r>
            <w:r>
              <w:rPr>
                <w:b w:val="0"/>
                <w:sz w:val="20"/>
                <w:szCs w:val="20"/>
              </w:rPr>
              <w:t>, No. (%)</w:t>
            </w:r>
          </w:p>
        </w:tc>
        <w:tc>
          <w:tcPr>
            <w:tcW w:w="1984" w:type="dxa"/>
            <w:tcBorders>
              <w:left w:val="nil"/>
            </w:tcBorders>
          </w:tcPr>
          <w:p w14:paraId="504B8E56" w14:textId="2FF33646" w:rsidR="00483B1C" w:rsidRPr="0006444F" w:rsidRDefault="00483B1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444F">
              <w:rPr>
                <w:sz w:val="20"/>
                <w:szCs w:val="20"/>
              </w:rPr>
              <w:t>139 (50%)</w:t>
            </w:r>
          </w:p>
        </w:tc>
        <w:tc>
          <w:tcPr>
            <w:tcW w:w="1984" w:type="dxa"/>
          </w:tcPr>
          <w:p w14:paraId="7DA0679C" w14:textId="2075E9CF" w:rsidR="00483B1C" w:rsidRPr="0006444F" w:rsidRDefault="00483B1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444F">
              <w:rPr>
                <w:sz w:val="20"/>
                <w:szCs w:val="20"/>
              </w:rPr>
              <w:t>117 (26%)</w:t>
            </w:r>
          </w:p>
        </w:tc>
        <w:tc>
          <w:tcPr>
            <w:tcW w:w="1984" w:type="dxa"/>
            <w:tcBorders>
              <w:left w:val="nil"/>
            </w:tcBorders>
          </w:tcPr>
          <w:p w14:paraId="6737586B" w14:textId="66975D86" w:rsidR="00483B1C" w:rsidRPr="0006444F" w:rsidRDefault="00483B1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444F">
              <w:rPr>
                <w:sz w:val="20"/>
                <w:szCs w:val="20"/>
              </w:rPr>
              <w:t>108 (24%)</w:t>
            </w:r>
          </w:p>
        </w:tc>
        <w:tc>
          <w:tcPr>
            <w:tcW w:w="1984" w:type="dxa"/>
          </w:tcPr>
          <w:p w14:paraId="5147DC82" w14:textId="57EBC7C7" w:rsidR="00483B1C" w:rsidRPr="0006444F" w:rsidRDefault="00483B1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444F">
              <w:rPr>
                <w:sz w:val="20"/>
                <w:szCs w:val="20"/>
              </w:rPr>
              <w:t>23 (3%)</w:t>
            </w:r>
          </w:p>
        </w:tc>
      </w:tr>
      <w:tr w:rsidR="00AA56D7" w:rsidRPr="0006444F" w14:paraId="1F69DBE7" w14:textId="77777777" w:rsidTr="00AA56D7">
        <w:trPr>
          <w:gridAfter w:val="2"/>
          <w:wAfter w:w="39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</w:tcPr>
          <w:p w14:paraId="7567BCB3" w14:textId="77777777" w:rsidR="00AA56D7" w:rsidRDefault="00AA56D7" w:rsidP="006A29A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14:paraId="27BF0A1A" w14:textId="77777777" w:rsidR="00AA56D7" w:rsidRPr="0006444F" w:rsidRDefault="00AA56D7" w:rsidP="000D3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6F350A6" w14:textId="77777777" w:rsidR="00AA56D7" w:rsidRPr="0006444F" w:rsidRDefault="00AA56D7" w:rsidP="000D3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83B1C" w:rsidRPr="0006444F" w14:paraId="424A4062" w14:textId="45D14824" w:rsidTr="00AA56D7">
        <w:trPr>
          <w:gridAfter w:val="2"/>
          <w:wAfter w:w="39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</w:tcPr>
          <w:p w14:paraId="2F5DF344" w14:textId="52BCDDC7" w:rsidR="00483B1C" w:rsidRPr="0006444F" w:rsidRDefault="006A29A0" w:rsidP="006A29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483B1C" w:rsidRPr="0006444F">
              <w:rPr>
                <w:sz w:val="20"/>
                <w:szCs w:val="20"/>
              </w:rPr>
              <w:t>ealthcare use</w:t>
            </w:r>
          </w:p>
        </w:tc>
        <w:tc>
          <w:tcPr>
            <w:tcW w:w="1984" w:type="dxa"/>
            <w:tcBorders>
              <w:left w:val="nil"/>
            </w:tcBorders>
          </w:tcPr>
          <w:p w14:paraId="08C95D41" w14:textId="77777777" w:rsidR="00483B1C" w:rsidRPr="0006444F" w:rsidRDefault="00483B1C" w:rsidP="000D3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00B47BA" w14:textId="77777777" w:rsidR="00483B1C" w:rsidRPr="0006444F" w:rsidRDefault="00483B1C" w:rsidP="000D3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83B1C" w:rsidRPr="0006444F" w14:paraId="36CF26AE" w14:textId="3BCB7E7E" w:rsidTr="00AA56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</w:tcPr>
          <w:p w14:paraId="3594D0C9" w14:textId="58C9B9BF" w:rsidR="00483B1C" w:rsidRPr="0006444F" w:rsidRDefault="006A29A0" w:rsidP="006A29A0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- </w:t>
            </w:r>
            <w:r w:rsidR="00483B1C" w:rsidRPr="0006444F">
              <w:rPr>
                <w:b w:val="0"/>
                <w:sz w:val="20"/>
                <w:szCs w:val="20"/>
              </w:rPr>
              <w:t xml:space="preserve">Consulted at </w:t>
            </w:r>
            <w:r w:rsidR="005C2673" w:rsidRPr="0006444F">
              <w:rPr>
                <w:b w:val="0"/>
                <w:sz w:val="20"/>
                <w:szCs w:val="20"/>
              </w:rPr>
              <w:t xml:space="preserve">family </w:t>
            </w:r>
            <w:r w:rsidR="00483B1C" w:rsidRPr="0006444F">
              <w:rPr>
                <w:b w:val="0"/>
                <w:sz w:val="20"/>
                <w:szCs w:val="20"/>
              </w:rPr>
              <w:t>practice</w:t>
            </w:r>
            <w:r>
              <w:rPr>
                <w:b w:val="0"/>
                <w:sz w:val="20"/>
                <w:szCs w:val="20"/>
              </w:rPr>
              <w:t>, No. (%)</w:t>
            </w:r>
          </w:p>
        </w:tc>
        <w:tc>
          <w:tcPr>
            <w:tcW w:w="1984" w:type="dxa"/>
            <w:tcBorders>
              <w:left w:val="nil"/>
            </w:tcBorders>
          </w:tcPr>
          <w:p w14:paraId="291A790D" w14:textId="77777777" w:rsidR="00483B1C" w:rsidRPr="0006444F" w:rsidRDefault="00483B1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444F">
              <w:rPr>
                <w:sz w:val="20"/>
                <w:szCs w:val="20"/>
              </w:rPr>
              <w:t>156 (56%)</w:t>
            </w:r>
          </w:p>
        </w:tc>
        <w:tc>
          <w:tcPr>
            <w:tcW w:w="1984" w:type="dxa"/>
          </w:tcPr>
          <w:p w14:paraId="77A2ACE1" w14:textId="77777777" w:rsidR="00483B1C" w:rsidRPr="0006444F" w:rsidRDefault="00483B1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444F">
              <w:rPr>
                <w:sz w:val="20"/>
                <w:szCs w:val="20"/>
              </w:rPr>
              <w:t>251 (56%)</w:t>
            </w:r>
          </w:p>
        </w:tc>
        <w:tc>
          <w:tcPr>
            <w:tcW w:w="1984" w:type="dxa"/>
            <w:tcBorders>
              <w:left w:val="nil"/>
            </w:tcBorders>
          </w:tcPr>
          <w:p w14:paraId="08C06C09" w14:textId="10F6EEF1" w:rsidR="00483B1C" w:rsidRPr="0006444F" w:rsidRDefault="00483B1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444F">
              <w:rPr>
                <w:sz w:val="20"/>
                <w:szCs w:val="20"/>
              </w:rPr>
              <w:t>277 (61%)</w:t>
            </w:r>
          </w:p>
        </w:tc>
        <w:tc>
          <w:tcPr>
            <w:tcW w:w="1984" w:type="dxa"/>
          </w:tcPr>
          <w:p w14:paraId="58FD5AF4" w14:textId="6C394261" w:rsidR="00483B1C" w:rsidRPr="0006444F" w:rsidRDefault="00483B1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444F">
              <w:rPr>
                <w:sz w:val="20"/>
                <w:szCs w:val="20"/>
              </w:rPr>
              <w:t>368 (55%)</w:t>
            </w:r>
          </w:p>
        </w:tc>
      </w:tr>
      <w:tr w:rsidR="00483B1C" w:rsidRPr="0006444F" w14:paraId="3D67658C" w14:textId="0A9719A3" w:rsidTr="00AA56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</w:tcPr>
          <w:p w14:paraId="440BAD43" w14:textId="39995F58" w:rsidR="00483B1C" w:rsidRPr="0006444F" w:rsidRDefault="006A29A0" w:rsidP="00FD1139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- No consultation, but </w:t>
            </w:r>
            <w:r w:rsidR="00483B1C" w:rsidRPr="0006444F">
              <w:rPr>
                <w:b w:val="0"/>
                <w:sz w:val="20"/>
                <w:szCs w:val="20"/>
              </w:rPr>
              <w:t>emergency encounter*</w:t>
            </w:r>
            <w:r>
              <w:rPr>
                <w:b w:val="0"/>
                <w:sz w:val="20"/>
                <w:szCs w:val="20"/>
              </w:rPr>
              <w:t>, No. (%)</w:t>
            </w:r>
          </w:p>
        </w:tc>
        <w:tc>
          <w:tcPr>
            <w:tcW w:w="1984" w:type="dxa"/>
            <w:tcBorders>
              <w:left w:val="nil"/>
            </w:tcBorders>
          </w:tcPr>
          <w:p w14:paraId="0F02CB32" w14:textId="77777777" w:rsidR="00483B1C" w:rsidRPr="0006444F" w:rsidRDefault="00483B1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444F">
              <w:rPr>
                <w:sz w:val="20"/>
                <w:szCs w:val="20"/>
              </w:rPr>
              <w:t>19 (7%)</w:t>
            </w:r>
          </w:p>
        </w:tc>
        <w:tc>
          <w:tcPr>
            <w:tcW w:w="1984" w:type="dxa"/>
          </w:tcPr>
          <w:p w14:paraId="7939E732" w14:textId="77777777" w:rsidR="00483B1C" w:rsidRPr="0006444F" w:rsidRDefault="00483B1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444F">
              <w:rPr>
                <w:sz w:val="20"/>
                <w:szCs w:val="20"/>
              </w:rPr>
              <w:t>32 (7%)</w:t>
            </w:r>
          </w:p>
        </w:tc>
        <w:tc>
          <w:tcPr>
            <w:tcW w:w="1984" w:type="dxa"/>
            <w:tcBorders>
              <w:left w:val="nil"/>
            </w:tcBorders>
          </w:tcPr>
          <w:p w14:paraId="61BF3145" w14:textId="6BB4713B" w:rsidR="00483B1C" w:rsidRPr="0006444F" w:rsidRDefault="00483B1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444F">
              <w:rPr>
                <w:sz w:val="20"/>
                <w:szCs w:val="20"/>
              </w:rPr>
              <w:t>27 (6%)</w:t>
            </w:r>
          </w:p>
        </w:tc>
        <w:tc>
          <w:tcPr>
            <w:tcW w:w="1984" w:type="dxa"/>
          </w:tcPr>
          <w:p w14:paraId="7ED20099" w14:textId="0468D727" w:rsidR="00483B1C" w:rsidRPr="0006444F" w:rsidRDefault="00483B1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444F">
              <w:rPr>
                <w:sz w:val="20"/>
                <w:szCs w:val="20"/>
              </w:rPr>
              <w:t>39 (6%)</w:t>
            </w:r>
          </w:p>
        </w:tc>
      </w:tr>
      <w:tr w:rsidR="00483B1C" w:rsidRPr="0006444F" w14:paraId="35DB3E9F" w14:textId="596DFA4C" w:rsidTr="00AA56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</w:tcPr>
          <w:p w14:paraId="42AF736B" w14:textId="15B93484" w:rsidR="00483B1C" w:rsidRPr="0006444F" w:rsidRDefault="006A29A0" w:rsidP="000D3622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- </w:t>
            </w:r>
            <w:r w:rsidR="00483B1C" w:rsidRPr="0006444F">
              <w:rPr>
                <w:b w:val="0"/>
                <w:sz w:val="20"/>
                <w:szCs w:val="20"/>
              </w:rPr>
              <w:t>Other record</w:t>
            </w:r>
            <w:r>
              <w:rPr>
                <w:b w:val="0"/>
                <w:sz w:val="20"/>
                <w:szCs w:val="20"/>
              </w:rPr>
              <w:t xml:space="preserve"> of encounter only</w:t>
            </w:r>
            <w:r w:rsidR="00483B1C" w:rsidRPr="0006444F">
              <w:rPr>
                <w:b w:val="0"/>
                <w:sz w:val="20"/>
                <w:szCs w:val="20"/>
              </w:rPr>
              <w:t>**</w:t>
            </w:r>
            <w:r>
              <w:rPr>
                <w:b w:val="0"/>
                <w:sz w:val="20"/>
                <w:szCs w:val="20"/>
              </w:rPr>
              <w:t>, No. (%)</w:t>
            </w:r>
          </w:p>
        </w:tc>
        <w:tc>
          <w:tcPr>
            <w:tcW w:w="1984" w:type="dxa"/>
            <w:tcBorders>
              <w:left w:val="nil"/>
            </w:tcBorders>
          </w:tcPr>
          <w:p w14:paraId="5FEB9541" w14:textId="77777777" w:rsidR="00483B1C" w:rsidRPr="0006444F" w:rsidRDefault="00483B1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444F">
              <w:rPr>
                <w:sz w:val="20"/>
                <w:szCs w:val="20"/>
              </w:rPr>
              <w:t>70 (25%)</w:t>
            </w:r>
          </w:p>
        </w:tc>
        <w:tc>
          <w:tcPr>
            <w:tcW w:w="1984" w:type="dxa"/>
          </w:tcPr>
          <w:p w14:paraId="6BC9C018" w14:textId="77777777" w:rsidR="00483B1C" w:rsidRPr="0006444F" w:rsidRDefault="00483B1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444F">
              <w:rPr>
                <w:sz w:val="20"/>
                <w:szCs w:val="20"/>
              </w:rPr>
              <w:t>85 (19%)</w:t>
            </w:r>
          </w:p>
        </w:tc>
        <w:tc>
          <w:tcPr>
            <w:tcW w:w="1984" w:type="dxa"/>
            <w:tcBorders>
              <w:left w:val="nil"/>
            </w:tcBorders>
          </w:tcPr>
          <w:p w14:paraId="6B28143E" w14:textId="4512AA3E" w:rsidR="00483B1C" w:rsidRPr="0006444F" w:rsidRDefault="00483B1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444F">
              <w:rPr>
                <w:sz w:val="20"/>
                <w:szCs w:val="20"/>
              </w:rPr>
              <w:t>97 (21%)</w:t>
            </w:r>
          </w:p>
        </w:tc>
        <w:tc>
          <w:tcPr>
            <w:tcW w:w="1984" w:type="dxa"/>
          </w:tcPr>
          <w:p w14:paraId="7B9D782B" w14:textId="7819D367" w:rsidR="00483B1C" w:rsidRPr="0006444F" w:rsidRDefault="00483B1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444F">
              <w:rPr>
                <w:sz w:val="20"/>
                <w:szCs w:val="20"/>
              </w:rPr>
              <w:t>131 (20%)</w:t>
            </w:r>
          </w:p>
        </w:tc>
      </w:tr>
      <w:tr w:rsidR="00483B1C" w:rsidRPr="0006444F" w14:paraId="762790D9" w14:textId="63180E51" w:rsidTr="00AA56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</w:tcPr>
          <w:p w14:paraId="36FE34CD" w14:textId="2BEB6104" w:rsidR="00483B1C" w:rsidRPr="0006444F" w:rsidRDefault="006A29A0" w:rsidP="000D3622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- </w:t>
            </w:r>
            <w:r w:rsidR="00483B1C" w:rsidRPr="0006444F">
              <w:rPr>
                <w:b w:val="0"/>
                <w:sz w:val="20"/>
                <w:szCs w:val="20"/>
              </w:rPr>
              <w:t>No record</w:t>
            </w:r>
            <w:r>
              <w:rPr>
                <w:b w:val="0"/>
                <w:sz w:val="20"/>
                <w:szCs w:val="20"/>
              </w:rPr>
              <w:t xml:space="preserve"> of usage, No. (%)</w:t>
            </w:r>
          </w:p>
        </w:tc>
        <w:tc>
          <w:tcPr>
            <w:tcW w:w="1984" w:type="dxa"/>
            <w:tcBorders>
              <w:left w:val="nil"/>
            </w:tcBorders>
          </w:tcPr>
          <w:p w14:paraId="513C6A8C" w14:textId="77777777" w:rsidR="00483B1C" w:rsidRPr="0006444F" w:rsidRDefault="00483B1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444F">
              <w:rPr>
                <w:sz w:val="20"/>
                <w:szCs w:val="20"/>
              </w:rPr>
              <w:t>31 (11%)</w:t>
            </w:r>
          </w:p>
        </w:tc>
        <w:tc>
          <w:tcPr>
            <w:tcW w:w="1984" w:type="dxa"/>
          </w:tcPr>
          <w:p w14:paraId="15D0610B" w14:textId="77777777" w:rsidR="00483B1C" w:rsidRPr="0006444F" w:rsidRDefault="00483B1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444F">
              <w:rPr>
                <w:sz w:val="20"/>
                <w:szCs w:val="20"/>
              </w:rPr>
              <w:t>83 (18%)</w:t>
            </w:r>
          </w:p>
        </w:tc>
        <w:tc>
          <w:tcPr>
            <w:tcW w:w="1984" w:type="dxa"/>
            <w:tcBorders>
              <w:left w:val="nil"/>
            </w:tcBorders>
          </w:tcPr>
          <w:p w14:paraId="2CEA2DA4" w14:textId="11D0102E" w:rsidR="00483B1C" w:rsidRPr="0006444F" w:rsidRDefault="00483B1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444F">
              <w:rPr>
                <w:sz w:val="20"/>
                <w:szCs w:val="20"/>
              </w:rPr>
              <w:t>56 (12%)</w:t>
            </w:r>
          </w:p>
        </w:tc>
        <w:tc>
          <w:tcPr>
            <w:tcW w:w="1984" w:type="dxa"/>
          </w:tcPr>
          <w:p w14:paraId="2EE5BBDB" w14:textId="76096EA1" w:rsidR="00483B1C" w:rsidRPr="0006444F" w:rsidRDefault="00483B1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444F">
              <w:rPr>
                <w:sz w:val="20"/>
                <w:szCs w:val="20"/>
              </w:rPr>
              <w:t>133 (20%)</w:t>
            </w:r>
          </w:p>
        </w:tc>
      </w:tr>
      <w:tr w:rsidR="0006444F" w:rsidRPr="0006444F" w14:paraId="22A92ED8" w14:textId="77777777" w:rsidTr="00AA56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</w:tcPr>
          <w:p w14:paraId="5D7BD3C8" w14:textId="77777777" w:rsidR="0006444F" w:rsidRPr="0006444F" w:rsidRDefault="0006444F" w:rsidP="000D36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14:paraId="727878BE" w14:textId="77777777" w:rsidR="0006444F" w:rsidRPr="0006444F" w:rsidRDefault="0006444F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2BD101B" w14:textId="77777777" w:rsidR="0006444F" w:rsidRPr="0006444F" w:rsidRDefault="0006444F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14:paraId="7A1F91AE" w14:textId="77777777" w:rsidR="0006444F" w:rsidRPr="0006444F" w:rsidRDefault="0006444F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824B10E" w14:textId="77777777" w:rsidR="0006444F" w:rsidRPr="0006444F" w:rsidRDefault="0006444F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83B1C" w:rsidRPr="0006444F" w14:paraId="64F827B2" w14:textId="3E647AC7" w:rsidTr="00AA56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</w:tcPr>
          <w:p w14:paraId="66ECDB54" w14:textId="01A10A50" w:rsidR="00483B1C" w:rsidRPr="0006444F" w:rsidRDefault="006A29A0" w:rsidP="006A29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Among</w:t>
            </w:r>
            <w:r w:rsidR="00483B1C" w:rsidRPr="0006444F">
              <w:rPr>
                <w:sz w:val="20"/>
                <w:szCs w:val="20"/>
              </w:rPr>
              <w:t xml:space="preserve"> those who consulted</w:t>
            </w:r>
            <w:r>
              <w:rPr>
                <w:sz w:val="20"/>
                <w:szCs w:val="20"/>
              </w:rPr>
              <w:t xml:space="preserve"> at family practice</w:t>
            </w:r>
            <w:r w:rsidR="001C1F46">
              <w:rPr>
                <w:sz w:val="20"/>
                <w:szCs w:val="20"/>
              </w:rPr>
              <w:t xml:space="preserve"> only</w:t>
            </w:r>
          </w:p>
        </w:tc>
        <w:tc>
          <w:tcPr>
            <w:tcW w:w="1984" w:type="dxa"/>
            <w:tcBorders>
              <w:left w:val="nil"/>
            </w:tcBorders>
          </w:tcPr>
          <w:p w14:paraId="27A70128" w14:textId="77777777" w:rsidR="00483B1C" w:rsidRPr="0006444F" w:rsidRDefault="00483B1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CE414A0" w14:textId="77777777" w:rsidR="00483B1C" w:rsidRPr="0006444F" w:rsidRDefault="00483B1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14:paraId="2FC7034E" w14:textId="77777777" w:rsidR="00483B1C" w:rsidRPr="0006444F" w:rsidRDefault="00483B1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0D6871B" w14:textId="77777777" w:rsidR="00483B1C" w:rsidRPr="0006444F" w:rsidRDefault="00483B1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83B1C" w:rsidRPr="0006444F" w14:paraId="72D4EBFD" w14:textId="4109BA06" w:rsidTr="00AA56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</w:tcPr>
          <w:p w14:paraId="1F17D53F" w14:textId="4222AEFE" w:rsidR="00483B1C" w:rsidRPr="0006444F" w:rsidRDefault="00483B1C" w:rsidP="006A29A0">
            <w:pPr>
              <w:jc w:val="both"/>
              <w:rPr>
                <w:b w:val="0"/>
                <w:sz w:val="20"/>
                <w:szCs w:val="20"/>
              </w:rPr>
            </w:pPr>
            <w:r w:rsidRPr="0006444F">
              <w:rPr>
                <w:b w:val="0"/>
                <w:sz w:val="20"/>
                <w:szCs w:val="20"/>
              </w:rPr>
              <w:t xml:space="preserve"> - </w:t>
            </w:r>
            <w:r w:rsidR="001D5472" w:rsidRPr="0006444F">
              <w:rPr>
                <w:b w:val="0"/>
                <w:sz w:val="20"/>
                <w:szCs w:val="20"/>
              </w:rPr>
              <w:t>Diagnosis r</w:t>
            </w:r>
            <w:r w:rsidRPr="0006444F">
              <w:rPr>
                <w:b w:val="0"/>
                <w:sz w:val="20"/>
                <w:szCs w:val="20"/>
              </w:rPr>
              <w:t>ecorded</w:t>
            </w:r>
            <w:r w:rsidR="006A29A0">
              <w:rPr>
                <w:b w:val="0"/>
                <w:sz w:val="20"/>
                <w:szCs w:val="20"/>
              </w:rPr>
              <w:t>, No. (%)</w:t>
            </w:r>
          </w:p>
        </w:tc>
        <w:tc>
          <w:tcPr>
            <w:tcW w:w="1984" w:type="dxa"/>
            <w:tcBorders>
              <w:left w:val="nil"/>
            </w:tcBorders>
          </w:tcPr>
          <w:p w14:paraId="705C95D8" w14:textId="77777777" w:rsidR="00483B1C" w:rsidRPr="0006444F" w:rsidRDefault="00483B1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444F">
              <w:rPr>
                <w:sz w:val="20"/>
                <w:szCs w:val="20"/>
              </w:rPr>
              <w:t xml:space="preserve">22 (14%) </w:t>
            </w:r>
          </w:p>
        </w:tc>
        <w:tc>
          <w:tcPr>
            <w:tcW w:w="1984" w:type="dxa"/>
          </w:tcPr>
          <w:p w14:paraId="2AED7602" w14:textId="77777777" w:rsidR="00483B1C" w:rsidRPr="0006444F" w:rsidRDefault="00483B1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444F">
              <w:rPr>
                <w:sz w:val="20"/>
                <w:szCs w:val="20"/>
              </w:rPr>
              <w:t>45 (18%)</w:t>
            </w:r>
          </w:p>
        </w:tc>
        <w:tc>
          <w:tcPr>
            <w:tcW w:w="1984" w:type="dxa"/>
            <w:tcBorders>
              <w:left w:val="nil"/>
            </w:tcBorders>
          </w:tcPr>
          <w:p w14:paraId="2D326042" w14:textId="61FBEDA7" w:rsidR="00483B1C" w:rsidRPr="0006444F" w:rsidRDefault="00483B1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444F">
              <w:rPr>
                <w:sz w:val="20"/>
                <w:szCs w:val="20"/>
              </w:rPr>
              <w:t xml:space="preserve">60 (22%) </w:t>
            </w:r>
          </w:p>
        </w:tc>
        <w:tc>
          <w:tcPr>
            <w:tcW w:w="1984" w:type="dxa"/>
          </w:tcPr>
          <w:p w14:paraId="00A38E62" w14:textId="18D911C9" w:rsidR="00483B1C" w:rsidRPr="0006444F" w:rsidRDefault="00483B1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444F">
              <w:rPr>
                <w:sz w:val="20"/>
                <w:szCs w:val="20"/>
              </w:rPr>
              <w:t>80 (22%)</w:t>
            </w:r>
          </w:p>
        </w:tc>
      </w:tr>
      <w:tr w:rsidR="00483B1C" w:rsidRPr="0006444F" w14:paraId="662F22B2" w14:textId="1D9A073E" w:rsidTr="00AA56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</w:tcPr>
          <w:p w14:paraId="6D6E2AC4" w14:textId="39A30507" w:rsidR="00483B1C" w:rsidRPr="0006444F" w:rsidRDefault="00483B1C" w:rsidP="006A29A0">
            <w:pPr>
              <w:jc w:val="both"/>
              <w:rPr>
                <w:b w:val="0"/>
                <w:sz w:val="20"/>
                <w:szCs w:val="20"/>
              </w:rPr>
            </w:pPr>
            <w:r w:rsidRPr="0006444F">
              <w:rPr>
                <w:b w:val="0"/>
                <w:sz w:val="20"/>
                <w:szCs w:val="20"/>
              </w:rPr>
              <w:t xml:space="preserve"> - Urine tested</w:t>
            </w:r>
            <w:r w:rsidR="00753A95" w:rsidRPr="0006444F">
              <w:rPr>
                <w:b w:val="0"/>
                <w:sz w:val="20"/>
                <w:szCs w:val="20"/>
                <w:vertAlign w:val="superscript"/>
              </w:rPr>
              <w:t>&amp;</w:t>
            </w:r>
            <w:r w:rsidR="006A29A0">
              <w:rPr>
                <w:b w:val="0"/>
                <w:sz w:val="20"/>
                <w:szCs w:val="20"/>
              </w:rPr>
              <w:t>, No. (%)</w:t>
            </w:r>
          </w:p>
        </w:tc>
        <w:tc>
          <w:tcPr>
            <w:tcW w:w="1984" w:type="dxa"/>
            <w:tcBorders>
              <w:left w:val="nil"/>
            </w:tcBorders>
          </w:tcPr>
          <w:p w14:paraId="366B83BC" w14:textId="77777777" w:rsidR="00483B1C" w:rsidRPr="0006444F" w:rsidRDefault="00483B1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444F">
              <w:rPr>
                <w:sz w:val="20"/>
                <w:szCs w:val="20"/>
              </w:rPr>
              <w:t>44 (28%)</w:t>
            </w:r>
          </w:p>
        </w:tc>
        <w:tc>
          <w:tcPr>
            <w:tcW w:w="1984" w:type="dxa"/>
          </w:tcPr>
          <w:p w14:paraId="55A997BD" w14:textId="77777777" w:rsidR="00483B1C" w:rsidRPr="0006444F" w:rsidRDefault="00483B1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444F">
              <w:rPr>
                <w:sz w:val="20"/>
                <w:szCs w:val="20"/>
              </w:rPr>
              <w:t>75 (30%)</w:t>
            </w:r>
          </w:p>
        </w:tc>
        <w:tc>
          <w:tcPr>
            <w:tcW w:w="1984" w:type="dxa"/>
            <w:tcBorders>
              <w:left w:val="nil"/>
            </w:tcBorders>
          </w:tcPr>
          <w:p w14:paraId="39148D7F" w14:textId="42B0CFF1" w:rsidR="00483B1C" w:rsidRPr="0006444F" w:rsidRDefault="00483B1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444F">
              <w:rPr>
                <w:sz w:val="20"/>
                <w:szCs w:val="20"/>
              </w:rPr>
              <w:t>NA</w:t>
            </w:r>
          </w:p>
        </w:tc>
        <w:tc>
          <w:tcPr>
            <w:tcW w:w="1984" w:type="dxa"/>
          </w:tcPr>
          <w:p w14:paraId="64851A69" w14:textId="14261E7B" w:rsidR="00483B1C" w:rsidRPr="0006444F" w:rsidRDefault="00483B1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444F">
              <w:rPr>
                <w:sz w:val="20"/>
                <w:szCs w:val="20"/>
              </w:rPr>
              <w:t>NA</w:t>
            </w:r>
          </w:p>
        </w:tc>
      </w:tr>
      <w:tr w:rsidR="00483B1C" w:rsidRPr="0006444F" w14:paraId="0ECF5126" w14:textId="61532B6C" w:rsidTr="00AA56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</w:tcPr>
          <w:p w14:paraId="3952FC3A" w14:textId="1549E2FF" w:rsidR="00483B1C" w:rsidRPr="0006444F" w:rsidRDefault="00483B1C" w:rsidP="006A29A0">
            <w:pPr>
              <w:jc w:val="both"/>
              <w:rPr>
                <w:b w:val="0"/>
                <w:sz w:val="20"/>
                <w:szCs w:val="20"/>
              </w:rPr>
            </w:pPr>
            <w:r w:rsidRPr="0006444F">
              <w:rPr>
                <w:b w:val="0"/>
                <w:sz w:val="20"/>
                <w:szCs w:val="20"/>
              </w:rPr>
              <w:t xml:space="preserve"> - Antibiotics prescribed</w:t>
            </w:r>
            <w:r w:rsidR="006A29A0">
              <w:rPr>
                <w:b w:val="0"/>
                <w:sz w:val="20"/>
                <w:szCs w:val="20"/>
              </w:rPr>
              <w:t>, No. (%)</w:t>
            </w:r>
          </w:p>
        </w:tc>
        <w:tc>
          <w:tcPr>
            <w:tcW w:w="1984" w:type="dxa"/>
            <w:tcBorders>
              <w:left w:val="nil"/>
            </w:tcBorders>
          </w:tcPr>
          <w:p w14:paraId="3FA316AF" w14:textId="77777777" w:rsidR="00483B1C" w:rsidRPr="0006444F" w:rsidRDefault="00483B1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444F">
              <w:rPr>
                <w:sz w:val="20"/>
                <w:szCs w:val="20"/>
              </w:rPr>
              <w:t>62 (40%)</w:t>
            </w:r>
          </w:p>
        </w:tc>
        <w:tc>
          <w:tcPr>
            <w:tcW w:w="1984" w:type="dxa"/>
          </w:tcPr>
          <w:p w14:paraId="6EAA1AB4" w14:textId="77777777" w:rsidR="00483B1C" w:rsidRPr="0006444F" w:rsidRDefault="00483B1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444F">
              <w:rPr>
                <w:sz w:val="20"/>
                <w:szCs w:val="20"/>
              </w:rPr>
              <w:t>115 (46%)</w:t>
            </w:r>
          </w:p>
        </w:tc>
        <w:tc>
          <w:tcPr>
            <w:tcW w:w="1984" w:type="dxa"/>
            <w:tcBorders>
              <w:left w:val="nil"/>
            </w:tcBorders>
          </w:tcPr>
          <w:p w14:paraId="4EB5C30C" w14:textId="1F6085FE" w:rsidR="00483B1C" w:rsidRPr="0006444F" w:rsidRDefault="00483B1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444F">
              <w:rPr>
                <w:sz w:val="20"/>
                <w:szCs w:val="20"/>
              </w:rPr>
              <w:t>111 (40%)</w:t>
            </w:r>
          </w:p>
        </w:tc>
        <w:tc>
          <w:tcPr>
            <w:tcW w:w="1984" w:type="dxa"/>
          </w:tcPr>
          <w:p w14:paraId="2E088405" w14:textId="55011F50" w:rsidR="00483B1C" w:rsidRPr="0006444F" w:rsidRDefault="00483B1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444F">
              <w:rPr>
                <w:sz w:val="20"/>
                <w:szCs w:val="20"/>
              </w:rPr>
              <w:t>163 (44%)</w:t>
            </w:r>
          </w:p>
        </w:tc>
      </w:tr>
      <w:tr w:rsidR="00483B1C" w:rsidRPr="0006444F" w14:paraId="0DC4F4F2" w14:textId="17BD736F" w:rsidTr="00AA56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</w:tcPr>
          <w:p w14:paraId="4268C5B1" w14:textId="45343FDF" w:rsidR="00483B1C" w:rsidRPr="0006444F" w:rsidRDefault="00483B1C" w:rsidP="006A29A0">
            <w:pPr>
              <w:jc w:val="both"/>
              <w:rPr>
                <w:b w:val="0"/>
                <w:sz w:val="20"/>
                <w:szCs w:val="20"/>
              </w:rPr>
            </w:pPr>
            <w:r w:rsidRPr="0006444F">
              <w:rPr>
                <w:b w:val="0"/>
                <w:sz w:val="20"/>
                <w:szCs w:val="20"/>
              </w:rPr>
              <w:t xml:space="preserve"> - None of the above</w:t>
            </w:r>
            <w:r w:rsidR="006A29A0">
              <w:rPr>
                <w:b w:val="0"/>
                <w:sz w:val="20"/>
                <w:szCs w:val="20"/>
              </w:rPr>
              <w:t>, No. (%)</w:t>
            </w:r>
          </w:p>
        </w:tc>
        <w:tc>
          <w:tcPr>
            <w:tcW w:w="1984" w:type="dxa"/>
            <w:tcBorders>
              <w:left w:val="nil"/>
            </w:tcBorders>
          </w:tcPr>
          <w:p w14:paraId="4874FB8E" w14:textId="77777777" w:rsidR="00483B1C" w:rsidRPr="0006444F" w:rsidRDefault="00483B1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444F">
              <w:rPr>
                <w:sz w:val="20"/>
                <w:szCs w:val="20"/>
              </w:rPr>
              <w:t>76 (49%)</w:t>
            </w:r>
          </w:p>
        </w:tc>
        <w:tc>
          <w:tcPr>
            <w:tcW w:w="1984" w:type="dxa"/>
          </w:tcPr>
          <w:p w14:paraId="4AE351C6" w14:textId="77777777" w:rsidR="00483B1C" w:rsidRPr="0006444F" w:rsidRDefault="00483B1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444F">
              <w:rPr>
                <w:sz w:val="20"/>
                <w:szCs w:val="20"/>
              </w:rPr>
              <w:t>118 (47%)</w:t>
            </w:r>
          </w:p>
        </w:tc>
        <w:tc>
          <w:tcPr>
            <w:tcW w:w="1984" w:type="dxa"/>
            <w:tcBorders>
              <w:left w:val="nil"/>
            </w:tcBorders>
          </w:tcPr>
          <w:p w14:paraId="5A0224F7" w14:textId="271B2930" w:rsidR="00483B1C" w:rsidRPr="0006444F" w:rsidRDefault="00483B1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444F">
              <w:rPr>
                <w:sz w:val="20"/>
                <w:szCs w:val="20"/>
              </w:rPr>
              <w:t>151 (55%)</w:t>
            </w:r>
          </w:p>
        </w:tc>
        <w:tc>
          <w:tcPr>
            <w:tcW w:w="1984" w:type="dxa"/>
          </w:tcPr>
          <w:p w14:paraId="1F51080D" w14:textId="5807EA35" w:rsidR="00483B1C" w:rsidRPr="0006444F" w:rsidRDefault="00483B1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444F">
              <w:rPr>
                <w:sz w:val="20"/>
                <w:szCs w:val="20"/>
              </w:rPr>
              <w:t>187 (51%)</w:t>
            </w:r>
          </w:p>
        </w:tc>
      </w:tr>
      <w:tr w:rsidR="0006444F" w:rsidRPr="0006444F" w14:paraId="534550CC" w14:textId="77777777" w:rsidTr="00AA56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</w:tcPr>
          <w:p w14:paraId="5637344A" w14:textId="77777777" w:rsidR="0006444F" w:rsidRPr="0006444F" w:rsidRDefault="0006444F" w:rsidP="00FB51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14:paraId="1EDDDD44" w14:textId="77777777" w:rsidR="0006444F" w:rsidRPr="0006444F" w:rsidRDefault="0006444F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07E4023" w14:textId="77777777" w:rsidR="0006444F" w:rsidRPr="0006444F" w:rsidRDefault="0006444F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14:paraId="466F4EAA" w14:textId="77777777" w:rsidR="0006444F" w:rsidRPr="0006444F" w:rsidRDefault="0006444F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729A254" w14:textId="77777777" w:rsidR="0006444F" w:rsidRPr="0006444F" w:rsidRDefault="0006444F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83B1C" w:rsidRPr="0006444F" w14:paraId="0F242A3C" w14:textId="02AE98EB" w:rsidTr="00AA56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</w:tcPr>
          <w:p w14:paraId="57F59D7D" w14:textId="7AA207DB" w:rsidR="00483B1C" w:rsidRPr="0006444F" w:rsidRDefault="00483B1C" w:rsidP="00FD1139">
            <w:pPr>
              <w:jc w:val="both"/>
              <w:rPr>
                <w:sz w:val="20"/>
                <w:szCs w:val="20"/>
              </w:rPr>
            </w:pPr>
            <w:r w:rsidRPr="0006444F">
              <w:rPr>
                <w:sz w:val="20"/>
                <w:szCs w:val="20"/>
              </w:rPr>
              <w:t>A</w:t>
            </w:r>
            <w:r w:rsidR="00FD1139">
              <w:rPr>
                <w:sz w:val="20"/>
                <w:szCs w:val="20"/>
              </w:rPr>
              <w:t>mong those prescribed a</w:t>
            </w:r>
            <w:r w:rsidRPr="0006444F">
              <w:rPr>
                <w:sz w:val="20"/>
                <w:szCs w:val="20"/>
              </w:rPr>
              <w:t xml:space="preserve">ntibiotics </w:t>
            </w:r>
            <w:r w:rsidR="001C1F46">
              <w:rPr>
                <w:sz w:val="20"/>
                <w:szCs w:val="20"/>
              </w:rPr>
              <w:t>only</w:t>
            </w:r>
          </w:p>
        </w:tc>
        <w:tc>
          <w:tcPr>
            <w:tcW w:w="1984" w:type="dxa"/>
            <w:tcBorders>
              <w:left w:val="nil"/>
            </w:tcBorders>
          </w:tcPr>
          <w:p w14:paraId="04A79962" w14:textId="77777777" w:rsidR="00483B1C" w:rsidRPr="0006444F" w:rsidRDefault="00483B1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CB3F754" w14:textId="77777777" w:rsidR="00483B1C" w:rsidRPr="0006444F" w:rsidRDefault="00483B1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14:paraId="7F2D19B4" w14:textId="77777777" w:rsidR="00483B1C" w:rsidRPr="0006444F" w:rsidRDefault="00483B1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040004A" w14:textId="77777777" w:rsidR="00483B1C" w:rsidRPr="0006444F" w:rsidRDefault="00483B1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53594" w:rsidRPr="0006444F" w14:paraId="28E816EB" w14:textId="77777777" w:rsidTr="00AA56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</w:tcPr>
          <w:p w14:paraId="20160E3B" w14:textId="1E2D6F4D" w:rsidR="00B53594" w:rsidRDefault="00B53594" w:rsidP="000D3622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Type of antibiotic</w:t>
            </w:r>
          </w:p>
        </w:tc>
        <w:tc>
          <w:tcPr>
            <w:tcW w:w="1984" w:type="dxa"/>
            <w:tcBorders>
              <w:left w:val="nil"/>
            </w:tcBorders>
          </w:tcPr>
          <w:p w14:paraId="092CA735" w14:textId="77777777" w:rsidR="00B53594" w:rsidRPr="0006444F" w:rsidRDefault="00B53594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1175175" w14:textId="77777777" w:rsidR="00B53594" w:rsidRPr="0006444F" w:rsidRDefault="00B53594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14:paraId="469CA7A2" w14:textId="77777777" w:rsidR="00B53594" w:rsidRPr="0006444F" w:rsidRDefault="00B53594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2D7B930" w14:textId="77777777" w:rsidR="00B53594" w:rsidRPr="0006444F" w:rsidRDefault="00B53594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83B1C" w:rsidRPr="0006444F" w14:paraId="47C67232" w14:textId="3257BEAC" w:rsidTr="00AA56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</w:tcPr>
          <w:p w14:paraId="7974F5AB" w14:textId="2E4B2CCD" w:rsidR="00483B1C" w:rsidRPr="0006444F" w:rsidRDefault="00FD1139" w:rsidP="000D3622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- </w:t>
            </w:r>
            <w:r w:rsidR="00483B1C" w:rsidRPr="0006444F">
              <w:rPr>
                <w:b w:val="0"/>
                <w:sz w:val="20"/>
                <w:szCs w:val="20"/>
              </w:rPr>
              <w:t>Frontline</w:t>
            </w:r>
            <w:r w:rsidR="00483B1C" w:rsidRPr="0006444F">
              <w:rPr>
                <w:b w:val="0"/>
                <w:sz w:val="20"/>
                <w:szCs w:val="20"/>
                <w:vertAlign w:val="superscript"/>
              </w:rPr>
              <w:t>$</w:t>
            </w:r>
            <w:r w:rsidR="00483B1C" w:rsidRPr="0006444F">
              <w:rPr>
                <w:b w:val="0"/>
                <w:sz w:val="20"/>
                <w:szCs w:val="20"/>
              </w:rPr>
              <w:t xml:space="preserve"> only</w:t>
            </w:r>
            <w:r>
              <w:rPr>
                <w:b w:val="0"/>
                <w:sz w:val="20"/>
                <w:szCs w:val="20"/>
              </w:rPr>
              <w:t>, No. (%)</w:t>
            </w:r>
          </w:p>
        </w:tc>
        <w:tc>
          <w:tcPr>
            <w:tcW w:w="1984" w:type="dxa"/>
            <w:tcBorders>
              <w:left w:val="nil"/>
            </w:tcBorders>
          </w:tcPr>
          <w:p w14:paraId="170191F7" w14:textId="144998E7" w:rsidR="00483B1C" w:rsidRPr="0006444F" w:rsidRDefault="00483B1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444F">
              <w:rPr>
                <w:sz w:val="20"/>
                <w:szCs w:val="20"/>
              </w:rPr>
              <w:t>29 (47%)</w:t>
            </w:r>
          </w:p>
        </w:tc>
        <w:tc>
          <w:tcPr>
            <w:tcW w:w="1984" w:type="dxa"/>
          </w:tcPr>
          <w:p w14:paraId="3249797D" w14:textId="667B8C04" w:rsidR="00483B1C" w:rsidRPr="0006444F" w:rsidRDefault="00483B1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444F">
              <w:rPr>
                <w:sz w:val="20"/>
                <w:szCs w:val="20"/>
              </w:rPr>
              <w:t>57 (50%)</w:t>
            </w:r>
          </w:p>
        </w:tc>
        <w:tc>
          <w:tcPr>
            <w:tcW w:w="1984" w:type="dxa"/>
            <w:tcBorders>
              <w:left w:val="nil"/>
            </w:tcBorders>
          </w:tcPr>
          <w:p w14:paraId="6B3A9145" w14:textId="2CB754D7" w:rsidR="00483B1C" w:rsidRPr="0006444F" w:rsidRDefault="00483B1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444F">
              <w:rPr>
                <w:sz w:val="20"/>
                <w:szCs w:val="20"/>
              </w:rPr>
              <w:t>65 (59%)</w:t>
            </w:r>
          </w:p>
        </w:tc>
        <w:tc>
          <w:tcPr>
            <w:tcW w:w="1984" w:type="dxa"/>
          </w:tcPr>
          <w:p w14:paraId="40E3E28D" w14:textId="103E785A" w:rsidR="00483B1C" w:rsidRPr="0006444F" w:rsidRDefault="00483B1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444F">
              <w:rPr>
                <w:sz w:val="20"/>
                <w:szCs w:val="20"/>
              </w:rPr>
              <w:t>113 (69%)</w:t>
            </w:r>
          </w:p>
        </w:tc>
      </w:tr>
      <w:tr w:rsidR="00483B1C" w:rsidRPr="0006444F" w14:paraId="5A5191A5" w14:textId="57E555A6" w:rsidTr="00AA56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</w:tcPr>
          <w:p w14:paraId="0CF70D4A" w14:textId="0D656924" w:rsidR="00483B1C" w:rsidRPr="0006444F" w:rsidRDefault="00FD1139" w:rsidP="00FD113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- </w:t>
            </w:r>
            <w:r w:rsidR="00483B1C" w:rsidRPr="0006444F">
              <w:rPr>
                <w:b w:val="0"/>
                <w:sz w:val="20"/>
                <w:szCs w:val="20"/>
              </w:rPr>
              <w:t>Other only</w:t>
            </w:r>
            <w:r>
              <w:rPr>
                <w:b w:val="0"/>
                <w:sz w:val="20"/>
                <w:szCs w:val="20"/>
              </w:rPr>
              <w:t>, No. (%)</w:t>
            </w:r>
          </w:p>
        </w:tc>
        <w:tc>
          <w:tcPr>
            <w:tcW w:w="1984" w:type="dxa"/>
            <w:tcBorders>
              <w:left w:val="nil"/>
            </w:tcBorders>
          </w:tcPr>
          <w:p w14:paraId="7CC596E9" w14:textId="77777777" w:rsidR="00483B1C" w:rsidRPr="0006444F" w:rsidRDefault="00483B1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444F">
              <w:rPr>
                <w:sz w:val="20"/>
                <w:szCs w:val="20"/>
              </w:rPr>
              <w:t>28 (45%)</w:t>
            </w:r>
          </w:p>
        </w:tc>
        <w:tc>
          <w:tcPr>
            <w:tcW w:w="1984" w:type="dxa"/>
          </w:tcPr>
          <w:p w14:paraId="433B7057" w14:textId="77777777" w:rsidR="00483B1C" w:rsidRPr="0006444F" w:rsidRDefault="00483B1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444F">
              <w:rPr>
                <w:sz w:val="20"/>
                <w:szCs w:val="20"/>
              </w:rPr>
              <w:t>52 (45%)</w:t>
            </w:r>
          </w:p>
        </w:tc>
        <w:tc>
          <w:tcPr>
            <w:tcW w:w="1984" w:type="dxa"/>
            <w:tcBorders>
              <w:left w:val="nil"/>
            </w:tcBorders>
          </w:tcPr>
          <w:p w14:paraId="14139C92" w14:textId="0DF59EA4" w:rsidR="00483B1C" w:rsidRPr="0006444F" w:rsidRDefault="00483B1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444F">
              <w:rPr>
                <w:sz w:val="20"/>
                <w:szCs w:val="20"/>
              </w:rPr>
              <w:t>32 (29%)</w:t>
            </w:r>
          </w:p>
        </w:tc>
        <w:tc>
          <w:tcPr>
            <w:tcW w:w="1984" w:type="dxa"/>
          </w:tcPr>
          <w:p w14:paraId="4F6A49A8" w14:textId="22D3A62A" w:rsidR="00483B1C" w:rsidRPr="0006444F" w:rsidRDefault="00483B1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444F">
              <w:rPr>
                <w:sz w:val="20"/>
                <w:szCs w:val="20"/>
              </w:rPr>
              <w:t>34 (21%)</w:t>
            </w:r>
          </w:p>
        </w:tc>
      </w:tr>
      <w:tr w:rsidR="00483B1C" w:rsidRPr="0006444F" w14:paraId="676C5BE9" w14:textId="3B9889D9" w:rsidTr="00AA56D7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</w:tcPr>
          <w:p w14:paraId="064D5132" w14:textId="1C435B12" w:rsidR="00483B1C" w:rsidRPr="0006444F" w:rsidRDefault="00FD1139" w:rsidP="00FD113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- </w:t>
            </w:r>
            <w:r w:rsidR="00483B1C" w:rsidRPr="0006444F">
              <w:rPr>
                <w:b w:val="0"/>
                <w:sz w:val="20"/>
                <w:szCs w:val="20"/>
              </w:rPr>
              <w:t>Frontline</w:t>
            </w:r>
            <w:r w:rsidR="00483B1C" w:rsidRPr="0006444F">
              <w:rPr>
                <w:b w:val="0"/>
                <w:sz w:val="20"/>
                <w:szCs w:val="20"/>
                <w:vertAlign w:val="superscript"/>
              </w:rPr>
              <w:t>$</w:t>
            </w:r>
            <w:r w:rsidR="00483B1C" w:rsidRPr="0006444F">
              <w:rPr>
                <w:b w:val="0"/>
                <w:sz w:val="20"/>
                <w:szCs w:val="20"/>
              </w:rPr>
              <w:t xml:space="preserve"> and other</w:t>
            </w:r>
            <w:r>
              <w:rPr>
                <w:b w:val="0"/>
                <w:sz w:val="20"/>
                <w:szCs w:val="20"/>
              </w:rPr>
              <w:t>, No. (%)</w:t>
            </w:r>
          </w:p>
        </w:tc>
        <w:tc>
          <w:tcPr>
            <w:tcW w:w="1984" w:type="dxa"/>
            <w:tcBorders>
              <w:left w:val="nil"/>
            </w:tcBorders>
          </w:tcPr>
          <w:p w14:paraId="5F308E01" w14:textId="77777777" w:rsidR="00483B1C" w:rsidRPr="0006444F" w:rsidRDefault="00483B1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444F">
              <w:rPr>
                <w:sz w:val="20"/>
                <w:szCs w:val="20"/>
              </w:rPr>
              <w:t>5 (8%)</w:t>
            </w:r>
          </w:p>
        </w:tc>
        <w:tc>
          <w:tcPr>
            <w:tcW w:w="1984" w:type="dxa"/>
          </w:tcPr>
          <w:p w14:paraId="64C4A7F5" w14:textId="77777777" w:rsidR="00483B1C" w:rsidRPr="0006444F" w:rsidRDefault="00483B1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444F">
              <w:rPr>
                <w:sz w:val="20"/>
                <w:szCs w:val="20"/>
              </w:rPr>
              <w:t>6 (5%)</w:t>
            </w:r>
          </w:p>
        </w:tc>
        <w:tc>
          <w:tcPr>
            <w:tcW w:w="1984" w:type="dxa"/>
            <w:tcBorders>
              <w:left w:val="nil"/>
            </w:tcBorders>
          </w:tcPr>
          <w:p w14:paraId="65ED1F2C" w14:textId="2C9A4FA8" w:rsidR="00483B1C" w:rsidRPr="0006444F" w:rsidRDefault="00483B1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444F">
              <w:rPr>
                <w:sz w:val="20"/>
                <w:szCs w:val="20"/>
              </w:rPr>
              <w:t>14 (13%)</w:t>
            </w:r>
          </w:p>
        </w:tc>
        <w:tc>
          <w:tcPr>
            <w:tcW w:w="1984" w:type="dxa"/>
          </w:tcPr>
          <w:p w14:paraId="54D1D6EA" w14:textId="36EEB4ED" w:rsidR="00483B1C" w:rsidRPr="0006444F" w:rsidRDefault="00483B1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444F">
              <w:rPr>
                <w:sz w:val="20"/>
                <w:szCs w:val="20"/>
              </w:rPr>
              <w:t>16 (10%)</w:t>
            </w:r>
          </w:p>
        </w:tc>
      </w:tr>
      <w:tr w:rsidR="00FD1139" w:rsidRPr="0006444F" w14:paraId="53719F7D" w14:textId="77777777" w:rsidTr="00AA56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  <w:vAlign w:val="center"/>
          </w:tcPr>
          <w:p w14:paraId="4A6DB8D9" w14:textId="1E1423EF" w:rsidR="00FD1139" w:rsidRPr="0006444F" w:rsidRDefault="00B53594" w:rsidP="00FD113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Number prescribed</w:t>
            </w:r>
          </w:p>
        </w:tc>
        <w:tc>
          <w:tcPr>
            <w:tcW w:w="1984" w:type="dxa"/>
            <w:tcBorders>
              <w:left w:val="nil"/>
            </w:tcBorders>
          </w:tcPr>
          <w:p w14:paraId="6E5933BF" w14:textId="77777777" w:rsidR="00FD1139" w:rsidRPr="0006444F" w:rsidRDefault="00FD1139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F231B33" w14:textId="77777777" w:rsidR="00FD1139" w:rsidRPr="0006444F" w:rsidRDefault="00FD1139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14:paraId="30D75443" w14:textId="77777777" w:rsidR="00FD1139" w:rsidRPr="0006444F" w:rsidRDefault="00FD1139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FC854FF" w14:textId="77777777" w:rsidR="00FD1139" w:rsidRPr="0006444F" w:rsidRDefault="00FD1139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83B1C" w:rsidRPr="0006444F" w14:paraId="7D02D8BC" w14:textId="53089CDA" w:rsidTr="00AA56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</w:tcPr>
          <w:p w14:paraId="2849D7EF" w14:textId="5010EC8E" w:rsidR="00483B1C" w:rsidRPr="0006444F" w:rsidRDefault="00FD1139" w:rsidP="00FD113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- </w:t>
            </w:r>
            <w:r w:rsidR="00483B1C" w:rsidRPr="0006444F">
              <w:rPr>
                <w:b w:val="0"/>
                <w:sz w:val="20"/>
                <w:szCs w:val="20"/>
              </w:rPr>
              <w:t>One antibiotic</w:t>
            </w:r>
            <w:r w:rsidR="001C1F46">
              <w:rPr>
                <w:b w:val="0"/>
                <w:sz w:val="20"/>
                <w:szCs w:val="20"/>
              </w:rPr>
              <w:t xml:space="preserve"> prescribed</w:t>
            </w:r>
            <w:r>
              <w:rPr>
                <w:b w:val="0"/>
                <w:sz w:val="20"/>
                <w:szCs w:val="20"/>
              </w:rPr>
              <w:t>, No. (%)</w:t>
            </w:r>
          </w:p>
        </w:tc>
        <w:tc>
          <w:tcPr>
            <w:tcW w:w="1984" w:type="dxa"/>
            <w:tcBorders>
              <w:left w:val="nil"/>
            </w:tcBorders>
          </w:tcPr>
          <w:p w14:paraId="33EDA273" w14:textId="77777777" w:rsidR="00483B1C" w:rsidRPr="0006444F" w:rsidRDefault="00483B1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444F">
              <w:rPr>
                <w:sz w:val="20"/>
                <w:szCs w:val="20"/>
              </w:rPr>
              <w:t>55 (89%)</w:t>
            </w:r>
          </w:p>
        </w:tc>
        <w:tc>
          <w:tcPr>
            <w:tcW w:w="1984" w:type="dxa"/>
          </w:tcPr>
          <w:p w14:paraId="3E7DD937" w14:textId="77777777" w:rsidR="00483B1C" w:rsidRPr="0006444F" w:rsidRDefault="00483B1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444F">
              <w:rPr>
                <w:sz w:val="20"/>
                <w:szCs w:val="20"/>
              </w:rPr>
              <w:t xml:space="preserve"> 94 (82%)</w:t>
            </w:r>
          </w:p>
        </w:tc>
        <w:tc>
          <w:tcPr>
            <w:tcW w:w="1984" w:type="dxa"/>
            <w:tcBorders>
              <w:left w:val="nil"/>
            </w:tcBorders>
          </w:tcPr>
          <w:p w14:paraId="0C763AC7" w14:textId="7E9FBA37" w:rsidR="00483B1C" w:rsidRPr="0006444F" w:rsidRDefault="00483B1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444F">
              <w:rPr>
                <w:sz w:val="20"/>
                <w:szCs w:val="20"/>
              </w:rPr>
              <w:t>88 (79%)</w:t>
            </w:r>
          </w:p>
        </w:tc>
        <w:tc>
          <w:tcPr>
            <w:tcW w:w="1984" w:type="dxa"/>
          </w:tcPr>
          <w:p w14:paraId="2EB9A721" w14:textId="50B7D32E" w:rsidR="00483B1C" w:rsidRPr="0006444F" w:rsidRDefault="00483B1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444F">
              <w:rPr>
                <w:sz w:val="20"/>
                <w:szCs w:val="20"/>
              </w:rPr>
              <w:t>130 (80%)</w:t>
            </w:r>
          </w:p>
        </w:tc>
      </w:tr>
      <w:tr w:rsidR="00483B1C" w:rsidRPr="0006444F" w14:paraId="7C6E60FA" w14:textId="234D77BB" w:rsidTr="00AA56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4" w:type="dxa"/>
            <w:tcBorders>
              <w:bottom w:val="single" w:sz="4" w:space="0" w:color="auto"/>
            </w:tcBorders>
          </w:tcPr>
          <w:p w14:paraId="7141A89E" w14:textId="2B624833" w:rsidR="00483B1C" w:rsidRPr="0006444F" w:rsidRDefault="00FD1139" w:rsidP="00FD113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- </w:t>
            </w:r>
            <w:r w:rsidR="00483B1C" w:rsidRPr="0006444F">
              <w:rPr>
                <w:b w:val="0"/>
                <w:sz w:val="20"/>
                <w:szCs w:val="20"/>
              </w:rPr>
              <w:t>More than one</w:t>
            </w:r>
            <w:r w:rsidR="001C1F46">
              <w:rPr>
                <w:b w:val="0"/>
                <w:sz w:val="20"/>
                <w:szCs w:val="20"/>
              </w:rPr>
              <w:t xml:space="preserve"> prescribed</w:t>
            </w:r>
            <w:r>
              <w:rPr>
                <w:b w:val="0"/>
                <w:sz w:val="20"/>
                <w:szCs w:val="20"/>
              </w:rPr>
              <w:t>, No. (%)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</w:tcBorders>
          </w:tcPr>
          <w:p w14:paraId="7EEEAD35" w14:textId="77777777" w:rsidR="00483B1C" w:rsidRPr="0006444F" w:rsidRDefault="00483B1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444F">
              <w:rPr>
                <w:sz w:val="20"/>
                <w:szCs w:val="20"/>
              </w:rPr>
              <w:t>7 (11%)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577B52E" w14:textId="77777777" w:rsidR="00483B1C" w:rsidRPr="0006444F" w:rsidRDefault="00483B1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444F">
              <w:rPr>
                <w:sz w:val="20"/>
                <w:szCs w:val="20"/>
              </w:rPr>
              <w:t>21 (19%)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</w:tcBorders>
          </w:tcPr>
          <w:p w14:paraId="6DF6F322" w14:textId="7A74BC70" w:rsidR="00483B1C" w:rsidRPr="0006444F" w:rsidRDefault="00483B1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444F">
              <w:rPr>
                <w:sz w:val="20"/>
                <w:szCs w:val="20"/>
              </w:rPr>
              <w:t>23 (21%)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5DA5404" w14:textId="6B6DFFE8" w:rsidR="00483B1C" w:rsidRPr="0006444F" w:rsidRDefault="00483B1C" w:rsidP="000D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444F">
              <w:rPr>
                <w:sz w:val="20"/>
                <w:szCs w:val="20"/>
              </w:rPr>
              <w:t>33 (20%)</w:t>
            </w:r>
          </w:p>
        </w:tc>
      </w:tr>
    </w:tbl>
    <w:p w14:paraId="58E42BAB" w14:textId="0C6D1BBA" w:rsidR="00FD1139" w:rsidRDefault="00FD1139" w:rsidP="00D815DE">
      <w:pPr>
        <w:spacing w:after="0" w:line="240" w:lineRule="auto"/>
        <w:jc w:val="both"/>
        <w:rPr>
          <w:b/>
          <w:sz w:val="20"/>
        </w:rPr>
      </w:pPr>
    </w:p>
    <w:p w14:paraId="73DFFE0B" w14:textId="0667D85D" w:rsidR="00FD1139" w:rsidRDefault="00FD1139" w:rsidP="000D3622">
      <w:pPr>
        <w:spacing w:after="0" w:line="240" w:lineRule="auto"/>
        <w:jc w:val="both"/>
        <w:rPr>
          <w:b/>
          <w:sz w:val="20"/>
        </w:rPr>
      </w:pPr>
      <w:r>
        <w:rPr>
          <w:b/>
          <w:sz w:val="20"/>
        </w:rPr>
        <w:t>Footnote for Table 4</w:t>
      </w:r>
    </w:p>
    <w:p w14:paraId="6BD77557" w14:textId="2AFA8965" w:rsidR="006A29A0" w:rsidRDefault="00BD06C1" w:rsidP="000D3622">
      <w:pPr>
        <w:spacing w:after="0" w:line="240" w:lineRule="auto"/>
        <w:jc w:val="both"/>
        <w:rPr>
          <w:sz w:val="20"/>
        </w:rPr>
      </w:pPr>
      <w:r w:rsidRPr="005C4E3A">
        <w:rPr>
          <w:sz w:val="20"/>
        </w:rPr>
        <w:t>*Include</w:t>
      </w:r>
      <w:r w:rsidR="00483B1C" w:rsidRPr="005C4E3A">
        <w:rPr>
          <w:sz w:val="20"/>
        </w:rPr>
        <w:t>s</w:t>
      </w:r>
      <w:r w:rsidRPr="005C4E3A">
        <w:rPr>
          <w:sz w:val="20"/>
        </w:rPr>
        <w:t xml:space="preserve"> </w:t>
      </w:r>
      <w:r w:rsidR="005C2673">
        <w:rPr>
          <w:sz w:val="20"/>
        </w:rPr>
        <w:t>ER and other out</w:t>
      </w:r>
      <w:r w:rsidR="00A80D53">
        <w:rPr>
          <w:sz w:val="20"/>
        </w:rPr>
        <w:t>-</w:t>
      </w:r>
      <w:r w:rsidR="005C2673">
        <w:rPr>
          <w:sz w:val="20"/>
        </w:rPr>
        <w:t>of</w:t>
      </w:r>
      <w:r w:rsidR="00A80D53">
        <w:rPr>
          <w:sz w:val="20"/>
        </w:rPr>
        <w:t>-</w:t>
      </w:r>
      <w:r w:rsidR="005C2673">
        <w:rPr>
          <w:sz w:val="20"/>
        </w:rPr>
        <w:t>hours services</w:t>
      </w:r>
      <w:r w:rsidRPr="005C4E3A">
        <w:rPr>
          <w:sz w:val="20"/>
        </w:rPr>
        <w:t xml:space="preserve">. </w:t>
      </w:r>
    </w:p>
    <w:p w14:paraId="1398CE5F" w14:textId="7AF8926F" w:rsidR="00BD06C1" w:rsidRPr="005C4E3A" w:rsidRDefault="00BD06C1" w:rsidP="000D3622">
      <w:pPr>
        <w:spacing w:after="0" w:line="240" w:lineRule="auto"/>
        <w:jc w:val="both"/>
        <w:rPr>
          <w:sz w:val="20"/>
        </w:rPr>
      </w:pPr>
      <w:r w:rsidRPr="005C4E3A">
        <w:rPr>
          <w:sz w:val="20"/>
        </w:rPr>
        <w:t>**Other records are repeat prescriptions, administrative entries or routine specialist appointments</w:t>
      </w:r>
      <w:r w:rsidR="00753A95" w:rsidRPr="005C4E3A">
        <w:rPr>
          <w:sz w:val="20"/>
        </w:rPr>
        <w:t>.</w:t>
      </w:r>
    </w:p>
    <w:p w14:paraId="775BA440" w14:textId="3F189AD2" w:rsidR="00BD06C1" w:rsidRPr="005C4E3A" w:rsidRDefault="00BD06C1" w:rsidP="000D3622">
      <w:pPr>
        <w:spacing w:after="0" w:line="240" w:lineRule="auto"/>
        <w:contextualSpacing/>
        <w:jc w:val="both"/>
        <w:rPr>
          <w:sz w:val="20"/>
        </w:rPr>
      </w:pPr>
      <w:r w:rsidRPr="005C4E3A">
        <w:rPr>
          <w:sz w:val="20"/>
          <w:vertAlign w:val="superscript"/>
        </w:rPr>
        <w:t xml:space="preserve">$ </w:t>
      </w:r>
      <w:r w:rsidR="001D5472" w:rsidRPr="005C4E3A">
        <w:rPr>
          <w:sz w:val="20"/>
        </w:rPr>
        <w:t>F</w:t>
      </w:r>
      <w:r w:rsidRPr="005C4E3A">
        <w:rPr>
          <w:sz w:val="20"/>
        </w:rPr>
        <w:t>rontline antibiotics are Nitrofurantoin and Trimethoprim</w:t>
      </w:r>
      <w:r w:rsidR="00483B1C" w:rsidRPr="005C4E3A">
        <w:rPr>
          <w:sz w:val="20"/>
        </w:rPr>
        <w:t xml:space="preserve"> for UTI and Amoxicillin, Clarithromycin, Doxycycline and Erythromycin for </w:t>
      </w:r>
      <w:r w:rsidR="001D5472" w:rsidRPr="005C4E3A">
        <w:rPr>
          <w:sz w:val="20"/>
        </w:rPr>
        <w:t>pneumonia</w:t>
      </w:r>
      <w:r w:rsidR="00483B1C" w:rsidRPr="005C4E3A">
        <w:rPr>
          <w:sz w:val="20"/>
        </w:rPr>
        <w:t>/LRTI.</w:t>
      </w:r>
    </w:p>
    <w:p w14:paraId="02600BB3" w14:textId="0F7F2B8A" w:rsidR="00483B1C" w:rsidRPr="005C4E3A" w:rsidRDefault="00077175" w:rsidP="000D3622">
      <w:pPr>
        <w:spacing w:after="0" w:line="240" w:lineRule="auto"/>
        <w:contextualSpacing/>
        <w:jc w:val="both"/>
        <w:rPr>
          <w:sz w:val="20"/>
        </w:rPr>
      </w:pPr>
      <w:r w:rsidRPr="005C4E3A">
        <w:rPr>
          <w:sz w:val="20"/>
          <w:vertAlign w:val="superscript"/>
        </w:rPr>
        <w:t>%</w:t>
      </w:r>
      <w:r w:rsidRPr="005C4E3A">
        <w:rPr>
          <w:sz w:val="20"/>
        </w:rPr>
        <w:t>High risk UTI patients have a history of specific kidney operations, UTI</w:t>
      </w:r>
      <w:r w:rsidR="001D5472" w:rsidRPr="005C4E3A">
        <w:rPr>
          <w:sz w:val="20"/>
        </w:rPr>
        <w:t>s</w:t>
      </w:r>
      <w:r w:rsidRPr="005C4E3A">
        <w:rPr>
          <w:sz w:val="20"/>
        </w:rPr>
        <w:t>, catheter</w:t>
      </w:r>
      <w:r w:rsidR="001D5472" w:rsidRPr="005C4E3A">
        <w:rPr>
          <w:sz w:val="20"/>
        </w:rPr>
        <w:t xml:space="preserve"> or</w:t>
      </w:r>
      <w:r w:rsidRPr="005C4E3A">
        <w:rPr>
          <w:sz w:val="20"/>
        </w:rPr>
        <w:t xml:space="preserve"> incontinence </w:t>
      </w:r>
      <w:r w:rsidR="001D5472" w:rsidRPr="005C4E3A">
        <w:rPr>
          <w:sz w:val="20"/>
        </w:rPr>
        <w:t>and for p</w:t>
      </w:r>
      <w:r w:rsidRPr="005C4E3A">
        <w:rPr>
          <w:sz w:val="20"/>
        </w:rPr>
        <w:t>neumonia/LRTI those with a history or recurrent chest infections, pneumonitis, PEG feeding, pre</w:t>
      </w:r>
      <w:r w:rsidR="001D5472" w:rsidRPr="005C4E3A">
        <w:rPr>
          <w:sz w:val="20"/>
        </w:rPr>
        <w:t>scriptions for food thickeners or having</w:t>
      </w:r>
      <w:r w:rsidRPr="005C4E3A">
        <w:rPr>
          <w:sz w:val="20"/>
        </w:rPr>
        <w:t xml:space="preserve"> 2 or more chest infections in the preceding year.</w:t>
      </w:r>
    </w:p>
    <w:p w14:paraId="13D7A384" w14:textId="7B37A63F" w:rsidR="00590ED6" w:rsidRDefault="00753A95" w:rsidP="000D3622">
      <w:pPr>
        <w:spacing w:after="0" w:line="240" w:lineRule="auto"/>
        <w:contextualSpacing/>
        <w:jc w:val="both"/>
        <w:rPr>
          <w:sz w:val="20"/>
        </w:rPr>
      </w:pPr>
      <w:r w:rsidRPr="005C4E3A">
        <w:rPr>
          <w:sz w:val="20"/>
          <w:vertAlign w:val="superscript"/>
        </w:rPr>
        <w:t>&amp;</w:t>
      </w:r>
      <w:r w:rsidRPr="005C4E3A">
        <w:rPr>
          <w:sz w:val="20"/>
        </w:rPr>
        <w:t xml:space="preserve">Urine tests include both immediate dipstick and non-immediate urine microscopy. 37 (84%) of adults with ID and 62 (83%) </w:t>
      </w:r>
      <w:r w:rsidR="005C4E3A" w:rsidRPr="005C4E3A">
        <w:rPr>
          <w:sz w:val="20"/>
        </w:rPr>
        <w:t xml:space="preserve">of adults without ID </w:t>
      </w:r>
      <w:r w:rsidRPr="005C4E3A">
        <w:rPr>
          <w:sz w:val="20"/>
        </w:rPr>
        <w:t>have urine microscopy.</w:t>
      </w:r>
    </w:p>
    <w:p w14:paraId="39BC7A9D" w14:textId="60EBA5F6" w:rsidR="00D815DE" w:rsidRPr="00D815DE" w:rsidRDefault="00D815DE" w:rsidP="00D815DE">
      <w:pPr>
        <w:spacing w:after="0" w:line="240" w:lineRule="auto"/>
        <w:jc w:val="both"/>
        <w:rPr>
          <w:sz w:val="20"/>
          <w:szCs w:val="20"/>
        </w:rPr>
      </w:pPr>
      <w:r w:rsidRPr="00D815DE">
        <w:rPr>
          <w:sz w:val="20"/>
          <w:szCs w:val="20"/>
        </w:rPr>
        <w:t>ID: Intellectual Disability, UTI: Urinary Tract Infection, LRTI: Lower Respiratory Tract Infection</w:t>
      </w:r>
    </w:p>
    <w:p w14:paraId="20F1B7AC" w14:textId="1147369D" w:rsidR="00D815DE" w:rsidRPr="00F8605C" w:rsidRDefault="00D815DE" w:rsidP="00E7517A">
      <w:pPr>
        <w:spacing w:after="0" w:line="240" w:lineRule="auto"/>
        <w:jc w:val="both"/>
        <w:rPr>
          <w:sz w:val="24"/>
          <w:szCs w:val="24"/>
        </w:rPr>
      </w:pPr>
    </w:p>
    <w:sectPr w:rsidR="00D815DE" w:rsidRPr="00F8605C" w:rsidSect="00E7517A">
      <w:pgSz w:w="16838" w:h="11906" w:orient="landscape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EEAC26" w14:textId="77777777" w:rsidR="0040253A" w:rsidRDefault="0040253A" w:rsidP="005B5965">
      <w:pPr>
        <w:spacing w:after="0" w:line="240" w:lineRule="auto"/>
      </w:pPr>
      <w:r>
        <w:separator/>
      </w:r>
    </w:p>
  </w:endnote>
  <w:endnote w:type="continuationSeparator" w:id="0">
    <w:p w14:paraId="5A3D2D8B" w14:textId="77777777" w:rsidR="0040253A" w:rsidRDefault="0040253A" w:rsidP="005B5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TTef45df09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29173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33E924" w14:textId="484B81FC" w:rsidR="00370022" w:rsidRDefault="003700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50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084015D" w14:textId="77777777" w:rsidR="00370022" w:rsidRDefault="003700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40506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D1EA33" w14:textId="733D8E93" w:rsidR="00370022" w:rsidRDefault="003700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067A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3412A190" w14:textId="77777777" w:rsidR="00370022" w:rsidRDefault="003700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04010F" w14:textId="77777777" w:rsidR="0040253A" w:rsidRDefault="0040253A" w:rsidP="005B5965">
      <w:pPr>
        <w:spacing w:after="0" w:line="240" w:lineRule="auto"/>
      </w:pPr>
      <w:r>
        <w:separator/>
      </w:r>
    </w:p>
  </w:footnote>
  <w:footnote w:type="continuationSeparator" w:id="0">
    <w:p w14:paraId="7E1D3BB0" w14:textId="77777777" w:rsidR="0040253A" w:rsidRDefault="0040253A" w:rsidP="005B5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43910"/>
    <w:multiLevelType w:val="hybridMultilevel"/>
    <w:tmpl w:val="91FC09E0"/>
    <w:lvl w:ilvl="0" w:tplc="C63A3E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61C6B"/>
    <w:multiLevelType w:val="hybridMultilevel"/>
    <w:tmpl w:val="D4DEC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249E8"/>
    <w:multiLevelType w:val="hybridMultilevel"/>
    <w:tmpl w:val="42F64772"/>
    <w:lvl w:ilvl="0" w:tplc="A9D255A0">
      <w:numFmt w:val="bullet"/>
      <w:lvlText w:val="-"/>
      <w:lvlJc w:val="left"/>
      <w:pPr>
        <w:ind w:left="720" w:hanging="360"/>
      </w:pPr>
      <w:rPr>
        <w:rFonts w:ascii="Calibri" w:eastAsiaTheme="minorHAnsi" w:hAnsi="Calibri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B7222"/>
    <w:multiLevelType w:val="hybridMultilevel"/>
    <w:tmpl w:val="BF362A12"/>
    <w:lvl w:ilvl="0" w:tplc="C63A3E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B10D0"/>
    <w:multiLevelType w:val="hybridMultilevel"/>
    <w:tmpl w:val="07A83B0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95CE8"/>
    <w:multiLevelType w:val="hybridMultilevel"/>
    <w:tmpl w:val="A7364360"/>
    <w:lvl w:ilvl="0" w:tplc="C63A3E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96E34"/>
    <w:multiLevelType w:val="hybridMultilevel"/>
    <w:tmpl w:val="A5423CAE"/>
    <w:lvl w:ilvl="0" w:tplc="D5BC1CF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1074ED"/>
    <w:multiLevelType w:val="hybridMultilevel"/>
    <w:tmpl w:val="8C5E6CA2"/>
    <w:lvl w:ilvl="0" w:tplc="527E080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B2A0B"/>
    <w:multiLevelType w:val="hybridMultilevel"/>
    <w:tmpl w:val="68F4DAEA"/>
    <w:lvl w:ilvl="0" w:tplc="1812E6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207D03"/>
    <w:multiLevelType w:val="hybridMultilevel"/>
    <w:tmpl w:val="8EAAAE26"/>
    <w:lvl w:ilvl="0" w:tplc="C63A3E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CD2952"/>
    <w:multiLevelType w:val="hybridMultilevel"/>
    <w:tmpl w:val="457C2632"/>
    <w:lvl w:ilvl="0" w:tplc="701A294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455D4"/>
    <w:multiLevelType w:val="hybridMultilevel"/>
    <w:tmpl w:val="BDF27752"/>
    <w:lvl w:ilvl="0" w:tplc="94BEADD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273D8"/>
    <w:multiLevelType w:val="hybridMultilevel"/>
    <w:tmpl w:val="E8A81D32"/>
    <w:lvl w:ilvl="0" w:tplc="333AA3D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31440A"/>
    <w:multiLevelType w:val="hybridMultilevel"/>
    <w:tmpl w:val="933AABE4"/>
    <w:lvl w:ilvl="0" w:tplc="406275A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9"/>
  </w:num>
  <w:num w:numId="5">
    <w:abstractNumId w:val="0"/>
  </w:num>
  <w:num w:numId="6">
    <w:abstractNumId w:val="7"/>
  </w:num>
  <w:num w:numId="7">
    <w:abstractNumId w:val="11"/>
  </w:num>
  <w:num w:numId="8">
    <w:abstractNumId w:val="6"/>
  </w:num>
  <w:num w:numId="9">
    <w:abstractNumId w:val="13"/>
  </w:num>
  <w:num w:numId="10">
    <w:abstractNumId w:val="10"/>
  </w:num>
  <w:num w:numId="11">
    <w:abstractNumId w:val="2"/>
  </w:num>
  <w:num w:numId="12">
    <w:abstractNumId w:val="8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vd5rfe5s0azere5pfyx0xrzazafratsxvvv&quot;&gt;EN_Library1&lt;record-ids&gt;&lt;item&gt;245&lt;/item&gt;&lt;item&gt;373&lt;/item&gt;&lt;item&gt;387&lt;/item&gt;&lt;item&gt;403&lt;/item&gt;&lt;item&gt;416&lt;/item&gt;&lt;item&gt;425&lt;/item&gt;&lt;item&gt;501&lt;/item&gt;&lt;item&gt;503&lt;/item&gt;&lt;item&gt;507&lt;/item&gt;&lt;item&gt;510&lt;/item&gt;&lt;item&gt;511&lt;/item&gt;&lt;item&gt;520&lt;/item&gt;&lt;item&gt;532&lt;/item&gt;&lt;item&gt;533&lt;/item&gt;&lt;item&gt;535&lt;/item&gt;&lt;item&gt;538&lt;/item&gt;&lt;item&gt;545&lt;/item&gt;&lt;item&gt;546&lt;/item&gt;&lt;item&gt;553&lt;/item&gt;&lt;item&gt;558&lt;/item&gt;&lt;item&gt;559&lt;/item&gt;&lt;item&gt;560&lt;/item&gt;&lt;item&gt;567&lt;/item&gt;&lt;item&gt;703&lt;/item&gt;&lt;item&gt;706&lt;/item&gt;&lt;item&gt;714&lt;/item&gt;&lt;item&gt;777&lt;/item&gt;&lt;item&gt;786&lt;/item&gt;&lt;/record-ids&gt;&lt;/item&gt;&lt;/Libraries&gt;"/>
  </w:docVars>
  <w:rsids>
    <w:rsidRoot w:val="00FB3459"/>
    <w:rsid w:val="00000958"/>
    <w:rsid w:val="000021EB"/>
    <w:rsid w:val="00003A92"/>
    <w:rsid w:val="00004A00"/>
    <w:rsid w:val="00015F79"/>
    <w:rsid w:val="00021D8D"/>
    <w:rsid w:val="00023283"/>
    <w:rsid w:val="0002343F"/>
    <w:rsid w:val="00026BC3"/>
    <w:rsid w:val="00034629"/>
    <w:rsid w:val="00040CDD"/>
    <w:rsid w:val="00040D4C"/>
    <w:rsid w:val="0005173A"/>
    <w:rsid w:val="00051D10"/>
    <w:rsid w:val="00055FBF"/>
    <w:rsid w:val="0005794C"/>
    <w:rsid w:val="0006050D"/>
    <w:rsid w:val="0006098F"/>
    <w:rsid w:val="0006171A"/>
    <w:rsid w:val="00063559"/>
    <w:rsid w:val="0006444F"/>
    <w:rsid w:val="00064BE2"/>
    <w:rsid w:val="0006617A"/>
    <w:rsid w:val="00067131"/>
    <w:rsid w:val="0007002E"/>
    <w:rsid w:val="00071FE2"/>
    <w:rsid w:val="0007357E"/>
    <w:rsid w:val="000744C2"/>
    <w:rsid w:val="00074EC5"/>
    <w:rsid w:val="00077175"/>
    <w:rsid w:val="0008051E"/>
    <w:rsid w:val="00080AAE"/>
    <w:rsid w:val="00081C04"/>
    <w:rsid w:val="00082791"/>
    <w:rsid w:val="00084149"/>
    <w:rsid w:val="000843B1"/>
    <w:rsid w:val="00093ECE"/>
    <w:rsid w:val="00094578"/>
    <w:rsid w:val="00095F7C"/>
    <w:rsid w:val="0009772B"/>
    <w:rsid w:val="000A1861"/>
    <w:rsid w:val="000A237E"/>
    <w:rsid w:val="000A352C"/>
    <w:rsid w:val="000A567D"/>
    <w:rsid w:val="000B1C4E"/>
    <w:rsid w:val="000B28FB"/>
    <w:rsid w:val="000B7260"/>
    <w:rsid w:val="000B73C7"/>
    <w:rsid w:val="000B7423"/>
    <w:rsid w:val="000C0C57"/>
    <w:rsid w:val="000C29FB"/>
    <w:rsid w:val="000C5C28"/>
    <w:rsid w:val="000C708E"/>
    <w:rsid w:val="000D0E5F"/>
    <w:rsid w:val="000D2225"/>
    <w:rsid w:val="000D3622"/>
    <w:rsid w:val="000D3B4E"/>
    <w:rsid w:val="000D756B"/>
    <w:rsid w:val="000E7106"/>
    <w:rsid w:val="001019A8"/>
    <w:rsid w:val="00104078"/>
    <w:rsid w:val="001054AB"/>
    <w:rsid w:val="00106A3A"/>
    <w:rsid w:val="00112065"/>
    <w:rsid w:val="0011460F"/>
    <w:rsid w:val="001146E5"/>
    <w:rsid w:val="00115430"/>
    <w:rsid w:val="001157C2"/>
    <w:rsid w:val="00120686"/>
    <w:rsid w:val="0012285E"/>
    <w:rsid w:val="001262B7"/>
    <w:rsid w:val="001265BE"/>
    <w:rsid w:val="00126E9B"/>
    <w:rsid w:val="00126F0D"/>
    <w:rsid w:val="001313CC"/>
    <w:rsid w:val="00132EC8"/>
    <w:rsid w:val="00136648"/>
    <w:rsid w:val="00137365"/>
    <w:rsid w:val="0013777B"/>
    <w:rsid w:val="001377D2"/>
    <w:rsid w:val="001405C0"/>
    <w:rsid w:val="00142F08"/>
    <w:rsid w:val="0014325E"/>
    <w:rsid w:val="001439EF"/>
    <w:rsid w:val="00150AA1"/>
    <w:rsid w:val="00150CA0"/>
    <w:rsid w:val="001543DF"/>
    <w:rsid w:val="00156B21"/>
    <w:rsid w:val="0016153B"/>
    <w:rsid w:val="00161E52"/>
    <w:rsid w:val="001639EF"/>
    <w:rsid w:val="0017027D"/>
    <w:rsid w:val="0017046B"/>
    <w:rsid w:val="001736C5"/>
    <w:rsid w:val="00175981"/>
    <w:rsid w:val="00177845"/>
    <w:rsid w:val="001805DE"/>
    <w:rsid w:val="00182545"/>
    <w:rsid w:val="0018328B"/>
    <w:rsid w:val="001838EA"/>
    <w:rsid w:val="0018660C"/>
    <w:rsid w:val="001900FF"/>
    <w:rsid w:val="00190C9A"/>
    <w:rsid w:val="0019283F"/>
    <w:rsid w:val="00194056"/>
    <w:rsid w:val="00196323"/>
    <w:rsid w:val="00196B8F"/>
    <w:rsid w:val="00196BC2"/>
    <w:rsid w:val="00197910"/>
    <w:rsid w:val="001A5AC1"/>
    <w:rsid w:val="001A6381"/>
    <w:rsid w:val="001B0137"/>
    <w:rsid w:val="001B0727"/>
    <w:rsid w:val="001B4485"/>
    <w:rsid w:val="001B6F68"/>
    <w:rsid w:val="001C1F46"/>
    <w:rsid w:val="001C2A0D"/>
    <w:rsid w:val="001C2B0A"/>
    <w:rsid w:val="001C354C"/>
    <w:rsid w:val="001C4717"/>
    <w:rsid w:val="001C5A5C"/>
    <w:rsid w:val="001C76BA"/>
    <w:rsid w:val="001C7701"/>
    <w:rsid w:val="001D1600"/>
    <w:rsid w:val="001D438A"/>
    <w:rsid w:val="001D44F1"/>
    <w:rsid w:val="001D4F79"/>
    <w:rsid w:val="001D5472"/>
    <w:rsid w:val="001D64AC"/>
    <w:rsid w:val="001D7F43"/>
    <w:rsid w:val="001E75F1"/>
    <w:rsid w:val="001E7B8D"/>
    <w:rsid w:val="00201E34"/>
    <w:rsid w:val="00202633"/>
    <w:rsid w:val="00202760"/>
    <w:rsid w:val="002054E8"/>
    <w:rsid w:val="00212C9C"/>
    <w:rsid w:val="00217B4B"/>
    <w:rsid w:val="00221A7B"/>
    <w:rsid w:val="00222F50"/>
    <w:rsid w:val="00223C06"/>
    <w:rsid w:val="0022599D"/>
    <w:rsid w:val="00226016"/>
    <w:rsid w:val="00227206"/>
    <w:rsid w:val="00231493"/>
    <w:rsid w:val="00233169"/>
    <w:rsid w:val="00233E40"/>
    <w:rsid w:val="002343CC"/>
    <w:rsid w:val="002370FE"/>
    <w:rsid w:val="002413C0"/>
    <w:rsid w:val="00241AB0"/>
    <w:rsid w:val="00245720"/>
    <w:rsid w:val="00247E10"/>
    <w:rsid w:val="0025017D"/>
    <w:rsid w:val="002614D3"/>
    <w:rsid w:val="002615C2"/>
    <w:rsid w:val="00266CD1"/>
    <w:rsid w:val="00266D18"/>
    <w:rsid w:val="002679D1"/>
    <w:rsid w:val="00270F9C"/>
    <w:rsid w:val="002739E5"/>
    <w:rsid w:val="00274492"/>
    <w:rsid w:val="002754CD"/>
    <w:rsid w:val="00276273"/>
    <w:rsid w:val="0027633C"/>
    <w:rsid w:val="00276394"/>
    <w:rsid w:val="00277314"/>
    <w:rsid w:val="00284D5E"/>
    <w:rsid w:val="00290A57"/>
    <w:rsid w:val="0029581C"/>
    <w:rsid w:val="00295A0B"/>
    <w:rsid w:val="002961CA"/>
    <w:rsid w:val="002970FF"/>
    <w:rsid w:val="002A0163"/>
    <w:rsid w:val="002A17DC"/>
    <w:rsid w:val="002A4D0F"/>
    <w:rsid w:val="002A71E3"/>
    <w:rsid w:val="002A771B"/>
    <w:rsid w:val="002B087C"/>
    <w:rsid w:val="002B1C89"/>
    <w:rsid w:val="002B1D08"/>
    <w:rsid w:val="002B2032"/>
    <w:rsid w:val="002B22AC"/>
    <w:rsid w:val="002B4A15"/>
    <w:rsid w:val="002B7CB1"/>
    <w:rsid w:val="002C3486"/>
    <w:rsid w:val="002C3A78"/>
    <w:rsid w:val="002D1B14"/>
    <w:rsid w:val="002D3962"/>
    <w:rsid w:val="002D3ADC"/>
    <w:rsid w:val="002D4EE1"/>
    <w:rsid w:val="002D58DD"/>
    <w:rsid w:val="002D5DB4"/>
    <w:rsid w:val="002D62F8"/>
    <w:rsid w:val="002D7013"/>
    <w:rsid w:val="002E0828"/>
    <w:rsid w:val="002E084D"/>
    <w:rsid w:val="002E1894"/>
    <w:rsid w:val="002E1C70"/>
    <w:rsid w:val="002E3A06"/>
    <w:rsid w:val="002E53FB"/>
    <w:rsid w:val="002E61ED"/>
    <w:rsid w:val="002E7CD9"/>
    <w:rsid w:val="002F0D14"/>
    <w:rsid w:val="002F137C"/>
    <w:rsid w:val="002F2F6A"/>
    <w:rsid w:val="002F362D"/>
    <w:rsid w:val="002F3F1D"/>
    <w:rsid w:val="002F56DD"/>
    <w:rsid w:val="002F6D2A"/>
    <w:rsid w:val="002F7355"/>
    <w:rsid w:val="00303745"/>
    <w:rsid w:val="00303B5D"/>
    <w:rsid w:val="00303FEF"/>
    <w:rsid w:val="00305B35"/>
    <w:rsid w:val="0030617B"/>
    <w:rsid w:val="00306F4E"/>
    <w:rsid w:val="003107BC"/>
    <w:rsid w:val="0031124A"/>
    <w:rsid w:val="003150E0"/>
    <w:rsid w:val="0031597F"/>
    <w:rsid w:val="00316E74"/>
    <w:rsid w:val="0032141B"/>
    <w:rsid w:val="00322781"/>
    <w:rsid w:val="0032357A"/>
    <w:rsid w:val="003248D0"/>
    <w:rsid w:val="00324EA9"/>
    <w:rsid w:val="00326A73"/>
    <w:rsid w:val="00330DFE"/>
    <w:rsid w:val="00333356"/>
    <w:rsid w:val="0033373F"/>
    <w:rsid w:val="00334A92"/>
    <w:rsid w:val="0033666E"/>
    <w:rsid w:val="00336A12"/>
    <w:rsid w:val="00337C52"/>
    <w:rsid w:val="00345CA2"/>
    <w:rsid w:val="003470F7"/>
    <w:rsid w:val="00347F43"/>
    <w:rsid w:val="00351222"/>
    <w:rsid w:val="003513CF"/>
    <w:rsid w:val="00351DFC"/>
    <w:rsid w:val="003548A5"/>
    <w:rsid w:val="00355ACC"/>
    <w:rsid w:val="00356296"/>
    <w:rsid w:val="00357511"/>
    <w:rsid w:val="00357E74"/>
    <w:rsid w:val="003609B9"/>
    <w:rsid w:val="003618E1"/>
    <w:rsid w:val="003625DD"/>
    <w:rsid w:val="00370022"/>
    <w:rsid w:val="00370749"/>
    <w:rsid w:val="00370BB9"/>
    <w:rsid w:val="003723EE"/>
    <w:rsid w:val="00373864"/>
    <w:rsid w:val="0037573B"/>
    <w:rsid w:val="00376227"/>
    <w:rsid w:val="00376A24"/>
    <w:rsid w:val="00380B65"/>
    <w:rsid w:val="00385C70"/>
    <w:rsid w:val="00386029"/>
    <w:rsid w:val="00386926"/>
    <w:rsid w:val="003874CE"/>
    <w:rsid w:val="003906C8"/>
    <w:rsid w:val="0039473B"/>
    <w:rsid w:val="00396559"/>
    <w:rsid w:val="003A37AE"/>
    <w:rsid w:val="003B7891"/>
    <w:rsid w:val="003C21BE"/>
    <w:rsid w:val="003C4D33"/>
    <w:rsid w:val="003C681A"/>
    <w:rsid w:val="003C7F6B"/>
    <w:rsid w:val="003D258A"/>
    <w:rsid w:val="003D3073"/>
    <w:rsid w:val="003D40E4"/>
    <w:rsid w:val="003D5BE2"/>
    <w:rsid w:val="003E2EC3"/>
    <w:rsid w:val="003E567F"/>
    <w:rsid w:val="003E6FC1"/>
    <w:rsid w:val="003E7A55"/>
    <w:rsid w:val="003F6801"/>
    <w:rsid w:val="004007FC"/>
    <w:rsid w:val="004021E7"/>
    <w:rsid w:val="0040253A"/>
    <w:rsid w:val="00404C72"/>
    <w:rsid w:val="0041169A"/>
    <w:rsid w:val="00412AE2"/>
    <w:rsid w:val="00415ADE"/>
    <w:rsid w:val="0042067A"/>
    <w:rsid w:val="00422DDC"/>
    <w:rsid w:val="004233AB"/>
    <w:rsid w:val="00423C68"/>
    <w:rsid w:val="00426282"/>
    <w:rsid w:val="004303B5"/>
    <w:rsid w:val="004305C3"/>
    <w:rsid w:val="00432552"/>
    <w:rsid w:val="004365AB"/>
    <w:rsid w:val="00441E3C"/>
    <w:rsid w:val="0044543A"/>
    <w:rsid w:val="004476CD"/>
    <w:rsid w:val="0045038D"/>
    <w:rsid w:val="00453430"/>
    <w:rsid w:val="00454BE4"/>
    <w:rsid w:val="00455AD6"/>
    <w:rsid w:val="00456E86"/>
    <w:rsid w:val="0046371E"/>
    <w:rsid w:val="00463F12"/>
    <w:rsid w:val="00472A1A"/>
    <w:rsid w:val="0047323D"/>
    <w:rsid w:val="0047518B"/>
    <w:rsid w:val="00476B6A"/>
    <w:rsid w:val="00476E02"/>
    <w:rsid w:val="004777B7"/>
    <w:rsid w:val="00483B1C"/>
    <w:rsid w:val="00483B6B"/>
    <w:rsid w:val="00485D27"/>
    <w:rsid w:val="0049298B"/>
    <w:rsid w:val="00493F39"/>
    <w:rsid w:val="00496492"/>
    <w:rsid w:val="00497109"/>
    <w:rsid w:val="004A07CA"/>
    <w:rsid w:val="004A1A30"/>
    <w:rsid w:val="004A288F"/>
    <w:rsid w:val="004B58AD"/>
    <w:rsid w:val="004C507E"/>
    <w:rsid w:val="004C5C2F"/>
    <w:rsid w:val="004C60CD"/>
    <w:rsid w:val="004D239C"/>
    <w:rsid w:val="004D51E4"/>
    <w:rsid w:val="004E3ACA"/>
    <w:rsid w:val="004F0E46"/>
    <w:rsid w:val="004F2C84"/>
    <w:rsid w:val="004F565C"/>
    <w:rsid w:val="004F5821"/>
    <w:rsid w:val="004F6954"/>
    <w:rsid w:val="004F79B7"/>
    <w:rsid w:val="004F7FCB"/>
    <w:rsid w:val="00502308"/>
    <w:rsid w:val="005049EB"/>
    <w:rsid w:val="00505033"/>
    <w:rsid w:val="0051006A"/>
    <w:rsid w:val="0051121E"/>
    <w:rsid w:val="00511865"/>
    <w:rsid w:val="0051482F"/>
    <w:rsid w:val="00516D00"/>
    <w:rsid w:val="00516DED"/>
    <w:rsid w:val="00517712"/>
    <w:rsid w:val="0052162A"/>
    <w:rsid w:val="005231C9"/>
    <w:rsid w:val="00531292"/>
    <w:rsid w:val="00536216"/>
    <w:rsid w:val="005373EB"/>
    <w:rsid w:val="00537D0B"/>
    <w:rsid w:val="005412A4"/>
    <w:rsid w:val="00542238"/>
    <w:rsid w:val="00542ED3"/>
    <w:rsid w:val="00544201"/>
    <w:rsid w:val="005453A1"/>
    <w:rsid w:val="0055061F"/>
    <w:rsid w:val="00550E28"/>
    <w:rsid w:val="0055145B"/>
    <w:rsid w:val="00551B32"/>
    <w:rsid w:val="0055273B"/>
    <w:rsid w:val="00553489"/>
    <w:rsid w:val="005551D4"/>
    <w:rsid w:val="0055677E"/>
    <w:rsid w:val="0056770D"/>
    <w:rsid w:val="0057349A"/>
    <w:rsid w:val="005747D0"/>
    <w:rsid w:val="005756E3"/>
    <w:rsid w:val="00584FC6"/>
    <w:rsid w:val="00590ED6"/>
    <w:rsid w:val="00591188"/>
    <w:rsid w:val="00591E58"/>
    <w:rsid w:val="00592470"/>
    <w:rsid w:val="00592983"/>
    <w:rsid w:val="005A18C8"/>
    <w:rsid w:val="005A2A4B"/>
    <w:rsid w:val="005A4B7E"/>
    <w:rsid w:val="005A4FA8"/>
    <w:rsid w:val="005A5601"/>
    <w:rsid w:val="005A5A2A"/>
    <w:rsid w:val="005A7CB2"/>
    <w:rsid w:val="005B4981"/>
    <w:rsid w:val="005B5965"/>
    <w:rsid w:val="005B659A"/>
    <w:rsid w:val="005B6A27"/>
    <w:rsid w:val="005C2673"/>
    <w:rsid w:val="005C32E7"/>
    <w:rsid w:val="005C421A"/>
    <w:rsid w:val="005C4E3A"/>
    <w:rsid w:val="005C7A5E"/>
    <w:rsid w:val="005D0748"/>
    <w:rsid w:val="005D3AC3"/>
    <w:rsid w:val="005D4D8F"/>
    <w:rsid w:val="005D6F4D"/>
    <w:rsid w:val="005E5283"/>
    <w:rsid w:val="005F719D"/>
    <w:rsid w:val="00600BE7"/>
    <w:rsid w:val="00610A3A"/>
    <w:rsid w:val="0061210D"/>
    <w:rsid w:val="00612F5B"/>
    <w:rsid w:val="00615142"/>
    <w:rsid w:val="00616E0B"/>
    <w:rsid w:val="00623EAF"/>
    <w:rsid w:val="00624356"/>
    <w:rsid w:val="0062794F"/>
    <w:rsid w:val="00627E49"/>
    <w:rsid w:val="0063286B"/>
    <w:rsid w:val="006330A8"/>
    <w:rsid w:val="006340E1"/>
    <w:rsid w:val="006424A8"/>
    <w:rsid w:val="006445B5"/>
    <w:rsid w:val="0065241F"/>
    <w:rsid w:val="00656AAE"/>
    <w:rsid w:val="0065734F"/>
    <w:rsid w:val="006616A5"/>
    <w:rsid w:val="00662383"/>
    <w:rsid w:val="0066268D"/>
    <w:rsid w:val="006635F6"/>
    <w:rsid w:val="00664A6E"/>
    <w:rsid w:val="00665267"/>
    <w:rsid w:val="006676C4"/>
    <w:rsid w:val="00674D01"/>
    <w:rsid w:val="006752C1"/>
    <w:rsid w:val="0067648B"/>
    <w:rsid w:val="00676DAF"/>
    <w:rsid w:val="00677422"/>
    <w:rsid w:val="00677EAC"/>
    <w:rsid w:val="00682B53"/>
    <w:rsid w:val="00685BAF"/>
    <w:rsid w:val="00685BFA"/>
    <w:rsid w:val="00695983"/>
    <w:rsid w:val="00697C3A"/>
    <w:rsid w:val="006A0C00"/>
    <w:rsid w:val="006A0EB0"/>
    <w:rsid w:val="006A157B"/>
    <w:rsid w:val="006A29A0"/>
    <w:rsid w:val="006A3D6C"/>
    <w:rsid w:val="006A532F"/>
    <w:rsid w:val="006A5C2E"/>
    <w:rsid w:val="006A6835"/>
    <w:rsid w:val="006C0DE6"/>
    <w:rsid w:val="006C104F"/>
    <w:rsid w:val="006C36F2"/>
    <w:rsid w:val="006C6020"/>
    <w:rsid w:val="006C7B7F"/>
    <w:rsid w:val="006D0F3A"/>
    <w:rsid w:val="006D2624"/>
    <w:rsid w:val="006D2A7A"/>
    <w:rsid w:val="006D3DE2"/>
    <w:rsid w:val="006D4AA4"/>
    <w:rsid w:val="006D6BC1"/>
    <w:rsid w:val="006E03AB"/>
    <w:rsid w:val="006F1DC9"/>
    <w:rsid w:val="006F3D66"/>
    <w:rsid w:val="006F5BC3"/>
    <w:rsid w:val="006F7A46"/>
    <w:rsid w:val="007000C2"/>
    <w:rsid w:val="00700190"/>
    <w:rsid w:val="00700199"/>
    <w:rsid w:val="00700B89"/>
    <w:rsid w:val="00701816"/>
    <w:rsid w:val="007025CC"/>
    <w:rsid w:val="0070471B"/>
    <w:rsid w:val="00704F18"/>
    <w:rsid w:val="00706513"/>
    <w:rsid w:val="00706920"/>
    <w:rsid w:val="00706BDD"/>
    <w:rsid w:val="00711222"/>
    <w:rsid w:val="0071328D"/>
    <w:rsid w:val="0071376B"/>
    <w:rsid w:val="00713DA3"/>
    <w:rsid w:val="007146F8"/>
    <w:rsid w:val="0071518C"/>
    <w:rsid w:val="0072113D"/>
    <w:rsid w:val="00724E0B"/>
    <w:rsid w:val="007266EB"/>
    <w:rsid w:val="00730C14"/>
    <w:rsid w:val="0073124A"/>
    <w:rsid w:val="00732872"/>
    <w:rsid w:val="007360BB"/>
    <w:rsid w:val="00740745"/>
    <w:rsid w:val="00744CDD"/>
    <w:rsid w:val="0074523D"/>
    <w:rsid w:val="00745D4B"/>
    <w:rsid w:val="0074616D"/>
    <w:rsid w:val="0075378A"/>
    <w:rsid w:val="00753A95"/>
    <w:rsid w:val="00753AE5"/>
    <w:rsid w:val="007549B6"/>
    <w:rsid w:val="0076079E"/>
    <w:rsid w:val="00760CD6"/>
    <w:rsid w:val="00763037"/>
    <w:rsid w:val="00765244"/>
    <w:rsid w:val="00766A06"/>
    <w:rsid w:val="00770CEA"/>
    <w:rsid w:val="00774308"/>
    <w:rsid w:val="00776230"/>
    <w:rsid w:val="00780223"/>
    <w:rsid w:val="007908F7"/>
    <w:rsid w:val="00793392"/>
    <w:rsid w:val="00793CFE"/>
    <w:rsid w:val="00793D5F"/>
    <w:rsid w:val="00793F07"/>
    <w:rsid w:val="007A489F"/>
    <w:rsid w:val="007A4935"/>
    <w:rsid w:val="007B0482"/>
    <w:rsid w:val="007B3901"/>
    <w:rsid w:val="007B577E"/>
    <w:rsid w:val="007C0BBD"/>
    <w:rsid w:val="007C4A72"/>
    <w:rsid w:val="007C4B45"/>
    <w:rsid w:val="007C5F24"/>
    <w:rsid w:val="007C7C63"/>
    <w:rsid w:val="007E2BB2"/>
    <w:rsid w:val="007E38F2"/>
    <w:rsid w:val="007F172E"/>
    <w:rsid w:val="007F5A4E"/>
    <w:rsid w:val="007F75F4"/>
    <w:rsid w:val="0080072B"/>
    <w:rsid w:val="00802823"/>
    <w:rsid w:val="00803CC9"/>
    <w:rsid w:val="008059EB"/>
    <w:rsid w:val="00806FCA"/>
    <w:rsid w:val="008120EF"/>
    <w:rsid w:val="00813B4F"/>
    <w:rsid w:val="00813CFA"/>
    <w:rsid w:val="0081717E"/>
    <w:rsid w:val="008233F4"/>
    <w:rsid w:val="008238E4"/>
    <w:rsid w:val="00824215"/>
    <w:rsid w:val="00824489"/>
    <w:rsid w:val="00825CFB"/>
    <w:rsid w:val="00827254"/>
    <w:rsid w:val="00834F77"/>
    <w:rsid w:val="00836DBF"/>
    <w:rsid w:val="00837F38"/>
    <w:rsid w:val="00842570"/>
    <w:rsid w:val="00842999"/>
    <w:rsid w:val="00844415"/>
    <w:rsid w:val="00845BAD"/>
    <w:rsid w:val="0084668C"/>
    <w:rsid w:val="00847133"/>
    <w:rsid w:val="00847A3E"/>
    <w:rsid w:val="008519FC"/>
    <w:rsid w:val="008530D6"/>
    <w:rsid w:val="0085372B"/>
    <w:rsid w:val="00854E39"/>
    <w:rsid w:val="0085531D"/>
    <w:rsid w:val="00855911"/>
    <w:rsid w:val="00860407"/>
    <w:rsid w:val="00870B21"/>
    <w:rsid w:val="008711E8"/>
    <w:rsid w:val="00876B68"/>
    <w:rsid w:val="008812C1"/>
    <w:rsid w:val="00882191"/>
    <w:rsid w:val="008821C1"/>
    <w:rsid w:val="00884EA5"/>
    <w:rsid w:val="00892D00"/>
    <w:rsid w:val="008933CD"/>
    <w:rsid w:val="008967C5"/>
    <w:rsid w:val="008A019F"/>
    <w:rsid w:val="008A215A"/>
    <w:rsid w:val="008A42C2"/>
    <w:rsid w:val="008A4CDA"/>
    <w:rsid w:val="008B4915"/>
    <w:rsid w:val="008B56EA"/>
    <w:rsid w:val="008C1814"/>
    <w:rsid w:val="008C1BC0"/>
    <w:rsid w:val="008C4B60"/>
    <w:rsid w:val="008C6989"/>
    <w:rsid w:val="008D129C"/>
    <w:rsid w:val="008D149C"/>
    <w:rsid w:val="008D4B2F"/>
    <w:rsid w:val="008E038D"/>
    <w:rsid w:val="008E1343"/>
    <w:rsid w:val="008E1A47"/>
    <w:rsid w:val="008E3DEF"/>
    <w:rsid w:val="008F2D81"/>
    <w:rsid w:val="008F3382"/>
    <w:rsid w:val="008F42D4"/>
    <w:rsid w:val="00900DB9"/>
    <w:rsid w:val="009025F5"/>
    <w:rsid w:val="00903C9F"/>
    <w:rsid w:val="009064D4"/>
    <w:rsid w:val="009074CC"/>
    <w:rsid w:val="009103E6"/>
    <w:rsid w:val="00917D9D"/>
    <w:rsid w:val="009222F9"/>
    <w:rsid w:val="009260BE"/>
    <w:rsid w:val="009260D5"/>
    <w:rsid w:val="00927D42"/>
    <w:rsid w:val="00930F9E"/>
    <w:rsid w:val="00932C6B"/>
    <w:rsid w:val="00933D25"/>
    <w:rsid w:val="00935B22"/>
    <w:rsid w:val="009435F0"/>
    <w:rsid w:val="0094432B"/>
    <w:rsid w:val="00945A66"/>
    <w:rsid w:val="00952E41"/>
    <w:rsid w:val="009648E6"/>
    <w:rsid w:val="009749CD"/>
    <w:rsid w:val="0097529F"/>
    <w:rsid w:val="00977A47"/>
    <w:rsid w:val="00980409"/>
    <w:rsid w:val="00982A0E"/>
    <w:rsid w:val="0098458B"/>
    <w:rsid w:val="0098461D"/>
    <w:rsid w:val="00990D7E"/>
    <w:rsid w:val="009956A1"/>
    <w:rsid w:val="009A108D"/>
    <w:rsid w:val="009A4498"/>
    <w:rsid w:val="009A7C4A"/>
    <w:rsid w:val="009B07FF"/>
    <w:rsid w:val="009B2093"/>
    <w:rsid w:val="009B3C7D"/>
    <w:rsid w:val="009B4184"/>
    <w:rsid w:val="009B55E9"/>
    <w:rsid w:val="009B75E8"/>
    <w:rsid w:val="009C281D"/>
    <w:rsid w:val="009C6B1B"/>
    <w:rsid w:val="009C7AE8"/>
    <w:rsid w:val="009D4FF5"/>
    <w:rsid w:val="009D6837"/>
    <w:rsid w:val="009D7541"/>
    <w:rsid w:val="009E0F22"/>
    <w:rsid w:val="009E1EB9"/>
    <w:rsid w:val="009E21F5"/>
    <w:rsid w:val="009E2B9E"/>
    <w:rsid w:val="009E3C5A"/>
    <w:rsid w:val="009E5010"/>
    <w:rsid w:val="009E59DB"/>
    <w:rsid w:val="009E616E"/>
    <w:rsid w:val="009E6284"/>
    <w:rsid w:val="009E6392"/>
    <w:rsid w:val="009E6F59"/>
    <w:rsid w:val="009E7976"/>
    <w:rsid w:val="009F279E"/>
    <w:rsid w:val="009F4F45"/>
    <w:rsid w:val="009F6158"/>
    <w:rsid w:val="009F6CB0"/>
    <w:rsid w:val="00A03353"/>
    <w:rsid w:val="00A1077A"/>
    <w:rsid w:val="00A11490"/>
    <w:rsid w:val="00A2004B"/>
    <w:rsid w:val="00A217F0"/>
    <w:rsid w:val="00A21AAA"/>
    <w:rsid w:val="00A21F00"/>
    <w:rsid w:val="00A259E6"/>
    <w:rsid w:val="00A27EC1"/>
    <w:rsid w:val="00A32926"/>
    <w:rsid w:val="00A32B05"/>
    <w:rsid w:val="00A32E7C"/>
    <w:rsid w:val="00A33580"/>
    <w:rsid w:val="00A33D03"/>
    <w:rsid w:val="00A36030"/>
    <w:rsid w:val="00A3637C"/>
    <w:rsid w:val="00A3728C"/>
    <w:rsid w:val="00A46AE8"/>
    <w:rsid w:val="00A55DA5"/>
    <w:rsid w:val="00A5766F"/>
    <w:rsid w:val="00A6666B"/>
    <w:rsid w:val="00A713B8"/>
    <w:rsid w:val="00A71BD3"/>
    <w:rsid w:val="00A725DA"/>
    <w:rsid w:val="00A7660B"/>
    <w:rsid w:val="00A80D53"/>
    <w:rsid w:val="00A8210B"/>
    <w:rsid w:val="00A825F2"/>
    <w:rsid w:val="00A839AE"/>
    <w:rsid w:val="00A87B3A"/>
    <w:rsid w:val="00A87D2F"/>
    <w:rsid w:val="00A91CCA"/>
    <w:rsid w:val="00A92204"/>
    <w:rsid w:val="00A93D2A"/>
    <w:rsid w:val="00AA028C"/>
    <w:rsid w:val="00AA279B"/>
    <w:rsid w:val="00AA56D7"/>
    <w:rsid w:val="00AA7B34"/>
    <w:rsid w:val="00AB0D9A"/>
    <w:rsid w:val="00AB3357"/>
    <w:rsid w:val="00AB75C7"/>
    <w:rsid w:val="00AB7B16"/>
    <w:rsid w:val="00AC0BF4"/>
    <w:rsid w:val="00AC3E5C"/>
    <w:rsid w:val="00AC56EB"/>
    <w:rsid w:val="00AC6A23"/>
    <w:rsid w:val="00AC7804"/>
    <w:rsid w:val="00AD2AE6"/>
    <w:rsid w:val="00AD766C"/>
    <w:rsid w:val="00AD77D2"/>
    <w:rsid w:val="00AE2690"/>
    <w:rsid w:val="00AE2B4F"/>
    <w:rsid w:val="00AE479F"/>
    <w:rsid w:val="00AE64EC"/>
    <w:rsid w:val="00AF488D"/>
    <w:rsid w:val="00B03EB8"/>
    <w:rsid w:val="00B06386"/>
    <w:rsid w:val="00B1190A"/>
    <w:rsid w:val="00B124EA"/>
    <w:rsid w:val="00B15DB2"/>
    <w:rsid w:val="00B215B7"/>
    <w:rsid w:val="00B216E1"/>
    <w:rsid w:val="00B24329"/>
    <w:rsid w:val="00B264F7"/>
    <w:rsid w:val="00B32EA2"/>
    <w:rsid w:val="00B33C08"/>
    <w:rsid w:val="00B353D5"/>
    <w:rsid w:val="00B35BEE"/>
    <w:rsid w:val="00B3776E"/>
    <w:rsid w:val="00B46AD9"/>
    <w:rsid w:val="00B506CD"/>
    <w:rsid w:val="00B50973"/>
    <w:rsid w:val="00B52C16"/>
    <w:rsid w:val="00B53594"/>
    <w:rsid w:val="00B556AE"/>
    <w:rsid w:val="00B57C21"/>
    <w:rsid w:val="00B616E2"/>
    <w:rsid w:val="00B62A3C"/>
    <w:rsid w:val="00B65E86"/>
    <w:rsid w:val="00B6778F"/>
    <w:rsid w:val="00B70B99"/>
    <w:rsid w:val="00B7381D"/>
    <w:rsid w:val="00B779BD"/>
    <w:rsid w:val="00B85C57"/>
    <w:rsid w:val="00B87D7C"/>
    <w:rsid w:val="00B9121F"/>
    <w:rsid w:val="00BA1107"/>
    <w:rsid w:val="00BA1666"/>
    <w:rsid w:val="00BA3B2A"/>
    <w:rsid w:val="00BA5685"/>
    <w:rsid w:val="00BB0053"/>
    <w:rsid w:val="00BB125C"/>
    <w:rsid w:val="00BB2832"/>
    <w:rsid w:val="00BB283C"/>
    <w:rsid w:val="00BB61D0"/>
    <w:rsid w:val="00BB63E6"/>
    <w:rsid w:val="00BB7A55"/>
    <w:rsid w:val="00BC50A9"/>
    <w:rsid w:val="00BD06C1"/>
    <w:rsid w:val="00BD2359"/>
    <w:rsid w:val="00BD2671"/>
    <w:rsid w:val="00BD3479"/>
    <w:rsid w:val="00BD3BE0"/>
    <w:rsid w:val="00BD7946"/>
    <w:rsid w:val="00BE1988"/>
    <w:rsid w:val="00BE2B2A"/>
    <w:rsid w:val="00BE509D"/>
    <w:rsid w:val="00BF35C1"/>
    <w:rsid w:val="00BF75FE"/>
    <w:rsid w:val="00C027B1"/>
    <w:rsid w:val="00C05E27"/>
    <w:rsid w:val="00C063E7"/>
    <w:rsid w:val="00C107FE"/>
    <w:rsid w:val="00C10E7D"/>
    <w:rsid w:val="00C14741"/>
    <w:rsid w:val="00C14DBB"/>
    <w:rsid w:val="00C1500C"/>
    <w:rsid w:val="00C15401"/>
    <w:rsid w:val="00C15A12"/>
    <w:rsid w:val="00C17CD0"/>
    <w:rsid w:val="00C21239"/>
    <w:rsid w:val="00C2157B"/>
    <w:rsid w:val="00C23640"/>
    <w:rsid w:val="00C26DD9"/>
    <w:rsid w:val="00C310A0"/>
    <w:rsid w:val="00C40513"/>
    <w:rsid w:val="00C40E3F"/>
    <w:rsid w:val="00C415DF"/>
    <w:rsid w:val="00C44900"/>
    <w:rsid w:val="00C44A9D"/>
    <w:rsid w:val="00C45340"/>
    <w:rsid w:val="00C469FF"/>
    <w:rsid w:val="00C47C0B"/>
    <w:rsid w:val="00C507BC"/>
    <w:rsid w:val="00C512B1"/>
    <w:rsid w:val="00C53E8D"/>
    <w:rsid w:val="00C569A4"/>
    <w:rsid w:val="00C57B24"/>
    <w:rsid w:val="00C61D5B"/>
    <w:rsid w:val="00C63791"/>
    <w:rsid w:val="00C66090"/>
    <w:rsid w:val="00C66470"/>
    <w:rsid w:val="00C70430"/>
    <w:rsid w:val="00C70A39"/>
    <w:rsid w:val="00C72113"/>
    <w:rsid w:val="00C72416"/>
    <w:rsid w:val="00C80B5B"/>
    <w:rsid w:val="00C90456"/>
    <w:rsid w:val="00C92F9E"/>
    <w:rsid w:val="00C951E4"/>
    <w:rsid w:val="00C955F9"/>
    <w:rsid w:val="00C95F20"/>
    <w:rsid w:val="00C96693"/>
    <w:rsid w:val="00CA01F9"/>
    <w:rsid w:val="00CA061A"/>
    <w:rsid w:val="00CA12E6"/>
    <w:rsid w:val="00CA1671"/>
    <w:rsid w:val="00CA3C3D"/>
    <w:rsid w:val="00CA7114"/>
    <w:rsid w:val="00CA73AB"/>
    <w:rsid w:val="00CA7522"/>
    <w:rsid w:val="00CB052C"/>
    <w:rsid w:val="00CB0BD7"/>
    <w:rsid w:val="00CB0EDE"/>
    <w:rsid w:val="00CB2D10"/>
    <w:rsid w:val="00CB4A48"/>
    <w:rsid w:val="00CB5DDF"/>
    <w:rsid w:val="00CB692F"/>
    <w:rsid w:val="00CB6D21"/>
    <w:rsid w:val="00CC6C8F"/>
    <w:rsid w:val="00CD14E8"/>
    <w:rsid w:val="00CD4F74"/>
    <w:rsid w:val="00CD6C38"/>
    <w:rsid w:val="00CD7C15"/>
    <w:rsid w:val="00CE01F3"/>
    <w:rsid w:val="00CE1A48"/>
    <w:rsid w:val="00CE441D"/>
    <w:rsid w:val="00CE4C97"/>
    <w:rsid w:val="00CE7893"/>
    <w:rsid w:val="00CF1F11"/>
    <w:rsid w:val="00CF3EA7"/>
    <w:rsid w:val="00CF4A38"/>
    <w:rsid w:val="00CF51C5"/>
    <w:rsid w:val="00CF532B"/>
    <w:rsid w:val="00CF664B"/>
    <w:rsid w:val="00CF6859"/>
    <w:rsid w:val="00D02117"/>
    <w:rsid w:val="00D02ED6"/>
    <w:rsid w:val="00D13396"/>
    <w:rsid w:val="00D14F38"/>
    <w:rsid w:val="00D15AE7"/>
    <w:rsid w:val="00D160BC"/>
    <w:rsid w:val="00D2072C"/>
    <w:rsid w:val="00D220BD"/>
    <w:rsid w:val="00D243FF"/>
    <w:rsid w:val="00D25947"/>
    <w:rsid w:val="00D25D34"/>
    <w:rsid w:val="00D260FC"/>
    <w:rsid w:val="00D269D2"/>
    <w:rsid w:val="00D302F3"/>
    <w:rsid w:val="00D30848"/>
    <w:rsid w:val="00D3094E"/>
    <w:rsid w:val="00D357CE"/>
    <w:rsid w:val="00D41754"/>
    <w:rsid w:val="00D41C53"/>
    <w:rsid w:val="00D42071"/>
    <w:rsid w:val="00D44019"/>
    <w:rsid w:val="00D44811"/>
    <w:rsid w:val="00D449E6"/>
    <w:rsid w:val="00D46670"/>
    <w:rsid w:val="00D467A4"/>
    <w:rsid w:val="00D47A86"/>
    <w:rsid w:val="00D507C4"/>
    <w:rsid w:val="00D525C0"/>
    <w:rsid w:val="00D528DB"/>
    <w:rsid w:val="00D537CD"/>
    <w:rsid w:val="00D57063"/>
    <w:rsid w:val="00D57D37"/>
    <w:rsid w:val="00D57E13"/>
    <w:rsid w:val="00D615D4"/>
    <w:rsid w:val="00D61669"/>
    <w:rsid w:val="00D619B7"/>
    <w:rsid w:val="00D63A21"/>
    <w:rsid w:val="00D65579"/>
    <w:rsid w:val="00D65D44"/>
    <w:rsid w:val="00D67FFB"/>
    <w:rsid w:val="00D713A5"/>
    <w:rsid w:val="00D71E45"/>
    <w:rsid w:val="00D74529"/>
    <w:rsid w:val="00D74BB5"/>
    <w:rsid w:val="00D7694A"/>
    <w:rsid w:val="00D80B37"/>
    <w:rsid w:val="00D8128B"/>
    <w:rsid w:val="00D815DE"/>
    <w:rsid w:val="00D826AE"/>
    <w:rsid w:val="00D86192"/>
    <w:rsid w:val="00D8668D"/>
    <w:rsid w:val="00D868F5"/>
    <w:rsid w:val="00D87FDA"/>
    <w:rsid w:val="00D93FBE"/>
    <w:rsid w:val="00D94264"/>
    <w:rsid w:val="00D947CE"/>
    <w:rsid w:val="00D95B54"/>
    <w:rsid w:val="00D9627D"/>
    <w:rsid w:val="00DA2A42"/>
    <w:rsid w:val="00DA5B21"/>
    <w:rsid w:val="00DB3C3A"/>
    <w:rsid w:val="00DB3C5B"/>
    <w:rsid w:val="00DB479F"/>
    <w:rsid w:val="00DB53EE"/>
    <w:rsid w:val="00DB562A"/>
    <w:rsid w:val="00DC0AB6"/>
    <w:rsid w:val="00DC16A9"/>
    <w:rsid w:val="00DC2D69"/>
    <w:rsid w:val="00DC3ACD"/>
    <w:rsid w:val="00DC4E1D"/>
    <w:rsid w:val="00DC56A2"/>
    <w:rsid w:val="00DC7BC5"/>
    <w:rsid w:val="00DD1FAD"/>
    <w:rsid w:val="00DD3722"/>
    <w:rsid w:val="00DD3776"/>
    <w:rsid w:val="00DD4B66"/>
    <w:rsid w:val="00DD526C"/>
    <w:rsid w:val="00DE2B96"/>
    <w:rsid w:val="00DE2F04"/>
    <w:rsid w:val="00E03E0E"/>
    <w:rsid w:val="00E07F7F"/>
    <w:rsid w:val="00E20A64"/>
    <w:rsid w:val="00E261FC"/>
    <w:rsid w:val="00E366C7"/>
    <w:rsid w:val="00E366D4"/>
    <w:rsid w:val="00E37A96"/>
    <w:rsid w:val="00E43718"/>
    <w:rsid w:val="00E43833"/>
    <w:rsid w:val="00E442ED"/>
    <w:rsid w:val="00E51DCA"/>
    <w:rsid w:val="00E5447D"/>
    <w:rsid w:val="00E56499"/>
    <w:rsid w:val="00E6521A"/>
    <w:rsid w:val="00E67381"/>
    <w:rsid w:val="00E67B76"/>
    <w:rsid w:val="00E72DB1"/>
    <w:rsid w:val="00E7517A"/>
    <w:rsid w:val="00E75A0E"/>
    <w:rsid w:val="00E76942"/>
    <w:rsid w:val="00E76E3B"/>
    <w:rsid w:val="00E76F66"/>
    <w:rsid w:val="00E777D2"/>
    <w:rsid w:val="00E8014E"/>
    <w:rsid w:val="00E80FAB"/>
    <w:rsid w:val="00E86778"/>
    <w:rsid w:val="00E87CD3"/>
    <w:rsid w:val="00E90B38"/>
    <w:rsid w:val="00E92A94"/>
    <w:rsid w:val="00E937FE"/>
    <w:rsid w:val="00E9494D"/>
    <w:rsid w:val="00E96ED0"/>
    <w:rsid w:val="00EA2A8C"/>
    <w:rsid w:val="00EA3A88"/>
    <w:rsid w:val="00EA41CF"/>
    <w:rsid w:val="00EA55D3"/>
    <w:rsid w:val="00EA583D"/>
    <w:rsid w:val="00EB21BD"/>
    <w:rsid w:val="00EC05D3"/>
    <w:rsid w:val="00EC4EF9"/>
    <w:rsid w:val="00EC5F93"/>
    <w:rsid w:val="00EC6E95"/>
    <w:rsid w:val="00ED022A"/>
    <w:rsid w:val="00ED1A57"/>
    <w:rsid w:val="00ED1FF7"/>
    <w:rsid w:val="00ED412B"/>
    <w:rsid w:val="00ED45F2"/>
    <w:rsid w:val="00ED7EBA"/>
    <w:rsid w:val="00EF0525"/>
    <w:rsid w:val="00EF37F5"/>
    <w:rsid w:val="00EF3F96"/>
    <w:rsid w:val="00EF5351"/>
    <w:rsid w:val="00EF6391"/>
    <w:rsid w:val="00F00207"/>
    <w:rsid w:val="00F02457"/>
    <w:rsid w:val="00F03EF0"/>
    <w:rsid w:val="00F04282"/>
    <w:rsid w:val="00F053D3"/>
    <w:rsid w:val="00F05D54"/>
    <w:rsid w:val="00F07F92"/>
    <w:rsid w:val="00F12FE5"/>
    <w:rsid w:val="00F205BC"/>
    <w:rsid w:val="00F206D2"/>
    <w:rsid w:val="00F20A07"/>
    <w:rsid w:val="00F31901"/>
    <w:rsid w:val="00F32015"/>
    <w:rsid w:val="00F349A5"/>
    <w:rsid w:val="00F36F2C"/>
    <w:rsid w:val="00F37AB7"/>
    <w:rsid w:val="00F40351"/>
    <w:rsid w:val="00F40A49"/>
    <w:rsid w:val="00F41F07"/>
    <w:rsid w:val="00F42EFD"/>
    <w:rsid w:val="00F451D4"/>
    <w:rsid w:val="00F459FA"/>
    <w:rsid w:val="00F46DFD"/>
    <w:rsid w:val="00F52DD2"/>
    <w:rsid w:val="00F556D8"/>
    <w:rsid w:val="00F5730C"/>
    <w:rsid w:val="00F57B3B"/>
    <w:rsid w:val="00F61D3E"/>
    <w:rsid w:val="00F62009"/>
    <w:rsid w:val="00F62932"/>
    <w:rsid w:val="00F66065"/>
    <w:rsid w:val="00F67FF4"/>
    <w:rsid w:val="00F704A1"/>
    <w:rsid w:val="00F74866"/>
    <w:rsid w:val="00F7530A"/>
    <w:rsid w:val="00F80EFE"/>
    <w:rsid w:val="00F84F2C"/>
    <w:rsid w:val="00F8605C"/>
    <w:rsid w:val="00F86A65"/>
    <w:rsid w:val="00F9233D"/>
    <w:rsid w:val="00F95D07"/>
    <w:rsid w:val="00F960F7"/>
    <w:rsid w:val="00FA2216"/>
    <w:rsid w:val="00FA2A9C"/>
    <w:rsid w:val="00FA3957"/>
    <w:rsid w:val="00FA47FC"/>
    <w:rsid w:val="00FA5B6A"/>
    <w:rsid w:val="00FA728F"/>
    <w:rsid w:val="00FB04E2"/>
    <w:rsid w:val="00FB14E0"/>
    <w:rsid w:val="00FB3459"/>
    <w:rsid w:val="00FB51F1"/>
    <w:rsid w:val="00FB7DE1"/>
    <w:rsid w:val="00FB7F30"/>
    <w:rsid w:val="00FC2BB7"/>
    <w:rsid w:val="00FC3D33"/>
    <w:rsid w:val="00FC6365"/>
    <w:rsid w:val="00FD1139"/>
    <w:rsid w:val="00FD4093"/>
    <w:rsid w:val="00FD4B8D"/>
    <w:rsid w:val="00FD6C39"/>
    <w:rsid w:val="00FE13E5"/>
    <w:rsid w:val="00FE1EC4"/>
    <w:rsid w:val="00FE2900"/>
    <w:rsid w:val="00FE51C7"/>
    <w:rsid w:val="00FE58A6"/>
    <w:rsid w:val="00FE72D7"/>
    <w:rsid w:val="00FE7961"/>
    <w:rsid w:val="00FF07CE"/>
    <w:rsid w:val="00FF14FD"/>
    <w:rsid w:val="00FF1C35"/>
    <w:rsid w:val="00FF531D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BD1E7"/>
  <w15:docId w15:val="{9F3A8A0B-353D-45F9-8BF1-DFFD34BC1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21A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3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21A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839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5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B203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6C7B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0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79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A2A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2A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2A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1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1D4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423C68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23C68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423C68"/>
    <w:pPr>
      <w:spacing w:line="240" w:lineRule="auto"/>
      <w:jc w:val="both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423C68"/>
    <w:rPr>
      <w:rFonts w:ascii="Calibri" w:hAnsi="Calibri" w:cs="Calibri"/>
      <w:noProof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21AA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21AA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A21AA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21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ighlight">
    <w:name w:val="highlight"/>
    <w:basedOn w:val="DefaultParagraphFont"/>
    <w:rsid w:val="00A21AAA"/>
  </w:style>
  <w:style w:type="character" w:customStyle="1" w:styleId="ui-ncbitoggler-master-text">
    <w:name w:val="ui-ncbitoggler-master-text"/>
    <w:basedOn w:val="DefaultParagraphFont"/>
    <w:rsid w:val="00B70B99"/>
  </w:style>
  <w:style w:type="paragraph" w:styleId="Header">
    <w:name w:val="header"/>
    <w:basedOn w:val="Normal"/>
    <w:link w:val="HeaderChar"/>
    <w:uiPriority w:val="99"/>
    <w:unhideWhenUsed/>
    <w:rsid w:val="005B5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965"/>
  </w:style>
  <w:style w:type="paragraph" w:styleId="Footer">
    <w:name w:val="footer"/>
    <w:basedOn w:val="Normal"/>
    <w:link w:val="FooterChar"/>
    <w:uiPriority w:val="99"/>
    <w:unhideWhenUsed/>
    <w:rsid w:val="005B5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965"/>
  </w:style>
  <w:style w:type="paragraph" w:customStyle="1" w:styleId="Title1">
    <w:name w:val="Title1"/>
    <w:basedOn w:val="Normal"/>
    <w:rsid w:val="00303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sc">
    <w:name w:val="desc"/>
    <w:basedOn w:val="Normal"/>
    <w:rsid w:val="00303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tails">
    <w:name w:val="details"/>
    <w:basedOn w:val="Normal"/>
    <w:rsid w:val="00303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jrnl">
    <w:name w:val="jrnl"/>
    <w:basedOn w:val="DefaultParagraphFont"/>
    <w:rsid w:val="00303FEF"/>
  </w:style>
  <w:style w:type="character" w:customStyle="1" w:styleId="Heading4Char">
    <w:name w:val="Heading 4 Char"/>
    <w:basedOn w:val="DefaultParagraphFont"/>
    <w:link w:val="Heading4"/>
    <w:uiPriority w:val="9"/>
    <w:rsid w:val="00A839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GridTable6Colorful">
    <w:name w:val="Grid Table 6 Colorful"/>
    <w:basedOn w:val="TableNormal"/>
    <w:uiPriority w:val="51"/>
    <w:rsid w:val="00B33C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">
    <w:name w:val="List Table 1 Light"/>
    <w:basedOn w:val="TableNormal"/>
    <w:uiPriority w:val="46"/>
    <w:rsid w:val="009B75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79339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BD794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34629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112065"/>
    <w:pPr>
      <w:spacing w:line="240" w:lineRule="auto"/>
      <w:jc w:val="both"/>
    </w:pPr>
    <w:rPr>
      <w:iCs/>
      <w:caps/>
      <w:color w:val="1F497D" w:themeColor="text2"/>
      <w:sz w:val="24"/>
      <w:szCs w:val="18"/>
    </w:rPr>
  </w:style>
  <w:style w:type="table" w:customStyle="1" w:styleId="GridTable4-Accent11">
    <w:name w:val="Grid Table 4 - Accent 11"/>
    <w:basedOn w:val="TableNormal"/>
    <w:uiPriority w:val="49"/>
    <w:rsid w:val="0011206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11206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2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8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7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5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7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0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carey@sgul.ac.uk" TargetMode="External"/><Relationship Id="rId13" Type="http://schemas.openxmlformats.org/officeDocument/2006/relationships/hyperlink" Target="http://www.ndti.org.uk/uploads/files/IHAL-2013-02_Hospital_admissions_that_should_not_happen_ii.pdf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mprovinghealthandlives.org.uk/uploads/doc/vid_11422_IHAL2011-06-NHSDataGaps.pdf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cbi.nlm.nih.gov/books/NBK4435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mprovinghealthandlives.org.uk/uploads/doc/vid_16402_IHAL2012-07%20Health%20Checks%20for%20People%20with%20Learning%20Disabilities%202008-9%20to%202011-12v3.pdf" TargetMode="External"/><Relationship Id="rId10" Type="http://schemas.openxmlformats.org/officeDocument/2006/relationships/hyperlink" Target="http://webarchive.nationalarchives.gov.uk/20130107105354/http://www.dh.gov.uk/en/Publicationsandstatistics/Publications/PublicationsPolicyAndGuidance/DH_099255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mprovinghealthandlives.org.uk/uploads/doc/vid_7479_IHaL2010-3HealthInequality2010.pdf" TargetMode="External"/><Relationship Id="rId14" Type="http://schemas.openxmlformats.org/officeDocument/2006/relationships/hyperlink" Target="https://www.gov.uk/government/statistics/english-indices-of-deprivation-20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5DB9E-C477-427A-BB99-84D5F27CB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11215</Words>
  <Characters>63931</Characters>
  <Application>Microsoft Office Word</Application>
  <DocSecurity>4</DocSecurity>
  <Lines>532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SGUL</Company>
  <LinksUpToDate>false</LinksUpToDate>
  <CharactersWithSpaces>74997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Licenced User</dc:creator>
  <cp:lastModifiedBy>Cheryl Watson</cp:lastModifiedBy>
  <cp:revision>2</cp:revision>
  <cp:lastPrinted>2016-03-16T07:50:00Z</cp:lastPrinted>
  <dcterms:created xsi:type="dcterms:W3CDTF">2017-03-29T11:47:00Z</dcterms:created>
  <dcterms:modified xsi:type="dcterms:W3CDTF">2017-03-29T11:47:00Z</dcterms:modified>
</cp:coreProperties>
</file>