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B5C" w:rsidRDefault="00320B5C">
      <w:proofErr w:type="gramStart"/>
      <w:r>
        <w:t>Figure 1.</w:t>
      </w:r>
      <w:proofErr w:type="gramEnd"/>
      <w:r>
        <w:t xml:space="preserve"> </w:t>
      </w:r>
    </w:p>
    <w:p w:rsidR="00320B5C" w:rsidRDefault="00C5463F">
      <w:r>
        <w:rPr>
          <w:noProof/>
        </w:rPr>
        <w:drawing>
          <wp:inline distT="0" distB="0" distL="0" distR="0" wp14:anchorId="32616C4B" wp14:editId="5E8456C1">
            <wp:extent cx="5731510" cy="3129674"/>
            <wp:effectExtent l="0" t="0" r="21590" b="1397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320B5C" w:rsidRDefault="00C50067" w:rsidP="00B72324">
      <w:r>
        <w:t xml:space="preserve">* </w:t>
      </w:r>
      <w:r w:rsidR="00C15F07">
        <w:rPr>
          <w:rFonts w:ascii="Calibri" w:eastAsia="Times New Roman" w:hAnsi="Calibri" w:cs="Times New Roman"/>
          <w:color w:val="000000"/>
        </w:rPr>
        <w:t>The a</w:t>
      </w:r>
      <w:r w:rsidR="00C15F07" w:rsidRPr="00E97426">
        <w:rPr>
          <w:rFonts w:ascii="Calibri" w:eastAsia="Times New Roman" w:hAnsi="Calibri" w:cs="Times New Roman"/>
          <w:color w:val="000000"/>
        </w:rPr>
        <w:t xml:space="preserve">verage </w:t>
      </w:r>
      <w:r w:rsidR="00C15F07">
        <w:rPr>
          <w:rFonts w:ascii="Calibri" w:eastAsia="Times New Roman" w:hAnsi="Calibri" w:cs="Times New Roman"/>
          <w:color w:val="000000"/>
        </w:rPr>
        <w:t xml:space="preserve">incidence </w:t>
      </w:r>
      <w:r w:rsidR="00C15F07" w:rsidRPr="00E97426">
        <w:rPr>
          <w:rFonts w:ascii="Calibri" w:eastAsia="Times New Roman" w:hAnsi="Calibri" w:cs="Times New Roman"/>
          <w:color w:val="000000"/>
        </w:rPr>
        <w:t xml:space="preserve">rate </w:t>
      </w:r>
      <w:r w:rsidR="00C15F07">
        <w:rPr>
          <w:rFonts w:ascii="Calibri" w:eastAsia="Times New Roman" w:hAnsi="Calibri" w:cs="Times New Roman"/>
          <w:color w:val="000000"/>
        </w:rPr>
        <w:t>is calculated using the total count of cases</w:t>
      </w:r>
      <w:r w:rsidR="00EB00D2">
        <w:rPr>
          <w:rFonts w:ascii="Calibri" w:eastAsia="Times New Roman" w:hAnsi="Calibri" w:cs="Times New Roman"/>
          <w:color w:val="000000"/>
        </w:rPr>
        <w:t xml:space="preserve"> reported (2006-2014 for MRSA bacteraemia; 2011-2014 for MSSA bacteraemia)</w:t>
      </w:r>
      <w:proofErr w:type="gramStart"/>
      <w:r w:rsidR="00EB00D2">
        <w:rPr>
          <w:rFonts w:ascii="Calibri" w:eastAsia="Times New Roman" w:hAnsi="Calibri" w:cs="Times New Roman"/>
          <w:color w:val="000000"/>
        </w:rPr>
        <w:t>,</w:t>
      </w:r>
      <w:proofErr w:type="gramEnd"/>
      <w:r w:rsidR="00EB00D2">
        <w:rPr>
          <w:rFonts w:ascii="Calibri" w:eastAsia="Times New Roman" w:hAnsi="Calibri" w:cs="Times New Roman"/>
          <w:color w:val="000000"/>
        </w:rPr>
        <w:t xml:space="preserve"> by age group </w:t>
      </w:r>
      <w:r w:rsidR="00C15F07">
        <w:rPr>
          <w:rFonts w:ascii="Calibri" w:eastAsia="Times New Roman" w:hAnsi="Calibri" w:cs="Times New Roman"/>
          <w:color w:val="000000"/>
        </w:rPr>
        <w:t>the numerator</w:t>
      </w:r>
      <w:r w:rsidR="00EB00D2">
        <w:rPr>
          <w:rFonts w:ascii="Calibri" w:eastAsia="Times New Roman" w:hAnsi="Calibri" w:cs="Times New Roman"/>
          <w:color w:val="000000"/>
        </w:rPr>
        <w:t xml:space="preserve"> </w:t>
      </w:r>
      <w:r w:rsidR="00C15F07" w:rsidRPr="00E97426">
        <w:rPr>
          <w:rFonts w:ascii="Calibri" w:eastAsia="Times New Roman" w:hAnsi="Calibri" w:cs="Times New Roman"/>
          <w:color w:val="000000"/>
        </w:rPr>
        <w:t xml:space="preserve">and </w:t>
      </w:r>
      <w:r w:rsidR="00C15F07">
        <w:rPr>
          <w:rFonts w:ascii="Calibri" w:eastAsia="Times New Roman" w:hAnsi="Calibri" w:cs="Times New Roman"/>
          <w:color w:val="000000"/>
        </w:rPr>
        <w:t xml:space="preserve">the </w:t>
      </w:r>
      <w:r w:rsidR="0073535B">
        <w:rPr>
          <w:rFonts w:ascii="Calibri" w:eastAsia="Times New Roman" w:hAnsi="Calibri" w:cs="Times New Roman"/>
          <w:color w:val="000000"/>
        </w:rPr>
        <w:t xml:space="preserve">Office for National Statistics </w:t>
      </w:r>
      <w:r w:rsidR="00C15F07">
        <w:rPr>
          <w:rFonts w:ascii="Calibri" w:eastAsia="Times New Roman" w:hAnsi="Calibri" w:cs="Times New Roman"/>
          <w:color w:val="000000"/>
        </w:rPr>
        <w:t>mid-year population estimate for 2014 as the denominator.</w:t>
      </w:r>
    </w:p>
    <w:p w:rsidR="0034004E" w:rsidRDefault="0034004E">
      <w:r>
        <w:br w:type="page"/>
      </w:r>
    </w:p>
    <w:p w:rsidR="0097702B" w:rsidRDefault="00FB5EB0">
      <w:proofErr w:type="gramStart"/>
      <w:r>
        <w:lastRenderedPageBreak/>
        <w:t xml:space="preserve">Figure </w:t>
      </w:r>
      <w:r w:rsidR="00DF3CAD">
        <w:t>2</w:t>
      </w:r>
      <w:r>
        <w:t>.</w:t>
      </w:r>
      <w:proofErr w:type="gramEnd"/>
    </w:p>
    <w:p w:rsidR="0097702B" w:rsidRDefault="0097702B" w:rsidP="0097702B">
      <w:r>
        <w:t>Figure 2.a</w:t>
      </w:r>
    </w:p>
    <w:p w:rsidR="007B722F" w:rsidRDefault="00FB5EB0">
      <w:r>
        <w:t xml:space="preserve"> </w:t>
      </w:r>
    </w:p>
    <w:p w:rsidR="00B22A40" w:rsidRDefault="005F54EB">
      <w:r>
        <w:rPr>
          <w:noProof/>
        </w:rPr>
        <w:drawing>
          <wp:inline distT="0" distB="0" distL="0" distR="0" wp14:anchorId="402D772E" wp14:editId="2B41FA60">
            <wp:extent cx="5731510" cy="3228873"/>
            <wp:effectExtent l="0" t="0" r="21590" b="1016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B5EB0" w:rsidRDefault="00FB5EB0"/>
    <w:p w:rsidR="0097702B" w:rsidRDefault="0097702B" w:rsidP="0097702B">
      <w:r>
        <w:t>SSI: surgical site infection; MTC: mother to child transmission; SSTI: skin and soft tissue infection</w:t>
      </w:r>
    </w:p>
    <w:p w:rsidR="0097702B" w:rsidRDefault="0097702B" w:rsidP="0097702B">
      <w:r>
        <w:t>* Other includes: endocarditis; osteomyelitis; prosthetic joint infection; septic arthritis; urinary tract infection; ventilator associated pneumonia; other</w:t>
      </w:r>
    </w:p>
    <w:p w:rsidR="005F54EB" w:rsidRDefault="005F54EB"/>
    <w:p w:rsidR="005F54EB" w:rsidRDefault="005F54EB"/>
    <w:p w:rsidR="005F54EB" w:rsidRDefault="005F54EB"/>
    <w:p w:rsidR="005F54EB" w:rsidRDefault="005F54EB"/>
    <w:p w:rsidR="005F54EB" w:rsidRDefault="005F54EB"/>
    <w:p w:rsidR="005F54EB" w:rsidRDefault="005F54EB"/>
    <w:p w:rsidR="00FB5EB0" w:rsidRDefault="00FB5EB0"/>
    <w:p w:rsidR="0097702B" w:rsidRDefault="0097702B"/>
    <w:p w:rsidR="0097702B" w:rsidRDefault="0097702B"/>
    <w:p w:rsidR="0097702B" w:rsidRDefault="0097702B"/>
    <w:p w:rsidR="0097702B" w:rsidRDefault="0097702B" w:rsidP="0097702B">
      <w:r>
        <w:lastRenderedPageBreak/>
        <w:t>Figure 2.b</w:t>
      </w:r>
    </w:p>
    <w:p w:rsidR="0097702B" w:rsidRDefault="0097702B"/>
    <w:p w:rsidR="005F54EB" w:rsidRDefault="005F54EB">
      <w:r>
        <w:rPr>
          <w:noProof/>
        </w:rPr>
        <w:drawing>
          <wp:inline distT="0" distB="0" distL="0" distR="0" wp14:anchorId="74AEBC6C" wp14:editId="6E7F6541">
            <wp:extent cx="5731510" cy="3247243"/>
            <wp:effectExtent l="0" t="0" r="21590" b="1079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F54EB" w:rsidRDefault="005F54EB"/>
    <w:p w:rsidR="005F54EB" w:rsidRDefault="005F54EB"/>
    <w:p w:rsidR="005F54EB" w:rsidRDefault="005F54EB"/>
    <w:p w:rsidR="00241321" w:rsidRDefault="00241321">
      <w:r>
        <w:t>SSI: surgical site infection; MTC: mother to child transmission; SSTI: skin and soft tissue infection</w:t>
      </w:r>
    </w:p>
    <w:p w:rsidR="00D81C74" w:rsidRDefault="00CA5E0D">
      <w:r>
        <w:t>* Other includes: endocarditis; osteomyelitis; prosthetic joint infection; septic arthritis; urinary tract infection; ventilator associated pneumonia; other</w:t>
      </w:r>
    </w:p>
    <w:p w:rsidR="00CA5E0D" w:rsidRDefault="00CA5E0D"/>
    <w:p w:rsidR="00CA5E0D" w:rsidRDefault="00CA5E0D"/>
    <w:p w:rsidR="00CA5E0D" w:rsidRDefault="00CA5E0D"/>
    <w:p w:rsidR="00CA5E0D" w:rsidRDefault="00CA5E0D"/>
    <w:p w:rsidR="00CA5E0D" w:rsidRDefault="00CA5E0D"/>
    <w:p w:rsidR="00CA5E0D" w:rsidRDefault="00CA5E0D"/>
    <w:p w:rsidR="00CA5E0D" w:rsidRDefault="00CA5E0D"/>
    <w:p w:rsidR="00CA5E0D" w:rsidRDefault="00CA5E0D"/>
    <w:p w:rsidR="00CA5E0D" w:rsidRDefault="00CA5E0D">
      <w:bookmarkStart w:id="0" w:name="_GoBack"/>
      <w:bookmarkEnd w:id="0"/>
    </w:p>
    <w:sectPr w:rsidR="00CA5E0D" w:rsidSect="007001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0A5457"/>
    <w:multiLevelType w:val="hybridMultilevel"/>
    <w:tmpl w:val="2C2CF61A"/>
    <w:lvl w:ilvl="0" w:tplc="FFD06A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CC3"/>
    <w:rsid w:val="0002416F"/>
    <w:rsid w:val="0002516E"/>
    <w:rsid w:val="00042CC3"/>
    <w:rsid w:val="00070883"/>
    <w:rsid w:val="000759D3"/>
    <w:rsid w:val="00092B59"/>
    <w:rsid w:val="000A6048"/>
    <w:rsid w:val="000C237A"/>
    <w:rsid w:val="000C3E81"/>
    <w:rsid w:val="000D33CE"/>
    <w:rsid w:val="000E153F"/>
    <w:rsid w:val="000E21E3"/>
    <w:rsid w:val="00107A84"/>
    <w:rsid w:val="00111BCB"/>
    <w:rsid w:val="00123F89"/>
    <w:rsid w:val="00136151"/>
    <w:rsid w:val="00145020"/>
    <w:rsid w:val="00162EB3"/>
    <w:rsid w:val="00190EBE"/>
    <w:rsid w:val="001B0DFE"/>
    <w:rsid w:val="001C2AC7"/>
    <w:rsid w:val="001D27D5"/>
    <w:rsid w:val="001F1014"/>
    <w:rsid w:val="001F27EA"/>
    <w:rsid w:val="00227F9C"/>
    <w:rsid w:val="00231FD8"/>
    <w:rsid w:val="00241321"/>
    <w:rsid w:val="002509CC"/>
    <w:rsid w:val="002640A0"/>
    <w:rsid w:val="002A5FBC"/>
    <w:rsid w:val="002D5C09"/>
    <w:rsid w:val="00315AE8"/>
    <w:rsid w:val="00320B5C"/>
    <w:rsid w:val="0034004E"/>
    <w:rsid w:val="00346EB7"/>
    <w:rsid w:val="0035599D"/>
    <w:rsid w:val="00361F8A"/>
    <w:rsid w:val="00372ED5"/>
    <w:rsid w:val="003834DB"/>
    <w:rsid w:val="003B4B4D"/>
    <w:rsid w:val="003C1E26"/>
    <w:rsid w:val="003D062C"/>
    <w:rsid w:val="003D5B6E"/>
    <w:rsid w:val="003F691F"/>
    <w:rsid w:val="0040643B"/>
    <w:rsid w:val="00406E77"/>
    <w:rsid w:val="00413853"/>
    <w:rsid w:val="0042005F"/>
    <w:rsid w:val="004240FF"/>
    <w:rsid w:val="00425FD3"/>
    <w:rsid w:val="00495B76"/>
    <w:rsid w:val="0050090C"/>
    <w:rsid w:val="00585C2B"/>
    <w:rsid w:val="005A775C"/>
    <w:rsid w:val="005C0254"/>
    <w:rsid w:val="005C6C37"/>
    <w:rsid w:val="005F54EB"/>
    <w:rsid w:val="005F7EE1"/>
    <w:rsid w:val="00612E1B"/>
    <w:rsid w:val="0063052E"/>
    <w:rsid w:val="0067609B"/>
    <w:rsid w:val="006A3260"/>
    <w:rsid w:val="006D7043"/>
    <w:rsid w:val="006D77CB"/>
    <w:rsid w:val="006F2D00"/>
    <w:rsid w:val="006F5298"/>
    <w:rsid w:val="00700180"/>
    <w:rsid w:val="00710541"/>
    <w:rsid w:val="0071504A"/>
    <w:rsid w:val="007258F2"/>
    <w:rsid w:val="00731B73"/>
    <w:rsid w:val="0073535B"/>
    <w:rsid w:val="007379F8"/>
    <w:rsid w:val="007430B6"/>
    <w:rsid w:val="007601C4"/>
    <w:rsid w:val="0077222B"/>
    <w:rsid w:val="0079686D"/>
    <w:rsid w:val="007A4792"/>
    <w:rsid w:val="007B722F"/>
    <w:rsid w:val="007C2F9E"/>
    <w:rsid w:val="008413B6"/>
    <w:rsid w:val="0084326A"/>
    <w:rsid w:val="0085230C"/>
    <w:rsid w:val="008A28F8"/>
    <w:rsid w:val="008D5411"/>
    <w:rsid w:val="008E19B5"/>
    <w:rsid w:val="008E5ABB"/>
    <w:rsid w:val="008F040C"/>
    <w:rsid w:val="009019F6"/>
    <w:rsid w:val="009057D9"/>
    <w:rsid w:val="009117A8"/>
    <w:rsid w:val="00926A71"/>
    <w:rsid w:val="0097702B"/>
    <w:rsid w:val="009B61E4"/>
    <w:rsid w:val="009C31E9"/>
    <w:rsid w:val="009C74F7"/>
    <w:rsid w:val="009D5251"/>
    <w:rsid w:val="00A522D2"/>
    <w:rsid w:val="00A74AF9"/>
    <w:rsid w:val="00A774AD"/>
    <w:rsid w:val="00A95598"/>
    <w:rsid w:val="00A976E7"/>
    <w:rsid w:val="00B111FB"/>
    <w:rsid w:val="00B22A40"/>
    <w:rsid w:val="00B60E15"/>
    <w:rsid w:val="00B72324"/>
    <w:rsid w:val="00B841C3"/>
    <w:rsid w:val="00B87BD5"/>
    <w:rsid w:val="00BD14EA"/>
    <w:rsid w:val="00C03768"/>
    <w:rsid w:val="00C05C44"/>
    <w:rsid w:val="00C15F07"/>
    <w:rsid w:val="00C24642"/>
    <w:rsid w:val="00C4676B"/>
    <w:rsid w:val="00C50067"/>
    <w:rsid w:val="00C50DF0"/>
    <w:rsid w:val="00C5463F"/>
    <w:rsid w:val="00C73AE2"/>
    <w:rsid w:val="00CA0822"/>
    <w:rsid w:val="00CA5E0D"/>
    <w:rsid w:val="00CB351D"/>
    <w:rsid w:val="00CB63EC"/>
    <w:rsid w:val="00D32E16"/>
    <w:rsid w:val="00D3767C"/>
    <w:rsid w:val="00D4488F"/>
    <w:rsid w:val="00D6174E"/>
    <w:rsid w:val="00D66D80"/>
    <w:rsid w:val="00D670DF"/>
    <w:rsid w:val="00D755F1"/>
    <w:rsid w:val="00D81C74"/>
    <w:rsid w:val="00DA095A"/>
    <w:rsid w:val="00DB5F77"/>
    <w:rsid w:val="00DC1810"/>
    <w:rsid w:val="00DD0CF4"/>
    <w:rsid w:val="00DF3CAD"/>
    <w:rsid w:val="00E010FD"/>
    <w:rsid w:val="00E31B38"/>
    <w:rsid w:val="00E819B4"/>
    <w:rsid w:val="00E947A5"/>
    <w:rsid w:val="00E97426"/>
    <w:rsid w:val="00EA72F0"/>
    <w:rsid w:val="00EB00D2"/>
    <w:rsid w:val="00F01A3D"/>
    <w:rsid w:val="00F04D10"/>
    <w:rsid w:val="00F41BD5"/>
    <w:rsid w:val="00F41D6E"/>
    <w:rsid w:val="00F530E8"/>
    <w:rsid w:val="00F719C2"/>
    <w:rsid w:val="00F862BF"/>
    <w:rsid w:val="00F94EB3"/>
    <w:rsid w:val="00FB0636"/>
    <w:rsid w:val="00FB441D"/>
    <w:rsid w:val="00FB5CC1"/>
    <w:rsid w:val="00FB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EB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819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19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19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19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19B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723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EB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819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19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19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19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19B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72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1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hpa.org.uk\cfi\bacteraemia\Julia\MSSA\Paeds\summary%20of%20data_june%202015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rates!$A$14</c:f>
              <c:strCache>
                <c:ptCount val="1"/>
                <c:pt idx="0">
                  <c:v>MSSA bacteraemia</c:v>
                </c:pt>
              </c:strCache>
            </c:strRef>
          </c:tx>
          <c:spPr>
            <a:ln>
              <a:solidFill>
                <a:schemeClr val="tx1"/>
              </a:solidFill>
              <a:prstDash val="sysDash"/>
            </a:ln>
          </c:spPr>
          <c:marker>
            <c:symbol val="none"/>
          </c:marker>
          <c:cat>
            <c:strRef>
              <c:f>rates!$B$15:$B$21</c:f>
              <c:strCache>
                <c:ptCount val="7"/>
                <c:pt idx="0">
                  <c:v>0-&lt;1</c:v>
                </c:pt>
                <c:pt idx="1">
                  <c:v>1-14</c:v>
                </c:pt>
                <c:pt idx="2">
                  <c:v>15-44</c:v>
                </c:pt>
                <c:pt idx="3">
                  <c:v>45-64</c:v>
                </c:pt>
                <c:pt idx="4">
                  <c:v>65-74</c:v>
                </c:pt>
                <c:pt idx="5">
                  <c:v>75-84</c:v>
                </c:pt>
                <c:pt idx="6">
                  <c:v>85+</c:v>
                </c:pt>
              </c:strCache>
            </c:strRef>
          </c:cat>
          <c:val>
            <c:numRef>
              <c:f>rates!$D$38:$D$43</c:f>
              <c:numCache>
                <c:formatCode>General</c:formatCode>
                <c:ptCount val="6"/>
                <c:pt idx="0">
                  <c:v>60.186725646395651</c:v>
                </c:pt>
                <c:pt idx="1">
                  <c:v>5.2234783228146222</c:v>
                </c:pt>
                <c:pt idx="2">
                  <c:v>6.8460388919596538</c:v>
                </c:pt>
                <c:pt idx="3">
                  <c:v>16.128958283328465</c:v>
                </c:pt>
                <c:pt idx="4">
                  <c:v>30.215734533853531</c:v>
                </c:pt>
                <c:pt idx="5">
                  <c:v>65.84819770345625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rates!$E$13</c:f>
              <c:strCache>
                <c:ptCount val="1"/>
                <c:pt idx="0">
                  <c:v>MRSA bacteraemia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strRef>
              <c:f>rates!$B$15:$B$21</c:f>
              <c:strCache>
                <c:ptCount val="7"/>
                <c:pt idx="0">
                  <c:v>0-&lt;1</c:v>
                </c:pt>
                <c:pt idx="1">
                  <c:v>1-14</c:v>
                </c:pt>
                <c:pt idx="2">
                  <c:v>15-44</c:v>
                </c:pt>
                <c:pt idx="3">
                  <c:v>45-64</c:v>
                </c:pt>
                <c:pt idx="4">
                  <c:v>65-74</c:v>
                </c:pt>
                <c:pt idx="5">
                  <c:v>75-84</c:v>
                </c:pt>
                <c:pt idx="6">
                  <c:v>85+</c:v>
                </c:pt>
              </c:strCache>
            </c:strRef>
          </c:cat>
          <c:val>
            <c:numRef>
              <c:f>rates!$D$45:$D$50</c:f>
              <c:numCache>
                <c:formatCode>General</c:formatCode>
                <c:ptCount val="6"/>
                <c:pt idx="0">
                  <c:v>4.8179492700054052</c:v>
                </c:pt>
                <c:pt idx="1">
                  <c:v>0.26753874928914217</c:v>
                </c:pt>
                <c:pt idx="2">
                  <c:v>1.062417247290953</c:v>
                </c:pt>
                <c:pt idx="3">
                  <c:v>3.7192983869577616</c:v>
                </c:pt>
                <c:pt idx="4">
                  <c:v>9.6845302993120299</c:v>
                </c:pt>
                <c:pt idx="5">
                  <c:v>27.218804315540538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9270016"/>
        <c:axId val="147469056"/>
      </c:lineChart>
      <c:catAx>
        <c:axId val="1192700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Age group (years)</a:t>
                </a:r>
              </a:p>
            </c:rich>
          </c:tx>
          <c:layout/>
          <c:overlay val="0"/>
        </c:title>
        <c:majorTickMark val="out"/>
        <c:minorTickMark val="none"/>
        <c:tickLblPos val="nextTo"/>
        <c:crossAx val="147469056"/>
        <c:crosses val="autoZero"/>
        <c:auto val="1"/>
        <c:lblAlgn val="ctr"/>
        <c:lblOffset val="100"/>
        <c:noMultiLvlLbl val="0"/>
      </c:catAx>
      <c:valAx>
        <c:axId val="14746905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GB"/>
                  <a:t>Average incidence</a:t>
                </a:r>
                <a:r>
                  <a:rPr lang="en-GB" baseline="0"/>
                  <a:t> rate per 100,000 population</a:t>
                </a:r>
                <a:r>
                  <a:rPr lang="en-GB" baseline="30000"/>
                  <a:t>*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19270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836302438939319"/>
          <c:y val="0.42661155281726149"/>
          <c:w val="0.21843877093471006"/>
          <c:h val="0.2728427590703358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percentStacked"/>
        <c:varyColors val="0"/>
        <c:ser>
          <c:idx val="6"/>
          <c:order val="0"/>
          <c:tx>
            <c:strRef>
              <c:f>mssa!$J$182</c:f>
              <c:strCache>
                <c:ptCount val="1"/>
                <c:pt idx="0">
                  <c:v>Intravascular device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mssa!$K$175:$P$175</c:f>
              <c:strCache>
                <c:ptCount val="6"/>
                <c:pt idx="0">
                  <c:v>0-&lt;1 (n=552)</c:v>
                </c:pt>
                <c:pt idx="1">
                  <c:v>1-14 (n=613)</c:v>
                </c:pt>
                <c:pt idx="2">
                  <c:v>15-44 (n=1,986)</c:v>
                </c:pt>
                <c:pt idx="3">
                  <c:v>45-64 (n=3,130)</c:v>
                </c:pt>
                <c:pt idx="4">
                  <c:v>65-74 (2,315)</c:v>
                </c:pt>
                <c:pt idx="5">
                  <c:v>75+ (n=4,195)</c:v>
                </c:pt>
              </c:strCache>
            </c:strRef>
          </c:cat>
          <c:val>
            <c:numRef>
              <c:f>mssa!$K$182:$P$182</c:f>
              <c:numCache>
                <c:formatCode>General</c:formatCode>
                <c:ptCount val="6"/>
                <c:pt idx="0">
                  <c:v>190</c:v>
                </c:pt>
                <c:pt idx="1">
                  <c:v>135</c:v>
                </c:pt>
                <c:pt idx="2">
                  <c:v>365</c:v>
                </c:pt>
                <c:pt idx="3">
                  <c:v>615</c:v>
                </c:pt>
                <c:pt idx="4">
                  <c:v>356</c:v>
                </c:pt>
                <c:pt idx="5">
                  <c:v>358</c:v>
                </c:pt>
              </c:numCache>
            </c:numRef>
          </c:val>
        </c:ser>
        <c:ser>
          <c:idx val="5"/>
          <c:order val="1"/>
          <c:tx>
            <c:strRef>
              <c:f>mssa!$J$181</c:f>
              <c:strCache>
                <c:ptCount val="1"/>
                <c:pt idx="0">
                  <c:v>SSTI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mssa!$K$175:$P$175</c:f>
              <c:strCache>
                <c:ptCount val="6"/>
                <c:pt idx="0">
                  <c:v>0-&lt;1 (n=552)</c:v>
                </c:pt>
                <c:pt idx="1">
                  <c:v>1-14 (n=613)</c:v>
                </c:pt>
                <c:pt idx="2">
                  <c:v>15-44 (n=1,986)</c:v>
                </c:pt>
                <c:pt idx="3">
                  <c:v>45-64 (n=3,130)</c:v>
                </c:pt>
                <c:pt idx="4">
                  <c:v>65-74 (2,315)</c:v>
                </c:pt>
                <c:pt idx="5">
                  <c:v>75+ (n=4,195)</c:v>
                </c:pt>
              </c:strCache>
            </c:strRef>
          </c:cat>
          <c:val>
            <c:numRef>
              <c:f>mssa!$K$181:$P$181</c:f>
              <c:numCache>
                <c:formatCode>General</c:formatCode>
                <c:ptCount val="6"/>
                <c:pt idx="0">
                  <c:v>102</c:v>
                </c:pt>
                <c:pt idx="1">
                  <c:v>133</c:v>
                </c:pt>
                <c:pt idx="2">
                  <c:v>615</c:v>
                </c:pt>
                <c:pt idx="3">
                  <c:v>715</c:v>
                </c:pt>
                <c:pt idx="4">
                  <c:v>467</c:v>
                </c:pt>
                <c:pt idx="5">
                  <c:v>909</c:v>
                </c:pt>
              </c:numCache>
            </c:numRef>
          </c:val>
        </c:ser>
        <c:ser>
          <c:idx val="4"/>
          <c:order val="2"/>
          <c:tx>
            <c:strRef>
              <c:f>mssa!$J$180</c:f>
              <c:strCache>
                <c:ptCount val="1"/>
                <c:pt idx="0">
                  <c:v>MTC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mssa!$K$175:$P$175</c:f>
              <c:strCache>
                <c:ptCount val="6"/>
                <c:pt idx="0">
                  <c:v>0-&lt;1 (n=552)</c:v>
                </c:pt>
                <c:pt idx="1">
                  <c:v>1-14 (n=613)</c:v>
                </c:pt>
                <c:pt idx="2">
                  <c:v>15-44 (n=1,986)</c:v>
                </c:pt>
                <c:pt idx="3">
                  <c:v>45-64 (n=3,130)</c:v>
                </c:pt>
                <c:pt idx="4">
                  <c:v>65-74 (2,315)</c:v>
                </c:pt>
                <c:pt idx="5">
                  <c:v>75+ (n=4,195)</c:v>
                </c:pt>
              </c:strCache>
            </c:strRef>
          </c:cat>
          <c:val>
            <c:numRef>
              <c:f>mssa!$K$180:$P$180</c:f>
              <c:numCache>
                <c:formatCode>General</c:formatCode>
                <c:ptCount val="6"/>
                <c:pt idx="0">
                  <c:v>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3"/>
          <c:order val="3"/>
          <c:tx>
            <c:strRef>
              <c:f>mssa!$J$179</c:f>
              <c:strCache>
                <c:ptCount val="1"/>
                <c:pt idx="0">
                  <c:v>Not known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mssa!$K$175:$P$175</c:f>
              <c:strCache>
                <c:ptCount val="6"/>
                <c:pt idx="0">
                  <c:v>0-&lt;1 (n=552)</c:v>
                </c:pt>
                <c:pt idx="1">
                  <c:v>1-14 (n=613)</c:v>
                </c:pt>
                <c:pt idx="2">
                  <c:v>15-44 (n=1,986)</c:v>
                </c:pt>
                <c:pt idx="3">
                  <c:v>45-64 (n=3,130)</c:v>
                </c:pt>
                <c:pt idx="4">
                  <c:v>65-74 (2,315)</c:v>
                </c:pt>
                <c:pt idx="5">
                  <c:v>75+ (n=4,195)</c:v>
                </c:pt>
              </c:strCache>
            </c:strRef>
          </c:cat>
          <c:val>
            <c:numRef>
              <c:f>mssa!$K$179:$P$179</c:f>
              <c:numCache>
                <c:formatCode>General</c:formatCode>
                <c:ptCount val="6"/>
                <c:pt idx="0">
                  <c:v>155</c:v>
                </c:pt>
                <c:pt idx="1">
                  <c:v>130</c:v>
                </c:pt>
                <c:pt idx="2">
                  <c:v>411</c:v>
                </c:pt>
                <c:pt idx="3">
                  <c:v>713</c:v>
                </c:pt>
                <c:pt idx="4">
                  <c:v>577</c:v>
                </c:pt>
                <c:pt idx="5">
                  <c:v>1236</c:v>
                </c:pt>
              </c:numCache>
            </c:numRef>
          </c:val>
        </c:ser>
        <c:ser>
          <c:idx val="2"/>
          <c:order val="4"/>
          <c:tx>
            <c:strRef>
              <c:f>mssa!$J$178</c:f>
              <c:strCache>
                <c:ptCount val="1"/>
                <c:pt idx="0">
                  <c:v>Other*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mssa!$K$175:$P$175</c:f>
              <c:strCache>
                <c:ptCount val="6"/>
                <c:pt idx="0">
                  <c:v>0-&lt;1 (n=552)</c:v>
                </c:pt>
                <c:pt idx="1">
                  <c:v>1-14 (n=613)</c:v>
                </c:pt>
                <c:pt idx="2">
                  <c:v>15-44 (n=1,986)</c:v>
                </c:pt>
                <c:pt idx="3">
                  <c:v>45-64 (n=3,130)</c:v>
                </c:pt>
                <c:pt idx="4">
                  <c:v>65-74 (2,315)</c:v>
                </c:pt>
                <c:pt idx="5">
                  <c:v>75+ (n=4,195)</c:v>
                </c:pt>
              </c:strCache>
            </c:strRef>
          </c:cat>
          <c:val>
            <c:numRef>
              <c:f>mssa!$K$190:$P$190</c:f>
              <c:numCache>
                <c:formatCode>General</c:formatCode>
                <c:ptCount val="6"/>
                <c:pt idx="0">
                  <c:v>76</c:v>
                </c:pt>
                <c:pt idx="1">
                  <c:v>195</c:v>
                </c:pt>
                <c:pt idx="2">
                  <c:v>458</c:v>
                </c:pt>
                <c:pt idx="3">
                  <c:v>814</c:v>
                </c:pt>
                <c:pt idx="4">
                  <c:v>662</c:v>
                </c:pt>
                <c:pt idx="5">
                  <c:v>1192</c:v>
                </c:pt>
              </c:numCache>
            </c:numRef>
          </c:val>
        </c:ser>
        <c:ser>
          <c:idx val="1"/>
          <c:order val="5"/>
          <c:tx>
            <c:strRef>
              <c:f>mssa!$J$177</c:f>
              <c:strCache>
                <c:ptCount val="1"/>
                <c:pt idx="0">
                  <c:v>SSI</c:v>
                </c:pt>
              </c:strCache>
            </c:strRef>
          </c:tx>
          <c:spPr>
            <a:pattFill prst="wd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mssa!$K$175:$P$175</c:f>
              <c:strCache>
                <c:ptCount val="6"/>
                <c:pt idx="0">
                  <c:v>0-&lt;1 (n=552)</c:v>
                </c:pt>
                <c:pt idx="1">
                  <c:v>1-14 (n=613)</c:v>
                </c:pt>
                <c:pt idx="2">
                  <c:v>15-44 (n=1,986)</c:v>
                </c:pt>
                <c:pt idx="3">
                  <c:v>45-64 (n=3,130)</c:v>
                </c:pt>
                <c:pt idx="4">
                  <c:v>65-74 (2,315)</c:v>
                </c:pt>
                <c:pt idx="5">
                  <c:v>75+ (n=4,195)</c:v>
                </c:pt>
              </c:strCache>
            </c:strRef>
          </c:cat>
          <c:val>
            <c:numRef>
              <c:f>mssa!$K$177:$P$177</c:f>
              <c:numCache>
                <c:formatCode>General</c:formatCode>
                <c:ptCount val="6"/>
                <c:pt idx="0">
                  <c:v>6</c:v>
                </c:pt>
                <c:pt idx="1">
                  <c:v>12</c:v>
                </c:pt>
                <c:pt idx="2">
                  <c:v>28</c:v>
                </c:pt>
                <c:pt idx="3">
                  <c:v>105</c:v>
                </c:pt>
                <c:pt idx="4">
                  <c:v>75</c:v>
                </c:pt>
                <c:pt idx="5">
                  <c:v>74</c:v>
                </c:pt>
              </c:numCache>
            </c:numRef>
          </c:val>
        </c:ser>
        <c:ser>
          <c:idx val="7"/>
          <c:order val="6"/>
          <c:tx>
            <c:strRef>
              <c:f>mssa!$J$183</c:f>
              <c:strCache>
                <c:ptCount val="1"/>
                <c:pt idx="0">
                  <c:v>Pneumonia</c:v>
                </c:pt>
              </c:strCache>
            </c:strRef>
          </c:tx>
          <c:spPr>
            <a:pattFill prst="open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val>
            <c:numRef>
              <c:f>mssa!$K$183:$P$183</c:f>
              <c:numCache>
                <c:formatCode>General</c:formatCode>
                <c:ptCount val="6"/>
                <c:pt idx="0">
                  <c:v>14</c:v>
                </c:pt>
                <c:pt idx="1">
                  <c:v>8</c:v>
                </c:pt>
                <c:pt idx="2">
                  <c:v>109</c:v>
                </c:pt>
                <c:pt idx="3">
                  <c:v>168</c:v>
                </c:pt>
                <c:pt idx="4">
                  <c:v>178</c:v>
                </c:pt>
                <c:pt idx="5">
                  <c:v>426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7888384"/>
        <c:axId val="147894656"/>
      </c:barChart>
      <c:catAx>
        <c:axId val="1478883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Age group (years)</a:t>
                </a:r>
              </a:p>
            </c:rich>
          </c:tx>
          <c:layout/>
          <c:overlay val="0"/>
        </c:title>
        <c:majorTickMark val="out"/>
        <c:minorTickMark val="none"/>
        <c:tickLblPos val="nextTo"/>
        <c:crossAx val="147894656"/>
        <c:crosses val="autoZero"/>
        <c:auto val="1"/>
        <c:lblAlgn val="ctr"/>
        <c:lblOffset val="100"/>
        <c:noMultiLvlLbl val="0"/>
      </c:catAx>
      <c:valAx>
        <c:axId val="14789465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GB"/>
                  <a:t>Percent</a:t>
                </a:r>
                <a:r>
                  <a:rPr lang="en-GB" baseline="0"/>
                  <a:t> of </a:t>
                </a:r>
              </a:p>
              <a:p>
                <a:pPr>
                  <a:defRPr/>
                </a:pPr>
                <a:r>
                  <a:rPr lang="en-GB" baseline="0"/>
                  <a:t>reports</a:t>
                </a:r>
                <a:endParaRPr lang="en-GB"/>
              </a:p>
            </c:rich>
          </c:tx>
          <c:layout/>
          <c:overlay val="0"/>
        </c:title>
        <c:numFmt formatCode="0%" sourceLinked="1"/>
        <c:majorTickMark val="out"/>
        <c:minorTickMark val="none"/>
        <c:tickLblPos val="nextTo"/>
        <c:crossAx val="14788838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percentStacked"/>
        <c:varyColors val="0"/>
        <c:ser>
          <c:idx val="6"/>
          <c:order val="0"/>
          <c:tx>
            <c:strRef>
              <c:f>mrsa!$J$355</c:f>
              <c:strCache>
                <c:ptCount val="1"/>
                <c:pt idx="0">
                  <c:v>Intravascular device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mrsa!$K$348:$Q$348</c:f>
              <c:strCache>
                <c:ptCount val="7"/>
                <c:pt idx="0">
                  <c:v>0-&lt;1 (n=118)</c:v>
                </c:pt>
                <c:pt idx="1">
                  <c:v>1-14 (n=72)</c:v>
                </c:pt>
                <c:pt idx="2">
                  <c:v>15-44 (n=796)</c:v>
                </c:pt>
                <c:pt idx="3">
                  <c:v>45-64 (n=1,788)</c:v>
                </c:pt>
                <c:pt idx="4">
                  <c:v>65-74 (n=1,827)</c:v>
                </c:pt>
                <c:pt idx="5">
                  <c:v>75+ (n=4,337)</c:v>
                </c:pt>
                <c:pt idx="6">
                  <c:v>Total</c:v>
                </c:pt>
              </c:strCache>
            </c:strRef>
          </c:cat>
          <c:val>
            <c:numRef>
              <c:f>mrsa!$K$365:$P$365</c:f>
              <c:numCache>
                <c:formatCode>General</c:formatCode>
                <c:ptCount val="6"/>
                <c:pt idx="0">
                  <c:v>52</c:v>
                </c:pt>
                <c:pt idx="1">
                  <c:v>25</c:v>
                </c:pt>
                <c:pt idx="2">
                  <c:v>296</c:v>
                </c:pt>
                <c:pt idx="3">
                  <c:v>573</c:v>
                </c:pt>
                <c:pt idx="4">
                  <c:v>461</c:v>
                </c:pt>
                <c:pt idx="5">
                  <c:v>735</c:v>
                </c:pt>
              </c:numCache>
            </c:numRef>
          </c:val>
        </c:ser>
        <c:ser>
          <c:idx val="5"/>
          <c:order val="1"/>
          <c:tx>
            <c:strRef>
              <c:f>mrsa!$J$354</c:f>
              <c:strCache>
                <c:ptCount val="1"/>
                <c:pt idx="0">
                  <c:v>SSTI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mrsa!$K$348:$Q$348</c:f>
              <c:strCache>
                <c:ptCount val="7"/>
                <c:pt idx="0">
                  <c:v>0-&lt;1 (n=118)</c:v>
                </c:pt>
                <c:pt idx="1">
                  <c:v>1-14 (n=72)</c:v>
                </c:pt>
                <c:pt idx="2">
                  <c:v>15-44 (n=796)</c:v>
                </c:pt>
                <c:pt idx="3">
                  <c:v>45-64 (n=1,788)</c:v>
                </c:pt>
                <c:pt idx="4">
                  <c:v>65-74 (n=1,827)</c:v>
                </c:pt>
                <c:pt idx="5">
                  <c:v>75+ (n=4,337)</c:v>
                </c:pt>
                <c:pt idx="6">
                  <c:v>Total</c:v>
                </c:pt>
              </c:strCache>
            </c:strRef>
          </c:cat>
          <c:val>
            <c:numRef>
              <c:f>mrsa!$K$364:$P$364</c:f>
              <c:numCache>
                <c:formatCode>General</c:formatCode>
                <c:ptCount val="6"/>
                <c:pt idx="0">
                  <c:v>13</c:v>
                </c:pt>
                <c:pt idx="1">
                  <c:v>12</c:v>
                </c:pt>
                <c:pt idx="2">
                  <c:v>154</c:v>
                </c:pt>
                <c:pt idx="3">
                  <c:v>322</c:v>
                </c:pt>
                <c:pt idx="4">
                  <c:v>365</c:v>
                </c:pt>
                <c:pt idx="5">
                  <c:v>868</c:v>
                </c:pt>
              </c:numCache>
            </c:numRef>
          </c:val>
        </c:ser>
        <c:ser>
          <c:idx val="4"/>
          <c:order val="2"/>
          <c:tx>
            <c:strRef>
              <c:f>mrsa!$J$353</c:f>
              <c:strCache>
                <c:ptCount val="1"/>
                <c:pt idx="0">
                  <c:v>MTC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mrsa!$K$348:$Q$348</c:f>
              <c:strCache>
                <c:ptCount val="7"/>
                <c:pt idx="0">
                  <c:v>0-&lt;1 (n=118)</c:v>
                </c:pt>
                <c:pt idx="1">
                  <c:v>1-14 (n=72)</c:v>
                </c:pt>
                <c:pt idx="2">
                  <c:v>15-44 (n=796)</c:v>
                </c:pt>
                <c:pt idx="3">
                  <c:v>45-64 (n=1,788)</c:v>
                </c:pt>
                <c:pt idx="4">
                  <c:v>65-74 (n=1,827)</c:v>
                </c:pt>
                <c:pt idx="5">
                  <c:v>75+ (n=4,337)</c:v>
                </c:pt>
                <c:pt idx="6">
                  <c:v>Total</c:v>
                </c:pt>
              </c:strCache>
            </c:strRef>
          </c:cat>
          <c:val>
            <c:numRef>
              <c:f>mrsa!$K$363:$P$363</c:f>
              <c:numCache>
                <c:formatCode>General</c:formatCode>
                <c:ptCount val="6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3"/>
          <c:order val="3"/>
          <c:tx>
            <c:strRef>
              <c:f>mrsa!$J$352</c:f>
              <c:strCache>
                <c:ptCount val="1"/>
                <c:pt idx="0">
                  <c:v>Not known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mrsa!$K$348:$Q$348</c:f>
              <c:strCache>
                <c:ptCount val="7"/>
                <c:pt idx="0">
                  <c:v>0-&lt;1 (n=118)</c:v>
                </c:pt>
                <c:pt idx="1">
                  <c:v>1-14 (n=72)</c:v>
                </c:pt>
                <c:pt idx="2">
                  <c:v>15-44 (n=796)</c:v>
                </c:pt>
                <c:pt idx="3">
                  <c:v>45-64 (n=1,788)</c:v>
                </c:pt>
                <c:pt idx="4">
                  <c:v>65-74 (n=1,827)</c:v>
                </c:pt>
                <c:pt idx="5">
                  <c:v>75+ (n=4,337)</c:v>
                </c:pt>
                <c:pt idx="6">
                  <c:v>Total</c:v>
                </c:pt>
              </c:strCache>
            </c:strRef>
          </c:cat>
          <c:val>
            <c:numRef>
              <c:f>mrsa!$K$362:$P$362</c:f>
              <c:numCache>
                <c:formatCode>General</c:formatCode>
                <c:ptCount val="6"/>
                <c:pt idx="0">
                  <c:v>25</c:v>
                </c:pt>
                <c:pt idx="1">
                  <c:v>16</c:v>
                </c:pt>
                <c:pt idx="2">
                  <c:v>155</c:v>
                </c:pt>
                <c:pt idx="3">
                  <c:v>383</c:v>
                </c:pt>
                <c:pt idx="4">
                  <c:v>384</c:v>
                </c:pt>
                <c:pt idx="5">
                  <c:v>1036</c:v>
                </c:pt>
              </c:numCache>
            </c:numRef>
          </c:val>
        </c:ser>
        <c:ser>
          <c:idx val="2"/>
          <c:order val="4"/>
          <c:tx>
            <c:strRef>
              <c:f>mrsa!$J$351</c:f>
              <c:strCache>
                <c:ptCount val="1"/>
                <c:pt idx="0">
                  <c:v>Other*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mrsa!$K$348:$Q$348</c:f>
              <c:strCache>
                <c:ptCount val="7"/>
                <c:pt idx="0">
                  <c:v>0-&lt;1 (n=118)</c:v>
                </c:pt>
                <c:pt idx="1">
                  <c:v>1-14 (n=72)</c:v>
                </c:pt>
                <c:pt idx="2">
                  <c:v>15-44 (n=796)</c:v>
                </c:pt>
                <c:pt idx="3">
                  <c:v>45-64 (n=1,788)</c:v>
                </c:pt>
                <c:pt idx="4">
                  <c:v>65-74 (n=1,827)</c:v>
                </c:pt>
                <c:pt idx="5">
                  <c:v>75+ (n=4,337)</c:v>
                </c:pt>
                <c:pt idx="6">
                  <c:v>Total</c:v>
                </c:pt>
              </c:strCache>
            </c:strRef>
          </c:cat>
          <c:val>
            <c:numRef>
              <c:f>mrsa!$T$361:$Y$361</c:f>
              <c:numCache>
                <c:formatCode>General</c:formatCode>
                <c:ptCount val="6"/>
                <c:pt idx="0">
                  <c:v>25</c:v>
                </c:pt>
                <c:pt idx="1">
                  <c:v>16</c:v>
                </c:pt>
                <c:pt idx="2">
                  <c:v>142</c:v>
                </c:pt>
                <c:pt idx="3">
                  <c:v>358</c:v>
                </c:pt>
                <c:pt idx="4">
                  <c:v>417</c:v>
                </c:pt>
                <c:pt idx="5">
                  <c:v>1178</c:v>
                </c:pt>
              </c:numCache>
            </c:numRef>
          </c:val>
        </c:ser>
        <c:ser>
          <c:idx val="1"/>
          <c:order val="5"/>
          <c:tx>
            <c:strRef>
              <c:f>mrsa!$J$350</c:f>
              <c:strCache>
                <c:ptCount val="1"/>
                <c:pt idx="0">
                  <c:v>SSI</c:v>
                </c:pt>
              </c:strCache>
            </c:strRef>
          </c:tx>
          <c:spPr>
            <a:pattFill prst="wd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mrsa!$K$348:$Q$348</c:f>
              <c:strCache>
                <c:ptCount val="7"/>
                <c:pt idx="0">
                  <c:v>0-&lt;1 (n=118)</c:v>
                </c:pt>
                <c:pt idx="1">
                  <c:v>1-14 (n=72)</c:v>
                </c:pt>
                <c:pt idx="2">
                  <c:v>15-44 (n=796)</c:v>
                </c:pt>
                <c:pt idx="3">
                  <c:v>45-64 (n=1,788)</c:v>
                </c:pt>
                <c:pt idx="4">
                  <c:v>65-74 (n=1,827)</c:v>
                </c:pt>
                <c:pt idx="5">
                  <c:v>75+ (n=4,337)</c:v>
                </c:pt>
                <c:pt idx="6">
                  <c:v>Total</c:v>
                </c:pt>
              </c:strCache>
            </c:strRef>
          </c:cat>
          <c:val>
            <c:numRef>
              <c:f>mrsa!$K$360:$P$360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18</c:v>
                </c:pt>
                <c:pt idx="3">
                  <c:v>53</c:v>
                </c:pt>
                <c:pt idx="4">
                  <c:v>61</c:v>
                </c:pt>
                <c:pt idx="5">
                  <c:v>109</c:v>
                </c:pt>
              </c:numCache>
            </c:numRef>
          </c:val>
        </c:ser>
        <c:ser>
          <c:idx val="7"/>
          <c:order val="6"/>
          <c:tx>
            <c:strRef>
              <c:f>mrsa!$J$366</c:f>
              <c:strCache>
                <c:ptCount val="1"/>
                <c:pt idx="0">
                  <c:v>Pneumonia</c:v>
                </c:pt>
              </c:strCache>
            </c:strRef>
          </c:tx>
          <c:spPr>
            <a:pattFill prst="open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val>
            <c:numRef>
              <c:f>mrsa!$K$366:$P$366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31</c:v>
                </c:pt>
                <c:pt idx="3">
                  <c:v>99</c:v>
                </c:pt>
                <c:pt idx="4">
                  <c:v>139</c:v>
                </c:pt>
                <c:pt idx="5">
                  <c:v>411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8121088"/>
        <c:axId val="148123008"/>
      </c:barChart>
      <c:catAx>
        <c:axId val="1481210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Age</a:t>
                </a:r>
                <a:r>
                  <a:rPr lang="en-GB" baseline="0"/>
                  <a:t> group (years)</a:t>
                </a:r>
                <a:endParaRPr lang="en-GB"/>
              </a:p>
            </c:rich>
          </c:tx>
          <c:layout/>
          <c:overlay val="0"/>
        </c:title>
        <c:majorTickMark val="out"/>
        <c:minorTickMark val="none"/>
        <c:tickLblPos val="nextTo"/>
        <c:crossAx val="148123008"/>
        <c:crosses val="autoZero"/>
        <c:auto val="1"/>
        <c:lblAlgn val="ctr"/>
        <c:lblOffset val="100"/>
        <c:noMultiLvlLbl val="0"/>
      </c:catAx>
      <c:valAx>
        <c:axId val="14812300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GB"/>
                  <a:t>Percent</a:t>
                </a:r>
                <a:r>
                  <a:rPr lang="en-GB" baseline="0"/>
                  <a:t> of </a:t>
                </a:r>
              </a:p>
              <a:p>
                <a:pPr>
                  <a:defRPr/>
                </a:pPr>
                <a:r>
                  <a:rPr lang="en-GB" baseline="0"/>
                  <a:t>reports</a:t>
                </a:r>
                <a:endParaRPr lang="en-GB"/>
              </a:p>
            </c:rich>
          </c:tx>
          <c:layout/>
          <c:overlay val="0"/>
        </c:title>
        <c:numFmt formatCode="0%" sourceLinked="1"/>
        <c:majorTickMark val="out"/>
        <c:minorTickMark val="none"/>
        <c:tickLblPos val="nextTo"/>
        <c:crossAx val="14812108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F7BFB-A543-4454-9014-73B87F2EC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Protection Agency</Company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Julia Abernethy</cp:lastModifiedBy>
  <cp:revision>4</cp:revision>
  <dcterms:created xsi:type="dcterms:W3CDTF">2017-03-02T16:46:00Z</dcterms:created>
  <dcterms:modified xsi:type="dcterms:W3CDTF">2017-03-02T16:50:00Z</dcterms:modified>
</cp:coreProperties>
</file>