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3F00D" w14:textId="77777777" w:rsidR="003A0A32" w:rsidRPr="00002193" w:rsidRDefault="00A24E33" w:rsidP="00002193">
      <w:pPr>
        <w:pStyle w:val="Coversheet"/>
        <w:jc w:val="left"/>
        <w:rPr>
          <w:rFonts w:cs="Arial"/>
          <w:b/>
          <w:sz w:val="32"/>
          <w:szCs w:val="48"/>
        </w:rPr>
      </w:pPr>
      <w:bookmarkStart w:id="0" w:name="_GoBack"/>
      <w:r>
        <w:rPr>
          <w:rFonts w:cs="Arial"/>
          <w:b/>
          <w:sz w:val="32"/>
          <w:szCs w:val="48"/>
        </w:rPr>
        <w:t>C</w:t>
      </w:r>
      <w:r w:rsidR="00002193" w:rsidRPr="00002193">
        <w:rPr>
          <w:rFonts w:cs="Arial"/>
          <w:b/>
          <w:sz w:val="32"/>
          <w:szCs w:val="48"/>
        </w:rPr>
        <w:t xml:space="preserve">linical </w:t>
      </w:r>
      <w:r>
        <w:rPr>
          <w:rFonts w:cs="Arial"/>
          <w:b/>
          <w:sz w:val="32"/>
          <w:szCs w:val="48"/>
        </w:rPr>
        <w:t xml:space="preserve">characteristics </w:t>
      </w:r>
      <w:r w:rsidR="00002193" w:rsidRPr="00002193">
        <w:rPr>
          <w:rFonts w:cs="Arial"/>
          <w:b/>
          <w:sz w:val="32"/>
          <w:szCs w:val="48"/>
        </w:rPr>
        <w:t xml:space="preserve">and outcomes of </w:t>
      </w:r>
      <w:r w:rsidR="00CB5E6B">
        <w:rPr>
          <w:rFonts w:cs="Arial"/>
          <w:b/>
          <w:sz w:val="32"/>
          <w:szCs w:val="48"/>
        </w:rPr>
        <w:t>almost 5</w:t>
      </w:r>
      <w:r w:rsidR="00002193" w:rsidRPr="00002193">
        <w:rPr>
          <w:rFonts w:cs="Arial"/>
          <w:b/>
          <w:sz w:val="32"/>
          <w:szCs w:val="48"/>
        </w:rPr>
        <w:t xml:space="preserve">,000 hospitalised cases of laboratory-confirmed invasive meningococcal disease in England: </w:t>
      </w:r>
      <w:r>
        <w:rPr>
          <w:rFonts w:cs="Arial"/>
          <w:b/>
          <w:sz w:val="32"/>
          <w:szCs w:val="48"/>
        </w:rPr>
        <w:t xml:space="preserve">linkage </w:t>
      </w:r>
      <w:r w:rsidR="00002193" w:rsidRPr="00002193">
        <w:rPr>
          <w:rFonts w:cs="Arial"/>
          <w:b/>
          <w:sz w:val="32"/>
          <w:szCs w:val="48"/>
        </w:rPr>
        <w:t xml:space="preserve">analysis of </w:t>
      </w:r>
      <w:r>
        <w:rPr>
          <w:rFonts w:cs="Arial"/>
          <w:b/>
          <w:sz w:val="32"/>
          <w:szCs w:val="48"/>
        </w:rPr>
        <w:t xml:space="preserve">multiple </w:t>
      </w:r>
      <w:r w:rsidR="00002193" w:rsidRPr="00002193">
        <w:rPr>
          <w:rFonts w:cs="Arial"/>
          <w:b/>
          <w:sz w:val="32"/>
          <w:szCs w:val="48"/>
        </w:rPr>
        <w:t>national databases</w:t>
      </w:r>
    </w:p>
    <w:bookmarkEnd w:id="0"/>
    <w:p w14:paraId="210CF991" w14:textId="77777777" w:rsidR="000056B5" w:rsidRDefault="000056B5" w:rsidP="00002193">
      <w:pPr>
        <w:pStyle w:val="Coversheet"/>
        <w:jc w:val="left"/>
        <w:rPr>
          <w:rFonts w:cs="Arial"/>
          <w:sz w:val="24"/>
          <w:szCs w:val="48"/>
        </w:rPr>
      </w:pPr>
    </w:p>
    <w:p w14:paraId="09CEF729" w14:textId="77777777" w:rsidR="00200557" w:rsidRDefault="00200557" w:rsidP="00002193">
      <w:pPr>
        <w:pStyle w:val="Coversheet"/>
        <w:jc w:val="left"/>
        <w:rPr>
          <w:rFonts w:cs="Arial"/>
          <w:sz w:val="24"/>
          <w:szCs w:val="48"/>
        </w:rPr>
      </w:pPr>
      <w:r>
        <w:rPr>
          <w:rFonts w:cs="Arial"/>
          <w:sz w:val="24"/>
          <w:szCs w:val="48"/>
        </w:rPr>
        <w:t>Chantal Edge,</w:t>
      </w:r>
      <w:r w:rsidR="0058283B" w:rsidRPr="0077182F">
        <w:rPr>
          <w:rFonts w:cs="Arial"/>
          <w:sz w:val="24"/>
          <w:szCs w:val="48"/>
          <w:vertAlign w:val="superscript"/>
        </w:rPr>
        <w:t>1</w:t>
      </w:r>
      <w:r>
        <w:rPr>
          <w:rFonts w:cs="Arial"/>
          <w:sz w:val="24"/>
          <w:szCs w:val="48"/>
        </w:rPr>
        <w:t xml:space="preserve"> </w:t>
      </w:r>
      <w:r w:rsidR="0058283B">
        <w:rPr>
          <w:rFonts w:cs="Arial"/>
          <w:sz w:val="24"/>
          <w:szCs w:val="48"/>
        </w:rPr>
        <w:t>Pauline Waight,</w:t>
      </w:r>
      <w:r w:rsidR="0058283B" w:rsidRPr="00883A16">
        <w:rPr>
          <w:rFonts w:cs="Arial"/>
          <w:sz w:val="24"/>
          <w:szCs w:val="48"/>
          <w:vertAlign w:val="superscript"/>
        </w:rPr>
        <w:t>2</w:t>
      </w:r>
      <w:r w:rsidR="0058283B">
        <w:rPr>
          <w:rFonts w:cs="Arial"/>
          <w:sz w:val="24"/>
          <w:szCs w:val="48"/>
        </w:rPr>
        <w:t xml:space="preserve"> Sonia Ribeiro,</w:t>
      </w:r>
      <w:r w:rsidR="0058283B" w:rsidRPr="00883A16">
        <w:rPr>
          <w:rFonts w:cs="Arial"/>
          <w:sz w:val="24"/>
          <w:szCs w:val="48"/>
          <w:vertAlign w:val="superscript"/>
        </w:rPr>
        <w:t>2</w:t>
      </w:r>
      <w:r w:rsidR="0058283B">
        <w:rPr>
          <w:rFonts w:cs="Arial"/>
          <w:sz w:val="24"/>
          <w:szCs w:val="48"/>
        </w:rPr>
        <w:t xml:space="preserve"> </w:t>
      </w:r>
      <w:r>
        <w:rPr>
          <w:rFonts w:cs="Arial"/>
          <w:sz w:val="24"/>
          <w:szCs w:val="48"/>
        </w:rPr>
        <w:t>Mary Ramsay,</w:t>
      </w:r>
      <w:r w:rsidR="0058283B" w:rsidRPr="0077182F">
        <w:rPr>
          <w:rFonts w:cs="Arial"/>
          <w:sz w:val="24"/>
          <w:szCs w:val="48"/>
          <w:vertAlign w:val="superscript"/>
        </w:rPr>
        <w:t>2</w:t>
      </w:r>
      <w:r>
        <w:rPr>
          <w:rFonts w:cs="Arial"/>
          <w:sz w:val="24"/>
          <w:szCs w:val="48"/>
        </w:rPr>
        <w:t xml:space="preserve"> Shamez Ladhani</w:t>
      </w:r>
      <w:r w:rsidR="0058283B">
        <w:rPr>
          <w:rFonts w:cs="Arial"/>
          <w:sz w:val="24"/>
          <w:szCs w:val="48"/>
        </w:rPr>
        <w:t>.</w:t>
      </w:r>
      <w:r w:rsidR="0058283B" w:rsidRPr="00883A16">
        <w:rPr>
          <w:rFonts w:cs="Arial"/>
          <w:sz w:val="24"/>
          <w:szCs w:val="48"/>
          <w:vertAlign w:val="superscript"/>
        </w:rPr>
        <w:t>2,3</w:t>
      </w:r>
    </w:p>
    <w:p w14:paraId="63EC9E4F" w14:textId="77777777" w:rsidR="0058283B" w:rsidRDefault="0058283B" w:rsidP="00002193">
      <w:pPr>
        <w:pStyle w:val="Coversheet"/>
        <w:jc w:val="left"/>
        <w:rPr>
          <w:rFonts w:cs="Arial"/>
          <w:sz w:val="24"/>
          <w:szCs w:val="48"/>
        </w:rPr>
      </w:pPr>
    </w:p>
    <w:p w14:paraId="0782224E" w14:textId="77777777" w:rsidR="00E848E5" w:rsidRDefault="00E848E5" w:rsidP="00002193">
      <w:pPr>
        <w:pStyle w:val="Coversheet"/>
        <w:jc w:val="left"/>
        <w:rPr>
          <w:rFonts w:cs="Arial"/>
          <w:sz w:val="24"/>
          <w:szCs w:val="48"/>
        </w:rPr>
      </w:pPr>
      <w:r w:rsidRPr="0077182F">
        <w:rPr>
          <w:rFonts w:cs="Arial"/>
          <w:sz w:val="24"/>
          <w:szCs w:val="48"/>
          <w:vertAlign w:val="superscript"/>
        </w:rPr>
        <w:t>1</w:t>
      </w:r>
      <w:r>
        <w:rPr>
          <w:rFonts w:cs="Arial"/>
          <w:sz w:val="24"/>
          <w:szCs w:val="48"/>
        </w:rPr>
        <w:t xml:space="preserve"> </w:t>
      </w:r>
      <w:r w:rsidR="0077182F">
        <w:rPr>
          <w:rFonts w:cs="Arial"/>
          <w:sz w:val="24"/>
          <w:szCs w:val="48"/>
        </w:rPr>
        <w:t xml:space="preserve">Speciality Registrar in Public Health, </w:t>
      </w:r>
      <w:r w:rsidR="007A5FDD">
        <w:rPr>
          <w:rFonts w:cs="Arial"/>
          <w:sz w:val="24"/>
          <w:szCs w:val="48"/>
        </w:rPr>
        <w:t xml:space="preserve">Public Health England, </w:t>
      </w:r>
      <w:r w:rsidR="0077182F">
        <w:rPr>
          <w:rFonts w:cs="Arial"/>
          <w:sz w:val="24"/>
          <w:szCs w:val="48"/>
        </w:rPr>
        <w:t>South East Heath Protection Unit, Parkside, Horsham, West Sussex, RH12 1RL, UK</w:t>
      </w:r>
    </w:p>
    <w:p w14:paraId="266AC981" w14:textId="77777777" w:rsidR="00E848E5" w:rsidRDefault="00E848E5" w:rsidP="00002193">
      <w:pPr>
        <w:pStyle w:val="Coversheet"/>
        <w:jc w:val="left"/>
        <w:rPr>
          <w:rFonts w:cs="Arial"/>
          <w:sz w:val="24"/>
          <w:szCs w:val="48"/>
        </w:rPr>
      </w:pPr>
      <w:r w:rsidRPr="00883A16">
        <w:rPr>
          <w:rFonts w:cs="Arial"/>
          <w:sz w:val="24"/>
          <w:szCs w:val="48"/>
          <w:vertAlign w:val="superscript"/>
        </w:rPr>
        <w:t>2</w:t>
      </w:r>
      <w:r>
        <w:rPr>
          <w:rFonts w:cs="Arial"/>
          <w:sz w:val="24"/>
          <w:szCs w:val="48"/>
        </w:rPr>
        <w:t xml:space="preserve"> Immunisation Department, Public Health England, 61 Colindale Avenue, London NW9 5EQ, UK</w:t>
      </w:r>
    </w:p>
    <w:p w14:paraId="69C1120F" w14:textId="77777777" w:rsidR="00E848E5" w:rsidRDefault="00E848E5" w:rsidP="00002193">
      <w:pPr>
        <w:pStyle w:val="Coversheet"/>
        <w:jc w:val="left"/>
        <w:rPr>
          <w:rFonts w:cs="Arial"/>
          <w:sz w:val="24"/>
          <w:szCs w:val="48"/>
        </w:rPr>
      </w:pPr>
      <w:r w:rsidRPr="00883A16">
        <w:rPr>
          <w:rFonts w:cs="Arial"/>
          <w:sz w:val="24"/>
          <w:szCs w:val="48"/>
          <w:vertAlign w:val="superscript"/>
        </w:rPr>
        <w:t>3</w:t>
      </w:r>
      <w:r>
        <w:rPr>
          <w:rFonts w:cs="Arial"/>
          <w:sz w:val="24"/>
          <w:szCs w:val="48"/>
        </w:rPr>
        <w:t xml:space="preserve"> Paediatric Infectious Diseases Research Group, St. George</w:t>
      </w:r>
      <w:r w:rsidR="0077182F">
        <w:rPr>
          <w:rFonts w:cs="Arial"/>
          <w:sz w:val="24"/>
          <w:szCs w:val="48"/>
        </w:rPr>
        <w:t>’s Univer</w:t>
      </w:r>
      <w:r>
        <w:rPr>
          <w:rFonts w:cs="Arial"/>
          <w:sz w:val="24"/>
          <w:szCs w:val="48"/>
        </w:rPr>
        <w:t>sity of London, Cran</w:t>
      </w:r>
      <w:r w:rsidR="0077182F">
        <w:rPr>
          <w:rFonts w:cs="Arial"/>
          <w:sz w:val="24"/>
          <w:szCs w:val="48"/>
        </w:rPr>
        <w:t>mer Terrace, London SW17 0RE, UK</w:t>
      </w:r>
    </w:p>
    <w:p w14:paraId="2EDEAC22" w14:textId="77777777" w:rsidR="0058283B" w:rsidRDefault="0058283B" w:rsidP="00002193">
      <w:pPr>
        <w:pStyle w:val="Coversheet"/>
        <w:jc w:val="left"/>
        <w:rPr>
          <w:rFonts w:cs="Arial"/>
          <w:sz w:val="24"/>
          <w:szCs w:val="48"/>
        </w:rPr>
      </w:pPr>
    </w:p>
    <w:p w14:paraId="2F7E504C" w14:textId="77777777" w:rsidR="0058283B" w:rsidRDefault="0058283B" w:rsidP="00002193">
      <w:pPr>
        <w:pStyle w:val="Coversheet"/>
        <w:jc w:val="left"/>
        <w:rPr>
          <w:rFonts w:cs="Arial"/>
          <w:sz w:val="24"/>
          <w:szCs w:val="48"/>
        </w:rPr>
      </w:pPr>
    </w:p>
    <w:p w14:paraId="1BDB3314" w14:textId="77777777" w:rsidR="00E848E5" w:rsidRPr="00883A16" w:rsidRDefault="00E848E5" w:rsidP="00E848E5">
      <w:pPr>
        <w:spacing w:line="480" w:lineRule="auto"/>
        <w:rPr>
          <w:rFonts w:cs="Arial"/>
          <w:b/>
          <w:sz w:val="24"/>
          <w:szCs w:val="48"/>
        </w:rPr>
      </w:pPr>
      <w:r w:rsidRPr="00883A16">
        <w:rPr>
          <w:rFonts w:cs="Arial"/>
          <w:b/>
          <w:sz w:val="24"/>
          <w:szCs w:val="48"/>
        </w:rPr>
        <w:t xml:space="preserve">Corresponding author: </w:t>
      </w:r>
    </w:p>
    <w:p w14:paraId="434333F9" w14:textId="77777777" w:rsidR="00E848E5" w:rsidRPr="00883A16" w:rsidRDefault="00E848E5" w:rsidP="00E848E5">
      <w:pPr>
        <w:spacing w:line="480" w:lineRule="auto"/>
        <w:rPr>
          <w:rFonts w:cs="Arial"/>
          <w:sz w:val="24"/>
          <w:szCs w:val="48"/>
        </w:rPr>
      </w:pPr>
      <w:r w:rsidRPr="00883A16">
        <w:rPr>
          <w:rFonts w:cs="Arial"/>
          <w:sz w:val="24"/>
          <w:szCs w:val="48"/>
        </w:rPr>
        <w:t xml:space="preserve">Shamez Ladhani, Immunisation Department, Public Health England, 61 Colindale Avenue, London NW9 5EQ, UK. Tel: +44 208 327 7155. E-mail: </w:t>
      </w:r>
      <w:hyperlink r:id="rId8" w:history="1">
        <w:r w:rsidRPr="00883A16">
          <w:rPr>
            <w:rFonts w:cs="Arial"/>
            <w:sz w:val="24"/>
            <w:szCs w:val="48"/>
          </w:rPr>
          <w:t>shamez.ladhani@phe.gov.uk</w:t>
        </w:r>
      </w:hyperlink>
      <w:r w:rsidRPr="00883A16">
        <w:rPr>
          <w:rFonts w:cs="Arial"/>
          <w:sz w:val="24"/>
          <w:szCs w:val="48"/>
        </w:rPr>
        <w:t xml:space="preserve"> </w:t>
      </w:r>
    </w:p>
    <w:p w14:paraId="042DA9A8" w14:textId="77777777" w:rsidR="0058283B" w:rsidRDefault="0058283B" w:rsidP="00002193">
      <w:pPr>
        <w:pStyle w:val="Coversheet"/>
        <w:jc w:val="left"/>
        <w:rPr>
          <w:rFonts w:cs="Arial"/>
          <w:sz w:val="24"/>
          <w:szCs w:val="48"/>
        </w:rPr>
      </w:pPr>
    </w:p>
    <w:p w14:paraId="66D24F78" w14:textId="77777777" w:rsidR="00C404E6" w:rsidRPr="00883A16" w:rsidRDefault="00C404E6" w:rsidP="00002193">
      <w:pPr>
        <w:pStyle w:val="Coversheet"/>
        <w:jc w:val="left"/>
        <w:rPr>
          <w:rFonts w:cs="Arial"/>
          <w:b/>
          <w:sz w:val="24"/>
          <w:szCs w:val="48"/>
        </w:rPr>
      </w:pPr>
      <w:r w:rsidRPr="00883A16">
        <w:rPr>
          <w:rFonts w:cs="Arial"/>
          <w:b/>
          <w:sz w:val="24"/>
          <w:szCs w:val="48"/>
        </w:rPr>
        <w:t xml:space="preserve">Key Words: </w:t>
      </w:r>
    </w:p>
    <w:p w14:paraId="2D3FACB3" w14:textId="77777777" w:rsidR="00C404E6" w:rsidRDefault="00C404E6" w:rsidP="00002193">
      <w:pPr>
        <w:pStyle w:val="Coversheet"/>
        <w:jc w:val="left"/>
        <w:rPr>
          <w:rFonts w:cs="Arial"/>
          <w:sz w:val="24"/>
          <w:szCs w:val="48"/>
        </w:rPr>
      </w:pPr>
      <w:r>
        <w:rPr>
          <w:rFonts w:cs="Arial"/>
          <w:sz w:val="24"/>
          <w:szCs w:val="48"/>
        </w:rPr>
        <w:t>meningococcal disease, data linkage, risk factors, vaccine, outcomes</w:t>
      </w:r>
    </w:p>
    <w:p w14:paraId="7ED11D66" w14:textId="77777777" w:rsidR="0058283B" w:rsidRDefault="0058283B" w:rsidP="00002193">
      <w:pPr>
        <w:pStyle w:val="Coversheet"/>
        <w:jc w:val="left"/>
        <w:rPr>
          <w:rFonts w:cs="Arial"/>
          <w:sz w:val="24"/>
          <w:szCs w:val="48"/>
        </w:rPr>
      </w:pPr>
    </w:p>
    <w:p w14:paraId="3761D21C" w14:textId="77777777" w:rsidR="00E848E5" w:rsidRPr="00407A08" w:rsidRDefault="00E848E5">
      <w:pPr>
        <w:spacing w:after="200" w:line="276" w:lineRule="auto"/>
        <w:rPr>
          <w:rFonts w:cs="Arial"/>
          <w:sz w:val="24"/>
          <w:szCs w:val="48"/>
        </w:rPr>
      </w:pPr>
      <w:r w:rsidRPr="00407A08">
        <w:rPr>
          <w:rFonts w:cs="Arial"/>
          <w:sz w:val="24"/>
          <w:szCs w:val="48"/>
        </w:rPr>
        <w:br w:type="page"/>
      </w:r>
    </w:p>
    <w:p w14:paraId="3EC63FFB" w14:textId="77777777" w:rsidR="000F1481" w:rsidRPr="006F551E" w:rsidRDefault="000F1481" w:rsidP="00002193">
      <w:pPr>
        <w:pStyle w:val="Coversheet"/>
        <w:jc w:val="left"/>
        <w:rPr>
          <w:rFonts w:cs="Arial"/>
          <w:b/>
          <w:sz w:val="28"/>
          <w:szCs w:val="48"/>
        </w:rPr>
      </w:pPr>
      <w:r w:rsidRPr="006F551E">
        <w:rPr>
          <w:rFonts w:cs="Arial"/>
          <w:b/>
          <w:sz w:val="28"/>
          <w:szCs w:val="48"/>
        </w:rPr>
        <w:lastRenderedPageBreak/>
        <w:t>ABSTRACT</w:t>
      </w:r>
    </w:p>
    <w:p w14:paraId="569168C8" w14:textId="77777777" w:rsidR="006520AE" w:rsidRDefault="000F1481" w:rsidP="000F1481">
      <w:pPr>
        <w:pStyle w:val="Coversheet"/>
        <w:jc w:val="left"/>
        <w:rPr>
          <w:rFonts w:cs="Arial"/>
          <w:sz w:val="24"/>
          <w:szCs w:val="48"/>
        </w:rPr>
      </w:pPr>
      <w:r w:rsidRPr="006F551E">
        <w:rPr>
          <w:rFonts w:cs="Arial"/>
          <w:b/>
          <w:sz w:val="24"/>
          <w:szCs w:val="48"/>
        </w:rPr>
        <w:t xml:space="preserve">Background: </w:t>
      </w:r>
      <w:r w:rsidR="00D41734">
        <w:rPr>
          <w:rFonts w:cs="Arial"/>
          <w:sz w:val="24"/>
          <w:szCs w:val="48"/>
        </w:rPr>
        <w:t>I</w:t>
      </w:r>
      <w:r w:rsidRPr="006F551E">
        <w:rPr>
          <w:rFonts w:cs="Arial"/>
          <w:sz w:val="24"/>
          <w:szCs w:val="48"/>
        </w:rPr>
        <w:t xml:space="preserve">nvasive meningococcal disease (IMD) </w:t>
      </w:r>
      <w:r w:rsidR="00D41734">
        <w:rPr>
          <w:rFonts w:cs="Arial"/>
          <w:sz w:val="24"/>
          <w:szCs w:val="48"/>
        </w:rPr>
        <w:t>is rare but remains one of the most feared infectious diseases</w:t>
      </w:r>
      <w:r w:rsidR="0058283B">
        <w:rPr>
          <w:rFonts w:cs="Arial"/>
          <w:sz w:val="24"/>
          <w:szCs w:val="48"/>
        </w:rPr>
        <w:t xml:space="preserve"> worldwide</w:t>
      </w:r>
      <w:r w:rsidR="00D41734">
        <w:rPr>
          <w:rFonts w:cs="Arial"/>
          <w:sz w:val="24"/>
          <w:szCs w:val="48"/>
        </w:rPr>
        <w:t xml:space="preserve">. We </w:t>
      </w:r>
      <w:r w:rsidR="00B57D40">
        <w:rPr>
          <w:rFonts w:cs="Arial"/>
          <w:sz w:val="24"/>
          <w:szCs w:val="48"/>
        </w:rPr>
        <w:t>linked</w:t>
      </w:r>
      <w:r w:rsidR="00D41734">
        <w:rPr>
          <w:rFonts w:cs="Arial"/>
          <w:sz w:val="24"/>
          <w:szCs w:val="48"/>
        </w:rPr>
        <w:t xml:space="preserve"> multiple national datasets to describe disease characteristics </w:t>
      </w:r>
      <w:r w:rsidR="00B25E9E">
        <w:rPr>
          <w:rFonts w:cs="Arial"/>
          <w:sz w:val="24"/>
          <w:szCs w:val="48"/>
        </w:rPr>
        <w:t xml:space="preserve">and outcomes of IMD </w:t>
      </w:r>
      <w:r w:rsidR="00D41734">
        <w:rPr>
          <w:rFonts w:cs="Arial"/>
          <w:sz w:val="24"/>
          <w:szCs w:val="48"/>
        </w:rPr>
        <w:t xml:space="preserve">in England over </w:t>
      </w:r>
      <w:r w:rsidR="0058283B">
        <w:rPr>
          <w:rFonts w:cs="Arial"/>
          <w:sz w:val="24"/>
          <w:szCs w:val="48"/>
        </w:rPr>
        <w:t xml:space="preserve">a </w:t>
      </w:r>
      <w:r w:rsidR="00A24E33">
        <w:rPr>
          <w:rFonts w:cs="Arial"/>
          <w:sz w:val="24"/>
          <w:szCs w:val="48"/>
        </w:rPr>
        <w:t>five</w:t>
      </w:r>
      <w:r w:rsidR="0058283B">
        <w:rPr>
          <w:rFonts w:cs="Arial"/>
          <w:sz w:val="24"/>
          <w:szCs w:val="48"/>
        </w:rPr>
        <w:t>-</w:t>
      </w:r>
      <w:r w:rsidR="00D41734">
        <w:rPr>
          <w:rFonts w:cs="Arial"/>
          <w:sz w:val="24"/>
          <w:szCs w:val="48"/>
        </w:rPr>
        <w:t>year</w:t>
      </w:r>
      <w:r w:rsidR="0058283B">
        <w:rPr>
          <w:rFonts w:cs="Arial"/>
          <w:sz w:val="24"/>
          <w:szCs w:val="48"/>
        </w:rPr>
        <w:t xml:space="preserve"> period</w:t>
      </w:r>
      <w:r w:rsidR="00B25E9E">
        <w:rPr>
          <w:rFonts w:cs="Arial"/>
          <w:sz w:val="24"/>
          <w:szCs w:val="48"/>
        </w:rPr>
        <w:t>.</w:t>
      </w:r>
    </w:p>
    <w:p w14:paraId="236DB060" w14:textId="77777777" w:rsidR="00D302A1" w:rsidRDefault="00B25E9E" w:rsidP="000F1481">
      <w:pPr>
        <w:pStyle w:val="Coversheet"/>
        <w:jc w:val="left"/>
        <w:rPr>
          <w:rFonts w:cs="Arial"/>
          <w:sz w:val="24"/>
          <w:szCs w:val="48"/>
        </w:rPr>
      </w:pPr>
      <w:r>
        <w:rPr>
          <w:rFonts w:cs="Arial"/>
          <w:sz w:val="24"/>
          <w:szCs w:val="48"/>
        </w:rPr>
        <w:t xml:space="preserve"> </w:t>
      </w:r>
      <w:r w:rsidR="000F1481" w:rsidRPr="006F551E">
        <w:rPr>
          <w:rFonts w:cs="Arial"/>
          <w:b/>
          <w:sz w:val="24"/>
          <w:szCs w:val="48"/>
        </w:rPr>
        <w:t xml:space="preserve">Methods: </w:t>
      </w:r>
      <w:r w:rsidR="00D302A1">
        <w:rPr>
          <w:rFonts w:cs="Arial"/>
          <w:sz w:val="24"/>
          <w:szCs w:val="48"/>
        </w:rPr>
        <w:t xml:space="preserve">IMD cases confirmed by Public Health England </w:t>
      </w:r>
      <w:r w:rsidR="006321E8">
        <w:rPr>
          <w:rFonts w:cs="Arial"/>
          <w:sz w:val="24"/>
          <w:szCs w:val="48"/>
        </w:rPr>
        <w:t>(</w:t>
      </w:r>
      <w:r w:rsidR="00D302A1">
        <w:rPr>
          <w:rFonts w:cs="Arial"/>
          <w:sz w:val="24"/>
          <w:szCs w:val="48"/>
        </w:rPr>
        <w:t>2007-11</w:t>
      </w:r>
      <w:r w:rsidR="006321E8">
        <w:rPr>
          <w:rFonts w:cs="Arial"/>
          <w:sz w:val="24"/>
          <w:szCs w:val="48"/>
        </w:rPr>
        <w:t>)</w:t>
      </w:r>
      <w:r w:rsidR="00D302A1">
        <w:rPr>
          <w:rFonts w:cs="Arial"/>
          <w:sz w:val="24"/>
          <w:szCs w:val="48"/>
        </w:rPr>
        <w:t xml:space="preserve"> were linked with national hospitalisation records and death registration</w:t>
      </w:r>
      <w:r w:rsidR="009451A9">
        <w:rPr>
          <w:rFonts w:cs="Arial"/>
          <w:sz w:val="24"/>
          <w:szCs w:val="48"/>
        </w:rPr>
        <w:t>s</w:t>
      </w:r>
      <w:r w:rsidR="00D302A1">
        <w:rPr>
          <w:rFonts w:cs="Arial"/>
          <w:sz w:val="24"/>
          <w:szCs w:val="48"/>
        </w:rPr>
        <w:t xml:space="preserve">. </w:t>
      </w:r>
      <w:r w:rsidR="00D302A1" w:rsidRPr="0052597F">
        <w:rPr>
          <w:rFonts w:cs="Arial"/>
          <w:sz w:val="24"/>
          <w:szCs w:val="48"/>
        </w:rPr>
        <w:t xml:space="preserve">Cases were analysed </w:t>
      </w:r>
      <w:r w:rsidR="00D302A1">
        <w:rPr>
          <w:rFonts w:cs="Arial"/>
          <w:sz w:val="24"/>
          <w:szCs w:val="48"/>
        </w:rPr>
        <w:t xml:space="preserve">by </w:t>
      </w:r>
      <w:r w:rsidR="00D302A1" w:rsidRPr="0052597F">
        <w:rPr>
          <w:rFonts w:cs="Arial"/>
          <w:sz w:val="24"/>
          <w:szCs w:val="48"/>
        </w:rPr>
        <w:t xml:space="preserve">age, </w:t>
      </w:r>
      <w:r w:rsidR="00D302A1">
        <w:rPr>
          <w:rFonts w:cs="Arial"/>
          <w:sz w:val="24"/>
          <w:szCs w:val="48"/>
        </w:rPr>
        <w:t>gender</w:t>
      </w:r>
      <w:r w:rsidR="00D302A1" w:rsidRPr="0052597F">
        <w:rPr>
          <w:rFonts w:cs="Arial"/>
          <w:sz w:val="24"/>
          <w:szCs w:val="48"/>
        </w:rPr>
        <w:t>, capsular group, clinical presentation</w:t>
      </w:r>
      <w:r w:rsidR="00D302A1">
        <w:rPr>
          <w:rFonts w:cs="Arial"/>
          <w:sz w:val="24"/>
          <w:szCs w:val="48"/>
        </w:rPr>
        <w:t xml:space="preserve">, </w:t>
      </w:r>
      <w:r w:rsidR="00D302A1" w:rsidRPr="0052597F">
        <w:rPr>
          <w:rFonts w:cs="Arial"/>
          <w:sz w:val="24"/>
          <w:szCs w:val="48"/>
        </w:rPr>
        <w:t xml:space="preserve">diagnostic test </w:t>
      </w:r>
      <w:r w:rsidR="00D302A1">
        <w:rPr>
          <w:rFonts w:cs="Arial"/>
          <w:sz w:val="24"/>
          <w:szCs w:val="48"/>
        </w:rPr>
        <w:t>and outcome</w:t>
      </w:r>
      <w:r w:rsidR="00D302A1" w:rsidRPr="0052597F">
        <w:rPr>
          <w:rFonts w:cs="Arial"/>
          <w:sz w:val="24"/>
          <w:szCs w:val="48"/>
        </w:rPr>
        <w:t xml:space="preserve">. </w:t>
      </w:r>
      <w:r w:rsidR="00D302A1">
        <w:rPr>
          <w:rFonts w:cs="Arial"/>
          <w:sz w:val="24"/>
          <w:szCs w:val="48"/>
        </w:rPr>
        <w:t>Risk factors for death were assessed using multivariable logistic regression</w:t>
      </w:r>
      <w:r w:rsidR="00D302A1" w:rsidRPr="0052597F">
        <w:rPr>
          <w:rFonts w:cs="Arial"/>
          <w:sz w:val="24"/>
          <w:szCs w:val="48"/>
        </w:rPr>
        <w:t>.</w:t>
      </w:r>
    </w:p>
    <w:p w14:paraId="4214260C" w14:textId="2AF2C175" w:rsidR="000808E2" w:rsidRPr="0085516A" w:rsidRDefault="007B2C73" w:rsidP="006520AE">
      <w:pPr>
        <w:pStyle w:val="Coversheet"/>
        <w:jc w:val="left"/>
        <w:rPr>
          <w:rFonts w:cs="Arial"/>
          <w:sz w:val="24"/>
        </w:rPr>
      </w:pPr>
      <w:r>
        <w:rPr>
          <w:rFonts w:cs="Arial"/>
          <w:b/>
          <w:sz w:val="24"/>
          <w:szCs w:val="48"/>
        </w:rPr>
        <w:t>Results</w:t>
      </w:r>
      <w:r w:rsidR="00D302A1">
        <w:rPr>
          <w:rFonts w:cs="Arial"/>
          <w:b/>
          <w:sz w:val="24"/>
          <w:szCs w:val="48"/>
        </w:rPr>
        <w:t>:</w:t>
      </w:r>
      <w:r w:rsidR="006520AE">
        <w:rPr>
          <w:rFonts w:cs="Arial"/>
          <w:b/>
          <w:sz w:val="24"/>
          <w:szCs w:val="48"/>
        </w:rPr>
        <w:t xml:space="preserve"> </w:t>
      </w:r>
      <w:r w:rsidR="0058283B" w:rsidRPr="00883A16">
        <w:rPr>
          <w:rFonts w:cs="Arial"/>
          <w:sz w:val="24"/>
          <w:szCs w:val="48"/>
        </w:rPr>
        <w:t>Overall,</w:t>
      </w:r>
      <w:r w:rsidR="0058283B">
        <w:rPr>
          <w:rFonts w:cs="Arial"/>
          <w:b/>
          <w:sz w:val="24"/>
          <w:szCs w:val="48"/>
        </w:rPr>
        <w:t xml:space="preserve"> </w:t>
      </w:r>
      <w:r w:rsidR="00D302A1" w:rsidRPr="00EB3B36">
        <w:rPr>
          <w:rFonts w:cs="Arial"/>
          <w:sz w:val="24"/>
        </w:rPr>
        <w:t xml:space="preserve">4,619 of 5,115 </w:t>
      </w:r>
      <w:r w:rsidR="009451A9">
        <w:rPr>
          <w:rFonts w:cs="Arial"/>
          <w:sz w:val="24"/>
        </w:rPr>
        <w:t xml:space="preserve">(90.30%) </w:t>
      </w:r>
      <w:r w:rsidR="00D302A1" w:rsidRPr="00EB3B36">
        <w:rPr>
          <w:rFonts w:cs="Arial"/>
          <w:sz w:val="24"/>
        </w:rPr>
        <w:t xml:space="preserve">laboratory-confirmed IMD cases </w:t>
      </w:r>
      <w:r w:rsidR="00D302A1">
        <w:rPr>
          <w:rFonts w:cs="Arial"/>
          <w:sz w:val="24"/>
        </w:rPr>
        <w:t xml:space="preserve">were </w:t>
      </w:r>
      <w:r w:rsidR="00D302A1" w:rsidRPr="006520AE">
        <w:rPr>
          <w:rFonts w:cs="Arial"/>
          <w:sz w:val="24"/>
        </w:rPr>
        <w:t>successfully linked</w:t>
      </w:r>
      <w:r w:rsidR="0058283B">
        <w:rPr>
          <w:rFonts w:cs="Arial"/>
          <w:sz w:val="24"/>
        </w:rPr>
        <w:t xml:space="preserve"> to a hospitalisation record</w:t>
      </w:r>
      <w:r w:rsidR="00D302A1" w:rsidRPr="006520AE">
        <w:rPr>
          <w:rFonts w:cs="Arial"/>
          <w:sz w:val="24"/>
        </w:rPr>
        <w:t>. Group B meningococci were responsible</w:t>
      </w:r>
      <w:r w:rsidR="005D58D5" w:rsidRPr="006520AE">
        <w:rPr>
          <w:rFonts w:cs="Arial"/>
          <w:sz w:val="24"/>
        </w:rPr>
        <w:t xml:space="preserve"> for</w:t>
      </w:r>
      <w:r w:rsidR="00D302A1" w:rsidRPr="006520AE">
        <w:rPr>
          <w:rFonts w:cs="Arial"/>
          <w:sz w:val="24"/>
        </w:rPr>
        <w:t xml:space="preserve"> 87</w:t>
      </w:r>
      <w:r w:rsidR="001A7C08" w:rsidRPr="006520AE">
        <w:rPr>
          <w:rFonts w:cs="Arial"/>
          <w:sz w:val="24"/>
        </w:rPr>
        <w:t>·</w:t>
      </w:r>
      <w:r w:rsidR="00D302A1" w:rsidRPr="006520AE">
        <w:rPr>
          <w:rFonts w:cs="Arial"/>
          <w:sz w:val="24"/>
        </w:rPr>
        <w:t xml:space="preserve">33% (n=4,034) of </w:t>
      </w:r>
      <w:r w:rsidR="00F320BD" w:rsidRPr="006520AE">
        <w:rPr>
          <w:rFonts w:cs="Arial"/>
          <w:sz w:val="24"/>
        </w:rPr>
        <w:t xml:space="preserve">hospitalised IMD </w:t>
      </w:r>
      <w:r w:rsidR="00D302A1" w:rsidRPr="006520AE">
        <w:rPr>
          <w:rFonts w:cs="Arial"/>
          <w:sz w:val="24"/>
        </w:rPr>
        <w:t xml:space="preserve">cases, </w:t>
      </w:r>
      <w:r w:rsidR="002753DB" w:rsidRPr="006520AE">
        <w:rPr>
          <w:rFonts w:cs="Arial"/>
          <w:sz w:val="24"/>
        </w:rPr>
        <w:t>ranging from 93</w:t>
      </w:r>
      <w:r w:rsidR="001A7C08" w:rsidRPr="006520AE">
        <w:rPr>
          <w:rFonts w:cs="Arial"/>
          <w:sz w:val="24"/>
        </w:rPr>
        <w:t>·</w:t>
      </w:r>
      <w:r w:rsidR="002753DB" w:rsidRPr="006520AE">
        <w:rPr>
          <w:rFonts w:cs="Arial"/>
          <w:sz w:val="24"/>
        </w:rPr>
        <w:t>56</w:t>
      </w:r>
      <w:r w:rsidR="00D302A1" w:rsidRPr="006520AE">
        <w:rPr>
          <w:rFonts w:cs="Arial"/>
          <w:sz w:val="24"/>
        </w:rPr>
        <w:t>% (</w:t>
      </w:r>
      <w:r w:rsidR="002753DB" w:rsidRPr="006520AE">
        <w:rPr>
          <w:rFonts w:cs="Arial"/>
          <w:sz w:val="24"/>
        </w:rPr>
        <w:t>2,294</w:t>
      </w:r>
      <w:r w:rsidR="00D302A1" w:rsidRPr="006520AE">
        <w:rPr>
          <w:rFonts w:cs="Arial"/>
          <w:sz w:val="24"/>
        </w:rPr>
        <w:t>/</w:t>
      </w:r>
      <w:r w:rsidR="002753DB" w:rsidRPr="006520AE">
        <w:rPr>
          <w:rFonts w:cs="Arial"/>
          <w:sz w:val="24"/>
        </w:rPr>
        <w:t>2,452</w:t>
      </w:r>
      <w:r w:rsidR="00D302A1" w:rsidRPr="006520AE">
        <w:rPr>
          <w:rFonts w:cs="Arial"/>
          <w:sz w:val="24"/>
        </w:rPr>
        <w:t xml:space="preserve">) in </w:t>
      </w:r>
      <w:r w:rsidR="002753DB" w:rsidRPr="006520AE">
        <w:rPr>
          <w:rFonts w:cs="Arial"/>
          <w:sz w:val="24"/>
        </w:rPr>
        <w:t xml:space="preserve">&lt;15 year-olds </w:t>
      </w:r>
      <w:r w:rsidR="00D302A1" w:rsidRPr="006520AE">
        <w:rPr>
          <w:rFonts w:cs="Arial"/>
          <w:sz w:val="24"/>
        </w:rPr>
        <w:t>to 53</w:t>
      </w:r>
      <w:r w:rsidR="001A7C08" w:rsidRPr="006520AE">
        <w:rPr>
          <w:rFonts w:cs="Arial"/>
          <w:sz w:val="24"/>
        </w:rPr>
        <w:t>·</w:t>
      </w:r>
      <w:r w:rsidR="00D302A1" w:rsidRPr="006520AE">
        <w:rPr>
          <w:rFonts w:cs="Arial"/>
          <w:sz w:val="24"/>
        </w:rPr>
        <w:t>52% (152/284) among ≥65 year-olds.</w:t>
      </w:r>
      <w:r w:rsidR="009451A9">
        <w:rPr>
          <w:rFonts w:cs="Arial"/>
          <w:sz w:val="24"/>
        </w:rPr>
        <w:t xml:space="preserve"> </w:t>
      </w:r>
      <w:r w:rsidR="009451A9" w:rsidRPr="00883A16">
        <w:rPr>
          <w:rFonts w:cs="Arial"/>
          <w:sz w:val="24"/>
        </w:rPr>
        <w:t>Mo</w:t>
      </w:r>
      <w:r w:rsidR="009451A9">
        <w:rPr>
          <w:rFonts w:cs="Arial"/>
          <w:sz w:val="24"/>
        </w:rPr>
        <w:t>st cases presented with m</w:t>
      </w:r>
      <w:r w:rsidR="00F320BD" w:rsidRPr="009451A9">
        <w:rPr>
          <w:rFonts w:cs="Arial"/>
          <w:sz w:val="24"/>
        </w:rPr>
        <w:t>eningitis</w:t>
      </w:r>
      <w:r w:rsidR="00F320BD" w:rsidRPr="00DF1F75">
        <w:rPr>
          <w:rFonts w:cs="Arial"/>
          <w:sz w:val="24"/>
          <w:szCs w:val="22"/>
        </w:rPr>
        <w:t xml:space="preserve"> only (</w:t>
      </w:r>
      <w:r w:rsidR="00F320BD">
        <w:rPr>
          <w:rFonts w:cs="Arial"/>
          <w:sz w:val="24"/>
          <w:szCs w:val="22"/>
        </w:rPr>
        <w:t>n=</w:t>
      </w:r>
      <w:r w:rsidR="00F320BD" w:rsidRPr="00DF1F75">
        <w:rPr>
          <w:rFonts w:cs="Arial"/>
          <w:sz w:val="24"/>
          <w:szCs w:val="22"/>
        </w:rPr>
        <w:t>2,057</w:t>
      </w:r>
      <w:r w:rsidR="00F320BD">
        <w:rPr>
          <w:rFonts w:cs="Arial"/>
          <w:sz w:val="24"/>
          <w:szCs w:val="22"/>
        </w:rPr>
        <w:t xml:space="preserve">, </w:t>
      </w:r>
      <w:r w:rsidR="00F320BD" w:rsidRPr="00DF1F75">
        <w:rPr>
          <w:rFonts w:cs="Arial"/>
          <w:sz w:val="24"/>
          <w:szCs w:val="22"/>
        </w:rPr>
        <w:t>44</w:t>
      </w:r>
      <w:r w:rsidR="001A7C08">
        <w:rPr>
          <w:rFonts w:cs="Arial"/>
          <w:sz w:val="24"/>
        </w:rPr>
        <w:t>·</w:t>
      </w:r>
      <w:r w:rsidR="00F320BD" w:rsidRPr="00DF1F75">
        <w:rPr>
          <w:rFonts w:cs="Arial"/>
          <w:sz w:val="24"/>
          <w:szCs w:val="22"/>
        </w:rPr>
        <w:t>53%)</w:t>
      </w:r>
      <w:r w:rsidR="0093499D">
        <w:rPr>
          <w:rFonts w:cs="Arial"/>
          <w:sz w:val="24"/>
          <w:szCs w:val="22"/>
        </w:rPr>
        <w:t>,</w:t>
      </w:r>
      <w:r w:rsidR="009451A9">
        <w:rPr>
          <w:rFonts w:cs="Arial"/>
          <w:sz w:val="24"/>
          <w:szCs w:val="22"/>
        </w:rPr>
        <w:t xml:space="preserve"> </w:t>
      </w:r>
      <w:r w:rsidR="00F320BD" w:rsidRPr="00DF1F75">
        <w:rPr>
          <w:rFonts w:cs="Arial"/>
          <w:sz w:val="24"/>
          <w:szCs w:val="22"/>
        </w:rPr>
        <w:t>septicaemia only (</w:t>
      </w:r>
      <w:r w:rsidR="00F320BD">
        <w:rPr>
          <w:rFonts w:cs="Arial"/>
          <w:sz w:val="24"/>
          <w:szCs w:val="22"/>
        </w:rPr>
        <w:t>n=</w:t>
      </w:r>
      <w:r w:rsidR="00F320BD" w:rsidRPr="00DF1F75">
        <w:rPr>
          <w:rFonts w:cs="Arial"/>
          <w:sz w:val="24"/>
          <w:szCs w:val="22"/>
        </w:rPr>
        <w:t>1725</w:t>
      </w:r>
      <w:r w:rsidR="00F320BD">
        <w:rPr>
          <w:rFonts w:cs="Arial"/>
          <w:sz w:val="24"/>
          <w:szCs w:val="22"/>
        </w:rPr>
        <w:t xml:space="preserve">, </w:t>
      </w:r>
      <w:r w:rsidR="00F320BD" w:rsidRPr="00DF1F75">
        <w:rPr>
          <w:rFonts w:cs="Arial"/>
          <w:sz w:val="24"/>
          <w:szCs w:val="22"/>
        </w:rPr>
        <w:t>37</w:t>
      </w:r>
      <w:r w:rsidR="001A7C08">
        <w:rPr>
          <w:rFonts w:cs="Arial"/>
          <w:sz w:val="24"/>
        </w:rPr>
        <w:t>·</w:t>
      </w:r>
      <w:r w:rsidR="00F320BD" w:rsidRPr="00DF1F75">
        <w:rPr>
          <w:rFonts w:cs="Arial"/>
          <w:sz w:val="24"/>
          <w:szCs w:val="22"/>
        </w:rPr>
        <w:t>35%)</w:t>
      </w:r>
      <w:r w:rsidR="0093499D">
        <w:rPr>
          <w:rFonts w:cs="Arial"/>
          <w:sz w:val="24"/>
          <w:szCs w:val="22"/>
        </w:rPr>
        <w:t xml:space="preserve"> or </w:t>
      </w:r>
      <w:r w:rsidR="00F320BD" w:rsidRPr="00DF1F75">
        <w:rPr>
          <w:rFonts w:cs="Arial"/>
          <w:sz w:val="24"/>
          <w:szCs w:val="22"/>
        </w:rPr>
        <w:t>both meningitis and septicaemia (</w:t>
      </w:r>
      <w:r w:rsidR="00F320BD">
        <w:rPr>
          <w:rFonts w:cs="Arial"/>
          <w:sz w:val="24"/>
          <w:szCs w:val="22"/>
        </w:rPr>
        <w:t>n=</w:t>
      </w:r>
      <w:r w:rsidR="00F320BD" w:rsidRPr="00DF1F75">
        <w:rPr>
          <w:rFonts w:cs="Arial"/>
          <w:sz w:val="24"/>
          <w:szCs w:val="22"/>
        </w:rPr>
        <w:t>389</w:t>
      </w:r>
      <w:r w:rsidR="00F320BD">
        <w:rPr>
          <w:rFonts w:cs="Arial"/>
          <w:sz w:val="24"/>
          <w:szCs w:val="22"/>
        </w:rPr>
        <w:t xml:space="preserve">, </w:t>
      </w:r>
      <w:r w:rsidR="00F320BD" w:rsidRPr="00DF1F75">
        <w:rPr>
          <w:rFonts w:cs="Arial"/>
          <w:sz w:val="24"/>
          <w:szCs w:val="22"/>
        </w:rPr>
        <w:t>8</w:t>
      </w:r>
      <w:r w:rsidR="001A7C08">
        <w:rPr>
          <w:rFonts w:cs="Arial"/>
          <w:sz w:val="24"/>
        </w:rPr>
        <w:t>·</w:t>
      </w:r>
      <w:r w:rsidR="00F320BD" w:rsidRPr="00DF1F75">
        <w:rPr>
          <w:rFonts w:cs="Arial"/>
          <w:sz w:val="24"/>
          <w:szCs w:val="22"/>
        </w:rPr>
        <w:t>42%).</w:t>
      </w:r>
      <w:r w:rsidR="00F320BD">
        <w:rPr>
          <w:rFonts w:cs="Arial"/>
          <w:sz w:val="24"/>
          <w:szCs w:val="22"/>
        </w:rPr>
        <w:t xml:space="preserve"> </w:t>
      </w:r>
      <w:r w:rsidR="006321E8">
        <w:rPr>
          <w:rFonts w:cs="Arial"/>
          <w:sz w:val="24"/>
        </w:rPr>
        <w:t>Over</w:t>
      </w:r>
      <w:r w:rsidR="00F320BD" w:rsidRPr="00DF1F75">
        <w:rPr>
          <w:rFonts w:cs="Arial"/>
          <w:sz w:val="24"/>
        </w:rPr>
        <w:t xml:space="preserve"> half </w:t>
      </w:r>
      <w:r w:rsidR="00F320BD">
        <w:rPr>
          <w:rFonts w:cs="Arial"/>
          <w:sz w:val="24"/>
        </w:rPr>
        <w:t xml:space="preserve">the cases </w:t>
      </w:r>
      <w:r w:rsidR="00F320BD" w:rsidRPr="00DF1F75">
        <w:rPr>
          <w:rFonts w:cs="Arial"/>
          <w:sz w:val="24"/>
        </w:rPr>
        <w:t>(2,526/4,619, 54</w:t>
      </w:r>
      <w:r w:rsidR="001A7C08">
        <w:rPr>
          <w:rFonts w:cs="Arial"/>
          <w:sz w:val="24"/>
        </w:rPr>
        <w:t>·</w:t>
      </w:r>
      <w:r w:rsidR="00F320BD" w:rsidRPr="00DF1F75">
        <w:rPr>
          <w:rFonts w:cs="Arial"/>
          <w:sz w:val="24"/>
        </w:rPr>
        <w:t>69%) were confirmed by PCR only, 22.91% (1,058/4,619) by culture only and 22</w:t>
      </w:r>
      <w:r w:rsidR="001A7C08">
        <w:rPr>
          <w:rFonts w:cs="Arial"/>
          <w:sz w:val="24"/>
        </w:rPr>
        <w:t>·</w:t>
      </w:r>
      <w:r w:rsidR="00F320BD" w:rsidRPr="00DF1F75">
        <w:rPr>
          <w:rFonts w:cs="Arial"/>
          <w:sz w:val="24"/>
        </w:rPr>
        <w:t>41% (1,035/4,619) by both</w:t>
      </w:r>
      <w:r w:rsidR="00F320BD" w:rsidRPr="00DF1F75">
        <w:rPr>
          <w:rFonts w:cs="Arial"/>
          <w:i/>
          <w:sz w:val="24"/>
        </w:rPr>
        <w:t>.</w:t>
      </w:r>
      <w:r w:rsidR="000808E2">
        <w:rPr>
          <w:rFonts w:cs="Arial"/>
          <w:i/>
          <w:sz w:val="24"/>
        </w:rPr>
        <w:t xml:space="preserve"> </w:t>
      </w:r>
      <w:r w:rsidR="00F320BD" w:rsidRPr="00DF1F75">
        <w:rPr>
          <w:rFonts w:cs="Arial"/>
          <w:sz w:val="24"/>
        </w:rPr>
        <w:t xml:space="preserve">The </w:t>
      </w:r>
      <w:r w:rsidR="0058283B">
        <w:rPr>
          <w:rFonts w:cs="Arial"/>
          <w:sz w:val="24"/>
        </w:rPr>
        <w:t>case fatality ra</w:t>
      </w:r>
      <w:r w:rsidR="00690743">
        <w:rPr>
          <w:rFonts w:cs="Arial"/>
          <w:sz w:val="24"/>
        </w:rPr>
        <w:t>te</w:t>
      </w:r>
      <w:r w:rsidR="0058283B" w:rsidRPr="00DF1F75">
        <w:rPr>
          <w:rFonts w:cs="Arial"/>
          <w:sz w:val="24"/>
        </w:rPr>
        <w:t xml:space="preserve"> </w:t>
      </w:r>
      <w:r w:rsidR="00F320BD" w:rsidRPr="00DF1F75">
        <w:rPr>
          <w:rFonts w:cs="Arial"/>
          <w:sz w:val="24"/>
        </w:rPr>
        <w:t>was 4</w:t>
      </w:r>
      <w:r w:rsidR="001A7C08">
        <w:rPr>
          <w:rFonts w:cs="Arial"/>
          <w:sz w:val="24"/>
        </w:rPr>
        <w:t>·</w:t>
      </w:r>
      <w:r w:rsidR="00F320BD" w:rsidRPr="00DF1F75">
        <w:rPr>
          <w:rFonts w:cs="Arial"/>
          <w:sz w:val="24"/>
        </w:rPr>
        <w:t>46% (206/4,619; 95% CI, 3</w:t>
      </w:r>
      <w:r w:rsidR="001A7C08">
        <w:rPr>
          <w:rFonts w:cs="Arial"/>
          <w:sz w:val="24"/>
        </w:rPr>
        <w:t>·</w:t>
      </w:r>
      <w:r w:rsidR="00F320BD" w:rsidRPr="00DF1F75">
        <w:rPr>
          <w:rFonts w:cs="Arial"/>
          <w:sz w:val="24"/>
        </w:rPr>
        <w:t>88-5</w:t>
      </w:r>
      <w:r w:rsidR="001A7C08">
        <w:rPr>
          <w:rFonts w:cs="Arial"/>
          <w:sz w:val="24"/>
        </w:rPr>
        <w:t>·</w:t>
      </w:r>
      <w:r w:rsidR="00F320BD" w:rsidRPr="00DF1F75">
        <w:rPr>
          <w:rFonts w:cs="Arial"/>
          <w:sz w:val="24"/>
        </w:rPr>
        <w:t xml:space="preserve">10%) </w:t>
      </w:r>
      <w:r w:rsidR="0058283B">
        <w:rPr>
          <w:rFonts w:cs="Arial"/>
          <w:sz w:val="24"/>
        </w:rPr>
        <w:t xml:space="preserve">and </w:t>
      </w:r>
      <w:r w:rsidR="006321E8">
        <w:rPr>
          <w:rFonts w:cs="Arial"/>
          <w:sz w:val="24"/>
        </w:rPr>
        <w:t>vari</w:t>
      </w:r>
      <w:r w:rsidR="0058283B">
        <w:rPr>
          <w:rFonts w:cs="Arial"/>
          <w:sz w:val="24"/>
        </w:rPr>
        <w:t>ed</w:t>
      </w:r>
      <w:r w:rsidR="00F320BD" w:rsidRPr="00DF1F75">
        <w:rPr>
          <w:rFonts w:cs="Arial"/>
          <w:sz w:val="24"/>
        </w:rPr>
        <w:t xml:space="preserve"> by age, clinical presentation</w:t>
      </w:r>
      <w:r w:rsidR="000808E2">
        <w:rPr>
          <w:rFonts w:cs="Arial"/>
          <w:sz w:val="24"/>
        </w:rPr>
        <w:t xml:space="preserve"> and</w:t>
      </w:r>
      <w:r w:rsidR="00F320BD">
        <w:rPr>
          <w:rFonts w:cs="Arial"/>
          <w:sz w:val="24"/>
        </w:rPr>
        <w:t xml:space="preserve"> </w:t>
      </w:r>
      <w:r w:rsidR="00F320BD" w:rsidRPr="00DF1F75">
        <w:rPr>
          <w:rFonts w:cs="Arial"/>
          <w:sz w:val="24"/>
        </w:rPr>
        <w:t>capsular group</w:t>
      </w:r>
      <w:r w:rsidR="000808E2">
        <w:rPr>
          <w:rFonts w:cs="Arial"/>
          <w:sz w:val="24"/>
        </w:rPr>
        <w:t>.</w:t>
      </w:r>
      <w:r w:rsidR="000808E2" w:rsidRPr="00912780">
        <w:rPr>
          <w:rFonts w:cs="Arial"/>
          <w:sz w:val="24"/>
        </w:rPr>
        <w:t xml:space="preserve"> </w:t>
      </w:r>
      <w:r w:rsidR="006321E8">
        <w:rPr>
          <w:rFonts w:cs="Arial"/>
          <w:sz w:val="24"/>
        </w:rPr>
        <w:t>C</w:t>
      </w:r>
      <w:r w:rsidR="000808E2" w:rsidRPr="00912780">
        <w:rPr>
          <w:rFonts w:cs="Arial"/>
          <w:sz w:val="24"/>
        </w:rPr>
        <w:t>hildren</w:t>
      </w:r>
      <w:r w:rsidR="006321E8">
        <w:rPr>
          <w:rFonts w:cs="Arial"/>
          <w:sz w:val="24"/>
        </w:rPr>
        <w:t xml:space="preserve"> under 15 years who died </w:t>
      </w:r>
      <w:r w:rsidR="0093499D">
        <w:rPr>
          <w:rFonts w:cs="Arial"/>
          <w:sz w:val="24"/>
        </w:rPr>
        <w:t xml:space="preserve">within </w:t>
      </w:r>
      <w:r w:rsidR="006321E8">
        <w:rPr>
          <w:rFonts w:cs="Arial"/>
          <w:sz w:val="24"/>
        </w:rPr>
        <w:t>30 days</w:t>
      </w:r>
      <w:r w:rsidR="0093499D">
        <w:rPr>
          <w:rFonts w:cs="Arial"/>
          <w:sz w:val="24"/>
        </w:rPr>
        <w:t xml:space="preserve"> of diagnosis</w:t>
      </w:r>
      <w:r w:rsidR="006321E8">
        <w:rPr>
          <w:rFonts w:cs="Arial"/>
          <w:sz w:val="24"/>
        </w:rPr>
        <w:t xml:space="preserve"> were significantly more likely to have been diagnosed by culture than </w:t>
      </w:r>
      <w:r w:rsidR="0058283B">
        <w:rPr>
          <w:rFonts w:cs="Arial"/>
          <w:sz w:val="24"/>
        </w:rPr>
        <w:t xml:space="preserve">by </w:t>
      </w:r>
      <w:r w:rsidR="006321E8">
        <w:rPr>
          <w:rFonts w:cs="Arial"/>
          <w:sz w:val="24"/>
        </w:rPr>
        <w:t>PCR alone</w:t>
      </w:r>
      <w:r w:rsidR="000808E2" w:rsidRPr="00912780">
        <w:rPr>
          <w:rFonts w:cs="Arial"/>
          <w:sz w:val="24"/>
        </w:rPr>
        <w:t xml:space="preserve"> (</w:t>
      </w:r>
      <w:r w:rsidR="006321E8">
        <w:rPr>
          <w:rFonts w:cs="Arial"/>
          <w:sz w:val="24"/>
        </w:rPr>
        <w:t>OR</w:t>
      </w:r>
      <w:r w:rsidR="0058283B">
        <w:rPr>
          <w:rFonts w:cs="Arial"/>
          <w:sz w:val="24"/>
        </w:rPr>
        <w:t>,</w:t>
      </w:r>
      <w:r w:rsidR="006321E8">
        <w:rPr>
          <w:rFonts w:cs="Arial"/>
          <w:sz w:val="24"/>
        </w:rPr>
        <w:t xml:space="preserve"> 1.56</w:t>
      </w:r>
      <w:r w:rsidR="0058283B">
        <w:rPr>
          <w:rFonts w:cs="Arial"/>
          <w:sz w:val="24"/>
        </w:rPr>
        <w:t>;</w:t>
      </w:r>
      <w:r w:rsidR="006321E8">
        <w:rPr>
          <w:rFonts w:cs="Arial"/>
          <w:sz w:val="24"/>
        </w:rPr>
        <w:t xml:space="preserve"> 95% CI</w:t>
      </w:r>
      <w:r w:rsidR="0058283B">
        <w:rPr>
          <w:rFonts w:cs="Arial"/>
          <w:sz w:val="24"/>
        </w:rPr>
        <w:t xml:space="preserve">, </w:t>
      </w:r>
      <w:r w:rsidR="000808E2" w:rsidRPr="00912780">
        <w:rPr>
          <w:rFonts w:cs="Arial"/>
          <w:sz w:val="24"/>
        </w:rPr>
        <w:t>1</w:t>
      </w:r>
      <w:r w:rsidR="001A7C08" w:rsidRPr="00912780">
        <w:rPr>
          <w:rFonts w:cs="Arial"/>
          <w:sz w:val="24"/>
        </w:rPr>
        <w:t>·</w:t>
      </w:r>
      <w:r w:rsidR="00912780" w:rsidRPr="00912780">
        <w:rPr>
          <w:rFonts w:cs="Arial"/>
          <w:sz w:val="24"/>
        </w:rPr>
        <w:t>02</w:t>
      </w:r>
      <w:r w:rsidR="000808E2" w:rsidRPr="00912780">
        <w:rPr>
          <w:rFonts w:cs="Arial"/>
          <w:sz w:val="24"/>
        </w:rPr>
        <w:t>-2</w:t>
      </w:r>
      <w:r w:rsidR="001A7C08" w:rsidRPr="00912780">
        <w:rPr>
          <w:rFonts w:cs="Arial"/>
          <w:sz w:val="24"/>
        </w:rPr>
        <w:t>·</w:t>
      </w:r>
      <w:r w:rsidR="00912780" w:rsidRPr="00912780">
        <w:rPr>
          <w:rFonts w:cs="Arial"/>
          <w:sz w:val="24"/>
        </w:rPr>
        <w:t>39</w:t>
      </w:r>
      <w:r w:rsidR="000808E2" w:rsidRPr="00912780">
        <w:rPr>
          <w:rFonts w:cs="Arial"/>
          <w:sz w:val="24"/>
        </w:rPr>
        <w:t>; P=0</w:t>
      </w:r>
      <w:r w:rsidR="001A7C08" w:rsidRPr="00912780">
        <w:rPr>
          <w:rFonts w:cs="Arial"/>
          <w:sz w:val="24"/>
        </w:rPr>
        <w:t>·</w:t>
      </w:r>
      <w:r w:rsidR="000808E2" w:rsidRPr="00912780">
        <w:rPr>
          <w:rFonts w:cs="Arial"/>
          <w:sz w:val="24"/>
        </w:rPr>
        <w:t>0</w:t>
      </w:r>
      <w:r w:rsidR="00912780" w:rsidRPr="00912780">
        <w:rPr>
          <w:rFonts w:cs="Arial"/>
          <w:sz w:val="24"/>
        </w:rPr>
        <w:t>40</w:t>
      </w:r>
      <w:r w:rsidR="006321E8">
        <w:rPr>
          <w:rFonts w:cs="Arial"/>
          <w:sz w:val="24"/>
        </w:rPr>
        <w:t>).</w:t>
      </w:r>
    </w:p>
    <w:p w14:paraId="1A0465AA" w14:textId="645C4BF4" w:rsidR="000F1481" w:rsidRDefault="007B2C73" w:rsidP="00002193">
      <w:pPr>
        <w:pStyle w:val="Coversheet"/>
        <w:jc w:val="left"/>
        <w:rPr>
          <w:rFonts w:cs="Arial"/>
          <w:sz w:val="24"/>
          <w:szCs w:val="48"/>
        </w:rPr>
      </w:pPr>
      <w:r>
        <w:rPr>
          <w:rFonts w:cs="Arial"/>
          <w:b/>
          <w:sz w:val="24"/>
          <w:szCs w:val="48"/>
        </w:rPr>
        <w:t>Conclusions</w:t>
      </w:r>
      <w:r w:rsidR="000F1481" w:rsidRPr="006F551E">
        <w:rPr>
          <w:rFonts w:cs="Arial"/>
          <w:b/>
          <w:sz w:val="24"/>
          <w:szCs w:val="48"/>
        </w:rPr>
        <w:t xml:space="preserve">: </w:t>
      </w:r>
      <w:r w:rsidR="000808E2">
        <w:rPr>
          <w:rFonts w:cs="Arial"/>
          <w:sz w:val="24"/>
          <w:szCs w:val="48"/>
        </w:rPr>
        <w:t xml:space="preserve">We identified </w:t>
      </w:r>
      <w:r w:rsidR="000808E2" w:rsidRPr="000808E2">
        <w:rPr>
          <w:rFonts w:cs="Arial"/>
          <w:sz w:val="24"/>
          <w:szCs w:val="48"/>
        </w:rPr>
        <w:t xml:space="preserve">complex interactions between age, meningococcal capsular group, clinical presentation, diagnostic method and </w:t>
      </w:r>
      <w:r w:rsidR="00F27ECB">
        <w:rPr>
          <w:rFonts w:cs="Arial"/>
          <w:sz w:val="24"/>
          <w:szCs w:val="48"/>
        </w:rPr>
        <w:t>death</w:t>
      </w:r>
      <w:r w:rsidR="000808E2" w:rsidRPr="000808E2">
        <w:rPr>
          <w:rFonts w:cs="Arial"/>
          <w:sz w:val="24"/>
          <w:szCs w:val="48"/>
        </w:rPr>
        <w:t xml:space="preserve">. </w:t>
      </w:r>
      <w:r w:rsidR="006104E9">
        <w:rPr>
          <w:rFonts w:cs="Arial"/>
          <w:sz w:val="24"/>
          <w:szCs w:val="48"/>
        </w:rPr>
        <w:t>T</w:t>
      </w:r>
      <w:r w:rsidR="000808E2" w:rsidRPr="000808E2">
        <w:rPr>
          <w:rFonts w:cs="Arial"/>
          <w:sz w:val="24"/>
          <w:szCs w:val="48"/>
        </w:rPr>
        <w:t xml:space="preserve">he recent introduction of </w:t>
      </w:r>
      <w:r w:rsidR="006104E9">
        <w:rPr>
          <w:rFonts w:cs="Arial"/>
          <w:sz w:val="24"/>
          <w:szCs w:val="48"/>
        </w:rPr>
        <w:t xml:space="preserve">two new meningococcal immunisation programmes in the UK should </w:t>
      </w:r>
      <w:r w:rsidR="000808E2" w:rsidRPr="000808E2">
        <w:rPr>
          <w:rFonts w:cs="Arial"/>
          <w:sz w:val="24"/>
          <w:szCs w:val="48"/>
        </w:rPr>
        <w:t>significant</w:t>
      </w:r>
      <w:r w:rsidR="006104E9">
        <w:rPr>
          <w:rFonts w:cs="Arial"/>
          <w:sz w:val="24"/>
          <w:szCs w:val="48"/>
        </w:rPr>
        <w:t>ly reduce IMD cases and</w:t>
      </w:r>
      <w:r w:rsidR="006104E9" w:rsidRPr="000717AB">
        <w:rPr>
          <w:rFonts w:cs="Arial"/>
          <w:color w:val="FF0000"/>
          <w:sz w:val="24"/>
          <w:szCs w:val="48"/>
        </w:rPr>
        <w:t xml:space="preserve"> </w:t>
      </w:r>
      <w:r w:rsidR="000808E2" w:rsidRPr="000717AB">
        <w:rPr>
          <w:rFonts w:cs="Arial"/>
          <w:color w:val="FF0000"/>
          <w:sz w:val="24"/>
          <w:szCs w:val="48"/>
        </w:rPr>
        <w:t>deaths</w:t>
      </w:r>
      <w:r w:rsidR="000808E2" w:rsidRPr="000808E2">
        <w:rPr>
          <w:rFonts w:cs="Arial"/>
          <w:sz w:val="24"/>
          <w:szCs w:val="48"/>
        </w:rPr>
        <w:t xml:space="preserve"> in the coming years</w:t>
      </w:r>
      <w:r w:rsidR="006104E9">
        <w:rPr>
          <w:rFonts w:cs="Arial"/>
          <w:sz w:val="24"/>
          <w:szCs w:val="48"/>
        </w:rPr>
        <w:t>.</w:t>
      </w:r>
    </w:p>
    <w:p w14:paraId="35BCF34A" w14:textId="77777777" w:rsidR="0093499D" w:rsidRDefault="0093499D" w:rsidP="00002193">
      <w:pPr>
        <w:pStyle w:val="Coversheet"/>
        <w:jc w:val="left"/>
        <w:rPr>
          <w:rFonts w:cs="Arial"/>
          <w:b/>
          <w:sz w:val="24"/>
          <w:szCs w:val="48"/>
        </w:rPr>
      </w:pPr>
    </w:p>
    <w:p w14:paraId="2CCE3121" w14:textId="77777777" w:rsidR="0017400F" w:rsidRDefault="00EF3E07" w:rsidP="00002193">
      <w:pPr>
        <w:pStyle w:val="Coversheet"/>
        <w:jc w:val="left"/>
        <w:rPr>
          <w:rFonts w:cs="Arial"/>
          <w:b/>
          <w:sz w:val="24"/>
          <w:szCs w:val="48"/>
        </w:rPr>
      </w:pPr>
      <w:r w:rsidRPr="00EF3E07">
        <w:rPr>
          <w:rFonts w:cs="Arial"/>
          <w:b/>
          <w:sz w:val="24"/>
          <w:szCs w:val="48"/>
        </w:rPr>
        <w:t>Funding:</w:t>
      </w:r>
      <w:r w:rsidR="0093499D">
        <w:rPr>
          <w:rFonts w:cs="Arial"/>
          <w:b/>
          <w:sz w:val="24"/>
          <w:szCs w:val="48"/>
        </w:rPr>
        <w:t xml:space="preserve"> </w:t>
      </w:r>
      <w:r w:rsidR="0093499D" w:rsidRPr="00883A16">
        <w:rPr>
          <w:rFonts w:cs="Arial"/>
          <w:sz w:val="22"/>
          <w:szCs w:val="48"/>
        </w:rPr>
        <w:t xml:space="preserve">Meningitis Research Foundation </w:t>
      </w:r>
      <w:r w:rsidR="0093499D">
        <w:rPr>
          <w:rFonts w:cs="Arial"/>
          <w:sz w:val="22"/>
          <w:szCs w:val="48"/>
        </w:rPr>
        <w:t>(</w:t>
      </w:r>
      <w:hyperlink r:id="rId9" w:history="1">
        <w:r w:rsidR="0093499D" w:rsidRPr="00705E4C">
          <w:rPr>
            <w:rStyle w:val="Hyperlink"/>
            <w:rFonts w:cs="Arial"/>
            <w:sz w:val="22"/>
            <w:szCs w:val="48"/>
          </w:rPr>
          <w:t>www.meningitis.org</w:t>
        </w:r>
      </w:hyperlink>
      <w:r w:rsidR="0093499D">
        <w:rPr>
          <w:rFonts w:cs="Arial"/>
          <w:sz w:val="22"/>
          <w:szCs w:val="48"/>
        </w:rPr>
        <w:t xml:space="preserve">) </w:t>
      </w:r>
      <w:r w:rsidR="0093499D" w:rsidRPr="00883A16">
        <w:rPr>
          <w:rFonts w:cs="Arial"/>
          <w:sz w:val="22"/>
          <w:szCs w:val="48"/>
        </w:rPr>
        <w:t>and Meningitis Now (www.meningitisnow.org)</w:t>
      </w:r>
    </w:p>
    <w:p w14:paraId="7D3F9142" w14:textId="77777777" w:rsidR="00C731EF" w:rsidRDefault="00C731EF">
      <w:pPr>
        <w:spacing w:after="200" w:line="276" w:lineRule="auto"/>
        <w:rPr>
          <w:rFonts w:cs="Arial"/>
          <w:b/>
          <w:sz w:val="24"/>
        </w:rPr>
      </w:pPr>
      <w:r>
        <w:rPr>
          <w:rFonts w:cs="Arial"/>
          <w:b/>
          <w:sz w:val="24"/>
        </w:rPr>
        <w:br w:type="page"/>
      </w:r>
    </w:p>
    <w:p w14:paraId="0AB47BC1" w14:textId="77777777" w:rsidR="000F1481" w:rsidRPr="00BE1566" w:rsidRDefault="000F1481" w:rsidP="00002193">
      <w:pPr>
        <w:pStyle w:val="Coversheet"/>
        <w:jc w:val="left"/>
        <w:rPr>
          <w:rFonts w:cs="Arial"/>
          <w:b/>
          <w:sz w:val="24"/>
        </w:rPr>
      </w:pPr>
      <w:r w:rsidRPr="00BE1566">
        <w:rPr>
          <w:rFonts w:cs="Arial"/>
          <w:b/>
          <w:sz w:val="24"/>
        </w:rPr>
        <w:lastRenderedPageBreak/>
        <w:t>INTRODUCTION</w:t>
      </w:r>
    </w:p>
    <w:p w14:paraId="48FC4872" w14:textId="77777777" w:rsidR="009B0D21" w:rsidRPr="00BE1566" w:rsidRDefault="009101A8" w:rsidP="00002193">
      <w:pPr>
        <w:pStyle w:val="Coversheet"/>
        <w:jc w:val="left"/>
        <w:rPr>
          <w:rFonts w:cs="Arial"/>
          <w:sz w:val="24"/>
        </w:rPr>
      </w:pPr>
      <w:r w:rsidRPr="00BE1566">
        <w:rPr>
          <w:rFonts w:cs="Arial"/>
          <w:sz w:val="24"/>
        </w:rPr>
        <w:t>Invasive meningococcal disease (IMD) remains a significant burden to public health worldwide despite vaccination programmes and awareness campaigns</w:t>
      </w:r>
      <w:r w:rsidR="004814B6">
        <w:rPr>
          <w:rFonts w:cs="Arial"/>
          <w:sz w:val="24"/>
        </w:rPr>
        <w:t>.</w:t>
      </w:r>
      <w:r w:rsidR="007A5FDD" w:rsidRPr="004814B6">
        <w:rPr>
          <w:rFonts w:cs="Arial"/>
          <w:sz w:val="24"/>
          <w:vertAlign w:val="superscript"/>
        </w:rPr>
        <w:t xml:space="preserve"> </w:t>
      </w:r>
      <w:r w:rsidR="0022615A" w:rsidRPr="004814B6">
        <w:rPr>
          <w:rFonts w:cs="Arial"/>
          <w:sz w:val="24"/>
          <w:vertAlign w:val="superscript"/>
        </w:rPr>
        <w:fldChar w:fldCharType="begin" w:fldLock="1"/>
      </w:r>
      <w:r w:rsidR="004814B6">
        <w:rPr>
          <w:rFonts w:cs="Arial"/>
          <w:sz w:val="24"/>
          <w:vertAlign w:val="superscript"/>
        </w:rPr>
        <w:instrText>ADDIN CSL_CITATION { "citationItems" : [ { "id" : "ITEM-1", "itemData" : { "abstract" : "As reviewed in this paper, meningococcal disease epidemiology varies substantially by geographic area and time. The disease can occur as sporadic cases, outbreaks, and large epidemics. Surveillance is crucial for understanding meningococcal disease epidemiology, as well as the need for and impact of vaccination. Despite limited data from some regions of the world and constant change, current meningococcal disease epidemiology can be summarized by region. By far the highest incidence of meningococcal disease occurs in the meningitis belt of sub-Saharan Africa. During epidemics, the incidence can approach 1000 per 100,000, or 1% of the population. Serogroup A has been the most important serogroup in this region. However, serogroup C disease has also occurred, as has serogroup X disease and, most recently, serogroup W-135 disease. In the Americas, the reported incidence of disease, in the range of 0.3-4 cases per 100,000 population, is much lower than in the meningitis belt. In addition, in some countries such as the United States, the incidence is at an historical low. The bulk of the disease in the Americas is caused by serogroups C and B, although serogroup Y causes a substantial proportion of infections in some countries and W-135 is becoming increasingly problematic as well. The majority of meningococcal disease in European countries, which ranges in incidence from 0.2 to 14 cases per 100,000, is caused by serogroup B strains, particularly in countries that have introduced serogroup C meningococcal conjugate vaccines. Serogroup B also predominates in Australia and New Zealand, in Australia because of the control of serogroup C disease through vaccination and in New Zealand because of a serogroup B epidemic. Based on limited data, most disease in Asia is caused by serogroup A and C strains. Although this review summarizes the current status of meningococcal disease epidemiology, the dynamic nature of this disease requires ongoing surveillance both to provide data for vaccine formulation and vaccine policy and to monitor the impact of vaccines following introduction. ?? 2009.", "author" : [ { "dropping-particle" : "", "family" : "Harrison", "given" : "Lee H.", "non-dropping-particle" : "", "parse-names" : false, "suffix" : "" }, { "dropping-particle" : "", "family" : "Trotter", "given" : "Caroline L.", "non-dropping-particle" : "", "parse-names" : false, "suffix" : "" }, { "dropping-particle" : "", "family" : "Ramsay", "given" : "Mary E.", "non-dropping-particle" : "", "parse-names" : false, "suffix" : "" } ], "container-title" : "Vaccine", "id" : "ITEM-1", "issue" : "SUPPL. 2", "issued" : { "date-parts" : [ [ "2009" ] ] }, "title" : "Global epidemiology of meningococcal disease", "type" : "article", "volume" : "27" }, "uris" : [ "http://www.mendeley.com/documents/?uuid=604010e2-b4f8-4a4a-b59d-dcc5e7552684" ] } ], "mendeley" : { "formattedCitation" : "&lt;sup&gt;1&lt;/sup&gt;", "plainTextFormattedCitation" : "1", "previouslyFormattedCitation" : "&lt;sup&gt;1&lt;/sup&gt;" }, "properties" : { "noteIndex" : 0 }, "schema" : "https://github.com/citation-style-language/schema/raw/master/csl-citation.json" }</w:instrText>
      </w:r>
      <w:r w:rsidR="0022615A" w:rsidRPr="004814B6">
        <w:rPr>
          <w:rFonts w:cs="Arial"/>
          <w:sz w:val="24"/>
          <w:vertAlign w:val="superscript"/>
        </w:rPr>
        <w:fldChar w:fldCharType="separate"/>
      </w:r>
      <w:r w:rsidR="004814B6" w:rsidRPr="004814B6">
        <w:rPr>
          <w:rFonts w:cs="Arial"/>
          <w:noProof/>
          <w:sz w:val="24"/>
          <w:vertAlign w:val="superscript"/>
        </w:rPr>
        <w:t>1</w:t>
      </w:r>
      <w:r w:rsidR="0022615A" w:rsidRPr="004814B6">
        <w:rPr>
          <w:rFonts w:cs="Arial"/>
          <w:sz w:val="24"/>
          <w:vertAlign w:val="superscript"/>
        </w:rPr>
        <w:fldChar w:fldCharType="end"/>
      </w:r>
      <w:r w:rsidR="004814B6">
        <w:rPr>
          <w:rFonts w:cs="Arial"/>
          <w:sz w:val="24"/>
        </w:rPr>
        <w:t xml:space="preserve"> </w:t>
      </w:r>
      <w:r w:rsidRPr="00BE1566">
        <w:rPr>
          <w:rFonts w:cs="Arial"/>
          <w:sz w:val="24"/>
        </w:rPr>
        <w:t>Like most infectious diseases, IMD follows secular trends, with periods of high and low disease activity as new meningococc</w:t>
      </w:r>
      <w:r w:rsidR="005D58D5">
        <w:rPr>
          <w:rFonts w:cs="Arial"/>
          <w:sz w:val="24"/>
        </w:rPr>
        <w:t xml:space="preserve">al strains are introduced into </w:t>
      </w:r>
      <w:r w:rsidRPr="00BE1566">
        <w:rPr>
          <w:rFonts w:cs="Arial"/>
          <w:sz w:val="24"/>
        </w:rPr>
        <w:t>populations</w:t>
      </w:r>
      <w:r w:rsidR="005D58D5">
        <w:rPr>
          <w:rFonts w:cs="Arial"/>
          <w:sz w:val="24"/>
        </w:rPr>
        <w:t>,</w:t>
      </w:r>
      <w:r w:rsidRPr="00BE1566">
        <w:rPr>
          <w:rFonts w:cs="Arial"/>
          <w:sz w:val="24"/>
        </w:rPr>
        <w:t xml:space="preserve"> and others are removed naturally or through effective vaccination programmes. </w:t>
      </w:r>
    </w:p>
    <w:p w14:paraId="11741323" w14:textId="77777777" w:rsidR="009B0D21" w:rsidRPr="00BE1566" w:rsidRDefault="009B0D21" w:rsidP="00002193">
      <w:pPr>
        <w:pStyle w:val="Coversheet"/>
        <w:jc w:val="left"/>
        <w:rPr>
          <w:rFonts w:cs="Arial"/>
          <w:sz w:val="24"/>
        </w:rPr>
      </w:pPr>
      <w:r w:rsidRPr="00BE1566">
        <w:rPr>
          <w:rFonts w:cs="Arial"/>
          <w:sz w:val="24"/>
        </w:rPr>
        <w:t>The United Kingdom has one of the highest incidences of IMD among industrialised countries</w:t>
      </w:r>
      <w:r w:rsidR="00EC5887">
        <w:rPr>
          <w:rFonts w:cs="Arial"/>
          <w:sz w:val="24"/>
        </w:rPr>
        <w:t>,</w:t>
      </w:r>
      <w:r w:rsidR="0022615A">
        <w:rPr>
          <w:rFonts w:cs="Arial"/>
          <w:sz w:val="24"/>
        </w:rPr>
        <w:fldChar w:fldCharType="begin" w:fldLock="1"/>
      </w:r>
      <w:r w:rsidR="008758D9">
        <w:rPr>
          <w:rFonts w:cs="Arial"/>
          <w:sz w:val="24"/>
        </w:rPr>
        <w:instrText>ADDIN CSL_CITATION { "citationItems" : [ { "id" : "ITEM-1", "itemData" : { "abstract" : "As reviewed in this paper, meningococcal disease epidemiology varies substantially by geographic area and time. The disease can occur as sporadic cases, outbreaks, and large epidemics. Surveillance is crucial for understanding meningococcal disease epidemiology, as well as the need for and impact of vaccination. Despite limited data from some regions of the world and constant change, current meningococcal disease epidemiology can be summarized by region. By far the highest incidence of meningococcal disease occurs in the meningitis belt of sub-Saharan Africa. During epidemics, the incidence can approach 1000 per 100,000, or 1% of the population. Serogroup A has been the most important serogroup in this region. However, serogroup C disease has also occurred, as has serogroup X disease and, most recently, serogroup W-135 disease. In the Americas, the reported incidence of disease, in the range of 0.3-4 cases per 100,000 population, is much lower than in the meningitis belt. In addition, in some countries such as the United States, the incidence is at an historical low. The bulk of the disease in the Americas is caused by serogroups C and B, although serogroup Y causes a substantial proportion of infections in some countries and W-135 is becoming increasingly problematic as well. The majority of meningococcal disease in European countries, which ranges in incidence from 0.2 to 14 cases per 100,000, is caused by serogroup B strains, particularly in countries that have introduced serogroup C meningococcal conjugate vaccines. Serogroup B also predominates in Australia and New Zealand, in Australia because of the control of serogroup C disease through vaccination and in New Zealand because of a serogroup B epidemic. Based on limited data, most disease in Asia is caused by serogroup A and C strains. Although this review summarizes the current status of meningococcal disease epidemiology, the dynamic nature of this disease requires ongoing surveillance both to provide data for vaccine formulation and vaccine policy and to monitor the impact of vaccines following introduction. ?? 2009.", "author" : [ { "dropping-particle" : "", "family" : "Harrison", "given" : "Lee H.", "non-dropping-particle" : "", "parse-names" : false, "suffix" : "" }, { "dropping-particle" : "", "family" : "Trotter", "given" : "Caroline L.", "non-dropping-particle" : "", "parse-names" : false, "suffix" : "" }, { "dropping-particle" : "", "family" : "Ramsay", "given" : "Mary E.", "non-dropping-particle" : "", "parse-names" : false, "suffix" : "" } ], "container-title" : "Vaccine", "id" : "ITEM-1", "issue" : "SUPPL. 2", "issued" : { "date-parts" : [ [ "2009" ] ] }, "title" : "Global epidemiology of meningococcal disease", "type" : "article", "volume" : "27" }, "uris" : [ "http://www.mendeley.com/documents/?uuid=604010e2-b4f8-4a4a-b59d-dcc5e7552684" ] } ], "mendeley" : { "formattedCitation" : "&lt;sup&gt;1&lt;/sup&gt;", "plainTextFormattedCitation" : "1", "previouslyFormattedCitation" : "&lt;sup&gt;1&lt;/sup&gt;" }, "properties" : { "noteIndex" : 0 }, "schema" : "https://github.com/citation-style-language/schema/raw/master/csl-citation.json" }</w:instrText>
      </w:r>
      <w:r w:rsidR="0022615A">
        <w:rPr>
          <w:rFonts w:cs="Arial"/>
          <w:sz w:val="24"/>
        </w:rPr>
        <w:fldChar w:fldCharType="separate"/>
      </w:r>
      <w:r w:rsidR="007A5FDD" w:rsidRPr="007A5FDD">
        <w:rPr>
          <w:rFonts w:cs="Arial"/>
          <w:noProof/>
          <w:sz w:val="24"/>
          <w:vertAlign w:val="superscript"/>
        </w:rPr>
        <w:t>1</w:t>
      </w:r>
      <w:r w:rsidR="0022615A">
        <w:rPr>
          <w:rFonts w:cs="Arial"/>
          <w:sz w:val="24"/>
        </w:rPr>
        <w:fldChar w:fldCharType="end"/>
      </w:r>
      <w:r w:rsidRPr="00BE1566">
        <w:rPr>
          <w:rFonts w:cs="Arial"/>
          <w:sz w:val="24"/>
        </w:rPr>
        <w:t xml:space="preserve"> and was the first countr</w:t>
      </w:r>
      <w:r w:rsidR="005D58D5">
        <w:rPr>
          <w:rFonts w:cs="Arial"/>
          <w:sz w:val="24"/>
        </w:rPr>
        <w:t>y</w:t>
      </w:r>
      <w:r w:rsidRPr="00BE1566">
        <w:rPr>
          <w:rFonts w:cs="Arial"/>
          <w:sz w:val="24"/>
        </w:rPr>
        <w:t xml:space="preserve"> to introduce the meningococcal group C (MenC) conjugate vaccine into the national immunisation programme in 1999/2000</w:t>
      </w:r>
      <w:r w:rsidR="004814B6">
        <w:rPr>
          <w:rFonts w:cs="Arial"/>
          <w:sz w:val="24"/>
        </w:rPr>
        <w:t>.</w:t>
      </w:r>
      <w:r w:rsidR="0022615A">
        <w:rPr>
          <w:rFonts w:cs="Arial"/>
          <w:sz w:val="24"/>
        </w:rPr>
        <w:fldChar w:fldCharType="begin" w:fldLock="1"/>
      </w:r>
      <w:r w:rsidR="004814B6">
        <w:rPr>
          <w:rFonts w:cs="Arial"/>
          <w:sz w:val="24"/>
        </w:rPr>
        <w:instrText>ADDIN CSL_CITATION { "citationItems" : [ { "id" : "ITEM-1", "itemData" : { "DOI" : "10.1016/S0140-6736(04)16725-1", "ISBN" : "1474-547X (Electronic)\\n0140-6736 (Linking)", "ISSN" : "01406736", "PMID" : "15276396", "abstract" : "The meningococcal serogroup C conjugate (MCC) vaccine programme in England has successfully controlled the incidence of serogroup C disease, as a result of high short-term vaccine effectiveness and substantial herd immunity. However, the long-term effectiveness of the vaccine remains unknown. We assessed surveillance data from the 4 years since introduction of the programme. Vaccine effectiveness remained high in children vaccinated in the catch-up campaign (aged 5 months to 18 years). However, for children vaccinated in the routine infant immunisation programme, the effectiveness of the MCC vaccine fell to low levels after only 1 year. The number of individuals in these cohorts remains low, but alternative routine immunisation schedules should be considered to ensure high levels of protection are sustained.", "author" : [ { "dropping-particle" : "", "family" : "Trotter", "given" : "Caroline L.", "non-dropping-particle" : "", "parse-names" : false, "suffix" : "" }, { "dropping-particle" : "", "family" : "Andrews", "given" : "Nick J.", "non-dropping-particle" : "", "parse-names" : false, "suffix" : "" }, { "dropping-particle" : "", "family" : "Kaczmarski", "given" : "Edward B.", "non-dropping-particle" : "", "parse-names" : false, "suffix" : "" }, { "dropping-particle" : "", "family" : "Miller", "given" : "Elizabeth", "non-dropping-particle" : "", "parse-names" : false, "suffix" : "" }, { "dropping-particle" : "", "family" : "Ramsay", "given" : "Mary E.", "non-dropping-particle" : "", "parse-names" : false, "suffix" : "" } ], "container-title" : "Lancet", "id" : "ITEM-1", "issue" : "Mcc", "issued" : { "date-parts" : [ [ "2004" ] ] }, "page" : "365-367", "title" : "Effectiveness of meningococcal serogroup C conjugate vaccine 4 years after introduction", "type" : "article-journal", "volume" : "364" }, "uris" : [ "http://www.mendeley.com/documents/?uuid=4572f307-8d23-4917-aac5-3876b15356ee" ] } ], "mendeley" : { "formattedCitation" : "&lt;sup&gt;2&lt;/sup&gt;", "plainTextFormattedCitation" : "2", "previouslyFormattedCitation" : "&lt;sup&gt;2&lt;/sup&gt;"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2</w:t>
      </w:r>
      <w:r w:rsidR="0022615A">
        <w:rPr>
          <w:rFonts w:cs="Arial"/>
          <w:sz w:val="24"/>
        </w:rPr>
        <w:fldChar w:fldCharType="end"/>
      </w:r>
      <w:r w:rsidRPr="00BE1566">
        <w:rPr>
          <w:rFonts w:cs="Arial"/>
          <w:sz w:val="24"/>
        </w:rPr>
        <w:t xml:space="preserve"> Consequently, MenC disease is now rare and capsular group B (MenB) </w:t>
      </w:r>
      <w:r w:rsidR="00EC5887">
        <w:rPr>
          <w:rFonts w:cs="Arial"/>
          <w:sz w:val="24"/>
        </w:rPr>
        <w:t xml:space="preserve">is </w:t>
      </w:r>
      <w:r w:rsidRPr="00BE1566">
        <w:rPr>
          <w:rFonts w:cs="Arial"/>
          <w:sz w:val="24"/>
        </w:rPr>
        <w:t>the main cause of IMD</w:t>
      </w:r>
      <w:r w:rsidR="00EC5887">
        <w:rPr>
          <w:rFonts w:cs="Arial"/>
          <w:sz w:val="24"/>
        </w:rPr>
        <w:t>, especially in children and young adults</w:t>
      </w:r>
      <w:r w:rsidR="004814B6">
        <w:rPr>
          <w:rFonts w:cs="Arial"/>
          <w:sz w:val="24"/>
        </w:rPr>
        <w:t>.</w:t>
      </w:r>
      <w:r w:rsidR="0022615A">
        <w:rPr>
          <w:rFonts w:cs="Arial"/>
          <w:sz w:val="24"/>
        </w:rPr>
        <w:fldChar w:fldCharType="begin" w:fldLock="1"/>
      </w:r>
      <w:r w:rsidR="004814B6">
        <w:rPr>
          <w:rFonts w:cs="Arial"/>
          <w:sz w:val="24"/>
        </w:rPr>
        <w:instrText>ADDIN CSL_CITATION { "citationItems" : [ { "id" : "ITEM-1", "itemData" : { "DOI" : "10.1016/j.vaccine.2012.03.011", "ISBN" : "1873-2518", "ISSN" : "0264410X", "PMID" : "22429756", "abstract" : "A number of meningococcal vaccines have either been recently licensed or are in late-phase clinical trials. To inform national vaccination policy, it is important to define the burden of disease and the potential impact of any new vaccine. This study describes the epidemiology of invasive meningococcal disease across all age groups in England and Wales for recent epidemiological years between 2006 and 2010. The Health Protection Agency (HPA) conducts enhanced national meningococcal surveillance through a combination of clinical and laboratory reporting. Between 2006/07 and 2010/11, the average annual incidence of invasive meningococcal disease across all age groups was 2.0/100,000. Capsular group B (MenB) accounted for 87% (4777/5471) cases, with an overall incidence of 1.8/100,000. The highest MenB incidence observed among infants (36.2/100,000) where cases increased from birth to 5. months of age then gradually declined. An annual average of 245 MenB cases occurred in infants (135 in those aged \u22646. months) representing 26% (and 14%) of all MenB cases, respectively. After infancy, MenB rates declined until the age of 12. years, rising to a second smaller peak at 18. years. MenB case fatality ratio (CFR) was 5.2% (247/4777 cases) overall and was highest among \u226565. year-olds (28/161; 17.4%). The largest number of deaths (n= 125), however, occurred among &lt;5. year-olds. Clonal complexes cc269 and cc41/44 each accounted for around a third of cases across the age groups. Other capsular groups rarely caused invasive disease, although capsular group Y (MenY) cases more than doubled from 35 in 2006/07 to 86 in 2010/11. Thus, universal meningococcal vaccination with an effective broad-spectrum formulation has potential to prevent most disease, particularly if the vaccine is immunogenic early in infancy, but, there is currently little justification for routine quadrivalent ACWY conjugate vaccination in the UK, although the increase in MenY disease warrants continued surveillance. \u00a9 2012 Elsevier Ltd.", "author" : [ { "dropping-particle" : "", "family" : "Ladhani", "given" : "Shamez N.", "non-dropping-particle" : "", "parse-names" : false, "suffix" : "" }, { "dropping-particle" : "", "family" : "Flood", "given" : "Jessica S.", "non-dropping-particle" : "", "parse-names" : false, "suffix" : "" }, { "dropping-particle" : "", "family" : "Ramsay", "given" : "Mary E.", "non-dropping-particle" : "", "parse-names" : false, "suffix" : "" }, { "dropping-particle" : "", "family" : "Campbell", "given" : "Helen", "non-dropping-particle" : "", "parse-names" : false, "suffix" : "" }, { "dropping-particle" : "", "family" : "Gray", "given" : "Stephen J.", "non-dropping-particle" : "", "parse-names" : false, "suffix" : "" }, { "dropping-particle" : "", "family" : "Kaczmarski", "given" : "Edward B.", "non-dropping-particle" : "", "parse-names" : false, "suffix" : "" }, { "dropping-particle" : "", "family" : "Mallard", "given" : "Richard H.", "non-dropping-particle" : "", "parse-names" : false, "suffix" : "" }, { "dropping-particle" : "", "family" : "Guiver", "given" : "Malcolm", "non-dropping-particle" : "", "parse-names" : false, "suffix" : "" }, { "dropping-particle" : "", "family" : "Newbold", "given" : "Lynne S.", "non-dropping-particle" : "", "parse-names" : false, "suffix" : "" }, { "dropping-particle" : "", "family" : "Borrow", "given" : "Ray", "non-dropping-particle" : "", "parse-names" : false, "suffix" : "" } ], "container-title" : "Vaccine", "id" : "ITEM-1", "issue" : "24", "issued" : { "date-parts" : [ [ "2012" ] ] }, "page" : "3710-3716", "publisher" : "Elsevier Ltd", "title" : "Invasive meningococcal disease in England and Wales: Implications for the introduction of new vaccines", "type" : "article-journal", "volume" : "30" }, "uris" : [ "http://www.mendeley.com/documents/?uuid=90577c6b-00af-44ca-abd4-551b75e5ff37" ] } ], "mendeley" : { "formattedCitation" : "&lt;sup&gt;3&lt;/sup&gt;", "plainTextFormattedCitation" : "3", "previouslyFormattedCitation" : "&lt;sup&gt;3&lt;/sup&gt;"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3</w:t>
      </w:r>
      <w:r w:rsidR="0022615A">
        <w:rPr>
          <w:rFonts w:cs="Arial"/>
          <w:sz w:val="24"/>
        </w:rPr>
        <w:fldChar w:fldCharType="end"/>
      </w:r>
      <w:r w:rsidR="004814B6">
        <w:rPr>
          <w:rFonts w:cs="Arial"/>
          <w:sz w:val="24"/>
        </w:rPr>
        <w:t xml:space="preserve"> </w:t>
      </w:r>
      <w:r w:rsidRPr="00BE1566">
        <w:rPr>
          <w:rFonts w:cs="Arial"/>
          <w:sz w:val="24"/>
        </w:rPr>
        <w:t xml:space="preserve">Capsular groups W (MenW) and Y (MenY) usually cause disease in older adults </w:t>
      </w:r>
      <w:r w:rsidR="0058283B">
        <w:rPr>
          <w:rFonts w:cs="Arial"/>
          <w:sz w:val="24"/>
        </w:rPr>
        <w:t xml:space="preserve">with </w:t>
      </w:r>
      <w:r w:rsidRPr="00BE1566">
        <w:rPr>
          <w:rFonts w:cs="Arial"/>
          <w:sz w:val="24"/>
        </w:rPr>
        <w:t xml:space="preserve">underlying co-morbidities although, since 2009, the UK </w:t>
      </w:r>
      <w:r w:rsidR="005D58D5">
        <w:rPr>
          <w:rFonts w:cs="Arial"/>
          <w:sz w:val="24"/>
        </w:rPr>
        <w:t>h</w:t>
      </w:r>
      <w:r w:rsidRPr="00BE1566">
        <w:rPr>
          <w:rFonts w:cs="Arial"/>
          <w:sz w:val="24"/>
        </w:rPr>
        <w:t xml:space="preserve">as been experiencing a year-on-year increase in MenW disease </w:t>
      </w:r>
      <w:r w:rsidR="005D58D5">
        <w:rPr>
          <w:rFonts w:cs="Arial"/>
          <w:sz w:val="24"/>
        </w:rPr>
        <w:t>due to</w:t>
      </w:r>
      <w:r w:rsidR="00367526" w:rsidRPr="00BE1566">
        <w:rPr>
          <w:rFonts w:cs="Arial"/>
          <w:sz w:val="24"/>
        </w:rPr>
        <w:t xml:space="preserve"> expansion of a single hypervirulent strain</w:t>
      </w:r>
      <w:r w:rsidR="00CC6203">
        <w:rPr>
          <w:rFonts w:cs="Arial"/>
          <w:sz w:val="24"/>
        </w:rPr>
        <w:t xml:space="preserve"> belonging to clonal complex 11</w:t>
      </w:r>
      <w:r w:rsidR="00367526" w:rsidRPr="00BE1566">
        <w:rPr>
          <w:rFonts w:cs="Arial"/>
          <w:sz w:val="24"/>
        </w:rPr>
        <w:t>(cc11)</w:t>
      </w:r>
      <w:r w:rsidR="004814B6">
        <w:rPr>
          <w:rFonts w:cs="Arial"/>
          <w:sz w:val="24"/>
        </w:rPr>
        <w:t>.</w:t>
      </w:r>
      <w:r w:rsidR="0022615A">
        <w:rPr>
          <w:rFonts w:cs="Arial"/>
          <w:sz w:val="24"/>
        </w:rPr>
        <w:fldChar w:fldCharType="begin" w:fldLock="1"/>
      </w:r>
      <w:r w:rsidR="004814B6">
        <w:rPr>
          <w:rFonts w:cs="Arial"/>
          <w:sz w:val="24"/>
        </w:rPr>
        <w:instrText>ADDIN CSL_CITATION { "citationItems" : [ { "id" : "ITEM-1", "itemData" : { "ISSN" : "1560-7917", "PMID" : "26212140", "abstract" : "Since the epidemiological year 2009/10, the United Kingdom has experienced a year-on-year increase in meningococcal group W (MenW) disease due to rapid expansion of a single endemic hyper-virulent strain belonging to sequence type 11 clonal complex (cc). This strain was identified among cases diagnosed across all regions and was not linked to travel abroad. Consequently, an adolescent MenACWY conjugate vac- cination programme for 13-18 year-olds will be intro- duced in August 2015, with priority given to 17-18 year-olds (school leavers). Here", "author" : [ { "dropping-particle" : "", "family" : "Campbell", "given" : "H", "non-dropping-particle" : "", "parse-names" : false, "suffix" : "" }, { "dropping-particle" : "", "family" : "Saliba", "given" : "V", "non-dropping-particle" : "", "parse-names" : false, "suffix" : "" }, { "dropping-particle" : "", "family" : "Borrow", "given" : "R", "non-dropping-particle" : "", "parse-names" : false, "suffix" : "" }, { "dropping-particle" : "", "family" : "Ramsay", "given" : "M", "non-dropping-particle" : "", "parse-names" : false, "suffix" : "" }, { "dropping-particle" : "", "family" : "Ladhani", "given" : "S N", "non-dropping-particle" : "", "parse-names" : false, "suffix" : "" } ], "id" : "ITEM-1", "issued" : { "date-parts" : [ [ "2015" ] ] }, "page" : "1-5", "title" : "Targeted vaccination of teenagers following continued rapid endemic expansion of a single meningococcal group W clone ( sequence type 11 clonal complex ), United Kingdom 2015", "type" : "article-journal" }, "uris" : [ "http://www.mendeley.com/documents/?uuid=376e3003-694f-4970-a692-0b0de85839d0" ] } ], "mendeley" : { "formattedCitation" : "&lt;sup&gt;4&lt;/sup&gt;", "plainTextFormattedCitation" : "4", "previouslyFormattedCitation" : "&lt;sup&gt;4&lt;/sup&gt;"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4</w:t>
      </w:r>
      <w:r w:rsidR="0022615A">
        <w:rPr>
          <w:rFonts w:cs="Arial"/>
          <w:sz w:val="24"/>
        </w:rPr>
        <w:fldChar w:fldCharType="end"/>
      </w:r>
      <w:r w:rsidR="00367526" w:rsidRPr="00BE1566">
        <w:rPr>
          <w:rFonts w:cs="Arial"/>
          <w:sz w:val="24"/>
        </w:rPr>
        <w:t xml:space="preserve"> </w:t>
      </w:r>
    </w:p>
    <w:p w14:paraId="2D0ED166" w14:textId="77777777" w:rsidR="000F1481" w:rsidRPr="00BE1566" w:rsidRDefault="00A833F4" w:rsidP="00A833F4">
      <w:pPr>
        <w:pStyle w:val="Coversheet"/>
        <w:jc w:val="left"/>
        <w:rPr>
          <w:rFonts w:cs="Arial"/>
          <w:sz w:val="24"/>
        </w:rPr>
      </w:pPr>
      <w:r w:rsidRPr="00BE1566">
        <w:rPr>
          <w:rFonts w:cs="Arial"/>
          <w:sz w:val="24"/>
        </w:rPr>
        <w:t xml:space="preserve">The provision of a national reference service for </w:t>
      </w:r>
      <w:r w:rsidR="006B3BAF">
        <w:rPr>
          <w:rFonts w:cs="Arial"/>
          <w:sz w:val="24"/>
        </w:rPr>
        <w:t xml:space="preserve">IMD </w:t>
      </w:r>
      <w:r w:rsidRPr="00BE1566">
        <w:rPr>
          <w:rFonts w:cs="Arial"/>
          <w:sz w:val="24"/>
        </w:rPr>
        <w:t xml:space="preserve">confirmation ensures </w:t>
      </w:r>
      <w:r w:rsidR="006B3BAF">
        <w:rPr>
          <w:rFonts w:cs="Arial"/>
          <w:sz w:val="24"/>
        </w:rPr>
        <w:t xml:space="preserve">high </w:t>
      </w:r>
      <w:r w:rsidRPr="00BE1566">
        <w:rPr>
          <w:rFonts w:cs="Arial"/>
          <w:sz w:val="24"/>
        </w:rPr>
        <w:t>case ascertainment for national surveillance in England</w:t>
      </w:r>
      <w:r w:rsidR="006B3BAF">
        <w:rPr>
          <w:rFonts w:cs="Arial"/>
          <w:sz w:val="24"/>
        </w:rPr>
        <w:t xml:space="preserve">, but </w:t>
      </w:r>
      <w:r w:rsidR="00427045">
        <w:rPr>
          <w:rFonts w:cs="Arial"/>
          <w:sz w:val="24"/>
        </w:rPr>
        <w:t xml:space="preserve">the service </w:t>
      </w:r>
      <w:r w:rsidR="006B3BAF" w:rsidRPr="00BE1566">
        <w:rPr>
          <w:rFonts w:cs="Arial"/>
          <w:sz w:val="24"/>
        </w:rPr>
        <w:t xml:space="preserve">does not routinely collect </w:t>
      </w:r>
      <w:r w:rsidR="006B3BAF">
        <w:rPr>
          <w:rFonts w:cs="Arial"/>
          <w:sz w:val="24"/>
        </w:rPr>
        <w:t xml:space="preserve">clinical or outcome </w:t>
      </w:r>
      <w:r w:rsidR="006B3BAF" w:rsidRPr="00BE1566">
        <w:rPr>
          <w:rFonts w:cs="Arial"/>
          <w:sz w:val="24"/>
        </w:rPr>
        <w:t>data</w:t>
      </w:r>
      <w:r w:rsidR="004814B6">
        <w:rPr>
          <w:rFonts w:cs="Arial"/>
          <w:sz w:val="24"/>
        </w:rPr>
        <w:t>.</w:t>
      </w:r>
      <w:r w:rsidR="0022615A">
        <w:rPr>
          <w:rFonts w:cs="Arial"/>
          <w:sz w:val="24"/>
        </w:rPr>
        <w:fldChar w:fldCharType="begin" w:fldLock="1"/>
      </w:r>
      <w:r w:rsidR="004814B6">
        <w:rPr>
          <w:rFonts w:cs="Arial"/>
          <w:sz w:val="24"/>
        </w:rPr>
        <w:instrText>ADDIN CSL_CITATION { "citationItems" : [ { "id" : "ITEM-1", "itemData" : { "author" : [ { "dropping-particle" : "", "family" : "Ladhani", "given" : "Shamez", "non-dropping-particle" : "", "parse-names" : false, "suffix" : "" }, { "dropping-particle" : "", "family" : "Kaye", "given" : "Pauline", "non-dropping-particle" : "", "parse-names" : false, "suffix" : "" }, { "dropping-particle" : "", "family" : "Ribeiro", "given" : "Sonia", "non-dropping-particle" : "", "parse-names" : false, "suffix" : "" }, { "dropping-particle" : "", "family" : "Ramsay", "given" : "Mary", "non-dropping-particle" : "", "parse-names" : false, "suffix" : "" } ], "id" : "ITEM-1", "issue" : "December", "issued" : { "date-parts" : [ [ "2014" ] ] }, "page" : "1-23", "title" : "Estimating the total burden of invasive meningococcal disease in England using multiple data sources", "type" : "article-journal" }, "uris" : [ "http://www.mendeley.com/documents/?uuid=8cb74916-9000-4f73-8520-eb271665e4b1" ] } ], "mendeley" : { "formattedCitation" : "&lt;sup&gt;5&lt;/sup&gt;", "plainTextFormattedCitation" : "5", "previouslyFormattedCitation" : "&lt;sup&gt;5&lt;/sup&gt;"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5</w:t>
      </w:r>
      <w:r w:rsidR="0022615A">
        <w:rPr>
          <w:rFonts w:cs="Arial"/>
          <w:sz w:val="24"/>
        </w:rPr>
        <w:fldChar w:fldCharType="end"/>
      </w:r>
      <w:r w:rsidR="004814B6">
        <w:rPr>
          <w:rFonts w:cs="Arial"/>
          <w:sz w:val="24"/>
        </w:rPr>
        <w:t xml:space="preserve"> </w:t>
      </w:r>
      <w:r w:rsidRPr="00BE1566">
        <w:rPr>
          <w:rFonts w:cs="Arial"/>
          <w:sz w:val="24"/>
        </w:rPr>
        <w:t>M</w:t>
      </w:r>
      <w:r w:rsidR="009B0D21" w:rsidRPr="00BE1566">
        <w:rPr>
          <w:rFonts w:cs="Arial"/>
          <w:sz w:val="24"/>
        </w:rPr>
        <w:t xml:space="preserve">onitoring </w:t>
      </w:r>
      <w:r w:rsidR="009101A8" w:rsidRPr="00BE1566">
        <w:rPr>
          <w:rFonts w:cs="Arial"/>
          <w:sz w:val="24"/>
        </w:rPr>
        <w:t xml:space="preserve">the clinical characteristics of IMD cases, and factors associated with disease outcomes, </w:t>
      </w:r>
      <w:r w:rsidR="0017400F" w:rsidRPr="00BE1566">
        <w:rPr>
          <w:rFonts w:cs="Arial"/>
          <w:sz w:val="24"/>
        </w:rPr>
        <w:t>is</w:t>
      </w:r>
      <w:r w:rsidR="009101A8" w:rsidRPr="00BE1566">
        <w:rPr>
          <w:rFonts w:cs="Arial"/>
          <w:sz w:val="24"/>
        </w:rPr>
        <w:t xml:space="preserve"> essential in informing national policy in terms of both investigation and management of suspected IMD cases in the clinical setting, as well as conside</w:t>
      </w:r>
      <w:r w:rsidR="0017400F" w:rsidRPr="00BE1566">
        <w:rPr>
          <w:rFonts w:cs="Arial"/>
          <w:sz w:val="24"/>
        </w:rPr>
        <w:t>rations for introduction of preventive measures such as vaccination</w:t>
      </w:r>
      <w:r w:rsidR="009101A8" w:rsidRPr="00BE1566">
        <w:rPr>
          <w:rFonts w:cs="Arial"/>
          <w:sz w:val="24"/>
        </w:rPr>
        <w:t xml:space="preserve"> to protect those who are most vulnerable</w:t>
      </w:r>
      <w:r w:rsidR="006B3BAF">
        <w:rPr>
          <w:rFonts w:cs="Arial"/>
          <w:sz w:val="24"/>
        </w:rPr>
        <w:t xml:space="preserve"> and </w:t>
      </w:r>
      <w:r w:rsidR="009101A8" w:rsidRPr="00BE1566">
        <w:rPr>
          <w:rFonts w:cs="Arial"/>
          <w:sz w:val="24"/>
        </w:rPr>
        <w:t xml:space="preserve">monitoring the impact of </w:t>
      </w:r>
      <w:r w:rsidR="006B3BAF">
        <w:rPr>
          <w:rFonts w:cs="Arial"/>
          <w:sz w:val="24"/>
        </w:rPr>
        <w:t xml:space="preserve">such </w:t>
      </w:r>
      <w:r w:rsidR="009101A8" w:rsidRPr="00BE1566">
        <w:rPr>
          <w:rFonts w:cs="Arial"/>
          <w:sz w:val="24"/>
        </w:rPr>
        <w:t>interv</w:t>
      </w:r>
      <w:r w:rsidR="00090FF9" w:rsidRPr="00BE1566">
        <w:rPr>
          <w:rFonts w:cs="Arial"/>
          <w:sz w:val="24"/>
        </w:rPr>
        <w:t xml:space="preserve">entions </w:t>
      </w:r>
      <w:r w:rsidR="009101A8" w:rsidRPr="00BE1566">
        <w:rPr>
          <w:rFonts w:cs="Arial"/>
          <w:sz w:val="24"/>
        </w:rPr>
        <w:t xml:space="preserve">in </w:t>
      </w:r>
      <w:r w:rsidR="006B3BAF">
        <w:rPr>
          <w:rFonts w:cs="Arial"/>
          <w:sz w:val="24"/>
        </w:rPr>
        <w:t xml:space="preserve">the </w:t>
      </w:r>
      <w:r w:rsidR="009101A8" w:rsidRPr="00BE1566">
        <w:rPr>
          <w:rFonts w:cs="Arial"/>
          <w:sz w:val="24"/>
        </w:rPr>
        <w:t xml:space="preserve">population. </w:t>
      </w:r>
    </w:p>
    <w:p w14:paraId="2C840BED" w14:textId="7DBB6D91" w:rsidR="00A833F4" w:rsidRPr="00A5563E" w:rsidRDefault="00A833F4" w:rsidP="00002193">
      <w:pPr>
        <w:pStyle w:val="Coversheet"/>
        <w:jc w:val="left"/>
        <w:rPr>
          <w:rFonts w:cs="Arial"/>
          <w:color w:val="FF0000"/>
          <w:sz w:val="24"/>
        </w:rPr>
      </w:pPr>
      <w:r w:rsidRPr="00BE1566">
        <w:rPr>
          <w:rFonts w:cs="Arial"/>
          <w:sz w:val="24"/>
        </w:rPr>
        <w:t xml:space="preserve">We recently linked five national </w:t>
      </w:r>
      <w:r w:rsidR="006B3BAF">
        <w:rPr>
          <w:rFonts w:cs="Arial"/>
          <w:sz w:val="24"/>
        </w:rPr>
        <w:t xml:space="preserve">IMD </w:t>
      </w:r>
      <w:r w:rsidRPr="00BE1566">
        <w:rPr>
          <w:rFonts w:cs="Arial"/>
          <w:sz w:val="24"/>
        </w:rPr>
        <w:t xml:space="preserve">datasets to </w:t>
      </w:r>
      <w:r w:rsidR="006404FF" w:rsidRPr="00BE1566">
        <w:rPr>
          <w:rFonts w:cs="Arial"/>
          <w:sz w:val="24"/>
        </w:rPr>
        <w:t>estimate</w:t>
      </w:r>
      <w:r w:rsidRPr="00BE1566">
        <w:rPr>
          <w:rFonts w:cs="Arial"/>
          <w:sz w:val="24"/>
        </w:rPr>
        <w:t xml:space="preserve"> </w:t>
      </w:r>
      <w:r w:rsidR="006B3BAF">
        <w:rPr>
          <w:rFonts w:cs="Arial"/>
          <w:sz w:val="24"/>
        </w:rPr>
        <w:t xml:space="preserve">disease burden in England </w:t>
      </w:r>
      <w:r w:rsidRPr="00BE1566">
        <w:rPr>
          <w:rFonts w:cs="Arial"/>
          <w:sz w:val="24"/>
        </w:rPr>
        <w:t>over a five-year period</w:t>
      </w:r>
      <w:r w:rsidR="004814B6">
        <w:rPr>
          <w:rFonts w:cs="Arial"/>
          <w:sz w:val="24"/>
        </w:rPr>
        <w:t>.</w:t>
      </w:r>
      <w:r w:rsidR="0022615A">
        <w:rPr>
          <w:rFonts w:cs="Arial"/>
          <w:sz w:val="24"/>
        </w:rPr>
        <w:fldChar w:fldCharType="begin" w:fldLock="1"/>
      </w:r>
      <w:r w:rsidR="004814B6">
        <w:rPr>
          <w:rFonts w:cs="Arial"/>
          <w:sz w:val="24"/>
        </w:rPr>
        <w:instrText>ADDIN CSL_CITATION { "citationItems" : [ { "id" : "ITEM-1", "itemData" : { "author" : [ { "dropping-particle" : "", "family" : "Ladhani", "given" : "Shamez", "non-dropping-particle" : "", "parse-names" : false, "suffix" : "" }, { "dropping-particle" : "", "family" : "Kaye", "given" : "Pauline", "non-dropping-particle" : "", "parse-names" : false, "suffix" : "" }, { "dropping-particle" : "", "family" : "Ribeiro", "given" : "Sonia", "non-dropping-particle" : "", "parse-names" : false, "suffix" : "" }, { "dropping-particle" : "", "family" : "Ramsay", "given" : "Mary", "non-dropping-particle" : "", "parse-names" : false, "suffix" : "" } ], "id" : "ITEM-1", "issue" : "December", "issued" : { "date-parts" : [ [ "2014" ] ] }, "page" : "1-23", "title" : "Estimating the total burden of invasive meningococcal disease in England using multiple data sources", "type" : "article-journal" }, "uris" : [ "http://www.mendeley.com/documents/?uuid=8cb74916-9000-4f73-8520-eb271665e4b1" ] } ], "mendeley" : { "formattedCitation" : "&lt;sup&gt;5&lt;/sup&gt;", "plainTextFormattedCitation" : "5", "previouslyFormattedCitation" : "&lt;sup&gt;5&lt;/sup&gt;"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5</w:t>
      </w:r>
      <w:r w:rsidR="0022615A">
        <w:rPr>
          <w:rFonts w:cs="Arial"/>
          <w:sz w:val="24"/>
        </w:rPr>
        <w:fldChar w:fldCharType="end"/>
      </w:r>
      <w:r w:rsidRPr="00BE1566">
        <w:rPr>
          <w:rFonts w:cs="Arial"/>
          <w:sz w:val="24"/>
        </w:rPr>
        <w:t xml:space="preserve"> </w:t>
      </w:r>
      <w:r w:rsidR="006404FF" w:rsidRPr="00BE1566">
        <w:rPr>
          <w:rFonts w:cs="Arial"/>
          <w:sz w:val="24"/>
        </w:rPr>
        <w:t xml:space="preserve">Within this dataset, we linked almost 5,000 </w:t>
      </w:r>
      <w:r w:rsidR="006B3BAF">
        <w:rPr>
          <w:rFonts w:cs="Arial"/>
          <w:sz w:val="24"/>
        </w:rPr>
        <w:t>confirmed cases with hospitalisation records and national death registrations</w:t>
      </w:r>
      <w:r w:rsidR="008B2ED1" w:rsidRPr="00BE1566">
        <w:rPr>
          <w:rFonts w:cs="Arial"/>
          <w:sz w:val="24"/>
        </w:rPr>
        <w:t xml:space="preserve">. </w:t>
      </w:r>
      <w:r w:rsidR="00A5563E" w:rsidRPr="00A5563E">
        <w:rPr>
          <w:rFonts w:cs="Arial"/>
          <w:color w:val="FF0000"/>
          <w:sz w:val="24"/>
        </w:rPr>
        <w:t xml:space="preserve">The </w:t>
      </w:r>
      <w:r w:rsidR="00A5563E">
        <w:rPr>
          <w:rFonts w:cs="Arial"/>
          <w:color w:val="FF0000"/>
          <w:sz w:val="24"/>
        </w:rPr>
        <w:t xml:space="preserve">objective of this study was </w:t>
      </w:r>
      <w:r w:rsidR="00CF6C21" w:rsidRPr="00BE1566">
        <w:rPr>
          <w:rFonts w:cs="Arial"/>
          <w:sz w:val="24"/>
        </w:rPr>
        <w:t>to describe the age distribution, clinical characteristics, meningococcal capsular groups, diagnostic method, outcomes and risk factors for death</w:t>
      </w:r>
      <w:r w:rsidR="005D58D5">
        <w:rPr>
          <w:rFonts w:cs="Arial"/>
          <w:sz w:val="24"/>
        </w:rPr>
        <w:t>,</w:t>
      </w:r>
      <w:r w:rsidR="00CF6C21" w:rsidRPr="00BE1566">
        <w:rPr>
          <w:rFonts w:cs="Arial"/>
          <w:sz w:val="24"/>
        </w:rPr>
        <w:t xml:space="preserve"> among hospitalised patients with laboratory-confirmed IMD in England during 2007-2011</w:t>
      </w:r>
      <w:r w:rsidR="00A5563E">
        <w:rPr>
          <w:rFonts w:cs="Arial"/>
          <w:sz w:val="24"/>
        </w:rPr>
        <w:t xml:space="preserve">, </w:t>
      </w:r>
      <w:r w:rsidR="00A5563E" w:rsidRPr="00A5563E">
        <w:rPr>
          <w:rFonts w:cs="Arial"/>
          <w:color w:val="FF0000"/>
          <w:sz w:val="24"/>
        </w:rPr>
        <w:t xml:space="preserve">with the aim of </w:t>
      </w:r>
      <w:r w:rsidR="00374762" w:rsidRPr="00A5563E">
        <w:rPr>
          <w:rFonts w:cs="Arial"/>
          <w:color w:val="FF0000"/>
          <w:sz w:val="24"/>
        </w:rPr>
        <w:t>identify</w:t>
      </w:r>
      <w:r w:rsidR="00A5563E" w:rsidRPr="00A5563E">
        <w:rPr>
          <w:rFonts w:cs="Arial"/>
          <w:color w:val="FF0000"/>
          <w:sz w:val="24"/>
        </w:rPr>
        <w:t>ing</w:t>
      </w:r>
      <w:r w:rsidR="00374762" w:rsidRPr="00A5563E">
        <w:rPr>
          <w:rFonts w:cs="Arial"/>
          <w:color w:val="FF0000"/>
          <w:sz w:val="24"/>
        </w:rPr>
        <w:t xml:space="preserve"> potentially modifiab</w:t>
      </w:r>
      <w:r w:rsidR="003963D7">
        <w:rPr>
          <w:rFonts w:cs="Arial"/>
          <w:color w:val="FF0000"/>
          <w:sz w:val="24"/>
        </w:rPr>
        <w:t>le factors that might help reduce the morbidity and mortality associated with this devastating infection</w:t>
      </w:r>
      <w:r w:rsidR="00374762" w:rsidRPr="00A5563E">
        <w:rPr>
          <w:rFonts w:cs="Arial"/>
          <w:color w:val="FF0000"/>
          <w:sz w:val="24"/>
        </w:rPr>
        <w:t>.</w:t>
      </w:r>
    </w:p>
    <w:p w14:paraId="60CA3CB7" w14:textId="77777777" w:rsidR="00CF6C21" w:rsidRPr="00BE1566" w:rsidRDefault="00CF6C21" w:rsidP="00002193">
      <w:pPr>
        <w:pStyle w:val="Coversheet"/>
        <w:jc w:val="left"/>
        <w:rPr>
          <w:rFonts w:cs="Arial"/>
          <w:sz w:val="24"/>
        </w:rPr>
      </w:pPr>
    </w:p>
    <w:p w14:paraId="49882C78" w14:textId="77777777" w:rsidR="00CF6C21" w:rsidRPr="00BE1566" w:rsidRDefault="00CF6C21" w:rsidP="00002193">
      <w:pPr>
        <w:pStyle w:val="Coversheet"/>
        <w:jc w:val="left"/>
        <w:rPr>
          <w:rFonts w:cs="Arial"/>
          <w:b/>
          <w:sz w:val="24"/>
        </w:rPr>
      </w:pPr>
      <w:r w:rsidRPr="00BE1566">
        <w:rPr>
          <w:rFonts w:cs="Arial"/>
          <w:b/>
          <w:sz w:val="24"/>
        </w:rPr>
        <w:lastRenderedPageBreak/>
        <w:t>METHODS</w:t>
      </w:r>
    </w:p>
    <w:p w14:paraId="081ED854" w14:textId="77777777" w:rsidR="00AD290B" w:rsidRPr="00BE1566" w:rsidRDefault="00B84F30" w:rsidP="00AD290B">
      <w:pPr>
        <w:pStyle w:val="Coversheet"/>
        <w:jc w:val="left"/>
        <w:rPr>
          <w:rFonts w:cs="Arial"/>
          <w:sz w:val="24"/>
          <w:lang w:val="en-US"/>
        </w:rPr>
      </w:pPr>
      <w:r>
        <w:rPr>
          <w:rFonts w:cs="Arial"/>
          <w:sz w:val="24"/>
        </w:rPr>
        <w:t xml:space="preserve">The </w:t>
      </w:r>
      <w:r w:rsidRPr="00BE1566">
        <w:rPr>
          <w:rFonts w:cs="Arial"/>
          <w:sz w:val="24"/>
          <w:lang w:val="en-US"/>
        </w:rPr>
        <w:t xml:space="preserve">Meningococcal Reference Unit (MRU) </w:t>
      </w:r>
      <w:r>
        <w:rPr>
          <w:rFonts w:cs="Arial"/>
          <w:sz w:val="24"/>
          <w:lang w:val="en-US"/>
        </w:rPr>
        <w:t xml:space="preserve">at </w:t>
      </w:r>
      <w:r w:rsidR="00AD290B" w:rsidRPr="00BE1566">
        <w:rPr>
          <w:rFonts w:cs="Arial"/>
          <w:sz w:val="24"/>
        </w:rPr>
        <w:t>Public Health England</w:t>
      </w:r>
      <w:r w:rsidR="00CC6203">
        <w:rPr>
          <w:rFonts w:cs="Arial"/>
          <w:sz w:val="24"/>
        </w:rPr>
        <w:t xml:space="preserve"> (PHE)</w:t>
      </w:r>
      <w:r w:rsidR="00AD290B" w:rsidRPr="00BE1566">
        <w:rPr>
          <w:rFonts w:cs="Arial"/>
          <w:sz w:val="24"/>
        </w:rPr>
        <w:t xml:space="preserve"> </w:t>
      </w:r>
      <w:r w:rsidR="00AD290B" w:rsidRPr="00BE1566">
        <w:rPr>
          <w:rFonts w:cs="Arial"/>
          <w:sz w:val="24"/>
          <w:lang w:val="en-US"/>
        </w:rPr>
        <w:t xml:space="preserve">provides a national service for species confirmation, grouping, typing, subtyping, and antimicrobial susceptibility testing of all invasive </w:t>
      </w:r>
      <w:r w:rsidR="00AD290B" w:rsidRPr="00BE1566">
        <w:rPr>
          <w:rFonts w:cs="Arial"/>
          <w:i/>
          <w:sz w:val="24"/>
          <w:lang w:val="en-US"/>
        </w:rPr>
        <w:t>Neisseria meningitidis</w:t>
      </w:r>
      <w:r w:rsidR="00AD290B" w:rsidRPr="00BE1566">
        <w:rPr>
          <w:rFonts w:cs="Arial"/>
          <w:sz w:val="24"/>
          <w:lang w:val="en-US"/>
        </w:rPr>
        <w:t xml:space="preserve"> isolates. The MRU also provides free non-culture polymerase chain reaction (PCR) confirmation of meningococcal diagnosis for clinical specimens routinely submitted by National Health Service (NHS) hospitals in England and Wales.</w:t>
      </w:r>
    </w:p>
    <w:p w14:paraId="225DD51A" w14:textId="4FC107B8" w:rsidR="002346B3" w:rsidRPr="00BE1566" w:rsidRDefault="00AD290B" w:rsidP="002346B3">
      <w:pPr>
        <w:pStyle w:val="Coversheet"/>
        <w:jc w:val="left"/>
        <w:rPr>
          <w:rFonts w:cs="Arial"/>
          <w:sz w:val="24"/>
          <w:lang w:val="en-US"/>
        </w:rPr>
      </w:pPr>
      <w:r w:rsidRPr="00206D3D">
        <w:rPr>
          <w:rFonts w:cs="Arial"/>
          <w:color w:val="FF0000"/>
          <w:sz w:val="24"/>
          <w:lang w:val="en-US"/>
        </w:rPr>
        <w:t xml:space="preserve">In 2014, PHE initiated a data linkage project to estimate the total burden of IMD in England using multiple </w:t>
      </w:r>
      <w:r w:rsidR="002346B3" w:rsidRPr="00206D3D">
        <w:rPr>
          <w:rFonts w:cs="Arial"/>
          <w:color w:val="FF0000"/>
          <w:sz w:val="24"/>
          <w:lang w:val="en-US"/>
        </w:rPr>
        <w:t xml:space="preserve">independent </w:t>
      </w:r>
      <w:r w:rsidRPr="00206D3D">
        <w:rPr>
          <w:rFonts w:cs="Arial"/>
          <w:color w:val="FF0000"/>
          <w:sz w:val="24"/>
          <w:lang w:val="en-US"/>
        </w:rPr>
        <w:t>national data sources</w:t>
      </w:r>
      <w:r w:rsidR="002346B3" w:rsidRPr="00206D3D">
        <w:rPr>
          <w:rFonts w:cs="Arial"/>
          <w:color w:val="FF0000"/>
          <w:sz w:val="24"/>
          <w:lang w:val="en-US"/>
        </w:rPr>
        <w:t>; details of the data linkage are published elsewhere</w:t>
      </w:r>
      <w:r w:rsidR="00FF27D7" w:rsidRPr="00206D3D">
        <w:rPr>
          <w:rFonts w:cs="Arial"/>
          <w:color w:val="FF0000"/>
          <w:sz w:val="24"/>
          <w:lang w:val="en-US"/>
        </w:rPr>
        <w:t>.</w:t>
      </w:r>
      <w:r w:rsidR="0022615A" w:rsidRPr="00206D3D">
        <w:rPr>
          <w:rFonts w:cs="Arial"/>
          <w:color w:val="FF0000"/>
          <w:sz w:val="24"/>
          <w:lang w:val="en-US"/>
        </w:rPr>
        <w:fldChar w:fldCharType="begin" w:fldLock="1"/>
      </w:r>
      <w:r w:rsidR="004814B6" w:rsidRPr="00206D3D">
        <w:rPr>
          <w:rFonts w:cs="Arial"/>
          <w:color w:val="FF0000"/>
          <w:sz w:val="24"/>
          <w:lang w:val="en-US"/>
        </w:rPr>
        <w:instrText>ADDIN CSL_CITATION { "citationItems" : [ { "id" : "ITEM-1", "itemData" : { "author" : [ { "dropping-particle" : "", "family" : "Ladhani", "given" : "Shamez", "non-dropping-particle" : "", "parse-names" : false, "suffix" : "" }, { "dropping-particle" : "", "family" : "Kaye", "given" : "Pauline", "non-dropping-particle" : "", "parse-names" : false, "suffix" : "" }, { "dropping-particle" : "", "family" : "Ribeiro", "given" : "Sonia", "non-dropping-particle" : "", "parse-names" : false, "suffix" : "" }, { "dropping-particle" : "", "family" : "Ramsay", "given" : "Mary", "non-dropping-particle" : "", "parse-names" : false, "suffix" : "" } ], "id" : "ITEM-1", "issue" : "December", "issued" : { "date-parts" : [ [ "2014" ] ] }, "page" : "1-23", "title" : "Estimating the total burden of invasive meningococcal disease in England using multiple data sources", "type" : "article-journal" }, "uris" : [ "http://www.mendeley.com/documents/?uuid=8cb74916-9000-4f73-8520-eb271665e4b1" ] } ], "mendeley" : { "formattedCitation" : "&lt;sup&gt;5&lt;/sup&gt;", "plainTextFormattedCitation" : "5", "previouslyFormattedCitation" : "&lt;sup&gt;5&lt;/sup&gt;" }, "properties" : { "noteIndex" : 0 }, "schema" : "https://github.com/citation-style-language/schema/raw/master/csl-citation.json" }</w:instrText>
      </w:r>
      <w:r w:rsidR="0022615A" w:rsidRPr="00206D3D">
        <w:rPr>
          <w:rFonts w:cs="Arial"/>
          <w:color w:val="FF0000"/>
          <w:sz w:val="24"/>
          <w:lang w:val="en-US"/>
        </w:rPr>
        <w:fldChar w:fldCharType="separate"/>
      </w:r>
      <w:r w:rsidR="004814B6" w:rsidRPr="00206D3D">
        <w:rPr>
          <w:rFonts w:cs="Arial"/>
          <w:noProof/>
          <w:color w:val="FF0000"/>
          <w:sz w:val="24"/>
          <w:vertAlign w:val="superscript"/>
          <w:lang w:val="en-US"/>
        </w:rPr>
        <w:t>5</w:t>
      </w:r>
      <w:r w:rsidR="0022615A" w:rsidRPr="00206D3D">
        <w:rPr>
          <w:rFonts w:cs="Arial"/>
          <w:color w:val="FF0000"/>
          <w:sz w:val="24"/>
          <w:lang w:val="en-US"/>
        </w:rPr>
        <w:fldChar w:fldCharType="end"/>
      </w:r>
      <w:r w:rsidR="003440BB" w:rsidRPr="00206D3D">
        <w:rPr>
          <w:rFonts w:cs="Arial"/>
          <w:color w:val="FF0000"/>
          <w:sz w:val="24"/>
          <w:lang w:val="en-US"/>
        </w:rPr>
        <w:t xml:space="preserve"> </w:t>
      </w:r>
      <w:r w:rsidR="002346B3" w:rsidRPr="00206D3D">
        <w:rPr>
          <w:rFonts w:cs="Arial"/>
          <w:color w:val="FF0000"/>
          <w:sz w:val="24"/>
          <w:lang w:val="en-US"/>
        </w:rPr>
        <w:t>Briefly,</w:t>
      </w:r>
      <w:r w:rsidR="00CC6203" w:rsidRPr="00206D3D">
        <w:rPr>
          <w:rFonts w:cs="Arial"/>
          <w:color w:val="FF0000"/>
          <w:sz w:val="24"/>
          <w:lang w:val="en-US"/>
        </w:rPr>
        <w:t xml:space="preserve"> the five datasets </w:t>
      </w:r>
      <w:r w:rsidR="00427045" w:rsidRPr="00206D3D">
        <w:rPr>
          <w:rFonts w:cs="Arial"/>
          <w:color w:val="FF0000"/>
          <w:sz w:val="24"/>
          <w:lang w:val="en-US"/>
        </w:rPr>
        <w:t xml:space="preserve">were </w:t>
      </w:r>
      <w:r w:rsidR="00CC6203" w:rsidRPr="00206D3D">
        <w:rPr>
          <w:rFonts w:cs="Arial"/>
          <w:color w:val="FF0000"/>
          <w:sz w:val="24"/>
          <w:lang w:val="en-US"/>
        </w:rPr>
        <w:t>(i)</w:t>
      </w:r>
      <w:r w:rsidR="00B84F30" w:rsidRPr="00206D3D">
        <w:rPr>
          <w:rFonts w:cs="Arial"/>
          <w:color w:val="FF0000"/>
          <w:sz w:val="24"/>
          <w:lang w:val="en-US"/>
        </w:rPr>
        <w:t xml:space="preserve"> </w:t>
      </w:r>
      <w:r w:rsidR="002346B3" w:rsidRPr="00206D3D">
        <w:rPr>
          <w:rFonts w:cs="Arial"/>
          <w:color w:val="FF0000"/>
          <w:sz w:val="24"/>
          <w:lang w:val="en-US"/>
        </w:rPr>
        <w:t>c</w:t>
      </w:r>
      <w:r w:rsidR="00CC6203" w:rsidRPr="00206D3D">
        <w:rPr>
          <w:rFonts w:cs="Arial"/>
          <w:color w:val="FF0000"/>
          <w:sz w:val="24"/>
          <w:lang w:val="en-US"/>
        </w:rPr>
        <w:t>ases confirmed by PHE MRU; (ii)</w:t>
      </w:r>
      <w:r w:rsidR="00B84F30" w:rsidRPr="00206D3D">
        <w:rPr>
          <w:rFonts w:cs="Arial"/>
          <w:color w:val="FF0000"/>
          <w:sz w:val="24"/>
          <w:lang w:val="en-US"/>
        </w:rPr>
        <w:t xml:space="preserve"> </w:t>
      </w:r>
      <w:r w:rsidR="002346B3" w:rsidRPr="00206D3D">
        <w:rPr>
          <w:rFonts w:cs="Arial"/>
          <w:color w:val="FF0000"/>
          <w:sz w:val="24"/>
          <w:lang w:val="en-US"/>
        </w:rPr>
        <w:t xml:space="preserve">Hospital </w:t>
      </w:r>
      <w:r w:rsidR="00CC6203" w:rsidRPr="00206D3D">
        <w:rPr>
          <w:rFonts w:cs="Arial"/>
          <w:color w:val="FF0000"/>
          <w:sz w:val="24"/>
          <w:lang w:val="en-US"/>
        </w:rPr>
        <w:t>Episode Statistics (HES); (iii)</w:t>
      </w:r>
      <w:r w:rsidR="00B84F30" w:rsidRPr="00206D3D">
        <w:rPr>
          <w:rFonts w:cs="Arial"/>
          <w:color w:val="FF0000"/>
          <w:sz w:val="24"/>
          <w:lang w:val="en-US"/>
        </w:rPr>
        <w:t xml:space="preserve"> </w:t>
      </w:r>
      <w:r w:rsidR="002346B3" w:rsidRPr="00206D3D">
        <w:rPr>
          <w:rFonts w:cs="Arial"/>
          <w:color w:val="FF0000"/>
          <w:sz w:val="24"/>
          <w:lang w:val="en-US"/>
        </w:rPr>
        <w:t>electronic notification of confirmed IMD cases by NHS hosp</w:t>
      </w:r>
      <w:r w:rsidR="00CC6203" w:rsidRPr="00206D3D">
        <w:rPr>
          <w:rFonts w:cs="Arial"/>
          <w:color w:val="FF0000"/>
          <w:sz w:val="24"/>
          <w:lang w:val="en-US"/>
        </w:rPr>
        <w:t>itals to PHE via LabBase2; (iv)</w:t>
      </w:r>
      <w:r w:rsidR="00B84F30" w:rsidRPr="00206D3D">
        <w:rPr>
          <w:rFonts w:cs="Arial"/>
          <w:color w:val="FF0000"/>
          <w:sz w:val="24"/>
          <w:lang w:val="en-US"/>
        </w:rPr>
        <w:t xml:space="preserve"> </w:t>
      </w:r>
      <w:r w:rsidR="002346B3" w:rsidRPr="00206D3D">
        <w:rPr>
          <w:rFonts w:cs="Arial"/>
          <w:color w:val="FF0000"/>
          <w:sz w:val="24"/>
          <w:lang w:val="en-US"/>
        </w:rPr>
        <w:t>private laboratory reports of IMD</w:t>
      </w:r>
      <w:r w:rsidR="00CC6203" w:rsidRPr="00206D3D">
        <w:rPr>
          <w:rFonts w:cs="Arial"/>
          <w:color w:val="FF0000"/>
          <w:sz w:val="24"/>
          <w:lang w:val="en-US"/>
        </w:rPr>
        <w:t xml:space="preserve"> confirmations to PHE; and (v)</w:t>
      </w:r>
      <w:r w:rsidR="00B84F30" w:rsidRPr="00206D3D">
        <w:rPr>
          <w:rFonts w:cs="Arial"/>
          <w:color w:val="FF0000"/>
          <w:sz w:val="24"/>
          <w:lang w:val="en-US"/>
        </w:rPr>
        <w:t xml:space="preserve"> </w:t>
      </w:r>
      <w:r w:rsidR="002346B3" w:rsidRPr="00206D3D">
        <w:rPr>
          <w:rFonts w:cs="Arial"/>
          <w:color w:val="FF0000"/>
          <w:sz w:val="24"/>
          <w:lang w:val="en-US"/>
        </w:rPr>
        <w:t>individual death registration data obtained from the Offices for National Statistics</w:t>
      </w:r>
      <w:r w:rsidR="00CC6203" w:rsidRPr="00206D3D">
        <w:rPr>
          <w:rFonts w:cs="Arial"/>
          <w:color w:val="FF0000"/>
          <w:sz w:val="24"/>
          <w:lang w:val="en-US"/>
        </w:rPr>
        <w:t xml:space="preserve"> (ONS)</w:t>
      </w:r>
      <w:r w:rsidR="002346B3" w:rsidRPr="00206D3D">
        <w:rPr>
          <w:rFonts w:cs="Arial"/>
          <w:color w:val="FF0000"/>
          <w:sz w:val="24"/>
          <w:lang w:val="en-US"/>
        </w:rPr>
        <w:t xml:space="preserve"> for surveillance purposes. </w:t>
      </w:r>
      <w:r w:rsidR="00DA6E63" w:rsidRPr="00206D3D">
        <w:rPr>
          <w:rFonts w:cs="Arial"/>
          <w:color w:val="FF0000"/>
          <w:sz w:val="24"/>
          <w:lang w:val="en-US"/>
        </w:rPr>
        <w:t xml:space="preserve">Linkage was </w:t>
      </w:r>
      <w:r w:rsidR="00B84F30" w:rsidRPr="00206D3D">
        <w:rPr>
          <w:rFonts w:cs="Arial"/>
          <w:color w:val="FF0000"/>
          <w:sz w:val="24"/>
          <w:lang w:val="en-US"/>
        </w:rPr>
        <w:t xml:space="preserve">performed </w:t>
      </w:r>
      <w:r w:rsidR="00DA6E63" w:rsidRPr="00206D3D">
        <w:rPr>
          <w:rFonts w:cs="Arial"/>
          <w:color w:val="FF0000"/>
          <w:sz w:val="24"/>
          <w:lang w:val="en-US"/>
        </w:rPr>
        <w:t>using unique patient NHS Number, surname, forename, date of birth, date of specimen, postcode and reporting laboratory.</w:t>
      </w:r>
      <w:r w:rsidR="00DA6E63" w:rsidRPr="00BE1566">
        <w:rPr>
          <w:rFonts w:cs="Arial"/>
          <w:sz w:val="24"/>
          <w:lang w:val="en-US"/>
        </w:rPr>
        <w:t xml:space="preserve"> </w:t>
      </w:r>
      <w:r w:rsidR="00C7549D">
        <w:rPr>
          <w:rFonts w:cs="Arial"/>
          <w:sz w:val="24"/>
          <w:lang w:val="en-US"/>
        </w:rPr>
        <w:t xml:space="preserve">Clinical diagnosis in HES was cross-checked with sample site of the clinical specimen (e.g. CSF confirmation indicated meningitis). </w:t>
      </w:r>
      <w:r w:rsidR="00C731EF">
        <w:rPr>
          <w:rFonts w:cs="Arial"/>
          <w:sz w:val="24"/>
        </w:rPr>
        <w:t xml:space="preserve">The </w:t>
      </w:r>
      <w:r w:rsidR="00C731EF">
        <w:rPr>
          <w:rFonts w:cs="Arial"/>
          <w:sz w:val="24"/>
          <w:lang w:val="en-US"/>
        </w:rPr>
        <w:t>c</w:t>
      </w:r>
      <w:r w:rsidR="003440BB">
        <w:rPr>
          <w:rFonts w:cs="Arial"/>
          <w:sz w:val="24"/>
          <w:lang w:val="en-US"/>
        </w:rPr>
        <w:t>ase fatality rat</w:t>
      </w:r>
      <w:r w:rsidR="0077182F">
        <w:rPr>
          <w:rFonts w:cs="Arial"/>
          <w:sz w:val="24"/>
          <w:lang w:val="en-US"/>
        </w:rPr>
        <w:t>e</w:t>
      </w:r>
      <w:r w:rsidR="002346B3" w:rsidRPr="00BE1566">
        <w:rPr>
          <w:rFonts w:cs="Arial"/>
          <w:sz w:val="24"/>
          <w:lang w:val="en-US"/>
        </w:rPr>
        <w:t xml:space="preserve"> (CFR) </w:t>
      </w:r>
      <w:r w:rsidR="00DA6E63" w:rsidRPr="00BE1566">
        <w:rPr>
          <w:rFonts w:cs="Arial"/>
          <w:sz w:val="24"/>
          <w:lang w:val="en-US"/>
        </w:rPr>
        <w:t xml:space="preserve">was defined as </w:t>
      </w:r>
      <w:r w:rsidR="002346B3" w:rsidRPr="00BE1566">
        <w:rPr>
          <w:rFonts w:cs="Arial"/>
          <w:sz w:val="24"/>
          <w:lang w:val="en-US"/>
        </w:rPr>
        <w:t>a fatal outcome within 30 days of a positive laboratory test</w:t>
      </w:r>
      <w:r w:rsidR="0077182F">
        <w:rPr>
          <w:rFonts w:cs="Arial"/>
          <w:sz w:val="24"/>
          <w:lang w:val="en-US"/>
        </w:rPr>
        <w:t xml:space="preserve">. On inspection of death certificate information, </w:t>
      </w:r>
      <w:r w:rsidR="00B21BFF">
        <w:rPr>
          <w:rFonts w:cs="Arial"/>
          <w:sz w:val="24"/>
          <w:lang w:val="en-US"/>
        </w:rPr>
        <w:t xml:space="preserve">10 </w:t>
      </w:r>
      <w:r w:rsidR="0077182F">
        <w:rPr>
          <w:rFonts w:cs="Arial"/>
          <w:sz w:val="24"/>
          <w:lang w:val="en-US"/>
        </w:rPr>
        <w:t xml:space="preserve">cases were identified that died after 30 days, but were attributed to </w:t>
      </w:r>
      <w:r w:rsidR="0077182F" w:rsidRPr="00BE1566">
        <w:rPr>
          <w:rFonts w:cs="Arial"/>
          <w:sz w:val="24"/>
          <w:lang w:val="en-US"/>
        </w:rPr>
        <w:t>a complication of IMD</w:t>
      </w:r>
      <w:r w:rsidR="0077182F">
        <w:rPr>
          <w:rFonts w:cs="Arial"/>
          <w:sz w:val="24"/>
          <w:lang w:val="en-US"/>
        </w:rPr>
        <w:t>. However, there w</w:t>
      </w:r>
      <w:r w:rsidR="00DF3026">
        <w:rPr>
          <w:rFonts w:cs="Arial"/>
          <w:sz w:val="24"/>
          <w:lang w:val="en-US"/>
        </w:rPr>
        <w:t>as no difference between the 30-</w:t>
      </w:r>
      <w:r w:rsidR="0077182F">
        <w:rPr>
          <w:rFonts w:cs="Arial"/>
          <w:sz w:val="24"/>
          <w:lang w:val="en-US"/>
        </w:rPr>
        <w:t>day and the overall case fatality rates, therefore</w:t>
      </w:r>
      <w:r w:rsidR="00DF3026">
        <w:rPr>
          <w:rFonts w:cs="Arial"/>
          <w:sz w:val="24"/>
          <w:lang w:val="en-US"/>
        </w:rPr>
        <w:t xml:space="preserve"> for the subsequent analysis 30-</w:t>
      </w:r>
      <w:r w:rsidR="0077182F">
        <w:rPr>
          <w:rFonts w:cs="Arial"/>
          <w:sz w:val="24"/>
          <w:lang w:val="en-US"/>
        </w:rPr>
        <w:t xml:space="preserve">day </w:t>
      </w:r>
      <w:r w:rsidR="00DF3026">
        <w:rPr>
          <w:rFonts w:cs="Arial"/>
          <w:sz w:val="24"/>
          <w:lang w:val="en-US"/>
        </w:rPr>
        <w:t>CFR</w:t>
      </w:r>
      <w:r w:rsidR="0077182F">
        <w:rPr>
          <w:rFonts w:cs="Arial"/>
          <w:sz w:val="24"/>
          <w:lang w:val="en-US"/>
        </w:rPr>
        <w:t xml:space="preserve"> was used. </w:t>
      </w:r>
    </w:p>
    <w:p w14:paraId="04C4FDF9" w14:textId="77777777" w:rsidR="00DA6E63" w:rsidRPr="00BE1566" w:rsidRDefault="00DA6E63" w:rsidP="002346B3">
      <w:pPr>
        <w:pStyle w:val="Coversheet"/>
        <w:jc w:val="left"/>
        <w:rPr>
          <w:rFonts w:cs="Arial"/>
          <w:sz w:val="24"/>
          <w:lang w:val="en-US"/>
        </w:rPr>
      </w:pPr>
    </w:p>
    <w:p w14:paraId="144FDD6D" w14:textId="77777777" w:rsidR="00DA6E63" w:rsidRPr="00BE1566" w:rsidRDefault="00DA6E63" w:rsidP="002346B3">
      <w:pPr>
        <w:pStyle w:val="Coversheet"/>
        <w:jc w:val="left"/>
        <w:rPr>
          <w:rFonts w:cs="Arial"/>
          <w:b/>
          <w:sz w:val="24"/>
        </w:rPr>
      </w:pPr>
      <w:r w:rsidRPr="007E2879">
        <w:rPr>
          <w:rFonts w:cs="Arial"/>
          <w:b/>
          <w:sz w:val="24"/>
        </w:rPr>
        <w:t>DATA ANALYSIS</w:t>
      </w:r>
    </w:p>
    <w:p w14:paraId="56EE5944" w14:textId="75B7384F" w:rsidR="00DA6E63" w:rsidRPr="007E2879" w:rsidRDefault="005D58D5" w:rsidP="00C269F5">
      <w:pPr>
        <w:rPr>
          <w:rFonts w:cs="Arial"/>
          <w:sz w:val="24"/>
        </w:rPr>
      </w:pPr>
      <w:r w:rsidRPr="007E2879">
        <w:rPr>
          <w:rFonts w:cs="Arial"/>
          <w:sz w:val="24"/>
        </w:rPr>
        <w:t>All analyses were performed using Stata version 14</w:t>
      </w:r>
      <w:r w:rsidR="001A7C08">
        <w:rPr>
          <w:rFonts w:cs="Arial"/>
          <w:sz w:val="24"/>
        </w:rPr>
        <w:t>·</w:t>
      </w:r>
      <w:r w:rsidRPr="007E2879">
        <w:rPr>
          <w:rFonts w:cs="Arial"/>
          <w:sz w:val="24"/>
        </w:rPr>
        <w:t>0 (StataCorp LP, College Station, TX, USA).</w:t>
      </w:r>
      <w:r w:rsidR="00A8051D">
        <w:rPr>
          <w:rFonts w:cs="Arial"/>
          <w:sz w:val="24"/>
        </w:rPr>
        <w:t xml:space="preserve"> </w:t>
      </w:r>
      <w:r w:rsidR="00C269F5" w:rsidRPr="007E2879">
        <w:rPr>
          <w:rFonts w:cs="Arial"/>
          <w:sz w:val="24"/>
        </w:rPr>
        <w:t xml:space="preserve">The dataset was analysed in terms of age, capsular group, clinical presentation, diagnostic test and outcomes of hospitalised IMD cases. </w:t>
      </w:r>
      <w:r w:rsidR="00F2217A">
        <w:rPr>
          <w:rFonts w:cs="Arial"/>
          <w:sz w:val="24"/>
        </w:rPr>
        <w:t>The mid-year 2009 England population was used to estimate the annual age-specific and gender-specific incidence (</w:t>
      </w:r>
      <w:hyperlink r:id="rId10" w:history="1">
        <w:r w:rsidR="00B21BFF" w:rsidRPr="00BD7D51">
          <w:rPr>
            <w:rStyle w:val="Hyperlink"/>
            <w:rFonts w:cs="Arial"/>
            <w:sz w:val="24"/>
          </w:rPr>
          <w:t>www.statistics.gov.uk</w:t>
        </w:r>
      </w:hyperlink>
      <w:r w:rsidR="00F2217A">
        <w:rPr>
          <w:rFonts w:cs="Arial"/>
          <w:sz w:val="24"/>
        </w:rPr>
        <w:t xml:space="preserve">). </w:t>
      </w:r>
      <w:r w:rsidR="00C269F5" w:rsidRPr="00B21BFF">
        <w:rPr>
          <w:rFonts w:cs="Arial"/>
          <w:color w:val="FF0000"/>
          <w:sz w:val="24"/>
        </w:rPr>
        <w:t>For univariate analysis, medians and interquartile range were used to summarise age distribution</w:t>
      </w:r>
      <w:r w:rsidR="00A8051D" w:rsidRPr="00B21BFF">
        <w:rPr>
          <w:rFonts w:cs="Arial"/>
          <w:color w:val="FF0000"/>
          <w:sz w:val="24"/>
        </w:rPr>
        <w:t xml:space="preserve"> and</w:t>
      </w:r>
      <w:r w:rsidR="00C269F5" w:rsidRPr="00B21BFF">
        <w:rPr>
          <w:rFonts w:cs="Arial"/>
          <w:color w:val="FF0000"/>
          <w:sz w:val="24"/>
        </w:rPr>
        <w:t xml:space="preserve"> compared using the Mann-Whitney U test. All other categorical data was compared using Pearson’s </w:t>
      </w:r>
      <w:r w:rsidR="00940AE0">
        <w:rPr>
          <w:rFonts w:cs="Arial"/>
          <w:color w:val="FF0000"/>
          <w:sz w:val="24"/>
        </w:rPr>
        <w:t>chi-squared</w:t>
      </w:r>
      <w:r w:rsidR="00C269F5" w:rsidRPr="00B21BFF">
        <w:rPr>
          <w:rFonts w:cs="Arial"/>
          <w:color w:val="FF0000"/>
          <w:sz w:val="24"/>
        </w:rPr>
        <w:t xml:space="preserve"> test. Risk factors for death were assessed using multivariable logistic regression</w:t>
      </w:r>
      <w:r w:rsidR="00940AE0">
        <w:rPr>
          <w:rFonts w:cs="Arial"/>
          <w:color w:val="FF0000"/>
          <w:sz w:val="24"/>
        </w:rPr>
        <w:t xml:space="preserve"> </w:t>
      </w:r>
      <w:r w:rsidR="000F193B">
        <w:rPr>
          <w:rFonts w:cs="Arial"/>
          <w:color w:val="FF0000"/>
          <w:sz w:val="24"/>
        </w:rPr>
        <w:t>using the following variables:</w:t>
      </w:r>
      <w:r w:rsidR="00F27ECB" w:rsidRPr="00B21BFF">
        <w:rPr>
          <w:rFonts w:cs="Arial"/>
          <w:color w:val="FF0000"/>
          <w:sz w:val="24"/>
        </w:rPr>
        <w:t xml:space="preserve"> </w:t>
      </w:r>
      <w:r w:rsidR="00F27ECB" w:rsidRPr="00B21BFF">
        <w:rPr>
          <w:color w:val="FF0000"/>
          <w:sz w:val="24"/>
        </w:rPr>
        <w:t xml:space="preserve">age group, </w:t>
      </w:r>
      <w:r w:rsidR="008B16EB">
        <w:rPr>
          <w:color w:val="FF0000"/>
          <w:sz w:val="24"/>
        </w:rPr>
        <w:t xml:space="preserve">gender, </w:t>
      </w:r>
      <w:r w:rsidR="00F27ECB" w:rsidRPr="00B21BFF">
        <w:rPr>
          <w:color w:val="FF0000"/>
          <w:sz w:val="24"/>
        </w:rPr>
        <w:t>ca</w:t>
      </w:r>
      <w:r w:rsidR="00940AE0">
        <w:rPr>
          <w:color w:val="FF0000"/>
          <w:sz w:val="24"/>
        </w:rPr>
        <w:t>psular group, diagnostic method</w:t>
      </w:r>
      <w:r w:rsidR="008B16EB">
        <w:rPr>
          <w:color w:val="FF0000"/>
          <w:sz w:val="24"/>
        </w:rPr>
        <w:t>, clinical presentation and</w:t>
      </w:r>
      <w:r w:rsidR="00F27ECB" w:rsidRPr="00B21BFF">
        <w:rPr>
          <w:color w:val="FF0000"/>
          <w:sz w:val="24"/>
        </w:rPr>
        <w:t xml:space="preserve"> year </w:t>
      </w:r>
      <w:r w:rsidR="008B16EB">
        <w:rPr>
          <w:color w:val="FF0000"/>
          <w:sz w:val="24"/>
        </w:rPr>
        <w:t>of diagnosis</w:t>
      </w:r>
      <w:r w:rsidR="00F27ECB" w:rsidRPr="00B21BFF">
        <w:rPr>
          <w:color w:val="FF0000"/>
          <w:sz w:val="24"/>
        </w:rPr>
        <w:t>.</w:t>
      </w:r>
      <w:r w:rsidR="000F193B">
        <w:rPr>
          <w:color w:val="FF0000"/>
          <w:sz w:val="24"/>
        </w:rPr>
        <w:t xml:space="preserve"> Variable with a P value &lt;0.05 in the model were considered significant</w:t>
      </w:r>
    </w:p>
    <w:p w14:paraId="10E36829" w14:textId="7E76A3CD" w:rsidR="00CC6203" w:rsidRDefault="00CC6203" w:rsidP="007E2879">
      <w:pPr>
        <w:rPr>
          <w:rFonts w:cs="Arial"/>
          <w:sz w:val="24"/>
        </w:rPr>
      </w:pPr>
      <w:r>
        <w:rPr>
          <w:rFonts w:cs="Arial"/>
          <w:sz w:val="24"/>
        </w:rPr>
        <w:t>Clinical presentation</w:t>
      </w:r>
      <w:r w:rsidR="00C87D2A">
        <w:rPr>
          <w:rFonts w:cs="Arial"/>
          <w:sz w:val="24"/>
        </w:rPr>
        <w:t xml:space="preserve"> of cases was determined by interrogation of ICD-10 codes contained within HES records for each case.  All potential codes associated with an admission were analysed</w:t>
      </w:r>
      <w:r w:rsidR="00057930">
        <w:rPr>
          <w:rFonts w:cs="Arial"/>
          <w:sz w:val="24"/>
        </w:rPr>
        <w:t>, with clinical diagnosis cross checked with specimen site</w:t>
      </w:r>
      <w:r w:rsidR="00C87D2A">
        <w:rPr>
          <w:rFonts w:cs="Arial"/>
          <w:sz w:val="24"/>
        </w:rPr>
        <w:t>. Presentation was</w:t>
      </w:r>
      <w:r>
        <w:rPr>
          <w:rFonts w:cs="Arial"/>
          <w:sz w:val="24"/>
        </w:rPr>
        <w:t xml:space="preserve"> analysed in terms of meningitis only, septicaemia only, meningitis and septicaemia, or other IMD. </w:t>
      </w:r>
      <w:r w:rsidRPr="007E2879">
        <w:rPr>
          <w:rFonts w:cs="Arial"/>
          <w:sz w:val="24"/>
        </w:rPr>
        <w:t xml:space="preserve"> For other presentations</w:t>
      </w:r>
      <w:r>
        <w:rPr>
          <w:rFonts w:cs="Arial"/>
          <w:sz w:val="24"/>
        </w:rPr>
        <w:t>,</w:t>
      </w:r>
      <w:r w:rsidRPr="007E2879">
        <w:rPr>
          <w:rFonts w:cs="Arial"/>
          <w:sz w:val="24"/>
        </w:rPr>
        <w:t xml:space="preserve"> case</w:t>
      </w:r>
      <w:r>
        <w:rPr>
          <w:rFonts w:cs="Arial"/>
          <w:sz w:val="24"/>
        </w:rPr>
        <w:t>s</w:t>
      </w:r>
      <w:r w:rsidRPr="007E2879">
        <w:rPr>
          <w:rFonts w:cs="Arial"/>
          <w:sz w:val="24"/>
        </w:rPr>
        <w:t xml:space="preserve"> must </w:t>
      </w:r>
      <w:r w:rsidR="00BA0891">
        <w:rPr>
          <w:rFonts w:cs="Arial"/>
          <w:sz w:val="24"/>
        </w:rPr>
        <w:t>have</w:t>
      </w:r>
      <w:r w:rsidR="00070501">
        <w:rPr>
          <w:rFonts w:cs="Arial"/>
          <w:sz w:val="24"/>
        </w:rPr>
        <w:t xml:space="preserve"> an </w:t>
      </w:r>
      <w:r>
        <w:rPr>
          <w:rFonts w:cs="Arial"/>
          <w:sz w:val="24"/>
        </w:rPr>
        <w:t>‘</w:t>
      </w:r>
      <w:r w:rsidRPr="007E2879">
        <w:rPr>
          <w:rFonts w:cs="Arial"/>
          <w:sz w:val="24"/>
        </w:rPr>
        <w:t>ot</w:t>
      </w:r>
      <w:r>
        <w:rPr>
          <w:rFonts w:cs="Arial"/>
          <w:sz w:val="24"/>
        </w:rPr>
        <w:t>her’</w:t>
      </w:r>
      <w:r w:rsidRPr="007E2879">
        <w:rPr>
          <w:rFonts w:cs="Arial"/>
          <w:sz w:val="24"/>
        </w:rPr>
        <w:t xml:space="preserve"> IMD code </w:t>
      </w:r>
      <w:r w:rsidR="00493E6C" w:rsidRPr="00E25CF7">
        <w:rPr>
          <w:rFonts w:cs="Arial"/>
          <w:color w:val="FF0000"/>
          <w:sz w:val="24"/>
        </w:rPr>
        <w:t>(meningococcal heart disease</w:t>
      </w:r>
      <w:r w:rsidR="00D03900" w:rsidRPr="00E25CF7">
        <w:rPr>
          <w:rFonts w:cs="Arial"/>
          <w:color w:val="FF0000"/>
          <w:sz w:val="24"/>
        </w:rPr>
        <w:t>/</w:t>
      </w:r>
      <w:r w:rsidR="00057930" w:rsidRPr="00E25CF7">
        <w:rPr>
          <w:rFonts w:cs="Arial"/>
          <w:color w:val="FF0000"/>
          <w:sz w:val="24"/>
        </w:rPr>
        <w:t xml:space="preserve"> </w:t>
      </w:r>
      <w:r w:rsidR="00493E6C" w:rsidRPr="00E25CF7">
        <w:rPr>
          <w:rFonts w:cs="Arial"/>
          <w:color w:val="FF0000"/>
          <w:sz w:val="24"/>
        </w:rPr>
        <w:t>carditis</w:t>
      </w:r>
      <w:r w:rsidR="00D03900" w:rsidRPr="00E25CF7">
        <w:rPr>
          <w:rFonts w:cs="Arial"/>
          <w:color w:val="FF0000"/>
          <w:sz w:val="24"/>
        </w:rPr>
        <w:t>/</w:t>
      </w:r>
      <w:r w:rsidR="00057930" w:rsidRPr="00E25CF7">
        <w:rPr>
          <w:rFonts w:cs="Arial"/>
          <w:color w:val="FF0000"/>
          <w:sz w:val="24"/>
        </w:rPr>
        <w:t xml:space="preserve"> </w:t>
      </w:r>
      <w:r w:rsidR="00D03900" w:rsidRPr="00E25CF7">
        <w:rPr>
          <w:rFonts w:cs="Arial"/>
          <w:color w:val="FF0000"/>
          <w:sz w:val="24"/>
        </w:rPr>
        <w:t>endocarditis/</w:t>
      </w:r>
      <w:r w:rsidR="00057930" w:rsidRPr="00E25CF7">
        <w:rPr>
          <w:rFonts w:cs="Arial"/>
          <w:color w:val="FF0000"/>
          <w:sz w:val="24"/>
        </w:rPr>
        <w:t xml:space="preserve"> </w:t>
      </w:r>
      <w:r w:rsidR="00D03900" w:rsidRPr="00E25CF7">
        <w:rPr>
          <w:rFonts w:cs="Arial"/>
          <w:color w:val="FF0000"/>
          <w:sz w:val="24"/>
        </w:rPr>
        <w:t>myocarditis/</w:t>
      </w:r>
      <w:r w:rsidR="00057930" w:rsidRPr="00E25CF7">
        <w:rPr>
          <w:rFonts w:cs="Arial"/>
          <w:color w:val="FF0000"/>
          <w:sz w:val="24"/>
        </w:rPr>
        <w:t xml:space="preserve"> </w:t>
      </w:r>
      <w:r w:rsidR="00D03900" w:rsidRPr="00E25CF7">
        <w:rPr>
          <w:rFonts w:cs="Arial"/>
          <w:color w:val="FF0000"/>
          <w:sz w:val="24"/>
        </w:rPr>
        <w:t>pericarditis, other meningococcal infe</w:t>
      </w:r>
      <w:r w:rsidR="00B21BFF" w:rsidRPr="00E25CF7">
        <w:rPr>
          <w:rFonts w:cs="Arial"/>
          <w:color w:val="FF0000"/>
          <w:sz w:val="24"/>
        </w:rPr>
        <w:t>ctions, meningococcal arthritis</w:t>
      </w:r>
      <w:r w:rsidR="00493E6C" w:rsidRPr="00E25CF7">
        <w:rPr>
          <w:rFonts w:cs="Arial"/>
          <w:color w:val="FF0000"/>
          <w:sz w:val="24"/>
        </w:rPr>
        <w:t>)</w:t>
      </w:r>
      <w:r w:rsidR="00493E6C">
        <w:rPr>
          <w:rFonts w:cs="Arial"/>
          <w:sz w:val="24"/>
        </w:rPr>
        <w:t xml:space="preserve"> </w:t>
      </w:r>
      <w:r w:rsidR="00BA0891">
        <w:rPr>
          <w:rFonts w:cs="Arial"/>
          <w:sz w:val="24"/>
        </w:rPr>
        <w:t>and</w:t>
      </w:r>
      <w:r w:rsidRPr="007E2879">
        <w:rPr>
          <w:rFonts w:cs="Arial"/>
          <w:sz w:val="24"/>
        </w:rPr>
        <w:t xml:space="preserve"> be negative </w:t>
      </w:r>
      <w:r w:rsidR="00B21BFF">
        <w:rPr>
          <w:rFonts w:cs="Arial"/>
          <w:sz w:val="24"/>
        </w:rPr>
        <w:t>for meningitis and septicaemia</w:t>
      </w:r>
      <w:r>
        <w:rPr>
          <w:rFonts w:cs="Arial"/>
          <w:sz w:val="24"/>
        </w:rPr>
        <w:t>.</w:t>
      </w:r>
      <w:r w:rsidR="00B21BFF">
        <w:rPr>
          <w:rFonts w:cs="Arial"/>
          <w:sz w:val="24"/>
        </w:rPr>
        <w:t xml:space="preserve"> </w:t>
      </w:r>
      <w:r>
        <w:rPr>
          <w:rFonts w:cs="Arial"/>
          <w:sz w:val="24"/>
        </w:rPr>
        <w:t>See appendix 1 for details of ICD-10 codes used to code clinical presentation,</w:t>
      </w:r>
    </w:p>
    <w:p w14:paraId="7F1FBA4B" w14:textId="77777777" w:rsidR="00DA6E63" w:rsidRPr="00BE1566" w:rsidRDefault="00C269F5" w:rsidP="00CC6203">
      <w:pPr>
        <w:rPr>
          <w:rFonts w:cs="Arial"/>
          <w:sz w:val="24"/>
        </w:rPr>
      </w:pPr>
      <w:r w:rsidRPr="007E2879">
        <w:rPr>
          <w:rFonts w:cs="Arial"/>
          <w:sz w:val="24"/>
        </w:rPr>
        <w:t xml:space="preserve"> </w:t>
      </w:r>
    </w:p>
    <w:p w14:paraId="7F3AC16F" w14:textId="77777777" w:rsidR="002346B3" w:rsidRPr="00BE1566" w:rsidRDefault="002346B3" w:rsidP="002346B3">
      <w:pPr>
        <w:pStyle w:val="Heading2"/>
        <w:spacing w:line="480" w:lineRule="auto"/>
        <w:rPr>
          <w:rFonts w:eastAsia="Times New Roman"/>
          <w:bCs w:val="0"/>
          <w:sz w:val="24"/>
          <w:szCs w:val="24"/>
        </w:rPr>
      </w:pPr>
      <w:r w:rsidRPr="00BE1566">
        <w:rPr>
          <w:rFonts w:eastAsia="Times New Roman"/>
          <w:bCs w:val="0"/>
          <w:sz w:val="24"/>
          <w:szCs w:val="24"/>
        </w:rPr>
        <w:t>Ethics Statement</w:t>
      </w:r>
    </w:p>
    <w:p w14:paraId="0C1BB8A3" w14:textId="77777777" w:rsidR="00B35E33" w:rsidRDefault="007E61E1" w:rsidP="00002193">
      <w:pPr>
        <w:pStyle w:val="Heading1"/>
        <w:rPr>
          <w:rFonts w:eastAsiaTheme="minorHAnsi"/>
          <w:b w:val="0"/>
          <w:bCs w:val="0"/>
          <w:sz w:val="24"/>
          <w:szCs w:val="24"/>
        </w:rPr>
      </w:pPr>
      <w:r w:rsidRPr="00883A16">
        <w:rPr>
          <w:rFonts w:eastAsiaTheme="minorHAnsi"/>
          <w:b w:val="0"/>
          <w:bCs w:val="0"/>
          <w:sz w:val="24"/>
          <w:szCs w:val="24"/>
        </w:rPr>
        <w:t>PHE has legal permission, provided by Regulation 3 of The Health Service (Control of Patient Information) Regulations 2002, to process patient confidential information for national surveillance of communicable diseases (</w:t>
      </w:r>
      <w:hyperlink r:id="rId11" w:tgtFrame="_blank" w:history="1">
        <w:r w:rsidRPr="00883A16">
          <w:rPr>
            <w:rFonts w:eastAsiaTheme="minorHAnsi"/>
            <w:b w:val="0"/>
            <w:bCs w:val="0"/>
            <w:sz w:val="24"/>
            <w:szCs w:val="24"/>
          </w:rPr>
          <w:t>http://www.legislation.gov.uk/uksi/2002/1438/regulation/3/made</w:t>
        </w:r>
      </w:hyperlink>
      <w:r w:rsidRPr="00883A16">
        <w:rPr>
          <w:rFonts w:eastAsiaTheme="minorHAnsi"/>
          <w:b w:val="0"/>
          <w:bCs w:val="0"/>
          <w:sz w:val="24"/>
          <w:szCs w:val="24"/>
        </w:rPr>
        <w:t>). </w:t>
      </w:r>
      <w:r w:rsidR="00290B4B" w:rsidRPr="00883A16">
        <w:rPr>
          <w:rFonts w:eastAsiaTheme="minorHAnsi"/>
          <w:b w:val="0"/>
          <w:bCs w:val="0"/>
          <w:sz w:val="24"/>
          <w:szCs w:val="24"/>
        </w:rPr>
        <w:t xml:space="preserve">For meningococcal disease, PHE has </w:t>
      </w:r>
      <w:r w:rsidRPr="00883A16">
        <w:rPr>
          <w:rFonts w:eastAsiaTheme="minorHAnsi"/>
          <w:b w:val="0"/>
          <w:bCs w:val="0"/>
          <w:sz w:val="24"/>
          <w:szCs w:val="24"/>
        </w:rPr>
        <w:t xml:space="preserve">specific permissions </w:t>
      </w:r>
      <w:r w:rsidR="00290B4B" w:rsidRPr="00883A16">
        <w:rPr>
          <w:rFonts w:eastAsiaTheme="minorHAnsi"/>
          <w:b w:val="0"/>
          <w:bCs w:val="0"/>
          <w:sz w:val="24"/>
          <w:szCs w:val="24"/>
        </w:rPr>
        <w:t xml:space="preserve">to link </w:t>
      </w:r>
      <w:r w:rsidRPr="00883A16">
        <w:rPr>
          <w:rFonts w:eastAsiaTheme="minorHAnsi"/>
          <w:b w:val="0"/>
          <w:bCs w:val="0"/>
          <w:sz w:val="24"/>
          <w:szCs w:val="24"/>
        </w:rPr>
        <w:t xml:space="preserve">national </w:t>
      </w:r>
      <w:r w:rsidR="00290B4B" w:rsidRPr="00883A16">
        <w:rPr>
          <w:rFonts w:eastAsiaTheme="minorHAnsi"/>
          <w:b w:val="0"/>
          <w:bCs w:val="0"/>
          <w:sz w:val="24"/>
          <w:szCs w:val="24"/>
        </w:rPr>
        <w:t xml:space="preserve">datasets using available identifiers. </w:t>
      </w:r>
    </w:p>
    <w:p w14:paraId="1E86FBB1" w14:textId="77777777" w:rsidR="00690743" w:rsidRDefault="002D76F5" w:rsidP="00690743">
      <w:pPr>
        <w:pStyle w:val="Heading1"/>
      </w:pPr>
      <w:bookmarkStart w:id="1" w:name="_Toc428982213"/>
      <w:r w:rsidRPr="00883A16">
        <w:rPr>
          <w:sz w:val="28"/>
          <w:szCs w:val="24"/>
        </w:rPr>
        <w:t>RESULTS</w:t>
      </w:r>
      <w:bookmarkEnd w:id="1"/>
    </w:p>
    <w:p w14:paraId="3B726ACD" w14:textId="77777777" w:rsidR="00C96570" w:rsidRPr="00516527" w:rsidRDefault="00002193" w:rsidP="00002193">
      <w:pPr>
        <w:rPr>
          <w:rFonts w:cs="Arial"/>
          <w:sz w:val="24"/>
        </w:rPr>
      </w:pPr>
      <w:r w:rsidRPr="00EB3B36">
        <w:rPr>
          <w:rFonts w:cs="Arial"/>
          <w:sz w:val="24"/>
        </w:rPr>
        <w:t>4,</w:t>
      </w:r>
      <w:r w:rsidR="00D15239" w:rsidRPr="00EB3B36">
        <w:rPr>
          <w:rFonts w:cs="Arial"/>
          <w:sz w:val="24"/>
        </w:rPr>
        <w:t>619</w:t>
      </w:r>
      <w:r w:rsidRPr="00EB3B36">
        <w:rPr>
          <w:rFonts w:cs="Arial"/>
          <w:sz w:val="24"/>
        </w:rPr>
        <w:t xml:space="preserve"> of </w:t>
      </w:r>
      <w:r w:rsidR="003B16F6" w:rsidRPr="00EB3B36">
        <w:rPr>
          <w:rFonts w:cs="Arial"/>
          <w:sz w:val="24"/>
        </w:rPr>
        <w:t xml:space="preserve">5,115 </w:t>
      </w:r>
      <w:r w:rsidR="008A3E7E" w:rsidRPr="00EB3B36">
        <w:rPr>
          <w:rFonts w:cs="Arial"/>
          <w:sz w:val="24"/>
        </w:rPr>
        <w:t>(90%)</w:t>
      </w:r>
      <w:r w:rsidR="001C0000">
        <w:rPr>
          <w:rFonts w:cs="Arial"/>
          <w:sz w:val="24"/>
        </w:rPr>
        <w:t xml:space="preserve"> </w:t>
      </w:r>
      <w:r w:rsidR="00EA2935" w:rsidRPr="00EB3B36">
        <w:rPr>
          <w:rFonts w:cs="Arial"/>
          <w:sz w:val="24"/>
        </w:rPr>
        <w:t xml:space="preserve">IMD cases </w:t>
      </w:r>
      <w:r w:rsidR="00EA2935">
        <w:rPr>
          <w:rFonts w:cs="Arial"/>
          <w:sz w:val="24"/>
        </w:rPr>
        <w:t xml:space="preserve">confirmed by </w:t>
      </w:r>
      <w:r w:rsidRPr="00EB3B36">
        <w:rPr>
          <w:rFonts w:cs="Arial"/>
          <w:sz w:val="24"/>
        </w:rPr>
        <w:t xml:space="preserve">the </w:t>
      </w:r>
      <w:r w:rsidR="00EA2935">
        <w:rPr>
          <w:rFonts w:cs="Arial"/>
          <w:sz w:val="24"/>
        </w:rPr>
        <w:t xml:space="preserve">Meningococcal Reference Unit </w:t>
      </w:r>
      <w:r w:rsidRPr="00EB3B36">
        <w:rPr>
          <w:rFonts w:cs="Arial"/>
          <w:sz w:val="24"/>
        </w:rPr>
        <w:t xml:space="preserve">linked to hospitalised cases </w:t>
      </w:r>
      <w:r w:rsidRPr="006520AE">
        <w:rPr>
          <w:rFonts w:cs="Arial"/>
          <w:sz w:val="24"/>
        </w:rPr>
        <w:t>in the HES database</w:t>
      </w:r>
      <w:r w:rsidR="00A7436E">
        <w:rPr>
          <w:rFonts w:cs="Arial"/>
          <w:sz w:val="24"/>
        </w:rPr>
        <w:t>,</w:t>
      </w:r>
      <w:r w:rsidR="00BD730C" w:rsidRPr="006520AE">
        <w:rPr>
          <w:rFonts w:cs="Arial"/>
          <w:sz w:val="24"/>
        </w:rPr>
        <w:t xml:space="preserve"> and were coded as </w:t>
      </w:r>
      <w:r w:rsidR="00EA2935">
        <w:rPr>
          <w:rFonts w:cs="Arial"/>
          <w:sz w:val="24"/>
        </w:rPr>
        <w:t xml:space="preserve">A39* </w:t>
      </w:r>
      <w:r w:rsidR="00BD730C" w:rsidRPr="006520AE">
        <w:rPr>
          <w:rFonts w:cs="Arial"/>
          <w:sz w:val="24"/>
        </w:rPr>
        <w:t>“meningococcal disease” (n=</w:t>
      </w:r>
      <w:r w:rsidR="000B7634" w:rsidRPr="006520AE">
        <w:rPr>
          <w:rFonts w:cs="Arial"/>
          <w:sz w:val="24"/>
        </w:rPr>
        <w:t>3,935</w:t>
      </w:r>
      <w:r w:rsidR="00BD730C" w:rsidRPr="006520AE">
        <w:rPr>
          <w:rFonts w:cs="Arial"/>
          <w:sz w:val="24"/>
        </w:rPr>
        <w:t xml:space="preserve">, </w:t>
      </w:r>
      <w:r w:rsidR="0084296E" w:rsidRPr="006520AE">
        <w:rPr>
          <w:rFonts w:cs="Arial"/>
          <w:sz w:val="24"/>
        </w:rPr>
        <w:t>76</w:t>
      </w:r>
      <w:r w:rsidR="001A7C08" w:rsidRPr="006520AE">
        <w:rPr>
          <w:rFonts w:cs="Arial"/>
          <w:sz w:val="24"/>
        </w:rPr>
        <w:t>·</w:t>
      </w:r>
      <w:r w:rsidR="0084296E" w:rsidRPr="006520AE">
        <w:rPr>
          <w:rFonts w:cs="Arial"/>
          <w:sz w:val="24"/>
        </w:rPr>
        <w:t>93%</w:t>
      </w:r>
      <w:r w:rsidR="00BD730C" w:rsidRPr="006520AE">
        <w:rPr>
          <w:rFonts w:cs="Arial"/>
          <w:sz w:val="24"/>
        </w:rPr>
        <w:t xml:space="preserve">%), </w:t>
      </w:r>
      <w:r w:rsidR="00EA2935">
        <w:rPr>
          <w:rFonts w:cs="Arial"/>
          <w:sz w:val="24"/>
        </w:rPr>
        <w:t xml:space="preserve">G00* </w:t>
      </w:r>
      <w:r w:rsidR="00BD730C" w:rsidRPr="006520AE">
        <w:rPr>
          <w:rFonts w:cs="Arial"/>
          <w:sz w:val="24"/>
        </w:rPr>
        <w:t>“bacterial meningo-encephalitis” (n=</w:t>
      </w:r>
      <w:r w:rsidR="000B7634" w:rsidRPr="006520AE">
        <w:rPr>
          <w:rFonts w:cs="Arial"/>
          <w:sz w:val="24"/>
        </w:rPr>
        <w:t>340</w:t>
      </w:r>
      <w:r w:rsidR="00BD730C" w:rsidRPr="006520AE">
        <w:rPr>
          <w:rFonts w:cs="Arial"/>
          <w:sz w:val="24"/>
        </w:rPr>
        <w:t xml:space="preserve">, </w:t>
      </w:r>
      <w:r w:rsidR="0084296E" w:rsidRPr="006520AE">
        <w:rPr>
          <w:rFonts w:cs="Arial"/>
          <w:sz w:val="24"/>
        </w:rPr>
        <w:t>6</w:t>
      </w:r>
      <w:r w:rsidR="001A7C08" w:rsidRPr="006520AE">
        <w:rPr>
          <w:rFonts w:cs="Arial"/>
          <w:sz w:val="24"/>
        </w:rPr>
        <w:t>·</w:t>
      </w:r>
      <w:r w:rsidR="0084296E" w:rsidRPr="006520AE">
        <w:rPr>
          <w:rFonts w:cs="Arial"/>
          <w:sz w:val="24"/>
        </w:rPr>
        <w:t>65</w:t>
      </w:r>
      <w:r w:rsidR="00BD730C" w:rsidRPr="006520AE">
        <w:rPr>
          <w:rFonts w:cs="Arial"/>
          <w:sz w:val="24"/>
        </w:rPr>
        <w:t>%) or another infection-related ICD-10 code (n=</w:t>
      </w:r>
      <w:r w:rsidR="000B7634" w:rsidRPr="006520AE">
        <w:rPr>
          <w:rFonts w:cs="Arial"/>
          <w:sz w:val="24"/>
        </w:rPr>
        <w:t>840</w:t>
      </w:r>
      <w:r w:rsidR="00BD730C" w:rsidRPr="006520AE">
        <w:rPr>
          <w:rFonts w:cs="Arial"/>
          <w:sz w:val="24"/>
        </w:rPr>
        <w:t xml:space="preserve">, </w:t>
      </w:r>
      <w:r w:rsidR="0084296E" w:rsidRPr="006520AE">
        <w:rPr>
          <w:rFonts w:cs="Arial"/>
          <w:sz w:val="24"/>
        </w:rPr>
        <w:t>16</w:t>
      </w:r>
      <w:r w:rsidR="001A7C08" w:rsidRPr="006520AE">
        <w:rPr>
          <w:rFonts w:cs="Arial"/>
          <w:sz w:val="24"/>
        </w:rPr>
        <w:t>·</w:t>
      </w:r>
      <w:r w:rsidR="0084296E" w:rsidRPr="006520AE">
        <w:rPr>
          <w:rFonts w:cs="Arial"/>
          <w:sz w:val="24"/>
        </w:rPr>
        <w:t>42</w:t>
      </w:r>
      <w:r w:rsidR="00BD730C" w:rsidRPr="006520AE">
        <w:rPr>
          <w:rFonts w:cs="Arial"/>
          <w:sz w:val="24"/>
        </w:rPr>
        <w:t>%).</w:t>
      </w:r>
      <w:r w:rsidR="001C0000">
        <w:rPr>
          <w:rFonts w:cs="Arial"/>
          <w:sz w:val="24"/>
        </w:rPr>
        <w:t xml:space="preserve"> Most of the remaining </w:t>
      </w:r>
      <w:r w:rsidR="001C0000" w:rsidRPr="00BE1566">
        <w:rPr>
          <w:rFonts w:cs="Arial"/>
          <w:sz w:val="24"/>
        </w:rPr>
        <w:t>unmatched</w:t>
      </w:r>
      <w:r w:rsidR="001C0000">
        <w:rPr>
          <w:rFonts w:cs="Arial"/>
          <w:sz w:val="24"/>
        </w:rPr>
        <w:t>,</w:t>
      </w:r>
      <w:r w:rsidR="001C0000" w:rsidRPr="00BE1566">
        <w:rPr>
          <w:rFonts w:cs="Arial"/>
          <w:sz w:val="24"/>
        </w:rPr>
        <w:t xml:space="preserve"> MRU-confirmed cases did not have sufficient identifiers for successful linkage or died prior to hospital admission</w:t>
      </w:r>
      <w:r w:rsidR="001C0000">
        <w:rPr>
          <w:rFonts w:cs="Arial"/>
          <w:sz w:val="24"/>
        </w:rPr>
        <w:t>.</w:t>
      </w:r>
      <w:r w:rsidRPr="006520AE">
        <w:rPr>
          <w:rFonts w:cs="Arial"/>
          <w:sz w:val="24"/>
        </w:rPr>
        <w:t xml:space="preserve"> </w:t>
      </w:r>
      <w:r w:rsidR="00F320BD" w:rsidRPr="006520AE">
        <w:rPr>
          <w:rFonts w:cs="Arial"/>
          <w:sz w:val="24"/>
        </w:rPr>
        <w:t xml:space="preserve">IMD cases declined over the five-year period, but </w:t>
      </w:r>
      <w:r w:rsidRPr="006520AE">
        <w:rPr>
          <w:rFonts w:cs="Arial"/>
          <w:sz w:val="24"/>
        </w:rPr>
        <w:t>the age and gender distribution, capsu</w:t>
      </w:r>
      <w:r w:rsidR="007E2879" w:rsidRPr="006520AE">
        <w:rPr>
          <w:rFonts w:cs="Arial"/>
          <w:sz w:val="24"/>
        </w:rPr>
        <w:t xml:space="preserve">lar group and </w:t>
      </w:r>
      <w:r w:rsidR="00EA2935">
        <w:rPr>
          <w:rFonts w:cs="Arial"/>
          <w:sz w:val="24"/>
        </w:rPr>
        <w:t xml:space="preserve">CFR </w:t>
      </w:r>
      <w:r w:rsidRPr="006520AE">
        <w:rPr>
          <w:rFonts w:cs="Arial"/>
          <w:sz w:val="24"/>
        </w:rPr>
        <w:t xml:space="preserve">were </w:t>
      </w:r>
      <w:r w:rsidR="008A3E7E" w:rsidRPr="006520AE">
        <w:rPr>
          <w:rFonts w:cs="Arial"/>
          <w:sz w:val="24"/>
        </w:rPr>
        <w:t>similar</w:t>
      </w:r>
      <w:r w:rsidR="00F320BD" w:rsidRPr="006520AE">
        <w:rPr>
          <w:rFonts w:cs="Arial"/>
          <w:sz w:val="24"/>
        </w:rPr>
        <w:t>;</w:t>
      </w:r>
      <w:r w:rsidR="008A3E7E" w:rsidRPr="006520AE">
        <w:rPr>
          <w:rFonts w:cs="Arial"/>
          <w:sz w:val="24"/>
        </w:rPr>
        <w:t xml:space="preserve"> </w:t>
      </w:r>
      <w:r w:rsidRPr="006520AE">
        <w:rPr>
          <w:rFonts w:cs="Arial"/>
          <w:sz w:val="24"/>
        </w:rPr>
        <w:t xml:space="preserve">therefore, all cases were combined for further analysis. The </w:t>
      </w:r>
      <w:r w:rsidR="00F320BD" w:rsidRPr="006520AE">
        <w:rPr>
          <w:rFonts w:cs="Arial"/>
          <w:sz w:val="24"/>
        </w:rPr>
        <w:t xml:space="preserve">mean annual </w:t>
      </w:r>
      <w:r w:rsidRPr="006520AE">
        <w:rPr>
          <w:rFonts w:cs="Arial"/>
          <w:sz w:val="24"/>
        </w:rPr>
        <w:t>incidence</w:t>
      </w:r>
      <w:r w:rsidR="008D4154" w:rsidRPr="006520AE">
        <w:rPr>
          <w:rFonts w:cs="Arial"/>
          <w:sz w:val="24"/>
        </w:rPr>
        <w:t xml:space="preserve"> for hospitalised IMD cases </w:t>
      </w:r>
      <w:r w:rsidRPr="006520AE">
        <w:rPr>
          <w:rFonts w:cs="Arial"/>
          <w:sz w:val="24"/>
        </w:rPr>
        <w:t>was 1</w:t>
      </w:r>
      <w:r w:rsidR="001A7C08" w:rsidRPr="006520AE">
        <w:rPr>
          <w:rFonts w:cs="Arial"/>
          <w:sz w:val="24"/>
        </w:rPr>
        <w:t>·</w:t>
      </w:r>
      <w:r w:rsidR="000D0788" w:rsidRPr="006520AE">
        <w:rPr>
          <w:rFonts w:cs="Arial"/>
          <w:sz w:val="24"/>
        </w:rPr>
        <w:t>77</w:t>
      </w:r>
      <w:r w:rsidRPr="006520AE">
        <w:rPr>
          <w:rFonts w:cs="Arial"/>
          <w:sz w:val="24"/>
        </w:rPr>
        <w:t xml:space="preserve"> (95% CI, </w:t>
      </w:r>
      <w:r w:rsidR="000D0788" w:rsidRPr="006520AE">
        <w:rPr>
          <w:rFonts w:cs="Arial"/>
          <w:sz w:val="24"/>
        </w:rPr>
        <w:t>1</w:t>
      </w:r>
      <w:r w:rsidR="001A7C08" w:rsidRPr="006520AE">
        <w:rPr>
          <w:rFonts w:cs="Arial"/>
          <w:sz w:val="24"/>
        </w:rPr>
        <w:t>·</w:t>
      </w:r>
      <w:r w:rsidR="000D0788" w:rsidRPr="006520AE">
        <w:rPr>
          <w:rFonts w:cs="Arial"/>
          <w:sz w:val="24"/>
        </w:rPr>
        <w:t>72-1</w:t>
      </w:r>
      <w:r w:rsidR="001A7C08" w:rsidRPr="006520AE">
        <w:rPr>
          <w:rFonts w:cs="Arial"/>
          <w:sz w:val="24"/>
        </w:rPr>
        <w:t>·</w:t>
      </w:r>
      <w:r w:rsidR="000D0788" w:rsidRPr="006520AE">
        <w:rPr>
          <w:rFonts w:cs="Arial"/>
          <w:sz w:val="24"/>
        </w:rPr>
        <w:t>82</w:t>
      </w:r>
      <w:r w:rsidR="0074620F" w:rsidRPr="006520AE">
        <w:rPr>
          <w:rFonts w:cs="Arial"/>
          <w:sz w:val="24"/>
        </w:rPr>
        <w:t xml:space="preserve">) per </w:t>
      </w:r>
      <w:r w:rsidRPr="006520AE">
        <w:rPr>
          <w:rFonts w:cs="Arial"/>
          <w:sz w:val="24"/>
        </w:rPr>
        <w:t xml:space="preserve">100,000 population </w:t>
      </w:r>
      <w:r w:rsidR="00FF6F48" w:rsidRPr="006520AE">
        <w:rPr>
          <w:rFonts w:cs="Arial"/>
          <w:sz w:val="24"/>
        </w:rPr>
        <w:t>(F</w:t>
      </w:r>
      <w:r w:rsidR="00E721B2" w:rsidRPr="006520AE">
        <w:rPr>
          <w:rFonts w:cs="Arial"/>
          <w:sz w:val="24"/>
        </w:rPr>
        <w:t>igure 1)</w:t>
      </w:r>
      <w:r w:rsidR="00200557" w:rsidRPr="006520AE">
        <w:rPr>
          <w:rFonts w:cs="Arial"/>
          <w:sz w:val="24"/>
        </w:rPr>
        <w:t>,</w:t>
      </w:r>
      <w:r w:rsidR="00E721B2" w:rsidRPr="006520AE">
        <w:rPr>
          <w:rFonts w:cs="Arial"/>
          <w:sz w:val="24"/>
        </w:rPr>
        <w:t xml:space="preserve"> </w:t>
      </w:r>
      <w:r w:rsidR="0048354C" w:rsidRPr="006520AE">
        <w:rPr>
          <w:rFonts w:cs="Arial"/>
          <w:sz w:val="24"/>
        </w:rPr>
        <w:t>with</w:t>
      </w:r>
      <w:r w:rsidRPr="006520AE">
        <w:rPr>
          <w:rFonts w:cs="Arial"/>
          <w:sz w:val="24"/>
        </w:rPr>
        <w:t xml:space="preserve"> </w:t>
      </w:r>
      <w:r w:rsidR="00BE0CB1" w:rsidRPr="006520AE">
        <w:rPr>
          <w:rFonts w:cs="Arial"/>
          <w:sz w:val="24"/>
        </w:rPr>
        <w:t xml:space="preserve">2,507/4,619 </w:t>
      </w:r>
      <w:r w:rsidRPr="006520AE">
        <w:rPr>
          <w:rFonts w:cs="Arial"/>
          <w:sz w:val="24"/>
        </w:rPr>
        <w:t>cases (</w:t>
      </w:r>
      <w:r w:rsidR="00BE0CB1" w:rsidRPr="006520AE">
        <w:rPr>
          <w:rFonts w:cs="Arial"/>
          <w:sz w:val="24"/>
        </w:rPr>
        <w:t>54</w:t>
      </w:r>
      <w:r w:rsidR="001A7C08" w:rsidRPr="006520AE">
        <w:rPr>
          <w:rFonts w:cs="Arial"/>
          <w:sz w:val="24"/>
        </w:rPr>
        <w:t>·</w:t>
      </w:r>
      <w:r w:rsidR="00BE0CB1" w:rsidRPr="006520AE">
        <w:rPr>
          <w:rFonts w:cs="Arial"/>
          <w:sz w:val="24"/>
        </w:rPr>
        <w:t>28</w:t>
      </w:r>
      <w:r w:rsidRPr="006520AE">
        <w:rPr>
          <w:rFonts w:cs="Arial"/>
          <w:sz w:val="24"/>
        </w:rPr>
        <w:t>%) diagnosed in children aged &lt;5 years, including</w:t>
      </w:r>
      <w:r w:rsidR="007508EA" w:rsidRPr="006520AE">
        <w:rPr>
          <w:rFonts w:cs="Arial"/>
          <w:sz w:val="24"/>
        </w:rPr>
        <w:t xml:space="preserve"> </w:t>
      </w:r>
      <w:r w:rsidR="00BE0CB1" w:rsidRPr="006520AE">
        <w:rPr>
          <w:rFonts w:cs="Arial"/>
          <w:sz w:val="24"/>
        </w:rPr>
        <w:t xml:space="preserve">1,115/4,619 </w:t>
      </w:r>
      <w:r w:rsidR="007508EA" w:rsidRPr="006520AE">
        <w:rPr>
          <w:rFonts w:cs="Arial"/>
          <w:sz w:val="24"/>
        </w:rPr>
        <w:t xml:space="preserve">cases </w:t>
      </w:r>
      <w:r w:rsidR="00BE0CB1" w:rsidRPr="006520AE">
        <w:rPr>
          <w:rFonts w:cs="Arial"/>
          <w:sz w:val="24"/>
        </w:rPr>
        <w:t>(24</w:t>
      </w:r>
      <w:r w:rsidR="001A7C08" w:rsidRPr="006520AE">
        <w:rPr>
          <w:rFonts w:cs="Arial"/>
          <w:sz w:val="24"/>
        </w:rPr>
        <w:t>·</w:t>
      </w:r>
      <w:r w:rsidR="00BE0CB1" w:rsidRPr="006520AE">
        <w:rPr>
          <w:rFonts w:cs="Arial"/>
          <w:sz w:val="24"/>
        </w:rPr>
        <w:t>14</w:t>
      </w:r>
      <w:r w:rsidRPr="006520AE">
        <w:rPr>
          <w:rFonts w:cs="Arial"/>
          <w:sz w:val="24"/>
        </w:rPr>
        <w:t>%) in infants (&lt;1 year-olds) (</w:t>
      </w:r>
      <w:r w:rsidR="0048354C" w:rsidRPr="006520AE">
        <w:rPr>
          <w:rFonts w:cs="Arial"/>
          <w:sz w:val="24"/>
        </w:rPr>
        <w:t xml:space="preserve">Figure </w:t>
      </w:r>
      <w:r w:rsidR="00E721B2" w:rsidRPr="006520AE">
        <w:rPr>
          <w:rFonts w:cs="Arial"/>
          <w:sz w:val="24"/>
        </w:rPr>
        <w:t>2</w:t>
      </w:r>
      <w:r w:rsidRPr="006520AE">
        <w:rPr>
          <w:rFonts w:cs="Arial"/>
          <w:sz w:val="24"/>
        </w:rPr>
        <w:t xml:space="preserve">). MenB </w:t>
      </w:r>
      <w:r w:rsidR="00EA2935">
        <w:rPr>
          <w:rFonts w:cs="Arial"/>
          <w:sz w:val="24"/>
        </w:rPr>
        <w:t xml:space="preserve">was responsible for the majority of cases </w:t>
      </w:r>
      <w:r w:rsidRPr="006520AE">
        <w:rPr>
          <w:rFonts w:cs="Arial"/>
          <w:sz w:val="24"/>
        </w:rPr>
        <w:t>(</w:t>
      </w:r>
      <w:r w:rsidR="00BE0CB1" w:rsidRPr="006520AE">
        <w:rPr>
          <w:rFonts w:cs="Arial"/>
          <w:sz w:val="24"/>
        </w:rPr>
        <w:t>n=4,034, 87</w:t>
      </w:r>
      <w:r w:rsidR="001A7C08" w:rsidRPr="006520AE">
        <w:rPr>
          <w:rFonts w:cs="Arial"/>
          <w:sz w:val="24"/>
        </w:rPr>
        <w:t>·</w:t>
      </w:r>
      <w:r w:rsidR="00BE0CB1" w:rsidRPr="006520AE">
        <w:rPr>
          <w:rFonts w:cs="Arial"/>
          <w:sz w:val="24"/>
        </w:rPr>
        <w:t xml:space="preserve">33%), </w:t>
      </w:r>
      <w:r w:rsidR="00F320BD" w:rsidRPr="006520AE">
        <w:rPr>
          <w:rFonts w:cs="Arial"/>
          <w:sz w:val="24"/>
        </w:rPr>
        <w:t xml:space="preserve">followed </w:t>
      </w:r>
      <w:r w:rsidR="00EA2935">
        <w:rPr>
          <w:rFonts w:cs="Arial"/>
          <w:sz w:val="24"/>
        </w:rPr>
        <w:t>by MenY (n=</w:t>
      </w:r>
      <w:r w:rsidR="00BE0CB1" w:rsidRPr="006520AE">
        <w:rPr>
          <w:rFonts w:cs="Arial"/>
          <w:sz w:val="24"/>
        </w:rPr>
        <w:t>242</w:t>
      </w:r>
      <w:r w:rsidR="00EA2935">
        <w:rPr>
          <w:rFonts w:cs="Arial"/>
          <w:sz w:val="24"/>
        </w:rPr>
        <w:t>,</w:t>
      </w:r>
      <w:r w:rsidR="00BD730C" w:rsidRPr="006520AE">
        <w:rPr>
          <w:rFonts w:cs="Arial"/>
          <w:sz w:val="24"/>
        </w:rPr>
        <w:t xml:space="preserve"> </w:t>
      </w:r>
      <w:r w:rsidR="00BE0CB1" w:rsidRPr="006520AE">
        <w:rPr>
          <w:rFonts w:cs="Arial"/>
          <w:sz w:val="24"/>
        </w:rPr>
        <w:t>5</w:t>
      </w:r>
      <w:r w:rsidR="001A7C08" w:rsidRPr="006520AE">
        <w:rPr>
          <w:rFonts w:cs="Arial"/>
          <w:sz w:val="24"/>
        </w:rPr>
        <w:t>·</w:t>
      </w:r>
      <w:r w:rsidR="00BE0CB1" w:rsidRPr="006520AE">
        <w:rPr>
          <w:rFonts w:cs="Arial"/>
          <w:sz w:val="24"/>
        </w:rPr>
        <w:t>24%)</w:t>
      </w:r>
      <w:r w:rsidR="00EA2935">
        <w:rPr>
          <w:rFonts w:cs="Arial"/>
          <w:sz w:val="24"/>
        </w:rPr>
        <w:t>,</w:t>
      </w:r>
      <w:r w:rsidR="00BE0CB1" w:rsidRPr="006520AE">
        <w:rPr>
          <w:rFonts w:cs="Arial"/>
          <w:sz w:val="24"/>
        </w:rPr>
        <w:t xml:space="preserve"> </w:t>
      </w:r>
      <w:r w:rsidR="00EA2935">
        <w:rPr>
          <w:rFonts w:cs="Arial"/>
          <w:sz w:val="24"/>
        </w:rPr>
        <w:t>MenW (n=</w:t>
      </w:r>
      <w:r w:rsidR="00EA2935" w:rsidRPr="006520AE">
        <w:rPr>
          <w:rFonts w:cs="Arial"/>
          <w:sz w:val="24"/>
        </w:rPr>
        <w:t>105</w:t>
      </w:r>
      <w:r w:rsidR="00EA2935">
        <w:rPr>
          <w:rFonts w:cs="Arial"/>
          <w:sz w:val="24"/>
        </w:rPr>
        <w:t xml:space="preserve">, </w:t>
      </w:r>
      <w:r w:rsidR="00EA2935" w:rsidRPr="006520AE">
        <w:rPr>
          <w:rFonts w:cs="Arial"/>
          <w:sz w:val="24"/>
        </w:rPr>
        <w:t>2·27%)</w:t>
      </w:r>
      <w:r w:rsidR="00EA2935">
        <w:rPr>
          <w:rFonts w:cs="Arial"/>
          <w:sz w:val="24"/>
        </w:rPr>
        <w:t xml:space="preserve">, </w:t>
      </w:r>
      <w:r w:rsidR="00EA2935" w:rsidRPr="006520AE">
        <w:rPr>
          <w:rFonts w:cs="Arial"/>
          <w:sz w:val="24"/>
        </w:rPr>
        <w:t xml:space="preserve">MenC (n=87, 1·88%), </w:t>
      </w:r>
      <w:r w:rsidR="00BE0CB1" w:rsidRPr="006520AE">
        <w:rPr>
          <w:rFonts w:cs="Arial"/>
          <w:sz w:val="24"/>
        </w:rPr>
        <w:t xml:space="preserve">and </w:t>
      </w:r>
      <w:r w:rsidR="00EA2935">
        <w:rPr>
          <w:rFonts w:cs="Arial"/>
          <w:sz w:val="24"/>
        </w:rPr>
        <w:t>other capsular groups (n=</w:t>
      </w:r>
      <w:r w:rsidR="00BE0CB1" w:rsidRPr="006520AE">
        <w:rPr>
          <w:rFonts w:cs="Arial"/>
          <w:sz w:val="24"/>
        </w:rPr>
        <w:t>151</w:t>
      </w:r>
      <w:r w:rsidR="00EA2935">
        <w:rPr>
          <w:rFonts w:cs="Arial"/>
          <w:sz w:val="24"/>
        </w:rPr>
        <w:t>,</w:t>
      </w:r>
      <w:r w:rsidR="00BD730C" w:rsidRPr="006520AE">
        <w:rPr>
          <w:rFonts w:cs="Arial"/>
          <w:sz w:val="24"/>
        </w:rPr>
        <w:t xml:space="preserve"> </w:t>
      </w:r>
      <w:r w:rsidR="00BE0CB1" w:rsidRPr="006520AE">
        <w:rPr>
          <w:rFonts w:cs="Arial"/>
          <w:sz w:val="24"/>
        </w:rPr>
        <w:t>3</w:t>
      </w:r>
      <w:r w:rsidR="001A7C08" w:rsidRPr="006520AE">
        <w:rPr>
          <w:rFonts w:cs="Arial"/>
          <w:sz w:val="24"/>
        </w:rPr>
        <w:t>·</w:t>
      </w:r>
      <w:r w:rsidR="00BE0CB1" w:rsidRPr="006520AE">
        <w:rPr>
          <w:rFonts w:cs="Arial"/>
          <w:sz w:val="24"/>
        </w:rPr>
        <w:t xml:space="preserve">27%). </w:t>
      </w:r>
      <w:r w:rsidR="00F320BD" w:rsidRPr="00516527">
        <w:rPr>
          <w:rFonts w:cs="Arial"/>
          <w:sz w:val="24"/>
        </w:rPr>
        <w:t>MenB was responsible for 93</w:t>
      </w:r>
      <w:r w:rsidR="001A7C08" w:rsidRPr="00516527">
        <w:rPr>
          <w:rFonts w:cs="Arial"/>
          <w:sz w:val="24"/>
        </w:rPr>
        <w:t>·</w:t>
      </w:r>
      <w:r w:rsidR="00F320BD" w:rsidRPr="00516527">
        <w:rPr>
          <w:rFonts w:cs="Arial"/>
          <w:sz w:val="24"/>
        </w:rPr>
        <w:t>56% (2,294/2,452)</w:t>
      </w:r>
      <w:r w:rsidR="00516527">
        <w:rPr>
          <w:rFonts w:cs="Arial"/>
          <w:sz w:val="24"/>
        </w:rPr>
        <w:t xml:space="preserve"> of cases</w:t>
      </w:r>
      <w:r w:rsidR="00F320BD" w:rsidRPr="00516527">
        <w:rPr>
          <w:rFonts w:cs="Arial"/>
          <w:sz w:val="24"/>
        </w:rPr>
        <w:t xml:space="preserve"> in &lt;15 year-olds and 53</w:t>
      </w:r>
      <w:r w:rsidR="001A7C08" w:rsidRPr="00516527">
        <w:rPr>
          <w:rFonts w:cs="Arial"/>
          <w:sz w:val="24"/>
        </w:rPr>
        <w:t>·</w:t>
      </w:r>
      <w:r w:rsidR="00F320BD" w:rsidRPr="00516527">
        <w:rPr>
          <w:rFonts w:cs="Arial"/>
          <w:sz w:val="24"/>
        </w:rPr>
        <w:t>52% (152/284) in ≥</w:t>
      </w:r>
      <w:r w:rsidR="00BE0CB1" w:rsidRPr="00516527">
        <w:rPr>
          <w:rFonts w:cs="Arial"/>
          <w:sz w:val="24"/>
        </w:rPr>
        <w:t>65 year-olds</w:t>
      </w:r>
      <w:r w:rsidR="00EF765E" w:rsidRPr="00516527">
        <w:rPr>
          <w:rFonts w:cs="Arial"/>
          <w:sz w:val="24"/>
        </w:rPr>
        <w:t xml:space="preserve"> (Figure 2</w:t>
      </w:r>
      <w:r w:rsidR="009A6825" w:rsidRPr="00516527">
        <w:rPr>
          <w:rFonts w:cs="Arial"/>
          <w:sz w:val="24"/>
        </w:rPr>
        <w:t>).</w:t>
      </w:r>
    </w:p>
    <w:p w14:paraId="2F780879" w14:textId="77777777" w:rsidR="00A9485E" w:rsidRPr="00BE1566" w:rsidRDefault="00A9485E" w:rsidP="00CD44D3">
      <w:pPr>
        <w:rPr>
          <w:rFonts w:cs="Arial"/>
          <w:b/>
          <w:sz w:val="24"/>
        </w:rPr>
      </w:pPr>
      <w:r w:rsidRPr="00BE1566">
        <w:rPr>
          <w:rFonts w:cs="Arial"/>
          <w:b/>
          <w:sz w:val="24"/>
        </w:rPr>
        <w:t>Clinical Presentation</w:t>
      </w:r>
    </w:p>
    <w:p w14:paraId="2AE9E72B" w14:textId="77777777" w:rsidR="00BE0CB1" w:rsidRPr="00DF1F75" w:rsidRDefault="00BE0CB1" w:rsidP="00BE0CB1">
      <w:pPr>
        <w:rPr>
          <w:rFonts w:cs="Arial"/>
          <w:i/>
          <w:sz w:val="24"/>
          <w:szCs w:val="22"/>
        </w:rPr>
      </w:pPr>
      <w:r w:rsidRPr="00DF1F75">
        <w:rPr>
          <w:rFonts w:cs="Arial"/>
          <w:sz w:val="24"/>
          <w:szCs w:val="22"/>
        </w:rPr>
        <w:t>Meningitis only (</w:t>
      </w:r>
      <w:r w:rsidR="00F84A75">
        <w:rPr>
          <w:rFonts w:cs="Arial"/>
          <w:sz w:val="24"/>
          <w:szCs w:val="22"/>
        </w:rPr>
        <w:t>n</w:t>
      </w:r>
      <w:r w:rsidR="00BD730C">
        <w:rPr>
          <w:rFonts w:cs="Arial"/>
          <w:sz w:val="24"/>
          <w:szCs w:val="22"/>
        </w:rPr>
        <w:t>=</w:t>
      </w:r>
      <w:r w:rsidR="00BD730C" w:rsidRPr="00DF1F75">
        <w:rPr>
          <w:rFonts w:cs="Arial"/>
          <w:sz w:val="24"/>
          <w:szCs w:val="22"/>
        </w:rPr>
        <w:t>2,057</w:t>
      </w:r>
      <w:r w:rsidR="00BD730C">
        <w:rPr>
          <w:rFonts w:cs="Arial"/>
          <w:sz w:val="24"/>
          <w:szCs w:val="22"/>
        </w:rPr>
        <w:t xml:space="preserve">, </w:t>
      </w:r>
      <w:r w:rsidRPr="00DF1F75">
        <w:rPr>
          <w:rFonts w:cs="Arial"/>
          <w:sz w:val="24"/>
          <w:szCs w:val="22"/>
        </w:rPr>
        <w:t>44</w:t>
      </w:r>
      <w:r w:rsidR="001A7C08">
        <w:rPr>
          <w:rFonts w:cs="Arial"/>
          <w:sz w:val="24"/>
        </w:rPr>
        <w:t>·</w:t>
      </w:r>
      <w:r w:rsidRPr="00DF1F75">
        <w:rPr>
          <w:rFonts w:cs="Arial"/>
          <w:sz w:val="24"/>
          <w:szCs w:val="22"/>
        </w:rPr>
        <w:t>53%) and septicaemia only (</w:t>
      </w:r>
      <w:r w:rsidR="00F84A75">
        <w:rPr>
          <w:rFonts w:cs="Arial"/>
          <w:sz w:val="24"/>
          <w:szCs w:val="22"/>
        </w:rPr>
        <w:t>n</w:t>
      </w:r>
      <w:r w:rsidR="00BD730C">
        <w:rPr>
          <w:rFonts w:cs="Arial"/>
          <w:sz w:val="24"/>
          <w:szCs w:val="22"/>
        </w:rPr>
        <w:t>=</w:t>
      </w:r>
      <w:r w:rsidR="00BD730C" w:rsidRPr="00DF1F75">
        <w:rPr>
          <w:rFonts w:cs="Arial"/>
          <w:sz w:val="24"/>
          <w:szCs w:val="22"/>
        </w:rPr>
        <w:t>1</w:t>
      </w:r>
      <w:r w:rsidR="0084296E">
        <w:rPr>
          <w:rFonts w:cs="Arial"/>
          <w:sz w:val="24"/>
          <w:szCs w:val="22"/>
        </w:rPr>
        <w:t>,</w:t>
      </w:r>
      <w:r w:rsidR="00BD730C" w:rsidRPr="00DF1F75">
        <w:rPr>
          <w:rFonts w:cs="Arial"/>
          <w:sz w:val="24"/>
          <w:szCs w:val="22"/>
        </w:rPr>
        <w:t>725</w:t>
      </w:r>
      <w:r w:rsidR="00BD730C">
        <w:rPr>
          <w:rFonts w:cs="Arial"/>
          <w:sz w:val="24"/>
          <w:szCs w:val="22"/>
        </w:rPr>
        <w:t xml:space="preserve">, </w:t>
      </w:r>
      <w:r w:rsidRPr="00DF1F75">
        <w:rPr>
          <w:rFonts w:cs="Arial"/>
          <w:sz w:val="24"/>
          <w:szCs w:val="22"/>
        </w:rPr>
        <w:t>37</w:t>
      </w:r>
      <w:r w:rsidR="001A7C08">
        <w:rPr>
          <w:rFonts w:cs="Arial"/>
          <w:sz w:val="24"/>
        </w:rPr>
        <w:t>·</w:t>
      </w:r>
      <w:r w:rsidRPr="00DF1F75">
        <w:rPr>
          <w:rFonts w:cs="Arial"/>
          <w:sz w:val="24"/>
          <w:szCs w:val="22"/>
        </w:rPr>
        <w:t>35%) account</w:t>
      </w:r>
      <w:r w:rsidR="006A4F8D">
        <w:rPr>
          <w:rFonts w:cs="Arial"/>
          <w:sz w:val="24"/>
          <w:szCs w:val="22"/>
        </w:rPr>
        <w:t>ed</w:t>
      </w:r>
      <w:r w:rsidRPr="00DF1F75">
        <w:rPr>
          <w:rFonts w:cs="Arial"/>
          <w:sz w:val="24"/>
          <w:szCs w:val="22"/>
        </w:rPr>
        <w:t xml:space="preserve"> for the majority of clinical presentations, </w:t>
      </w:r>
      <w:r w:rsidR="006A4F8D">
        <w:rPr>
          <w:rFonts w:cs="Arial"/>
          <w:sz w:val="24"/>
          <w:szCs w:val="22"/>
        </w:rPr>
        <w:t xml:space="preserve">while presentation with both </w:t>
      </w:r>
      <w:r w:rsidRPr="00DF1F75">
        <w:rPr>
          <w:rFonts w:cs="Arial"/>
          <w:sz w:val="24"/>
          <w:szCs w:val="22"/>
        </w:rPr>
        <w:t xml:space="preserve">meningitis and </w:t>
      </w:r>
      <w:r w:rsidRPr="006520AE">
        <w:rPr>
          <w:rFonts w:cs="Arial"/>
          <w:sz w:val="24"/>
          <w:szCs w:val="22"/>
        </w:rPr>
        <w:t xml:space="preserve">septicaemia </w:t>
      </w:r>
      <w:r w:rsidR="006A4F8D" w:rsidRPr="006520AE">
        <w:rPr>
          <w:rFonts w:cs="Arial"/>
          <w:sz w:val="24"/>
          <w:szCs w:val="22"/>
        </w:rPr>
        <w:t xml:space="preserve">was less common </w:t>
      </w:r>
      <w:r w:rsidRPr="006520AE">
        <w:rPr>
          <w:rFonts w:cs="Arial"/>
          <w:sz w:val="24"/>
          <w:szCs w:val="22"/>
        </w:rPr>
        <w:t>(</w:t>
      </w:r>
      <w:r w:rsidR="00F84A75">
        <w:rPr>
          <w:rFonts w:cs="Arial"/>
          <w:sz w:val="24"/>
          <w:szCs w:val="22"/>
        </w:rPr>
        <w:t>n</w:t>
      </w:r>
      <w:r w:rsidR="002D72CE" w:rsidRPr="006520AE">
        <w:rPr>
          <w:rFonts w:cs="Arial"/>
          <w:sz w:val="24"/>
          <w:szCs w:val="22"/>
        </w:rPr>
        <w:t xml:space="preserve">=389, </w:t>
      </w:r>
      <w:r w:rsidRPr="006520AE">
        <w:rPr>
          <w:rFonts w:cs="Arial"/>
          <w:sz w:val="24"/>
          <w:szCs w:val="22"/>
        </w:rPr>
        <w:t>8</w:t>
      </w:r>
      <w:r w:rsidR="001A7C08" w:rsidRPr="006520AE">
        <w:rPr>
          <w:rFonts w:cs="Arial"/>
          <w:sz w:val="24"/>
        </w:rPr>
        <w:t>·</w:t>
      </w:r>
      <w:r w:rsidRPr="006520AE">
        <w:rPr>
          <w:rFonts w:cs="Arial"/>
          <w:sz w:val="24"/>
          <w:szCs w:val="22"/>
        </w:rPr>
        <w:t xml:space="preserve">42%). </w:t>
      </w:r>
      <w:r w:rsidR="001D217B" w:rsidRPr="006520AE">
        <w:rPr>
          <w:rFonts w:cs="Arial"/>
          <w:sz w:val="24"/>
          <w:szCs w:val="22"/>
        </w:rPr>
        <w:t>Clinical present</w:t>
      </w:r>
      <w:r w:rsidR="003A0592" w:rsidRPr="006520AE">
        <w:rPr>
          <w:rFonts w:cs="Arial"/>
          <w:sz w:val="24"/>
          <w:szCs w:val="22"/>
        </w:rPr>
        <w:t>ation varied with age (Figure 3</w:t>
      </w:r>
      <w:r w:rsidR="00B35E33">
        <w:rPr>
          <w:rFonts w:cs="Arial"/>
          <w:sz w:val="24"/>
          <w:szCs w:val="22"/>
        </w:rPr>
        <w:t>a</w:t>
      </w:r>
      <w:r w:rsidR="009A6825" w:rsidRPr="006520AE">
        <w:rPr>
          <w:rFonts w:cs="Arial"/>
          <w:sz w:val="24"/>
          <w:szCs w:val="22"/>
        </w:rPr>
        <w:t>) and capsular group (Table 1</w:t>
      </w:r>
      <w:r w:rsidR="001D217B" w:rsidRPr="006520AE">
        <w:rPr>
          <w:rFonts w:cs="Arial"/>
          <w:sz w:val="24"/>
          <w:szCs w:val="22"/>
        </w:rPr>
        <w:t>)</w:t>
      </w:r>
      <w:r w:rsidR="00663F67" w:rsidRPr="006520AE">
        <w:rPr>
          <w:rFonts w:cs="Arial"/>
          <w:sz w:val="24"/>
          <w:szCs w:val="22"/>
        </w:rPr>
        <w:t>.</w:t>
      </w:r>
      <w:r w:rsidR="00663F67" w:rsidRPr="006520AE">
        <w:rPr>
          <w:rFonts w:cs="Arial"/>
          <w:i/>
          <w:sz w:val="24"/>
          <w:szCs w:val="22"/>
        </w:rPr>
        <w:t xml:space="preserve"> </w:t>
      </w:r>
      <w:r w:rsidRPr="006520AE">
        <w:rPr>
          <w:rFonts w:cs="Arial"/>
          <w:i/>
          <w:sz w:val="24"/>
          <w:szCs w:val="22"/>
        </w:rPr>
        <w:t xml:space="preserve"> </w:t>
      </w:r>
      <w:r w:rsidRPr="006520AE">
        <w:rPr>
          <w:rFonts w:cs="Arial"/>
          <w:sz w:val="24"/>
          <w:szCs w:val="22"/>
        </w:rPr>
        <w:t>In infants (&lt;1</w:t>
      </w:r>
      <w:r w:rsidR="00F84A75">
        <w:rPr>
          <w:rFonts w:cs="Arial"/>
          <w:sz w:val="24"/>
          <w:szCs w:val="22"/>
        </w:rPr>
        <w:t xml:space="preserve"> </w:t>
      </w:r>
      <w:r w:rsidRPr="006520AE">
        <w:rPr>
          <w:rFonts w:cs="Arial"/>
          <w:sz w:val="24"/>
          <w:szCs w:val="22"/>
        </w:rPr>
        <w:t>y</w:t>
      </w:r>
      <w:r w:rsidR="00B35E33">
        <w:rPr>
          <w:rFonts w:cs="Arial"/>
          <w:sz w:val="24"/>
          <w:szCs w:val="22"/>
        </w:rPr>
        <w:t>ea</w:t>
      </w:r>
      <w:r w:rsidRPr="006520AE">
        <w:rPr>
          <w:rFonts w:cs="Arial"/>
          <w:sz w:val="24"/>
          <w:szCs w:val="22"/>
        </w:rPr>
        <w:t>r</w:t>
      </w:r>
      <w:r w:rsidR="00B35E33">
        <w:rPr>
          <w:rFonts w:cs="Arial"/>
          <w:sz w:val="24"/>
          <w:szCs w:val="22"/>
        </w:rPr>
        <w:t>-olds</w:t>
      </w:r>
      <w:r w:rsidRPr="006520AE">
        <w:rPr>
          <w:rFonts w:cs="Arial"/>
          <w:sz w:val="24"/>
          <w:szCs w:val="22"/>
        </w:rPr>
        <w:t xml:space="preserve">), the prevalence of meningitis only and septicaemia only was </w:t>
      </w:r>
      <w:r w:rsidRPr="00DF1F75">
        <w:rPr>
          <w:rFonts w:cs="Arial"/>
          <w:sz w:val="24"/>
          <w:szCs w:val="22"/>
        </w:rPr>
        <w:t>similar, while septicaemia predominated in toddlers and older children, and meningitis accounted for more than half the adult cases. In older adults, other clinical presentations, particularly pneumonia, predominated</w:t>
      </w:r>
      <w:r w:rsidR="00DF1F75" w:rsidRPr="00DF1F75">
        <w:rPr>
          <w:rFonts w:cs="Arial"/>
          <w:sz w:val="24"/>
          <w:szCs w:val="22"/>
        </w:rPr>
        <w:t>.</w:t>
      </w:r>
    </w:p>
    <w:p w14:paraId="6A5634F6" w14:textId="3E69E931" w:rsidR="005A2DDF" w:rsidRDefault="00AA63CE" w:rsidP="005A2DDF">
      <w:pPr>
        <w:rPr>
          <w:rFonts w:cs="Arial"/>
          <w:sz w:val="24"/>
        </w:rPr>
      </w:pPr>
      <w:r w:rsidRPr="006520AE">
        <w:rPr>
          <w:rFonts w:cs="Arial"/>
          <w:sz w:val="24"/>
        </w:rPr>
        <w:t>When assessed by capsular group (</w:t>
      </w:r>
      <w:r w:rsidRPr="009E7D8D">
        <w:rPr>
          <w:rFonts w:cs="Arial"/>
          <w:b/>
          <w:sz w:val="24"/>
        </w:rPr>
        <w:t>Table</w:t>
      </w:r>
      <w:r w:rsidR="009A6825" w:rsidRPr="009E7D8D">
        <w:rPr>
          <w:rFonts w:cs="Arial"/>
          <w:b/>
          <w:sz w:val="24"/>
        </w:rPr>
        <w:t xml:space="preserve"> 1</w:t>
      </w:r>
      <w:r w:rsidRPr="006520AE">
        <w:rPr>
          <w:rFonts w:cs="Arial"/>
          <w:sz w:val="24"/>
        </w:rPr>
        <w:t xml:space="preserve">), clinical presentation among MenB cases varied with age, with septicaemia </w:t>
      </w:r>
      <w:r w:rsidRPr="00BE1566">
        <w:rPr>
          <w:rFonts w:cs="Arial"/>
          <w:sz w:val="24"/>
        </w:rPr>
        <w:t xml:space="preserve">only </w:t>
      </w:r>
      <w:r w:rsidR="00F84A75">
        <w:rPr>
          <w:rFonts w:cs="Arial"/>
          <w:sz w:val="24"/>
        </w:rPr>
        <w:t xml:space="preserve">being </w:t>
      </w:r>
      <w:r w:rsidRPr="00BE1566">
        <w:rPr>
          <w:rFonts w:cs="Arial"/>
          <w:sz w:val="24"/>
        </w:rPr>
        <w:t>more common amongst 1-14</w:t>
      </w:r>
      <w:r w:rsidR="0022353F">
        <w:rPr>
          <w:rFonts w:cs="Arial"/>
          <w:sz w:val="24"/>
        </w:rPr>
        <w:t xml:space="preserve"> </w:t>
      </w:r>
      <w:r w:rsidRPr="00BE1566">
        <w:rPr>
          <w:rFonts w:cs="Arial"/>
          <w:sz w:val="24"/>
        </w:rPr>
        <w:t>y</w:t>
      </w:r>
      <w:r w:rsidR="0022353F">
        <w:rPr>
          <w:rFonts w:cs="Arial"/>
          <w:sz w:val="24"/>
        </w:rPr>
        <w:t>ea</w:t>
      </w:r>
      <w:r w:rsidRPr="00BE1566">
        <w:rPr>
          <w:rFonts w:cs="Arial"/>
          <w:sz w:val="24"/>
        </w:rPr>
        <w:t>r</w:t>
      </w:r>
      <w:r w:rsidR="0022353F">
        <w:rPr>
          <w:rFonts w:cs="Arial"/>
          <w:sz w:val="24"/>
        </w:rPr>
        <w:t>-old</w:t>
      </w:r>
      <w:r w:rsidRPr="00BE1566">
        <w:rPr>
          <w:rFonts w:cs="Arial"/>
          <w:sz w:val="24"/>
        </w:rPr>
        <w:t xml:space="preserve">s, and meningitis predominating in the other age groups. </w:t>
      </w:r>
      <w:r w:rsidR="005A2DDF" w:rsidRPr="00BE1566">
        <w:rPr>
          <w:rFonts w:cs="Arial"/>
          <w:sz w:val="24"/>
        </w:rPr>
        <w:t xml:space="preserve">MenB was also less likely to present with other IMD presentations compared to </w:t>
      </w:r>
      <w:r w:rsidR="005A2DDF">
        <w:rPr>
          <w:rFonts w:cs="Arial"/>
          <w:sz w:val="24"/>
        </w:rPr>
        <w:t>other</w:t>
      </w:r>
      <w:r w:rsidR="005A2DDF" w:rsidRPr="00BE1566">
        <w:rPr>
          <w:rFonts w:cs="Arial"/>
          <w:sz w:val="24"/>
        </w:rPr>
        <w:t xml:space="preserve"> </w:t>
      </w:r>
      <w:r w:rsidR="005A2DDF">
        <w:rPr>
          <w:rFonts w:cs="Arial"/>
          <w:sz w:val="24"/>
        </w:rPr>
        <w:t xml:space="preserve">capsular </w:t>
      </w:r>
      <w:r w:rsidR="005A2DDF" w:rsidRPr="00BE1566">
        <w:rPr>
          <w:rFonts w:cs="Arial"/>
          <w:sz w:val="24"/>
        </w:rPr>
        <w:t>groups</w:t>
      </w:r>
      <w:r w:rsidR="005A2DDF">
        <w:rPr>
          <w:rFonts w:cs="Arial"/>
          <w:sz w:val="24"/>
        </w:rPr>
        <w:t xml:space="preserve"> (</w:t>
      </w:r>
      <w:r w:rsidR="005A2DDF" w:rsidRPr="00650607">
        <w:rPr>
          <w:rFonts w:cs="Arial"/>
          <w:color w:val="FF0000"/>
          <w:sz w:val="24"/>
        </w:rPr>
        <w:t>RR 0.40</w:t>
      </w:r>
      <w:r w:rsidR="00F166B4">
        <w:rPr>
          <w:rFonts w:cs="Arial"/>
          <w:color w:val="FF0000"/>
          <w:sz w:val="24"/>
        </w:rPr>
        <w:t>;</w:t>
      </w:r>
      <w:r w:rsidR="005A2DDF" w:rsidRPr="00650607">
        <w:rPr>
          <w:rFonts w:cs="Arial"/>
          <w:color w:val="FF0000"/>
          <w:sz w:val="24"/>
        </w:rPr>
        <w:t xml:space="preserve"> 95%CI</w:t>
      </w:r>
      <w:r w:rsidR="00F166B4">
        <w:rPr>
          <w:rFonts w:cs="Arial"/>
          <w:color w:val="FF0000"/>
          <w:sz w:val="24"/>
        </w:rPr>
        <w:t>,</w:t>
      </w:r>
      <w:r w:rsidR="005A2DDF" w:rsidRPr="00650607">
        <w:rPr>
          <w:rFonts w:cs="Arial"/>
          <w:color w:val="FF0000"/>
          <w:sz w:val="24"/>
        </w:rPr>
        <w:t xml:space="preserve"> 0.33-0.49</w:t>
      </w:r>
      <w:r w:rsidR="00F166B4">
        <w:rPr>
          <w:rFonts w:cs="Arial"/>
          <w:color w:val="FF0000"/>
          <w:sz w:val="24"/>
        </w:rPr>
        <w:t>;</w:t>
      </w:r>
      <w:r w:rsidR="005A2DDF" w:rsidRPr="00650607">
        <w:rPr>
          <w:rFonts w:cs="Arial"/>
          <w:color w:val="FF0000"/>
          <w:sz w:val="24"/>
        </w:rPr>
        <w:t xml:space="preserve"> P&lt;0.0001</w:t>
      </w:r>
      <w:r w:rsidR="005A2DDF">
        <w:rPr>
          <w:rFonts w:cs="Arial"/>
          <w:sz w:val="24"/>
        </w:rPr>
        <w:t>)</w:t>
      </w:r>
      <w:r w:rsidR="005A2DDF" w:rsidRPr="00BE1566">
        <w:rPr>
          <w:rFonts w:cs="Arial"/>
          <w:sz w:val="24"/>
        </w:rPr>
        <w:t xml:space="preserve">. </w:t>
      </w:r>
    </w:p>
    <w:p w14:paraId="083AA121" w14:textId="77777777" w:rsidR="004F6022" w:rsidRPr="00BE1566" w:rsidRDefault="004F6022" w:rsidP="00CD44D3">
      <w:pPr>
        <w:rPr>
          <w:rFonts w:cs="Arial"/>
          <w:sz w:val="24"/>
        </w:rPr>
      </w:pPr>
    </w:p>
    <w:p w14:paraId="4C4427B5" w14:textId="77777777" w:rsidR="00A9485E" w:rsidRPr="00BE1566" w:rsidRDefault="00A9485E" w:rsidP="00CD44D3">
      <w:pPr>
        <w:rPr>
          <w:rFonts w:cs="Arial"/>
          <w:b/>
          <w:sz w:val="24"/>
        </w:rPr>
      </w:pPr>
      <w:r w:rsidRPr="00BE1566">
        <w:rPr>
          <w:rFonts w:cs="Arial"/>
          <w:b/>
          <w:sz w:val="24"/>
        </w:rPr>
        <w:t>Diagno</w:t>
      </w:r>
      <w:r w:rsidR="00F84A75">
        <w:rPr>
          <w:rFonts w:cs="Arial"/>
          <w:b/>
          <w:sz w:val="24"/>
        </w:rPr>
        <w:t>st</w:t>
      </w:r>
      <w:r w:rsidRPr="00BE1566">
        <w:rPr>
          <w:rFonts w:cs="Arial"/>
          <w:b/>
          <w:sz w:val="24"/>
        </w:rPr>
        <w:t>i</w:t>
      </w:r>
      <w:r w:rsidR="00F84A75">
        <w:rPr>
          <w:rFonts w:cs="Arial"/>
          <w:b/>
          <w:sz w:val="24"/>
        </w:rPr>
        <w:t>c method</w:t>
      </w:r>
    </w:p>
    <w:p w14:paraId="6DB437D9" w14:textId="77777777" w:rsidR="004624D5" w:rsidRPr="006520AE" w:rsidRDefault="00BE0CB1" w:rsidP="00372F8A">
      <w:pPr>
        <w:rPr>
          <w:rFonts w:cs="Arial"/>
          <w:sz w:val="24"/>
        </w:rPr>
      </w:pPr>
      <w:r w:rsidRPr="00DF1F75">
        <w:rPr>
          <w:rFonts w:cs="Arial"/>
          <w:sz w:val="24"/>
        </w:rPr>
        <w:t>Diagnostic method was available for all 4,619 cases. More than half (2,526/4,619, 54</w:t>
      </w:r>
      <w:r w:rsidR="001A7C08">
        <w:rPr>
          <w:rFonts w:cs="Arial"/>
          <w:sz w:val="24"/>
        </w:rPr>
        <w:t>·</w:t>
      </w:r>
      <w:r w:rsidRPr="00DF1F75">
        <w:rPr>
          <w:rFonts w:cs="Arial"/>
          <w:sz w:val="24"/>
        </w:rPr>
        <w:t>69%) were confirmed by PCR only, 22</w:t>
      </w:r>
      <w:r w:rsidR="001A7C08">
        <w:rPr>
          <w:rFonts w:cs="Arial"/>
          <w:sz w:val="24"/>
        </w:rPr>
        <w:t>·</w:t>
      </w:r>
      <w:r w:rsidRPr="00DF1F75">
        <w:rPr>
          <w:rFonts w:cs="Arial"/>
          <w:sz w:val="24"/>
        </w:rPr>
        <w:t>91</w:t>
      </w:r>
      <w:r w:rsidRPr="006520AE">
        <w:rPr>
          <w:rFonts w:cs="Arial"/>
          <w:sz w:val="24"/>
        </w:rPr>
        <w:t>% (1,058/4,619) by culture only and 22</w:t>
      </w:r>
      <w:r w:rsidR="001A7C08" w:rsidRPr="006520AE">
        <w:rPr>
          <w:rFonts w:cs="Arial"/>
          <w:sz w:val="24"/>
        </w:rPr>
        <w:t>·</w:t>
      </w:r>
      <w:r w:rsidRPr="006520AE">
        <w:rPr>
          <w:rFonts w:cs="Arial"/>
          <w:sz w:val="24"/>
        </w:rPr>
        <w:t>41% (1,035/4,619) by both culture and PCR</w:t>
      </w:r>
      <w:r w:rsidRPr="006520AE">
        <w:rPr>
          <w:rFonts w:cs="Arial"/>
          <w:i/>
          <w:sz w:val="24"/>
        </w:rPr>
        <w:t xml:space="preserve"> </w:t>
      </w:r>
      <w:r w:rsidR="00674B5B" w:rsidRPr="006520AE">
        <w:rPr>
          <w:rFonts w:cs="Arial"/>
          <w:sz w:val="24"/>
        </w:rPr>
        <w:t xml:space="preserve">(Figure </w:t>
      </w:r>
      <w:r w:rsidR="00B35E33">
        <w:rPr>
          <w:rFonts w:cs="Arial"/>
          <w:sz w:val="24"/>
        </w:rPr>
        <w:t>3b</w:t>
      </w:r>
      <w:r w:rsidR="00674B5B" w:rsidRPr="006520AE">
        <w:rPr>
          <w:rFonts w:cs="Arial"/>
          <w:sz w:val="24"/>
        </w:rPr>
        <w:t>)</w:t>
      </w:r>
      <w:r w:rsidR="0082766D" w:rsidRPr="006520AE">
        <w:rPr>
          <w:rFonts w:cs="Arial"/>
          <w:sz w:val="24"/>
        </w:rPr>
        <w:t xml:space="preserve">. </w:t>
      </w:r>
      <w:r w:rsidR="00DB6576" w:rsidRPr="006520AE">
        <w:rPr>
          <w:rFonts w:cs="Arial"/>
          <w:sz w:val="24"/>
        </w:rPr>
        <w:t xml:space="preserve">In a multivariable logistic regression model, </w:t>
      </w:r>
      <w:r w:rsidR="00BA6195" w:rsidRPr="006520AE">
        <w:rPr>
          <w:rFonts w:cs="Arial"/>
          <w:sz w:val="24"/>
        </w:rPr>
        <w:t>confirmation by any culture</w:t>
      </w:r>
      <w:r w:rsidR="0038408E" w:rsidRPr="006520AE">
        <w:rPr>
          <w:rFonts w:cs="Arial"/>
          <w:sz w:val="24"/>
        </w:rPr>
        <w:t xml:space="preserve"> was independently associated with age, capsular group and clinical presentation</w:t>
      </w:r>
      <w:r w:rsidR="0080362F" w:rsidRPr="006520AE">
        <w:rPr>
          <w:rFonts w:cs="Arial"/>
          <w:sz w:val="24"/>
        </w:rPr>
        <w:t xml:space="preserve"> (Table 2)</w:t>
      </w:r>
      <w:r w:rsidR="0038408E" w:rsidRPr="006520AE">
        <w:rPr>
          <w:rFonts w:cs="Arial"/>
          <w:sz w:val="24"/>
        </w:rPr>
        <w:t xml:space="preserve">. </w:t>
      </w:r>
    </w:p>
    <w:p w14:paraId="35CF6BA8" w14:textId="77777777" w:rsidR="0080362F" w:rsidRPr="006520AE" w:rsidRDefault="0080362F" w:rsidP="00372F8A">
      <w:pPr>
        <w:rPr>
          <w:rFonts w:cs="Arial"/>
          <w:sz w:val="24"/>
        </w:rPr>
      </w:pPr>
    </w:p>
    <w:p w14:paraId="7161CE31" w14:textId="77777777" w:rsidR="001C0A9A" w:rsidRPr="006520AE" w:rsidRDefault="001C0A9A" w:rsidP="00CD44D3">
      <w:pPr>
        <w:rPr>
          <w:rFonts w:cs="Arial"/>
          <w:b/>
          <w:sz w:val="24"/>
        </w:rPr>
      </w:pPr>
      <w:r w:rsidRPr="006520AE">
        <w:rPr>
          <w:rFonts w:cs="Arial"/>
          <w:b/>
          <w:sz w:val="24"/>
        </w:rPr>
        <w:t>Case Fatality</w:t>
      </w:r>
    </w:p>
    <w:p w14:paraId="5030168D" w14:textId="2F89362B" w:rsidR="004624D5" w:rsidRPr="006520AE" w:rsidRDefault="002B4FBD" w:rsidP="004624D5">
      <w:pPr>
        <w:rPr>
          <w:rFonts w:cs="Arial"/>
          <w:sz w:val="24"/>
        </w:rPr>
      </w:pPr>
      <w:r w:rsidRPr="006520AE">
        <w:rPr>
          <w:rFonts w:cs="Arial"/>
          <w:sz w:val="24"/>
        </w:rPr>
        <w:t>The CFR was 4</w:t>
      </w:r>
      <w:r w:rsidR="001A7C08" w:rsidRPr="006520AE">
        <w:rPr>
          <w:rFonts w:cs="Arial"/>
          <w:sz w:val="24"/>
        </w:rPr>
        <w:t>·</w:t>
      </w:r>
      <w:r w:rsidRPr="006520AE">
        <w:rPr>
          <w:rFonts w:cs="Arial"/>
          <w:sz w:val="24"/>
        </w:rPr>
        <w:t>46</w:t>
      </w:r>
      <w:r w:rsidR="001C0A9A" w:rsidRPr="006520AE">
        <w:rPr>
          <w:rFonts w:cs="Arial"/>
          <w:sz w:val="24"/>
        </w:rPr>
        <w:t>% (</w:t>
      </w:r>
      <w:r w:rsidR="00CD7632" w:rsidRPr="006520AE">
        <w:rPr>
          <w:rFonts w:cs="Arial"/>
          <w:sz w:val="24"/>
        </w:rPr>
        <w:t>206</w:t>
      </w:r>
      <w:r w:rsidR="007508EA" w:rsidRPr="006520AE">
        <w:rPr>
          <w:rFonts w:cs="Arial"/>
          <w:sz w:val="24"/>
        </w:rPr>
        <w:t>/4</w:t>
      </w:r>
      <w:r w:rsidR="00CD7632" w:rsidRPr="006520AE">
        <w:rPr>
          <w:rFonts w:cs="Arial"/>
          <w:sz w:val="24"/>
        </w:rPr>
        <w:t>,619</w:t>
      </w:r>
      <w:r w:rsidR="001C0A9A" w:rsidRPr="006520AE">
        <w:rPr>
          <w:rFonts w:cs="Arial"/>
          <w:sz w:val="24"/>
        </w:rPr>
        <w:t xml:space="preserve">; 95% CI, </w:t>
      </w:r>
      <w:r w:rsidRPr="006520AE">
        <w:rPr>
          <w:rFonts w:cs="Arial"/>
          <w:sz w:val="24"/>
        </w:rPr>
        <w:t>3</w:t>
      </w:r>
      <w:r w:rsidR="001A7C08" w:rsidRPr="006520AE">
        <w:rPr>
          <w:rFonts w:cs="Arial"/>
          <w:sz w:val="24"/>
        </w:rPr>
        <w:t>·</w:t>
      </w:r>
      <w:r w:rsidRPr="006520AE">
        <w:rPr>
          <w:rFonts w:cs="Arial"/>
          <w:sz w:val="24"/>
        </w:rPr>
        <w:t>88-5</w:t>
      </w:r>
      <w:r w:rsidR="001A7C08" w:rsidRPr="006520AE">
        <w:rPr>
          <w:rFonts w:cs="Arial"/>
          <w:sz w:val="24"/>
        </w:rPr>
        <w:t>·</w:t>
      </w:r>
      <w:r w:rsidRPr="006520AE">
        <w:rPr>
          <w:rFonts w:cs="Arial"/>
          <w:sz w:val="24"/>
        </w:rPr>
        <w:t>10</w:t>
      </w:r>
      <w:r w:rsidR="001C0A9A" w:rsidRPr="006520AE">
        <w:rPr>
          <w:rFonts w:cs="Arial"/>
          <w:sz w:val="24"/>
        </w:rPr>
        <w:t xml:space="preserve">%) and varied by </w:t>
      </w:r>
      <w:r w:rsidR="001C0A9A" w:rsidRPr="008758D9">
        <w:rPr>
          <w:rFonts w:cs="Arial"/>
          <w:sz w:val="24"/>
        </w:rPr>
        <w:t>age</w:t>
      </w:r>
      <w:r w:rsidR="00C826B3" w:rsidRPr="008758D9">
        <w:rPr>
          <w:rFonts w:cs="Arial"/>
          <w:sz w:val="24"/>
        </w:rPr>
        <w:t>, clinical presentation</w:t>
      </w:r>
      <w:r w:rsidR="001C0A9A" w:rsidRPr="008758D9">
        <w:rPr>
          <w:rFonts w:cs="Arial"/>
          <w:sz w:val="24"/>
        </w:rPr>
        <w:t xml:space="preserve"> and capsular group</w:t>
      </w:r>
      <w:r w:rsidR="00990A67" w:rsidRPr="008758D9">
        <w:rPr>
          <w:rFonts w:cs="Arial"/>
          <w:sz w:val="24"/>
        </w:rPr>
        <w:t xml:space="preserve"> (</w:t>
      </w:r>
      <w:r w:rsidR="0080362F" w:rsidRPr="008758D9">
        <w:rPr>
          <w:rFonts w:cs="Arial"/>
          <w:b/>
          <w:sz w:val="24"/>
        </w:rPr>
        <w:t>T</w:t>
      </w:r>
      <w:r w:rsidR="00990A67" w:rsidRPr="008758D9">
        <w:rPr>
          <w:rFonts w:cs="Arial"/>
          <w:b/>
          <w:sz w:val="24"/>
        </w:rPr>
        <w:t>ab</w:t>
      </w:r>
      <w:r w:rsidR="006438C2" w:rsidRPr="008758D9">
        <w:rPr>
          <w:rFonts w:cs="Arial"/>
          <w:b/>
          <w:sz w:val="24"/>
        </w:rPr>
        <w:t>le 3</w:t>
      </w:r>
      <w:r w:rsidR="00990A67" w:rsidRPr="008758D9">
        <w:rPr>
          <w:rFonts w:cs="Arial"/>
          <w:sz w:val="24"/>
        </w:rPr>
        <w:t>)</w:t>
      </w:r>
      <w:r w:rsidR="001C0A9A" w:rsidRPr="008758D9">
        <w:rPr>
          <w:rFonts w:cs="Arial"/>
          <w:sz w:val="24"/>
        </w:rPr>
        <w:t>. There were an ad</w:t>
      </w:r>
      <w:r w:rsidR="001C0A9A" w:rsidRPr="00DF1F75">
        <w:rPr>
          <w:rFonts w:cs="Arial"/>
          <w:sz w:val="24"/>
        </w:rPr>
        <w:t xml:space="preserve">ditional </w:t>
      </w:r>
      <w:r w:rsidR="00A7436E">
        <w:rPr>
          <w:rFonts w:cs="Arial"/>
          <w:sz w:val="24"/>
        </w:rPr>
        <w:t>ten</w:t>
      </w:r>
      <w:r w:rsidR="001C0A9A" w:rsidRPr="00DF1F75">
        <w:rPr>
          <w:rFonts w:cs="Arial"/>
          <w:sz w:val="24"/>
        </w:rPr>
        <w:t xml:space="preserve"> deaths</w:t>
      </w:r>
      <w:r w:rsidR="00E721B2" w:rsidRPr="00DF1F75">
        <w:rPr>
          <w:rFonts w:cs="Arial"/>
          <w:sz w:val="24"/>
        </w:rPr>
        <w:t xml:space="preserve"> after 30 days that </w:t>
      </w:r>
      <w:r w:rsidR="001C0A9A" w:rsidRPr="00DF1F75">
        <w:rPr>
          <w:rFonts w:cs="Arial"/>
          <w:sz w:val="24"/>
        </w:rPr>
        <w:t>were attributed to a complication of IMD on the death certificate, giving an overall CFR of 4</w:t>
      </w:r>
      <w:r w:rsidR="001A7C08">
        <w:rPr>
          <w:rFonts w:cs="Arial"/>
          <w:sz w:val="24"/>
        </w:rPr>
        <w:t>·</w:t>
      </w:r>
      <w:r w:rsidR="001C0A9A" w:rsidRPr="00DF1F75">
        <w:rPr>
          <w:rFonts w:cs="Arial"/>
          <w:sz w:val="24"/>
        </w:rPr>
        <w:t>6</w:t>
      </w:r>
      <w:r w:rsidR="00CD7632" w:rsidRPr="00DF1F75">
        <w:rPr>
          <w:rFonts w:cs="Arial"/>
          <w:sz w:val="24"/>
        </w:rPr>
        <w:t>8</w:t>
      </w:r>
      <w:r w:rsidR="001C0A9A" w:rsidRPr="00DF1F75">
        <w:rPr>
          <w:rFonts w:cs="Arial"/>
          <w:sz w:val="24"/>
        </w:rPr>
        <w:t>% (</w:t>
      </w:r>
      <w:r w:rsidR="007508EA" w:rsidRPr="00DF1F75">
        <w:rPr>
          <w:rFonts w:cs="Arial"/>
          <w:sz w:val="24"/>
        </w:rPr>
        <w:t>2</w:t>
      </w:r>
      <w:r w:rsidR="00CD7632" w:rsidRPr="00DF1F75">
        <w:rPr>
          <w:rFonts w:cs="Arial"/>
          <w:sz w:val="24"/>
        </w:rPr>
        <w:t>16</w:t>
      </w:r>
      <w:r w:rsidR="007508EA" w:rsidRPr="00DF1F75">
        <w:rPr>
          <w:rFonts w:cs="Arial"/>
          <w:sz w:val="24"/>
        </w:rPr>
        <w:t>/4</w:t>
      </w:r>
      <w:r w:rsidR="00CD7632" w:rsidRPr="00DF1F75">
        <w:rPr>
          <w:rFonts w:cs="Arial"/>
          <w:sz w:val="24"/>
        </w:rPr>
        <w:t>,619</w:t>
      </w:r>
      <w:r w:rsidR="001C0A9A" w:rsidRPr="00DF1F75">
        <w:rPr>
          <w:rFonts w:cs="Arial"/>
          <w:sz w:val="24"/>
        </w:rPr>
        <w:t xml:space="preserve">, </w:t>
      </w:r>
      <w:r w:rsidR="006438C2" w:rsidRPr="00DF1F75">
        <w:rPr>
          <w:rFonts w:cs="Arial"/>
          <w:sz w:val="24"/>
        </w:rPr>
        <w:t>9</w:t>
      </w:r>
      <w:r w:rsidRPr="00DF1F75">
        <w:rPr>
          <w:rFonts w:cs="Arial"/>
          <w:sz w:val="24"/>
        </w:rPr>
        <w:t>5% CI, 4</w:t>
      </w:r>
      <w:r w:rsidR="001A7C08">
        <w:rPr>
          <w:rFonts w:cs="Arial"/>
          <w:sz w:val="24"/>
        </w:rPr>
        <w:t>·</w:t>
      </w:r>
      <w:r w:rsidRPr="00DF1F75">
        <w:rPr>
          <w:rFonts w:cs="Arial"/>
          <w:sz w:val="24"/>
        </w:rPr>
        <w:t>09-5</w:t>
      </w:r>
      <w:r w:rsidR="001A7C08">
        <w:rPr>
          <w:rFonts w:cs="Arial"/>
          <w:sz w:val="24"/>
        </w:rPr>
        <w:t>·</w:t>
      </w:r>
      <w:r w:rsidRPr="00DF1F75">
        <w:rPr>
          <w:rFonts w:cs="Arial"/>
          <w:sz w:val="24"/>
        </w:rPr>
        <w:t>33</w:t>
      </w:r>
      <w:r w:rsidR="001C0A9A" w:rsidRPr="00DF1F75">
        <w:rPr>
          <w:rFonts w:cs="Arial"/>
          <w:sz w:val="24"/>
        </w:rPr>
        <w:t>%)</w:t>
      </w:r>
      <w:r w:rsidR="0024150E" w:rsidRPr="00DF1F75">
        <w:rPr>
          <w:rFonts w:cs="Arial"/>
          <w:sz w:val="24"/>
        </w:rPr>
        <w:t xml:space="preserve">. CFR was low </w:t>
      </w:r>
      <w:r w:rsidR="00D915E3" w:rsidRPr="00DF1F75">
        <w:rPr>
          <w:rFonts w:cs="Arial"/>
          <w:sz w:val="24"/>
        </w:rPr>
        <w:t xml:space="preserve">for all age groups except older </w:t>
      </w:r>
      <w:r w:rsidR="00D915E3" w:rsidRPr="006520AE">
        <w:rPr>
          <w:rFonts w:cs="Arial"/>
          <w:sz w:val="24"/>
        </w:rPr>
        <w:t>adults (</w:t>
      </w:r>
      <w:bookmarkStart w:id="2" w:name="_Toc428982220"/>
      <w:r w:rsidR="00CA613E">
        <w:rPr>
          <w:rFonts w:cs="Arial"/>
          <w:b/>
          <w:sz w:val="24"/>
        </w:rPr>
        <w:t>Table 3</w:t>
      </w:r>
      <w:r w:rsidR="00D915E3" w:rsidRPr="006520AE">
        <w:rPr>
          <w:rFonts w:cs="Arial"/>
          <w:sz w:val="24"/>
        </w:rPr>
        <w:t>).</w:t>
      </w:r>
    </w:p>
    <w:bookmarkEnd w:id="2"/>
    <w:p w14:paraId="5FDDF6AA" w14:textId="383B37FA" w:rsidR="00C826B3" w:rsidRPr="00DF1F75" w:rsidRDefault="00FB75FB" w:rsidP="00C826B3">
      <w:pPr>
        <w:rPr>
          <w:rFonts w:cs="Arial"/>
          <w:sz w:val="24"/>
        </w:rPr>
      </w:pPr>
      <w:r w:rsidRPr="006520AE">
        <w:rPr>
          <w:rFonts w:cs="Arial"/>
          <w:sz w:val="24"/>
        </w:rPr>
        <w:t>CFR</w:t>
      </w:r>
      <w:r w:rsidR="00870573" w:rsidRPr="006520AE">
        <w:rPr>
          <w:rFonts w:cs="Arial"/>
          <w:sz w:val="24"/>
        </w:rPr>
        <w:t xml:space="preserve"> was</w:t>
      </w:r>
      <w:r w:rsidR="00C826B3" w:rsidRPr="006520AE">
        <w:rPr>
          <w:rFonts w:cs="Arial"/>
          <w:sz w:val="24"/>
        </w:rPr>
        <w:t xml:space="preserve"> highest in those presenting with both meningitis and septicaemia, followed by septicaemia </w:t>
      </w:r>
      <w:r w:rsidR="00C826B3" w:rsidRPr="008758D9">
        <w:rPr>
          <w:rFonts w:cs="Arial"/>
          <w:sz w:val="24"/>
        </w:rPr>
        <w:t>only</w:t>
      </w:r>
      <w:r w:rsidR="001A2B8F" w:rsidRPr="008758D9">
        <w:rPr>
          <w:rFonts w:cs="Arial"/>
          <w:sz w:val="24"/>
        </w:rPr>
        <w:t xml:space="preserve"> (</w:t>
      </w:r>
      <w:r w:rsidR="001A2B8F" w:rsidRPr="008758D9">
        <w:rPr>
          <w:rFonts w:cs="Arial"/>
          <w:b/>
          <w:sz w:val="24"/>
        </w:rPr>
        <w:t>Table 3</w:t>
      </w:r>
      <w:r w:rsidR="001A2B8F" w:rsidRPr="008758D9">
        <w:rPr>
          <w:rFonts w:cs="Arial"/>
          <w:sz w:val="24"/>
        </w:rPr>
        <w:t>)</w:t>
      </w:r>
      <w:r w:rsidR="00C826B3" w:rsidRPr="008758D9">
        <w:rPr>
          <w:rFonts w:cs="Arial"/>
          <w:sz w:val="24"/>
        </w:rPr>
        <w:t xml:space="preserve">. </w:t>
      </w:r>
      <w:r w:rsidR="00C826B3" w:rsidRPr="006520AE">
        <w:rPr>
          <w:rFonts w:cs="Arial"/>
          <w:sz w:val="24"/>
        </w:rPr>
        <w:t>CFR</w:t>
      </w:r>
      <w:r w:rsidR="00870573" w:rsidRPr="006520AE">
        <w:rPr>
          <w:rFonts w:cs="Arial"/>
          <w:sz w:val="24"/>
        </w:rPr>
        <w:t xml:space="preserve"> was also higher for </w:t>
      </w:r>
      <w:r w:rsidR="00C826B3" w:rsidRPr="00DF1F75">
        <w:rPr>
          <w:rFonts w:cs="Arial"/>
          <w:sz w:val="24"/>
        </w:rPr>
        <w:t>MenY and MenW</w:t>
      </w:r>
      <w:r w:rsidR="00870573" w:rsidRPr="00DF1F75">
        <w:rPr>
          <w:rFonts w:cs="Arial"/>
          <w:sz w:val="24"/>
        </w:rPr>
        <w:t xml:space="preserve"> compared with MenB cases</w:t>
      </w:r>
      <w:r w:rsidR="00C826B3" w:rsidRPr="00DF1F75">
        <w:rPr>
          <w:rFonts w:cs="Arial"/>
          <w:sz w:val="24"/>
        </w:rPr>
        <w:t>, although con</w:t>
      </w:r>
      <w:r w:rsidR="00870573" w:rsidRPr="00DF1F75">
        <w:rPr>
          <w:rFonts w:cs="Arial"/>
          <w:sz w:val="24"/>
        </w:rPr>
        <w:t xml:space="preserve">fidence intervals are wide </w:t>
      </w:r>
      <w:r w:rsidR="00E721B2" w:rsidRPr="00DF1F75">
        <w:rPr>
          <w:rFonts w:cs="Arial"/>
          <w:sz w:val="24"/>
        </w:rPr>
        <w:t>due to</w:t>
      </w:r>
      <w:r w:rsidR="00870573" w:rsidRPr="00DF1F75">
        <w:rPr>
          <w:rFonts w:cs="Arial"/>
          <w:sz w:val="24"/>
        </w:rPr>
        <w:t xml:space="preserve"> small numbers of cases and deaths</w:t>
      </w:r>
      <w:r w:rsidR="00E721B2" w:rsidRPr="00DF1F75">
        <w:rPr>
          <w:rFonts w:cs="Arial"/>
          <w:sz w:val="24"/>
        </w:rPr>
        <w:t>.</w:t>
      </w:r>
      <w:r w:rsidR="002A227E" w:rsidRPr="00DF1F75">
        <w:rPr>
          <w:rFonts w:cs="Arial"/>
          <w:sz w:val="24"/>
        </w:rPr>
        <w:t xml:space="preserve"> </w:t>
      </w:r>
      <w:r w:rsidR="00870573" w:rsidRPr="00DF1F75">
        <w:rPr>
          <w:rFonts w:cs="Arial"/>
          <w:sz w:val="24"/>
        </w:rPr>
        <w:t>When assessed by age</w:t>
      </w:r>
      <w:r w:rsidR="00F84A75">
        <w:rPr>
          <w:rFonts w:cs="Arial"/>
          <w:sz w:val="24"/>
        </w:rPr>
        <w:t>-</w:t>
      </w:r>
      <w:r w:rsidR="00870573" w:rsidRPr="00DF1F75">
        <w:rPr>
          <w:rFonts w:cs="Arial"/>
          <w:sz w:val="24"/>
        </w:rPr>
        <w:t xml:space="preserve">group, IMD </w:t>
      </w:r>
      <w:r w:rsidR="00C826B3" w:rsidRPr="00DF1F75">
        <w:rPr>
          <w:rFonts w:cs="Arial"/>
          <w:sz w:val="24"/>
        </w:rPr>
        <w:t>death</w:t>
      </w:r>
      <w:r w:rsidR="00870573" w:rsidRPr="00DF1F75">
        <w:rPr>
          <w:rFonts w:cs="Arial"/>
          <w:sz w:val="24"/>
        </w:rPr>
        <w:t xml:space="preserve">s in &lt;5 year-olds were </w:t>
      </w:r>
      <w:r w:rsidR="00A7436E">
        <w:rPr>
          <w:rFonts w:cs="Arial"/>
          <w:sz w:val="24"/>
        </w:rPr>
        <w:t>mainly</w:t>
      </w:r>
      <w:r w:rsidR="00C826B3" w:rsidRPr="00DF1F75">
        <w:rPr>
          <w:rFonts w:cs="Arial"/>
          <w:sz w:val="24"/>
        </w:rPr>
        <w:t xml:space="preserve"> due to </w:t>
      </w:r>
      <w:r w:rsidR="00870573" w:rsidRPr="00DF1F75">
        <w:rPr>
          <w:rFonts w:cs="Arial"/>
          <w:sz w:val="24"/>
        </w:rPr>
        <w:t xml:space="preserve">MenB, </w:t>
      </w:r>
      <w:r w:rsidR="00C826B3" w:rsidRPr="00DF1F75">
        <w:rPr>
          <w:rFonts w:cs="Arial"/>
          <w:sz w:val="24"/>
        </w:rPr>
        <w:t>with</w:t>
      </w:r>
      <w:r w:rsidR="00E721B2" w:rsidRPr="00DF1F75">
        <w:rPr>
          <w:rFonts w:cs="Arial"/>
          <w:sz w:val="24"/>
        </w:rPr>
        <w:t xml:space="preserve"> the</w:t>
      </w:r>
      <w:r w:rsidR="00C826B3" w:rsidRPr="00DF1F75">
        <w:rPr>
          <w:rFonts w:cs="Arial"/>
          <w:sz w:val="24"/>
        </w:rPr>
        <w:t xml:space="preserve"> </w:t>
      </w:r>
      <w:r w:rsidR="00870573" w:rsidRPr="00DF1F75">
        <w:rPr>
          <w:rFonts w:cs="Arial"/>
          <w:sz w:val="24"/>
        </w:rPr>
        <w:t>highest CFR</w:t>
      </w:r>
      <w:r w:rsidR="00C826B3" w:rsidRPr="00DF1F75">
        <w:rPr>
          <w:rFonts w:cs="Arial"/>
          <w:sz w:val="24"/>
        </w:rPr>
        <w:t xml:space="preserve"> </w:t>
      </w:r>
      <w:r w:rsidR="00F84A75">
        <w:rPr>
          <w:rFonts w:cs="Arial"/>
          <w:sz w:val="24"/>
        </w:rPr>
        <w:t xml:space="preserve">among </w:t>
      </w:r>
      <w:r w:rsidR="006A4F8D">
        <w:rPr>
          <w:rFonts w:cs="Arial"/>
          <w:sz w:val="24"/>
        </w:rPr>
        <w:t>those presenting with septicaemia</w:t>
      </w:r>
      <w:r w:rsidR="00C826B3" w:rsidRPr="00DF1F75">
        <w:rPr>
          <w:rFonts w:cs="Arial"/>
          <w:sz w:val="24"/>
        </w:rPr>
        <w:t>.</w:t>
      </w:r>
      <w:r w:rsidR="00870573" w:rsidRPr="00DF1F75">
        <w:rPr>
          <w:rFonts w:cs="Arial"/>
          <w:sz w:val="24"/>
        </w:rPr>
        <w:t xml:space="preserve"> Among </w:t>
      </w:r>
      <w:r w:rsidR="00C826B3" w:rsidRPr="00DF1F75">
        <w:rPr>
          <w:rFonts w:cs="Arial"/>
          <w:sz w:val="24"/>
        </w:rPr>
        <w:t xml:space="preserve">5-24 year-olds, </w:t>
      </w:r>
      <w:r w:rsidR="00516527">
        <w:rPr>
          <w:rFonts w:cs="Arial"/>
          <w:sz w:val="24"/>
        </w:rPr>
        <w:t xml:space="preserve">a </w:t>
      </w:r>
      <w:r w:rsidR="002A227E" w:rsidRPr="00DF1F75">
        <w:rPr>
          <w:rFonts w:cs="Arial"/>
          <w:sz w:val="24"/>
        </w:rPr>
        <w:t>higher</w:t>
      </w:r>
      <w:r w:rsidR="00E77731">
        <w:rPr>
          <w:rFonts w:cs="Arial"/>
          <w:sz w:val="24"/>
        </w:rPr>
        <w:t xml:space="preserve"> </w:t>
      </w:r>
      <w:r w:rsidR="002A227E" w:rsidRPr="00DF1F75">
        <w:rPr>
          <w:rFonts w:cs="Arial"/>
          <w:sz w:val="24"/>
        </w:rPr>
        <w:t>CFR was</w:t>
      </w:r>
      <w:r w:rsidR="00870573" w:rsidRPr="00DF1F75">
        <w:rPr>
          <w:rFonts w:cs="Arial"/>
          <w:sz w:val="24"/>
        </w:rPr>
        <w:t xml:space="preserve"> observed for </w:t>
      </w:r>
      <w:r w:rsidR="007A503C">
        <w:rPr>
          <w:rFonts w:cs="Arial"/>
          <w:sz w:val="24"/>
        </w:rPr>
        <w:t>MenACWY</w:t>
      </w:r>
      <w:r w:rsidR="002A227E" w:rsidRPr="00DF1F75">
        <w:rPr>
          <w:rFonts w:cs="Arial"/>
          <w:sz w:val="24"/>
        </w:rPr>
        <w:t xml:space="preserve"> capsular </w:t>
      </w:r>
      <w:r w:rsidR="00C826B3" w:rsidRPr="00DF1F75">
        <w:rPr>
          <w:rFonts w:cs="Arial"/>
          <w:sz w:val="24"/>
        </w:rPr>
        <w:t>groups than MenB, although differ</w:t>
      </w:r>
      <w:r w:rsidR="002A227E" w:rsidRPr="00DF1F75">
        <w:rPr>
          <w:rFonts w:cs="Arial"/>
          <w:sz w:val="24"/>
        </w:rPr>
        <w:t>ences were non-significant.</w:t>
      </w:r>
      <w:r w:rsidR="00087033" w:rsidRPr="00DF1F75">
        <w:rPr>
          <w:rFonts w:cs="Arial"/>
          <w:sz w:val="24"/>
        </w:rPr>
        <w:t xml:space="preserve"> The highest C</w:t>
      </w:r>
      <w:r w:rsidR="00990A67" w:rsidRPr="00DF1F75">
        <w:rPr>
          <w:rFonts w:cs="Arial"/>
          <w:sz w:val="24"/>
        </w:rPr>
        <w:t>FR</w:t>
      </w:r>
      <w:r w:rsidR="00087033" w:rsidRPr="00DF1F75">
        <w:rPr>
          <w:rFonts w:cs="Arial"/>
          <w:sz w:val="24"/>
        </w:rPr>
        <w:t xml:space="preserve"> was among </w:t>
      </w:r>
      <w:r w:rsidR="00E77731">
        <w:rPr>
          <w:rFonts w:cs="Arial"/>
          <w:sz w:val="24"/>
        </w:rPr>
        <w:t>≥</w:t>
      </w:r>
      <w:r w:rsidR="00087033" w:rsidRPr="00DF1F75">
        <w:rPr>
          <w:rFonts w:cs="Arial"/>
          <w:sz w:val="24"/>
        </w:rPr>
        <w:t>65 year-olds, especially those with MenW disease and those presenting with meningitis and septicaemia, or septicaemia only</w:t>
      </w:r>
      <w:r w:rsidR="001F6366">
        <w:rPr>
          <w:rFonts w:cs="Arial"/>
          <w:sz w:val="24"/>
        </w:rPr>
        <w:t xml:space="preserve"> (Supplementary T</w:t>
      </w:r>
      <w:r w:rsidR="0085516A">
        <w:rPr>
          <w:rFonts w:cs="Arial"/>
          <w:sz w:val="24"/>
        </w:rPr>
        <w:t>able 1)</w:t>
      </w:r>
      <w:r w:rsidR="00087033" w:rsidRPr="00DF1F75">
        <w:rPr>
          <w:rFonts w:cs="Arial"/>
          <w:sz w:val="24"/>
        </w:rPr>
        <w:t>.</w:t>
      </w:r>
    </w:p>
    <w:p w14:paraId="614CB09F" w14:textId="77777777" w:rsidR="007E3CD2" w:rsidRPr="006520AE" w:rsidRDefault="00D22AE4" w:rsidP="007E3CD2">
      <w:pPr>
        <w:rPr>
          <w:rFonts w:cs="Arial"/>
          <w:sz w:val="24"/>
        </w:rPr>
      </w:pPr>
      <w:r>
        <w:rPr>
          <w:rFonts w:cs="Arial"/>
          <w:sz w:val="24"/>
        </w:rPr>
        <w:t>T</w:t>
      </w:r>
      <w:r w:rsidR="007E3CD2" w:rsidRPr="00BE1566">
        <w:rPr>
          <w:rFonts w:cs="Arial"/>
          <w:sz w:val="24"/>
        </w:rPr>
        <w:t xml:space="preserve">here was significant interaction between age and capsular group. Therefore, two </w:t>
      </w:r>
      <w:r>
        <w:rPr>
          <w:rFonts w:cs="Arial"/>
          <w:sz w:val="24"/>
        </w:rPr>
        <w:t xml:space="preserve">logistic regression </w:t>
      </w:r>
      <w:r w:rsidR="007E3CD2" w:rsidRPr="00BE1566">
        <w:rPr>
          <w:rFonts w:cs="Arial"/>
          <w:sz w:val="24"/>
        </w:rPr>
        <w:t>models were developed, one for Men</w:t>
      </w:r>
      <w:r w:rsidR="00F668BC" w:rsidRPr="00BE1566">
        <w:rPr>
          <w:rFonts w:cs="Arial"/>
          <w:sz w:val="24"/>
        </w:rPr>
        <w:t>B</w:t>
      </w:r>
      <w:r w:rsidR="007E3CD2" w:rsidRPr="00BE1566">
        <w:rPr>
          <w:rFonts w:cs="Arial"/>
          <w:sz w:val="24"/>
        </w:rPr>
        <w:t xml:space="preserve"> and another for </w:t>
      </w:r>
      <w:r w:rsidR="005139E5" w:rsidRPr="0085516A">
        <w:rPr>
          <w:rFonts w:cs="Arial"/>
          <w:sz w:val="24"/>
        </w:rPr>
        <w:t>MenACWY</w:t>
      </w:r>
      <w:r w:rsidR="007E3CD2" w:rsidRPr="0085516A">
        <w:rPr>
          <w:rFonts w:cs="Arial"/>
          <w:sz w:val="24"/>
        </w:rPr>
        <w:t xml:space="preserve"> cases. Compared with infants, MenB-associated CFR was significantly higher among</w:t>
      </w:r>
      <w:r w:rsidR="005139E5" w:rsidRPr="0085516A">
        <w:rPr>
          <w:rFonts w:cs="Arial"/>
          <w:sz w:val="24"/>
        </w:rPr>
        <w:t xml:space="preserve"> adolescents (15-24yrs), adults </w:t>
      </w:r>
      <w:r w:rsidR="00290B4B">
        <w:rPr>
          <w:rFonts w:cs="Arial"/>
          <w:sz w:val="24"/>
        </w:rPr>
        <w:t xml:space="preserve">aged </w:t>
      </w:r>
      <w:r w:rsidR="005139E5" w:rsidRPr="0085516A">
        <w:rPr>
          <w:rFonts w:cs="Arial"/>
          <w:sz w:val="24"/>
        </w:rPr>
        <w:t xml:space="preserve">45-65yrs and </w:t>
      </w:r>
      <w:r w:rsidR="00290B4B">
        <w:rPr>
          <w:rFonts w:cs="Arial"/>
          <w:sz w:val="24"/>
        </w:rPr>
        <w:t>older adults (≥</w:t>
      </w:r>
      <w:r w:rsidR="007E3CD2" w:rsidRPr="0085516A">
        <w:rPr>
          <w:rFonts w:cs="Arial"/>
          <w:sz w:val="24"/>
        </w:rPr>
        <w:t>65 year-</w:t>
      </w:r>
      <w:r w:rsidR="007E3CD2" w:rsidRPr="006F551E">
        <w:rPr>
          <w:rFonts w:cs="Arial"/>
          <w:sz w:val="24"/>
        </w:rPr>
        <w:t>olds</w:t>
      </w:r>
      <w:r w:rsidR="00290B4B">
        <w:rPr>
          <w:rFonts w:cs="Arial"/>
          <w:sz w:val="24"/>
        </w:rPr>
        <w:t>)</w:t>
      </w:r>
      <w:r w:rsidR="007E3CD2" w:rsidRPr="0085516A">
        <w:rPr>
          <w:rFonts w:cs="Arial"/>
          <w:i/>
          <w:sz w:val="24"/>
        </w:rPr>
        <w:t>.</w:t>
      </w:r>
      <w:r w:rsidR="007E3CD2" w:rsidRPr="00392DFA">
        <w:rPr>
          <w:rFonts w:cs="Arial"/>
          <w:i/>
          <w:color w:val="FF0000"/>
          <w:sz w:val="24"/>
        </w:rPr>
        <w:t xml:space="preserve"> </w:t>
      </w:r>
      <w:r w:rsidR="007E3CD2" w:rsidRPr="0085516A">
        <w:rPr>
          <w:rFonts w:cs="Arial"/>
          <w:sz w:val="24"/>
        </w:rPr>
        <w:t>Those presenting with meningitis and septicaemia (</w:t>
      </w:r>
      <w:r w:rsidR="00434EFB" w:rsidRPr="0085516A">
        <w:rPr>
          <w:rFonts w:cs="Arial"/>
          <w:sz w:val="24"/>
        </w:rPr>
        <w:t>389/4,619 [8</w:t>
      </w:r>
      <w:r w:rsidR="001A7C08">
        <w:rPr>
          <w:rFonts w:cs="Arial"/>
          <w:sz w:val="24"/>
        </w:rPr>
        <w:t>·</w:t>
      </w:r>
      <w:r w:rsidR="00F668BC" w:rsidRPr="0085516A">
        <w:rPr>
          <w:rFonts w:cs="Arial"/>
          <w:sz w:val="24"/>
        </w:rPr>
        <w:t>4</w:t>
      </w:r>
      <w:r w:rsidR="00434EFB" w:rsidRPr="0085516A">
        <w:rPr>
          <w:rFonts w:cs="Arial"/>
          <w:sz w:val="24"/>
        </w:rPr>
        <w:t>2</w:t>
      </w:r>
      <w:r w:rsidR="00F668BC" w:rsidRPr="0085516A">
        <w:rPr>
          <w:rFonts w:cs="Arial"/>
          <w:sz w:val="24"/>
        </w:rPr>
        <w:t xml:space="preserve">%] cases, </w:t>
      </w:r>
      <w:r w:rsidR="00434EFB" w:rsidRPr="0085516A">
        <w:rPr>
          <w:rFonts w:cs="Arial"/>
          <w:sz w:val="24"/>
        </w:rPr>
        <w:t>39</w:t>
      </w:r>
      <w:r w:rsidR="007508EA" w:rsidRPr="0085516A">
        <w:rPr>
          <w:rFonts w:cs="Arial"/>
          <w:sz w:val="24"/>
        </w:rPr>
        <w:t>/3</w:t>
      </w:r>
      <w:r w:rsidR="00434EFB" w:rsidRPr="0085516A">
        <w:rPr>
          <w:rFonts w:cs="Arial"/>
          <w:sz w:val="24"/>
        </w:rPr>
        <w:t>89 [10</w:t>
      </w:r>
      <w:r w:rsidR="001A7C08">
        <w:rPr>
          <w:rFonts w:cs="Arial"/>
          <w:sz w:val="24"/>
        </w:rPr>
        <w:t>·</w:t>
      </w:r>
      <w:r w:rsidR="00434EFB" w:rsidRPr="0085516A">
        <w:rPr>
          <w:rFonts w:cs="Arial"/>
          <w:sz w:val="24"/>
        </w:rPr>
        <w:t>03</w:t>
      </w:r>
      <w:r w:rsidR="00F668BC" w:rsidRPr="0085516A">
        <w:rPr>
          <w:rFonts w:cs="Arial"/>
          <w:sz w:val="24"/>
        </w:rPr>
        <w:t xml:space="preserve">%] </w:t>
      </w:r>
      <w:r w:rsidR="006A4F8D">
        <w:rPr>
          <w:rFonts w:cs="Arial"/>
          <w:sz w:val="24"/>
        </w:rPr>
        <w:t>died</w:t>
      </w:r>
      <w:r w:rsidR="0084631B" w:rsidRPr="0085516A">
        <w:rPr>
          <w:rFonts w:cs="Arial"/>
          <w:sz w:val="24"/>
        </w:rPr>
        <w:t xml:space="preserve">) </w:t>
      </w:r>
      <w:r w:rsidR="00290B4B">
        <w:rPr>
          <w:rFonts w:cs="Arial"/>
          <w:sz w:val="24"/>
        </w:rPr>
        <w:t xml:space="preserve">had a </w:t>
      </w:r>
      <w:r w:rsidR="0084631B" w:rsidRPr="0085516A">
        <w:rPr>
          <w:rFonts w:cs="Arial"/>
          <w:sz w:val="24"/>
        </w:rPr>
        <w:t>5</w:t>
      </w:r>
      <w:r w:rsidR="001A7C08">
        <w:rPr>
          <w:rFonts w:cs="Arial"/>
          <w:sz w:val="24"/>
        </w:rPr>
        <w:t>·</w:t>
      </w:r>
      <w:r w:rsidR="005139E5" w:rsidRPr="0085516A">
        <w:rPr>
          <w:rFonts w:cs="Arial"/>
          <w:sz w:val="24"/>
        </w:rPr>
        <w:t>3</w:t>
      </w:r>
      <w:r w:rsidR="007E3CD2" w:rsidRPr="0085516A">
        <w:rPr>
          <w:rFonts w:cs="Arial"/>
          <w:sz w:val="24"/>
        </w:rPr>
        <w:t xml:space="preserve">-fold </w:t>
      </w:r>
      <w:r w:rsidR="00290B4B">
        <w:rPr>
          <w:rFonts w:cs="Arial"/>
          <w:sz w:val="24"/>
        </w:rPr>
        <w:t xml:space="preserve">age-adjusted risk of death </w:t>
      </w:r>
      <w:r w:rsidR="007E3CD2" w:rsidRPr="0085516A">
        <w:rPr>
          <w:rFonts w:cs="Arial"/>
          <w:sz w:val="24"/>
        </w:rPr>
        <w:t>compared to those presenting with meningitis only</w:t>
      </w:r>
      <w:r w:rsidR="00F668BC" w:rsidRPr="0085516A">
        <w:rPr>
          <w:rFonts w:cs="Arial"/>
          <w:sz w:val="24"/>
        </w:rPr>
        <w:t xml:space="preserve"> </w:t>
      </w:r>
      <w:r w:rsidR="00C007F3" w:rsidRPr="0085516A">
        <w:rPr>
          <w:rFonts w:cs="Arial"/>
          <w:sz w:val="24"/>
        </w:rPr>
        <w:t>(</w:t>
      </w:r>
      <w:r w:rsidR="00434EFB" w:rsidRPr="0085516A">
        <w:rPr>
          <w:rFonts w:cs="Arial"/>
          <w:sz w:val="24"/>
        </w:rPr>
        <w:t>2,057/4,619 [44</w:t>
      </w:r>
      <w:r w:rsidR="001A7C08">
        <w:rPr>
          <w:rFonts w:cs="Arial"/>
          <w:sz w:val="24"/>
        </w:rPr>
        <w:t>·</w:t>
      </w:r>
      <w:r w:rsidR="00434EFB" w:rsidRPr="0085516A">
        <w:rPr>
          <w:rFonts w:cs="Arial"/>
          <w:sz w:val="24"/>
        </w:rPr>
        <w:t>53</w:t>
      </w:r>
      <w:r w:rsidR="00F668BC" w:rsidRPr="0085516A">
        <w:rPr>
          <w:rFonts w:cs="Arial"/>
          <w:sz w:val="24"/>
        </w:rPr>
        <w:t xml:space="preserve">%] cases, </w:t>
      </w:r>
      <w:r w:rsidR="00434EFB" w:rsidRPr="0085516A">
        <w:rPr>
          <w:rFonts w:cs="Arial"/>
          <w:sz w:val="24"/>
        </w:rPr>
        <w:t>45/2,057 [2</w:t>
      </w:r>
      <w:r w:rsidR="001A7C08">
        <w:rPr>
          <w:rFonts w:cs="Arial"/>
          <w:sz w:val="24"/>
        </w:rPr>
        <w:t>·</w:t>
      </w:r>
      <w:r w:rsidR="00434EFB" w:rsidRPr="0085516A">
        <w:rPr>
          <w:rFonts w:cs="Arial"/>
          <w:sz w:val="24"/>
        </w:rPr>
        <w:t>19</w:t>
      </w:r>
      <w:r w:rsidR="00F668BC" w:rsidRPr="0085516A">
        <w:rPr>
          <w:rFonts w:cs="Arial"/>
          <w:sz w:val="24"/>
        </w:rPr>
        <w:t xml:space="preserve">%] </w:t>
      </w:r>
      <w:r w:rsidR="006A4F8D">
        <w:rPr>
          <w:rFonts w:cs="Arial"/>
          <w:sz w:val="24"/>
        </w:rPr>
        <w:t>died</w:t>
      </w:r>
      <w:r w:rsidR="00F668BC" w:rsidRPr="0085516A">
        <w:rPr>
          <w:rFonts w:cs="Arial"/>
          <w:sz w:val="24"/>
        </w:rPr>
        <w:t>)</w:t>
      </w:r>
      <w:r w:rsidR="00290B4B">
        <w:rPr>
          <w:rFonts w:cs="Arial"/>
          <w:sz w:val="24"/>
        </w:rPr>
        <w:t>. T</w:t>
      </w:r>
      <w:r w:rsidR="007E3CD2" w:rsidRPr="0085516A">
        <w:rPr>
          <w:rFonts w:cs="Arial"/>
          <w:sz w:val="24"/>
        </w:rPr>
        <w:t xml:space="preserve">hose presenting with septicaemia only </w:t>
      </w:r>
      <w:r w:rsidR="00C007F3" w:rsidRPr="0085516A">
        <w:rPr>
          <w:rFonts w:cs="Arial"/>
          <w:sz w:val="24"/>
        </w:rPr>
        <w:t>(</w:t>
      </w:r>
      <w:r w:rsidR="00434EFB" w:rsidRPr="0085516A">
        <w:rPr>
          <w:rFonts w:cs="Arial"/>
          <w:sz w:val="24"/>
        </w:rPr>
        <w:t>1,725/4,619</w:t>
      </w:r>
      <w:r w:rsidR="00C007F3" w:rsidRPr="0085516A">
        <w:rPr>
          <w:rFonts w:cs="Arial"/>
          <w:sz w:val="24"/>
        </w:rPr>
        <w:t xml:space="preserve"> [</w:t>
      </w:r>
      <w:r w:rsidR="00434EFB" w:rsidRPr="0085516A">
        <w:rPr>
          <w:rFonts w:cs="Arial"/>
          <w:sz w:val="24"/>
        </w:rPr>
        <w:t>37</w:t>
      </w:r>
      <w:r w:rsidR="001A7C08">
        <w:rPr>
          <w:rFonts w:cs="Arial"/>
          <w:sz w:val="24"/>
        </w:rPr>
        <w:t>·</w:t>
      </w:r>
      <w:r w:rsidR="00434EFB" w:rsidRPr="0085516A">
        <w:rPr>
          <w:rFonts w:cs="Arial"/>
          <w:sz w:val="24"/>
        </w:rPr>
        <w:t>34</w:t>
      </w:r>
      <w:r w:rsidR="00C007F3" w:rsidRPr="0085516A">
        <w:rPr>
          <w:rFonts w:cs="Arial"/>
          <w:sz w:val="24"/>
        </w:rPr>
        <w:t xml:space="preserve">%] cases, </w:t>
      </w:r>
      <w:r w:rsidR="00434EFB" w:rsidRPr="0085516A">
        <w:rPr>
          <w:rFonts w:cs="Arial"/>
          <w:sz w:val="24"/>
        </w:rPr>
        <w:t>114/1,725 [6</w:t>
      </w:r>
      <w:r w:rsidR="001A7C08">
        <w:rPr>
          <w:rFonts w:cs="Arial"/>
          <w:sz w:val="24"/>
        </w:rPr>
        <w:t>·</w:t>
      </w:r>
      <w:r w:rsidR="00434EFB" w:rsidRPr="0085516A">
        <w:rPr>
          <w:rFonts w:cs="Arial"/>
          <w:sz w:val="24"/>
        </w:rPr>
        <w:t>61</w:t>
      </w:r>
      <w:r w:rsidR="00C007F3" w:rsidRPr="0085516A">
        <w:rPr>
          <w:rFonts w:cs="Arial"/>
          <w:sz w:val="24"/>
        </w:rPr>
        <w:t xml:space="preserve">%] </w:t>
      </w:r>
      <w:r w:rsidR="006A4F8D">
        <w:rPr>
          <w:rFonts w:cs="Arial"/>
          <w:sz w:val="24"/>
        </w:rPr>
        <w:t>died</w:t>
      </w:r>
      <w:r w:rsidR="00C007F3" w:rsidRPr="006520AE">
        <w:rPr>
          <w:rFonts w:cs="Arial"/>
          <w:sz w:val="24"/>
        </w:rPr>
        <w:t xml:space="preserve">) </w:t>
      </w:r>
      <w:r w:rsidR="00F668BC" w:rsidRPr="006520AE">
        <w:rPr>
          <w:rFonts w:cs="Arial"/>
          <w:sz w:val="24"/>
        </w:rPr>
        <w:t xml:space="preserve">had a </w:t>
      </w:r>
      <w:r w:rsidR="00290B4B" w:rsidRPr="006520AE">
        <w:rPr>
          <w:rFonts w:cs="Arial"/>
          <w:sz w:val="24"/>
        </w:rPr>
        <w:t>4·4-fold</w:t>
      </w:r>
      <w:r w:rsidR="00F668BC" w:rsidRPr="006520AE">
        <w:rPr>
          <w:rFonts w:cs="Arial"/>
          <w:sz w:val="24"/>
        </w:rPr>
        <w:t xml:space="preserve"> higher </w:t>
      </w:r>
      <w:r w:rsidR="00290B4B">
        <w:rPr>
          <w:rFonts w:cs="Arial"/>
          <w:sz w:val="24"/>
        </w:rPr>
        <w:t xml:space="preserve">age-adjusted </w:t>
      </w:r>
      <w:r w:rsidR="00F668BC" w:rsidRPr="006520AE">
        <w:rPr>
          <w:rFonts w:cs="Arial"/>
          <w:sz w:val="24"/>
        </w:rPr>
        <w:t xml:space="preserve">risk of death </w:t>
      </w:r>
      <w:r w:rsidR="00290B4B">
        <w:rPr>
          <w:rFonts w:cs="Arial"/>
          <w:sz w:val="24"/>
        </w:rPr>
        <w:t xml:space="preserve">than meningitis only cases </w:t>
      </w:r>
      <w:r w:rsidR="00CF7821" w:rsidRPr="006520AE">
        <w:rPr>
          <w:rFonts w:cs="Arial"/>
          <w:sz w:val="24"/>
        </w:rPr>
        <w:t xml:space="preserve"> (Table </w:t>
      </w:r>
      <w:r w:rsidR="006438C2" w:rsidRPr="006520AE">
        <w:rPr>
          <w:rFonts w:cs="Arial"/>
          <w:sz w:val="24"/>
        </w:rPr>
        <w:t>4</w:t>
      </w:r>
      <w:r w:rsidR="00A912D5" w:rsidRPr="006520AE">
        <w:rPr>
          <w:rFonts w:cs="Arial"/>
          <w:sz w:val="24"/>
        </w:rPr>
        <w:t>a</w:t>
      </w:r>
      <w:r w:rsidR="007E3CD2" w:rsidRPr="006520AE">
        <w:rPr>
          <w:rFonts w:cs="Arial"/>
          <w:sz w:val="24"/>
        </w:rPr>
        <w:t xml:space="preserve">). </w:t>
      </w:r>
    </w:p>
    <w:p w14:paraId="5620ADEF" w14:textId="77777777" w:rsidR="007646E5" w:rsidRPr="00392DFA" w:rsidRDefault="0084631B" w:rsidP="007646E5">
      <w:pPr>
        <w:rPr>
          <w:rFonts w:cs="Arial"/>
          <w:i/>
          <w:sz w:val="24"/>
        </w:rPr>
      </w:pPr>
      <w:r w:rsidRPr="006520AE">
        <w:rPr>
          <w:rFonts w:cs="Arial"/>
          <w:sz w:val="24"/>
        </w:rPr>
        <w:t xml:space="preserve">Among </w:t>
      </w:r>
      <w:r w:rsidR="0010750A" w:rsidRPr="006520AE">
        <w:rPr>
          <w:rFonts w:cs="Arial"/>
          <w:sz w:val="24"/>
        </w:rPr>
        <w:t>MenACWY</w:t>
      </w:r>
      <w:r w:rsidRPr="006520AE">
        <w:rPr>
          <w:rFonts w:cs="Arial"/>
          <w:sz w:val="24"/>
        </w:rPr>
        <w:t xml:space="preserve"> cases</w:t>
      </w:r>
      <w:r w:rsidR="00A912D5" w:rsidRPr="006520AE">
        <w:rPr>
          <w:rFonts w:cs="Arial"/>
          <w:sz w:val="24"/>
        </w:rPr>
        <w:t>,</w:t>
      </w:r>
      <w:r w:rsidRPr="006520AE">
        <w:rPr>
          <w:rFonts w:cs="Arial"/>
          <w:sz w:val="24"/>
        </w:rPr>
        <w:t xml:space="preserve"> </w:t>
      </w:r>
      <w:r w:rsidR="007E3CD2" w:rsidRPr="006520AE">
        <w:rPr>
          <w:rFonts w:cs="Arial"/>
          <w:sz w:val="24"/>
        </w:rPr>
        <w:t>a higher risk of death was observed among those presenting with meningitis and septicaemia</w:t>
      </w:r>
      <w:r w:rsidR="00A5037E" w:rsidRPr="006520AE">
        <w:rPr>
          <w:rFonts w:cs="Arial"/>
          <w:sz w:val="24"/>
        </w:rPr>
        <w:t xml:space="preserve">, particularly among </w:t>
      </w:r>
      <w:r w:rsidR="0010750A" w:rsidRPr="006520AE">
        <w:rPr>
          <w:rFonts w:cs="Arial"/>
          <w:sz w:val="24"/>
        </w:rPr>
        <w:t xml:space="preserve">adolescents and </w:t>
      </w:r>
      <w:r w:rsidR="007E3CD2" w:rsidRPr="006520AE">
        <w:rPr>
          <w:rFonts w:cs="Arial"/>
          <w:sz w:val="24"/>
        </w:rPr>
        <w:t>those</w:t>
      </w:r>
      <w:r w:rsidR="00A912D5" w:rsidRPr="006520AE">
        <w:rPr>
          <w:rFonts w:cs="Arial"/>
          <w:sz w:val="24"/>
        </w:rPr>
        <w:t xml:space="preserve"> aged </w:t>
      </w:r>
      <w:r w:rsidR="00290B4B">
        <w:rPr>
          <w:rFonts w:cs="Arial"/>
          <w:sz w:val="24"/>
        </w:rPr>
        <w:t>≥</w:t>
      </w:r>
      <w:r w:rsidR="00A912D5" w:rsidRPr="006520AE">
        <w:rPr>
          <w:rFonts w:cs="Arial"/>
          <w:sz w:val="24"/>
        </w:rPr>
        <w:t>65 years</w:t>
      </w:r>
      <w:r w:rsidR="00A5037E" w:rsidRPr="006520AE">
        <w:rPr>
          <w:rFonts w:cs="Arial"/>
          <w:sz w:val="24"/>
        </w:rPr>
        <w:t>.</w:t>
      </w:r>
      <w:r w:rsidR="0010750A" w:rsidRPr="006520AE">
        <w:rPr>
          <w:rFonts w:cs="Arial"/>
          <w:sz w:val="24"/>
        </w:rPr>
        <w:t xml:space="preserve"> A lower risk of death was </w:t>
      </w:r>
      <w:r w:rsidR="00290B4B">
        <w:rPr>
          <w:rFonts w:cs="Arial"/>
          <w:sz w:val="24"/>
        </w:rPr>
        <w:t xml:space="preserve">observed </w:t>
      </w:r>
      <w:r w:rsidR="0010750A" w:rsidRPr="006520AE">
        <w:rPr>
          <w:rFonts w:cs="Arial"/>
          <w:sz w:val="24"/>
        </w:rPr>
        <w:t xml:space="preserve">for those with other </w:t>
      </w:r>
      <w:r w:rsidR="00290B4B">
        <w:rPr>
          <w:rFonts w:cs="Arial"/>
          <w:sz w:val="24"/>
        </w:rPr>
        <w:t xml:space="preserve">clinical </w:t>
      </w:r>
      <w:r w:rsidR="0010750A" w:rsidRPr="006520AE">
        <w:rPr>
          <w:rFonts w:cs="Arial"/>
          <w:sz w:val="24"/>
        </w:rPr>
        <w:t>presentations</w:t>
      </w:r>
      <w:r w:rsidR="007E3CD2" w:rsidRPr="006520AE">
        <w:rPr>
          <w:rFonts w:cs="Arial"/>
          <w:sz w:val="24"/>
        </w:rPr>
        <w:t xml:space="preserve"> </w:t>
      </w:r>
      <w:r w:rsidR="00EF6194" w:rsidRPr="006520AE">
        <w:rPr>
          <w:rFonts w:cs="Arial"/>
          <w:sz w:val="24"/>
        </w:rPr>
        <w:t>(Table 4b</w:t>
      </w:r>
      <w:r w:rsidR="00921EE0" w:rsidRPr="006520AE">
        <w:rPr>
          <w:rFonts w:cs="Arial"/>
          <w:sz w:val="24"/>
        </w:rPr>
        <w:t>).</w:t>
      </w:r>
      <w:r w:rsidR="007646E5" w:rsidRPr="006520AE">
        <w:rPr>
          <w:rFonts w:cs="Arial"/>
          <w:sz w:val="24"/>
        </w:rPr>
        <w:t xml:space="preserve"> </w:t>
      </w:r>
      <w:r w:rsidR="00290B4B">
        <w:rPr>
          <w:rFonts w:cs="Arial"/>
          <w:sz w:val="24"/>
        </w:rPr>
        <w:t>In adolescent</w:t>
      </w:r>
      <w:r w:rsidR="008758D9">
        <w:rPr>
          <w:rFonts w:cs="Arial"/>
          <w:sz w:val="24"/>
        </w:rPr>
        <w:t>s</w:t>
      </w:r>
      <w:r w:rsidR="00290B4B">
        <w:rPr>
          <w:rFonts w:cs="Arial"/>
          <w:sz w:val="24"/>
        </w:rPr>
        <w:t>, a</w:t>
      </w:r>
      <w:r w:rsidR="00D22AE4" w:rsidRPr="006520AE">
        <w:rPr>
          <w:rFonts w:cs="Arial"/>
          <w:sz w:val="24"/>
        </w:rPr>
        <w:t xml:space="preserve">fter adjusting for age and clinical presentation, the relative risk of death </w:t>
      </w:r>
      <w:r w:rsidR="00290B4B">
        <w:rPr>
          <w:rFonts w:cs="Arial"/>
          <w:sz w:val="24"/>
        </w:rPr>
        <w:t>after meningococcal A, C, W or Y disease (</w:t>
      </w:r>
      <w:r w:rsidR="00290B4B" w:rsidRPr="0085516A">
        <w:rPr>
          <w:rFonts w:cs="Arial"/>
          <w:sz w:val="24"/>
        </w:rPr>
        <w:t>8/74</w:t>
      </w:r>
      <w:r w:rsidR="00290B4B">
        <w:rPr>
          <w:rFonts w:cs="Arial"/>
          <w:sz w:val="24"/>
        </w:rPr>
        <w:t xml:space="preserve"> died, </w:t>
      </w:r>
      <w:r w:rsidR="00290B4B" w:rsidRPr="0085516A">
        <w:rPr>
          <w:rFonts w:cs="Arial"/>
          <w:sz w:val="24"/>
        </w:rPr>
        <w:t>10</w:t>
      </w:r>
      <w:r w:rsidR="00290B4B">
        <w:rPr>
          <w:rFonts w:cs="Arial"/>
          <w:sz w:val="24"/>
        </w:rPr>
        <w:t xml:space="preserve">·81%) compared to </w:t>
      </w:r>
      <w:r w:rsidR="00D22AE4" w:rsidRPr="006520AE">
        <w:rPr>
          <w:rFonts w:cs="Arial"/>
          <w:sz w:val="24"/>
        </w:rPr>
        <w:t xml:space="preserve">MenB </w:t>
      </w:r>
      <w:r w:rsidR="00290B4B">
        <w:rPr>
          <w:rFonts w:cs="Arial"/>
          <w:sz w:val="24"/>
        </w:rPr>
        <w:t>disease (</w:t>
      </w:r>
      <w:r w:rsidR="00290B4B" w:rsidRPr="0085516A">
        <w:rPr>
          <w:rFonts w:cs="Arial"/>
          <w:sz w:val="24"/>
        </w:rPr>
        <w:t>29/587</w:t>
      </w:r>
      <w:r w:rsidR="00290B4B">
        <w:rPr>
          <w:rFonts w:cs="Arial"/>
          <w:sz w:val="24"/>
        </w:rPr>
        <w:t xml:space="preserve"> died, </w:t>
      </w:r>
      <w:r w:rsidR="00290B4B" w:rsidRPr="0085516A">
        <w:rPr>
          <w:rFonts w:cs="Arial"/>
          <w:sz w:val="24"/>
        </w:rPr>
        <w:t>4</w:t>
      </w:r>
      <w:r w:rsidR="00290B4B">
        <w:rPr>
          <w:rFonts w:cs="Arial"/>
          <w:sz w:val="24"/>
        </w:rPr>
        <w:t>·94%)</w:t>
      </w:r>
      <w:r w:rsidR="00516527">
        <w:rPr>
          <w:rFonts w:cs="Arial"/>
          <w:sz w:val="24"/>
        </w:rPr>
        <w:t xml:space="preserve"> </w:t>
      </w:r>
      <w:r w:rsidR="00D22AE4" w:rsidRPr="0085516A">
        <w:rPr>
          <w:rFonts w:cs="Arial"/>
          <w:sz w:val="24"/>
        </w:rPr>
        <w:t xml:space="preserve">was </w:t>
      </w:r>
      <w:r w:rsidR="0010750A" w:rsidRPr="0085516A">
        <w:rPr>
          <w:rFonts w:cs="Arial"/>
          <w:sz w:val="24"/>
        </w:rPr>
        <w:t>2</w:t>
      </w:r>
      <w:r w:rsidR="001A7C08">
        <w:rPr>
          <w:rFonts w:cs="Arial"/>
          <w:sz w:val="24"/>
        </w:rPr>
        <w:t>·</w:t>
      </w:r>
      <w:r w:rsidR="0010750A" w:rsidRPr="0085516A">
        <w:rPr>
          <w:rFonts w:cs="Arial"/>
          <w:sz w:val="24"/>
        </w:rPr>
        <w:t>32</w:t>
      </w:r>
      <w:r w:rsidR="00290B4B">
        <w:rPr>
          <w:rFonts w:cs="Arial"/>
          <w:sz w:val="24"/>
        </w:rPr>
        <w:t xml:space="preserve"> (</w:t>
      </w:r>
      <w:r w:rsidR="00D22AE4" w:rsidRPr="0085516A">
        <w:rPr>
          <w:rFonts w:cs="Arial"/>
          <w:sz w:val="24"/>
        </w:rPr>
        <w:t xml:space="preserve">95% CI, </w:t>
      </w:r>
      <w:r w:rsidR="00D45A77" w:rsidRPr="0085516A">
        <w:rPr>
          <w:rFonts w:cs="Arial"/>
          <w:sz w:val="24"/>
        </w:rPr>
        <w:t>1</w:t>
      </w:r>
      <w:r w:rsidR="001A7C08">
        <w:rPr>
          <w:rFonts w:cs="Arial"/>
          <w:sz w:val="24"/>
        </w:rPr>
        <w:t>·</w:t>
      </w:r>
      <w:r w:rsidR="00D45A77" w:rsidRPr="0085516A">
        <w:rPr>
          <w:rFonts w:cs="Arial"/>
          <w:sz w:val="24"/>
        </w:rPr>
        <w:t>00-5</w:t>
      </w:r>
      <w:r w:rsidR="001A7C08">
        <w:rPr>
          <w:rFonts w:cs="Arial"/>
          <w:sz w:val="24"/>
        </w:rPr>
        <w:t>·</w:t>
      </w:r>
      <w:r w:rsidR="00D45A77" w:rsidRPr="0085516A">
        <w:rPr>
          <w:rFonts w:cs="Arial"/>
          <w:sz w:val="24"/>
        </w:rPr>
        <w:t>38</w:t>
      </w:r>
      <w:r w:rsidR="00D22AE4" w:rsidRPr="0085516A">
        <w:rPr>
          <w:rFonts w:cs="Arial"/>
          <w:sz w:val="24"/>
        </w:rPr>
        <w:t>; P=</w:t>
      </w:r>
      <w:r w:rsidR="00D45A77" w:rsidRPr="0085516A">
        <w:rPr>
          <w:rFonts w:cs="Arial"/>
          <w:sz w:val="24"/>
        </w:rPr>
        <w:t>0</w:t>
      </w:r>
      <w:r w:rsidR="001A7C08">
        <w:rPr>
          <w:rFonts w:cs="Arial"/>
          <w:sz w:val="24"/>
        </w:rPr>
        <w:t>·</w:t>
      </w:r>
      <w:r w:rsidR="00D45A77" w:rsidRPr="0085516A">
        <w:rPr>
          <w:rFonts w:cs="Arial"/>
          <w:sz w:val="24"/>
        </w:rPr>
        <w:t>051</w:t>
      </w:r>
      <w:r w:rsidR="00D22AE4" w:rsidRPr="0085516A">
        <w:rPr>
          <w:rFonts w:cs="Arial"/>
          <w:sz w:val="24"/>
        </w:rPr>
        <w:t>).</w:t>
      </w:r>
    </w:p>
    <w:p w14:paraId="3EBD926D" w14:textId="4072F23B" w:rsidR="007646E5" w:rsidRPr="0085516A" w:rsidRDefault="007646E5" w:rsidP="007E3CD2">
      <w:pPr>
        <w:rPr>
          <w:rFonts w:cs="Arial"/>
          <w:sz w:val="24"/>
        </w:rPr>
      </w:pPr>
      <w:r w:rsidRPr="0084296E">
        <w:rPr>
          <w:rFonts w:cs="Arial"/>
          <w:sz w:val="24"/>
        </w:rPr>
        <w:t>Since</w:t>
      </w:r>
      <w:r w:rsidR="00516527">
        <w:rPr>
          <w:rFonts w:cs="Arial"/>
          <w:sz w:val="24"/>
        </w:rPr>
        <w:t xml:space="preserve"> both</w:t>
      </w:r>
      <w:r w:rsidRPr="0084296E">
        <w:rPr>
          <w:rFonts w:cs="Arial"/>
          <w:sz w:val="24"/>
        </w:rPr>
        <w:t xml:space="preserve"> PCR-testing </w:t>
      </w:r>
      <w:r w:rsidR="00516527">
        <w:rPr>
          <w:rFonts w:cs="Arial"/>
          <w:sz w:val="24"/>
        </w:rPr>
        <w:t xml:space="preserve">and culture </w:t>
      </w:r>
      <w:r w:rsidR="0084296E">
        <w:rPr>
          <w:rFonts w:cs="Arial"/>
          <w:sz w:val="24"/>
        </w:rPr>
        <w:t xml:space="preserve">was </w:t>
      </w:r>
      <w:r w:rsidR="00472764" w:rsidRPr="0084296E">
        <w:rPr>
          <w:rFonts w:cs="Arial"/>
          <w:sz w:val="24"/>
        </w:rPr>
        <w:t xml:space="preserve">likely to be performed more routinely </w:t>
      </w:r>
      <w:r w:rsidRPr="0084296E">
        <w:rPr>
          <w:rFonts w:cs="Arial"/>
          <w:sz w:val="24"/>
        </w:rPr>
        <w:t>in children</w:t>
      </w:r>
      <w:r w:rsidR="00590158">
        <w:rPr>
          <w:rFonts w:cs="Arial"/>
          <w:sz w:val="24"/>
        </w:rPr>
        <w:t xml:space="preserve"> because of </w:t>
      </w:r>
      <w:r w:rsidR="0084296E" w:rsidRPr="007E2879">
        <w:rPr>
          <w:rFonts w:cs="Arial"/>
          <w:sz w:val="24"/>
        </w:rPr>
        <w:t xml:space="preserve">more </w:t>
      </w:r>
      <w:r w:rsidRPr="0084296E">
        <w:rPr>
          <w:rFonts w:cs="Arial"/>
          <w:sz w:val="24"/>
        </w:rPr>
        <w:t xml:space="preserve">typical clinical presentations </w:t>
      </w:r>
      <w:r w:rsidR="00590158">
        <w:rPr>
          <w:rFonts w:cs="Arial"/>
          <w:sz w:val="24"/>
        </w:rPr>
        <w:t xml:space="preserve">with </w:t>
      </w:r>
      <w:r w:rsidRPr="0084296E">
        <w:rPr>
          <w:rFonts w:cs="Arial"/>
          <w:sz w:val="24"/>
        </w:rPr>
        <w:t xml:space="preserve">meningitis and septicaemia, </w:t>
      </w:r>
      <w:r w:rsidR="00590158" w:rsidRPr="00637127">
        <w:rPr>
          <w:rFonts w:cs="Arial"/>
          <w:color w:val="FF0000"/>
          <w:sz w:val="24"/>
        </w:rPr>
        <w:t xml:space="preserve">a </w:t>
      </w:r>
      <w:r w:rsidRPr="00637127">
        <w:rPr>
          <w:rFonts w:cs="Arial"/>
          <w:color w:val="FF0000"/>
          <w:sz w:val="24"/>
        </w:rPr>
        <w:t>logistic regre</w:t>
      </w:r>
      <w:r w:rsidR="00472764" w:rsidRPr="00637127">
        <w:rPr>
          <w:rFonts w:cs="Arial"/>
          <w:color w:val="FF0000"/>
          <w:sz w:val="24"/>
        </w:rPr>
        <w:t xml:space="preserve">ssion model </w:t>
      </w:r>
      <w:r w:rsidR="00637127" w:rsidRPr="00637127">
        <w:rPr>
          <w:rFonts w:cs="Arial"/>
          <w:color w:val="FF0000"/>
          <w:sz w:val="24"/>
        </w:rPr>
        <w:t>was developed for</w:t>
      </w:r>
      <w:r w:rsidR="00472764" w:rsidRPr="00637127">
        <w:rPr>
          <w:rFonts w:cs="Arial"/>
          <w:color w:val="FF0000"/>
          <w:sz w:val="24"/>
        </w:rPr>
        <w:t xml:space="preserve"> &lt;1</w:t>
      </w:r>
      <w:r w:rsidR="0084296E" w:rsidRPr="00637127">
        <w:rPr>
          <w:rFonts w:cs="Arial"/>
          <w:color w:val="FF0000"/>
          <w:sz w:val="24"/>
        </w:rPr>
        <w:t>5</w:t>
      </w:r>
      <w:r w:rsidRPr="00637127">
        <w:rPr>
          <w:rFonts w:cs="Arial"/>
          <w:color w:val="FF0000"/>
          <w:sz w:val="24"/>
        </w:rPr>
        <w:t xml:space="preserve"> year-olds </w:t>
      </w:r>
      <w:r w:rsidR="00472764" w:rsidRPr="00637127">
        <w:rPr>
          <w:rFonts w:cs="Arial"/>
          <w:color w:val="FF0000"/>
          <w:sz w:val="24"/>
        </w:rPr>
        <w:t xml:space="preserve">and included age, gender, surveillance year, </w:t>
      </w:r>
      <w:r w:rsidR="0084296E" w:rsidRPr="00637127">
        <w:rPr>
          <w:rFonts w:cs="Arial"/>
          <w:color w:val="FF0000"/>
          <w:sz w:val="24"/>
        </w:rPr>
        <w:t xml:space="preserve">clinical presentation, </w:t>
      </w:r>
      <w:r w:rsidR="00472764" w:rsidRPr="00637127">
        <w:rPr>
          <w:rFonts w:cs="Arial"/>
          <w:color w:val="FF0000"/>
          <w:sz w:val="24"/>
        </w:rPr>
        <w:t xml:space="preserve">capsular group and diagnostic test as the </w:t>
      </w:r>
      <w:r w:rsidR="00590158" w:rsidRPr="00637127">
        <w:rPr>
          <w:rFonts w:cs="Arial"/>
          <w:color w:val="FF0000"/>
          <w:sz w:val="24"/>
        </w:rPr>
        <w:t>in</w:t>
      </w:r>
      <w:r w:rsidR="00472764" w:rsidRPr="00637127">
        <w:rPr>
          <w:rFonts w:cs="Arial"/>
          <w:color w:val="FF0000"/>
          <w:sz w:val="24"/>
        </w:rPr>
        <w:t>dependent variables</w:t>
      </w:r>
      <w:r w:rsidR="00472764" w:rsidRPr="006520AE">
        <w:rPr>
          <w:rFonts w:cs="Arial"/>
          <w:sz w:val="24"/>
        </w:rPr>
        <w:t xml:space="preserve"> </w:t>
      </w:r>
      <w:r w:rsidRPr="006520AE">
        <w:rPr>
          <w:rFonts w:cs="Arial"/>
          <w:sz w:val="24"/>
        </w:rPr>
        <w:t xml:space="preserve">(Table 4c). </w:t>
      </w:r>
      <w:r w:rsidR="00472764" w:rsidRPr="006520AE">
        <w:rPr>
          <w:rFonts w:cs="Arial"/>
          <w:sz w:val="24"/>
        </w:rPr>
        <w:t>In this model,</w:t>
      </w:r>
      <w:r w:rsidR="00C462AE">
        <w:rPr>
          <w:rFonts w:cs="Arial"/>
          <w:sz w:val="24"/>
        </w:rPr>
        <w:t xml:space="preserve"> </w:t>
      </w:r>
      <w:r w:rsidR="00590158">
        <w:rPr>
          <w:rFonts w:cs="Arial"/>
          <w:sz w:val="24"/>
        </w:rPr>
        <w:t xml:space="preserve">those </w:t>
      </w:r>
      <w:r w:rsidR="00C462AE">
        <w:rPr>
          <w:rFonts w:cs="Arial"/>
          <w:sz w:val="24"/>
        </w:rPr>
        <w:t>who died</w:t>
      </w:r>
      <w:r w:rsidR="00427045">
        <w:rPr>
          <w:rFonts w:cs="Arial"/>
          <w:sz w:val="24"/>
        </w:rPr>
        <w:t xml:space="preserve"> within</w:t>
      </w:r>
      <w:r w:rsidR="00C462AE">
        <w:rPr>
          <w:rFonts w:cs="Arial"/>
          <w:sz w:val="24"/>
        </w:rPr>
        <w:t xml:space="preserve"> 30 days were </w:t>
      </w:r>
      <w:r w:rsidR="00C462AE" w:rsidRPr="0084296E">
        <w:rPr>
          <w:rFonts w:cs="Arial"/>
          <w:sz w:val="24"/>
        </w:rPr>
        <w:t>1</w:t>
      </w:r>
      <w:r w:rsidR="00C462AE">
        <w:rPr>
          <w:rFonts w:cs="Arial"/>
          <w:sz w:val="24"/>
        </w:rPr>
        <w:t>·56</w:t>
      </w:r>
      <w:r w:rsidR="00C462AE" w:rsidRPr="0084296E">
        <w:rPr>
          <w:rFonts w:cs="Arial"/>
          <w:sz w:val="24"/>
        </w:rPr>
        <w:t>-fold (95% CI, 1</w:t>
      </w:r>
      <w:r w:rsidR="00C462AE">
        <w:rPr>
          <w:rFonts w:cs="Arial"/>
          <w:sz w:val="24"/>
        </w:rPr>
        <w:t>·</w:t>
      </w:r>
      <w:r w:rsidR="00C462AE" w:rsidRPr="0084296E">
        <w:rPr>
          <w:rFonts w:cs="Arial"/>
          <w:sz w:val="24"/>
        </w:rPr>
        <w:t>0</w:t>
      </w:r>
      <w:r w:rsidR="00C462AE">
        <w:rPr>
          <w:rFonts w:cs="Arial"/>
          <w:sz w:val="24"/>
        </w:rPr>
        <w:t>2</w:t>
      </w:r>
      <w:r w:rsidR="00C462AE" w:rsidRPr="0084296E">
        <w:rPr>
          <w:rFonts w:cs="Arial"/>
          <w:sz w:val="24"/>
        </w:rPr>
        <w:t>-2</w:t>
      </w:r>
      <w:r w:rsidR="00C462AE">
        <w:rPr>
          <w:rFonts w:cs="Arial"/>
          <w:sz w:val="24"/>
        </w:rPr>
        <w:t>·39</w:t>
      </w:r>
      <w:r w:rsidR="00C462AE" w:rsidRPr="0084296E">
        <w:rPr>
          <w:rFonts w:cs="Arial"/>
          <w:sz w:val="24"/>
        </w:rPr>
        <w:t>; P=0</w:t>
      </w:r>
      <w:r w:rsidR="00C462AE">
        <w:rPr>
          <w:rFonts w:cs="Arial"/>
          <w:sz w:val="24"/>
        </w:rPr>
        <w:t>·</w:t>
      </w:r>
      <w:r w:rsidR="00C462AE" w:rsidRPr="0084296E">
        <w:rPr>
          <w:rFonts w:cs="Arial"/>
          <w:sz w:val="24"/>
        </w:rPr>
        <w:t>0</w:t>
      </w:r>
      <w:r w:rsidR="00C462AE">
        <w:rPr>
          <w:rFonts w:cs="Arial"/>
          <w:sz w:val="24"/>
        </w:rPr>
        <w:t>40</w:t>
      </w:r>
      <w:r w:rsidR="00C462AE" w:rsidRPr="0084296E">
        <w:rPr>
          <w:rFonts w:cs="Arial"/>
          <w:sz w:val="24"/>
        </w:rPr>
        <w:t xml:space="preserve">) </w:t>
      </w:r>
      <w:r w:rsidR="00C462AE">
        <w:rPr>
          <w:rFonts w:cs="Arial"/>
          <w:sz w:val="24"/>
        </w:rPr>
        <w:t xml:space="preserve">more likely to have </w:t>
      </w:r>
      <w:r w:rsidRPr="006520AE">
        <w:rPr>
          <w:rFonts w:cs="Arial"/>
          <w:sz w:val="24"/>
        </w:rPr>
        <w:t xml:space="preserve">a positive culture </w:t>
      </w:r>
      <w:r w:rsidR="00C462AE">
        <w:rPr>
          <w:rFonts w:cs="Arial"/>
          <w:sz w:val="24"/>
        </w:rPr>
        <w:t>result (</w:t>
      </w:r>
      <w:r w:rsidR="004B1444" w:rsidRPr="006520AE">
        <w:rPr>
          <w:rFonts w:cs="Arial"/>
          <w:sz w:val="24"/>
        </w:rPr>
        <w:t>w</w:t>
      </w:r>
      <w:r w:rsidR="00C462AE">
        <w:rPr>
          <w:rFonts w:cs="Arial"/>
          <w:sz w:val="24"/>
        </w:rPr>
        <w:t>ith or without PCR-confirmation),</w:t>
      </w:r>
      <w:r w:rsidRPr="0084296E">
        <w:rPr>
          <w:rFonts w:cs="Arial"/>
          <w:sz w:val="24"/>
        </w:rPr>
        <w:t xml:space="preserve"> </w:t>
      </w:r>
      <w:r w:rsidR="00C462AE">
        <w:rPr>
          <w:rFonts w:cs="Arial"/>
          <w:sz w:val="24"/>
        </w:rPr>
        <w:t>than</w:t>
      </w:r>
      <w:r w:rsidRPr="0084296E">
        <w:rPr>
          <w:rFonts w:cs="Arial"/>
          <w:sz w:val="24"/>
        </w:rPr>
        <w:t xml:space="preserve"> </w:t>
      </w:r>
      <w:r w:rsidR="00C462AE">
        <w:rPr>
          <w:rFonts w:cs="Arial"/>
          <w:sz w:val="24"/>
        </w:rPr>
        <w:t>diagnosis</w:t>
      </w:r>
      <w:r w:rsidR="00472764" w:rsidRPr="00F320BD">
        <w:rPr>
          <w:rFonts w:cs="Arial"/>
          <w:sz w:val="24"/>
        </w:rPr>
        <w:t xml:space="preserve"> by </w:t>
      </w:r>
      <w:r w:rsidRPr="00F320BD">
        <w:rPr>
          <w:rFonts w:cs="Arial"/>
          <w:sz w:val="24"/>
        </w:rPr>
        <w:t>PCR alone.</w:t>
      </w:r>
      <w:r w:rsidRPr="0085516A">
        <w:rPr>
          <w:rFonts w:cs="Arial"/>
          <w:sz w:val="24"/>
        </w:rPr>
        <w:t xml:space="preserve"> </w:t>
      </w:r>
    </w:p>
    <w:p w14:paraId="09A728F5" w14:textId="77777777" w:rsidR="00937044" w:rsidRPr="00BE1566" w:rsidRDefault="00937044" w:rsidP="00937044">
      <w:pPr>
        <w:pStyle w:val="Heading2"/>
        <w:rPr>
          <w:sz w:val="24"/>
          <w:szCs w:val="24"/>
        </w:rPr>
      </w:pPr>
      <w:r w:rsidRPr="00BE1566">
        <w:rPr>
          <w:sz w:val="24"/>
          <w:szCs w:val="24"/>
        </w:rPr>
        <w:t>Exploratory analysis: severe complications associated with CFR</w:t>
      </w:r>
    </w:p>
    <w:p w14:paraId="6CDAEBCF" w14:textId="77777777" w:rsidR="00937044" w:rsidRPr="00BE1566" w:rsidRDefault="00937044" w:rsidP="00937044">
      <w:pPr>
        <w:rPr>
          <w:rFonts w:cs="Arial"/>
          <w:sz w:val="24"/>
        </w:rPr>
      </w:pPr>
      <w:r w:rsidRPr="00BE1566">
        <w:rPr>
          <w:rFonts w:cs="Arial"/>
          <w:sz w:val="24"/>
        </w:rPr>
        <w:t>The HES dataset was further explored for severe complications of IMD and association with fatal outcomes using pr</w:t>
      </w:r>
      <w:r w:rsidR="00A948EE" w:rsidRPr="00BE1566">
        <w:rPr>
          <w:rFonts w:cs="Arial"/>
          <w:sz w:val="24"/>
        </w:rPr>
        <w:t xml:space="preserve">e-defined ICD-10 codes </w:t>
      </w:r>
      <w:r w:rsidR="00A948EE" w:rsidRPr="006520AE">
        <w:rPr>
          <w:rFonts w:cs="Arial"/>
          <w:sz w:val="24"/>
        </w:rPr>
        <w:t>(</w:t>
      </w:r>
      <w:r w:rsidR="00A14BD2" w:rsidRPr="006520AE">
        <w:rPr>
          <w:rFonts w:cs="Arial"/>
          <w:sz w:val="24"/>
        </w:rPr>
        <w:t>Supplementary Table</w:t>
      </w:r>
      <w:r w:rsidR="00C843E8" w:rsidRPr="006520AE">
        <w:rPr>
          <w:rFonts w:cs="Arial"/>
          <w:sz w:val="24"/>
        </w:rPr>
        <w:t xml:space="preserve"> 2</w:t>
      </w:r>
      <w:r w:rsidRPr="006520AE">
        <w:rPr>
          <w:rFonts w:cs="Arial"/>
          <w:sz w:val="24"/>
        </w:rPr>
        <w:t>).</w:t>
      </w:r>
      <w:r w:rsidRPr="00BE1566">
        <w:rPr>
          <w:rFonts w:cs="Arial"/>
          <w:sz w:val="24"/>
        </w:rPr>
        <w:t xml:space="preserve"> Higher CFRs </w:t>
      </w:r>
      <w:r w:rsidR="00427045">
        <w:rPr>
          <w:rFonts w:cs="Arial"/>
          <w:sz w:val="24"/>
        </w:rPr>
        <w:t>were</w:t>
      </w:r>
      <w:r w:rsidRPr="00BE1566">
        <w:rPr>
          <w:rFonts w:cs="Arial"/>
          <w:sz w:val="24"/>
        </w:rPr>
        <w:t xml:space="preserve"> seen with most of the complications analysed</w:t>
      </w:r>
      <w:r w:rsidR="00A5037E">
        <w:rPr>
          <w:rFonts w:cs="Arial"/>
          <w:sz w:val="24"/>
        </w:rPr>
        <w:t>, including acute kidney disease, hypotension, pulmonary oedema, intravascular coagulation, seizures and cardiac arrest</w:t>
      </w:r>
      <w:r w:rsidR="0085516A">
        <w:rPr>
          <w:rFonts w:cs="Arial"/>
          <w:sz w:val="24"/>
        </w:rPr>
        <w:t>.</w:t>
      </w:r>
      <w:r w:rsidRPr="00BE1566">
        <w:rPr>
          <w:rFonts w:cs="Arial"/>
          <w:sz w:val="24"/>
        </w:rPr>
        <w:t xml:space="preserve"> </w:t>
      </w:r>
    </w:p>
    <w:p w14:paraId="259555DE" w14:textId="77777777" w:rsidR="006438C2" w:rsidRPr="00BE1566" w:rsidRDefault="006438C2" w:rsidP="006438C2">
      <w:pPr>
        <w:spacing w:after="200" w:line="276" w:lineRule="auto"/>
        <w:rPr>
          <w:rFonts w:eastAsiaTheme="majorEastAsia" w:cs="Arial"/>
          <w:b/>
          <w:bCs/>
          <w:i/>
          <w:sz w:val="24"/>
        </w:rPr>
      </w:pPr>
    </w:p>
    <w:p w14:paraId="6D0BEE40" w14:textId="77777777" w:rsidR="00DA6E63" w:rsidRPr="00BE1566" w:rsidRDefault="00DA6E63" w:rsidP="00AA1400">
      <w:pPr>
        <w:pStyle w:val="Heading1"/>
        <w:rPr>
          <w:sz w:val="24"/>
          <w:szCs w:val="24"/>
        </w:rPr>
      </w:pPr>
      <w:bookmarkStart w:id="3" w:name="_Toc428982233"/>
      <w:r w:rsidRPr="00BE1566">
        <w:rPr>
          <w:sz w:val="24"/>
          <w:szCs w:val="24"/>
        </w:rPr>
        <w:t>DISCUSSION</w:t>
      </w:r>
      <w:bookmarkEnd w:id="3"/>
    </w:p>
    <w:p w14:paraId="7DC00DD3" w14:textId="77777777" w:rsidR="00C462AE" w:rsidRDefault="005B1A99" w:rsidP="00FC32CC">
      <w:pPr>
        <w:rPr>
          <w:rFonts w:cs="Arial"/>
          <w:sz w:val="24"/>
        </w:rPr>
      </w:pPr>
      <w:r>
        <w:rPr>
          <w:rFonts w:cs="Arial"/>
          <w:sz w:val="24"/>
        </w:rPr>
        <w:t>Through linkage of multiple national data sources, w</w:t>
      </w:r>
      <w:r w:rsidR="00D411B2" w:rsidRPr="00BE1566">
        <w:rPr>
          <w:rFonts w:cs="Arial"/>
          <w:sz w:val="24"/>
        </w:rPr>
        <w:t>e</w:t>
      </w:r>
      <w:r w:rsidR="00200557">
        <w:rPr>
          <w:rFonts w:cs="Arial"/>
          <w:sz w:val="24"/>
        </w:rPr>
        <w:t xml:space="preserve"> have analysed</w:t>
      </w:r>
      <w:r w:rsidR="00054572">
        <w:rPr>
          <w:rFonts w:cs="Arial"/>
          <w:sz w:val="24"/>
        </w:rPr>
        <w:t xml:space="preserve"> </w:t>
      </w:r>
      <w:r w:rsidR="00200557">
        <w:rPr>
          <w:rFonts w:cs="Arial"/>
          <w:sz w:val="24"/>
        </w:rPr>
        <w:t>by far</w:t>
      </w:r>
      <w:r w:rsidR="00D411B2" w:rsidRPr="00BE1566">
        <w:rPr>
          <w:rFonts w:cs="Arial"/>
          <w:sz w:val="24"/>
        </w:rPr>
        <w:t xml:space="preserve"> the largest cohort</w:t>
      </w:r>
      <w:r w:rsidR="001D7E6A" w:rsidRPr="00BE1566">
        <w:rPr>
          <w:rFonts w:cs="Arial"/>
          <w:sz w:val="24"/>
        </w:rPr>
        <w:t xml:space="preserve"> of laboratory-confirmed</w:t>
      </w:r>
      <w:r>
        <w:rPr>
          <w:rFonts w:cs="Arial"/>
          <w:sz w:val="24"/>
        </w:rPr>
        <w:t>, hospitalised</w:t>
      </w:r>
      <w:r w:rsidR="001D7E6A" w:rsidRPr="00BE1566">
        <w:rPr>
          <w:rFonts w:cs="Arial"/>
          <w:sz w:val="24"/>
        </w:rPr>
        <w:t xml:space="preserve"> IMD </w:t>
      </w:r>
      <w:r>
        <w:rPr>
          <w:rFonts w:cs="Arial"/>
          <w:sz w:val="24"/>
        </w:rPr>
        <w:t xml:space="preserve">cases </w:t>
      </w:r>
      <w:r w:rsidR="00C843E8">
        <w:rPr>
          <w:rFonts w:cs="Arial"/>
          <w:sz w:val="24"/>
        </w:rPr>
        <w:t>in an industrialised country</w:t>
      </w:r>
      <w:r w:rsidR="00C843E8" w:rsidRPr="00BE1566">
        <w:rPr>
          <w:rFonts w:cs="Arial"/>
          <w:sz w:val="24"/>
        </w:rPr>
        <w:t xml:space="preserve"> </w:t>
      </w:r>
      <w:r w:rsidR="00200557">
        <w:rPr>
          <w:rFonts w:cs="Arial"/>
          <w:sz w:val="24"/>
        </w:rPr>
        <w:t>over</w:t>
      </w:r>
      <w:r w:rsidR="001D7E6A" w:rsidRPr="00BE1566">
        <w:rPr>
          <w:rFonts w:cs="Arial"/>
          <w:sz w:val="24"/>
        </w:rPr>
        <w:t xml:space="preserve"> </w:t>
      </w:r>
      <w:r w:rsidR="00C843E8">
        <w:rPr>
          <w:rFonts w:cs="Arial"/>
          <w:sz w:val="24"/>
        </w:rPr>
        <w:t xml:space="preserve">a </w:t>
      </w:r>
      <w:r w:rsidR="001D7E6A" w:rsidRPr="00BE1566">
        <w:rPr>
          <w:rFonts w:cs="Arial"/>
          <w:sz w:val="24"/>
        </w:rPr>
        <w:t>relatively short surveillance period of five years</w:t>
      </w:r>
      <w:r w:rsidR="00C843E8">
        <w:rPr>
          <w:rFonts w:cs="Arial"/>
          <w:sz w:val="24"/>
        </w:rPr>
        <w:t>.</w:t>
      </w:r>
      <w:r w:rsidR="001D7E6A" w:rsidRPr="00BE1566">
        <w:rPr>
          <w:rFonts w:cs="Arial"/>
          <w:sz w:val="24"/>
        </w:rPr>
        <w:t xml:space="preserve"> Our results confirm the significant morbidity and mortality associated with this</w:t>
      </w:r>
      <w:r w:rsidR="00200557">
        <w:rPr>
          <w:rFonts w:cs="Arial"/>
          <w:sz w:val="24"/>
        </w:rPr>
        <w:t xml:space="preserve"> devastating disease</w:t>
      </w:r>
      <w:r w:rsidR="001360AD">
        <w:rPr>
          <w:rFonts w:cs="Arial"/>
          <w:sz w:val="24"/>
        </w:rPr>
        <w:t>,</w:t>
      </w:r>
      <w:r w:rsidR="00200557">
        <w:rPr>
          <w:rFonts w:cs="Arial"/>
          <w:sz w:val="24"/>
        </w:rPr>
        <w:t xml:space="preserve"> despite </w:t>
      </w:r>
      <w:r w:rsidR="001D7E6A" w:rsidRPr="00BE1566">
        <w:rPr>
          <w:rFonts w:cs="Arial"/>
          <w:sz w:val="24"/>
        </w:rPr>
        <w:t xml:space="preserve">declining incidence in recent years. </w:t>
      </w:r>
      <w:r w:rsidR="00DA6E63" w:rsidRPr="00BE1566">
        <w:rPr>
          <w:rFonts w:cs="Arial"/>
          <w:sz w:val="24"/>
        </w:rPr>
        <w:t xml:space="preserve">MenB </w:t>
      </w:r>
      <w:r>
        <w:rPr>
          <w:rFonts w:cs="Arial"/>
          <w:sz w:val="24"/>
        </w:rPr>
        <w:t xml:space="preserve">was </w:t>
      </w:r>
      <w:r w:rsidR="00DA6E63" w:rsidRPr="00BE1566">
        <w:rPr>
          <w:rFonts w:cs="Arial"/>
          <w:sz w:val="24"/>
        </w:rPr>
        <w:t xml:space="preserve">responsible for </w:t>
      </w:r>
      <w:r w:rsidR="001D7E6A" w:rsidRPr="00BE1566">
        <w:rPr>
          <w:rFonts w:cs="Arial"/>
          <w:sz w:val="24"/>
        </w:rPr>
        <w:t xml:space="preserve">the </w:t>
      </w:r>
      <w:r w:rsidR="00DA6E63" w:rsidRPr="00BE1566">
        <w:rPr>
          <w:rFonts w:cs="Arial"/>
          <w:sz w:val="24"/>
        </w:rPr>
        <w:t xml:space="preserve">majority of </w:t>
      </w:r>
      <w:r w:rsidR="001D7E6A" w:rsidRPr="00BE1566">
        <w:rPr>
          <w:rFonts w:cs="Arial"/>
          <w:sz w:val="24"/>
        </w:rPr>
        <w:t>confirmed cases</w:t>
      </w:r>
      <w:r w:rsidR="00DA6E63" w:rsidRPr="00BE1566">
        <w:rPr>
          <w:rFonts w:cs="Arial"/>
          <w:sz w:val="24"/>
        </w:rPr>
        <w:t xml:space="preserve">, especially in children and </w:t>
      </w:r>
      <w:r w:rsidR="001D7E6A" w:rsidRPr="00BE1566">
        <w:rPr>
          <w:rFonts w:cs="Arial"/>
          <w:sz w:val="24"/>
        </w:rPr>
        <w:t xml:space="preserve">young </w:t>
      </w:r>
      <w:r w:rsidR="00DA6E63" w:rsidRPr="00BE1566">
        <w:rPr>
          <w:rFonts w:cs="Arial"/>
          <w:sz w:val="24"/>
        </w:rPr>
        <w:t>adults</w:t>
      </w:r>
      <w:r w:rsidR="00057930">
        <w:rPr>
          <w:rFonts w:cs="Arial"/>
          <w:sz w:val="24"/>
        </w:rPr>
        <w:t xml:space="preserve">. </w:t>
      </w:r>
      <w:r w:rsidR="00057930" w:rsidRPr="00057930">
        <w:rPr>
          <w:sz w:val="24"/>
          <w:lang w:val="en-US"/>
        </w:rPr>
        <w:t>After adjusting for age, meningitis only and septicaemia only were equally responsible for most clinical presentations among MenB and MenACWY cases, with the highest CFR observed among those with both presentations together</w:t>
      </w:r>
      <w:r w:rsidR="00F43DAD" w:rsidRPr="00057930">
        <w:rPr>
          <w:rFonts w:cs="Arial"/>
          <w:sz w:val="24"/>
        </w:rPr>
        <w:t xml:space="preserve">. </w:t>
      </w:r>
      <w:r w:rsidR="00F43DAD" w:rsidRPr="00BE1566">
        <w:rPr>
          <w:rFonts w:cs="Arial"/>
          <w:sz w:val="24"/>
        </w:rPr>
        <w:t xml:space="preserve">CFR was </w:t>
      </w:r>
      <w:r>
        <w:rPr>
          <w:rFonts w:cs="Arial"/>
          <w:sz w:val="24"/>
        </w:rPr>
        <w:t xml:space="preserve">low across all age groups except </w:t>
      </w:r>
      <w:r w:rsidR="00603B14">
        <w:rPr>
          <w:rFonts w:cs="Arial"/>
          <w:sz w:val="24"/>
        </w:rPr>
        <w:t>≥</w:t>
      </w:r>
      <w:r w:rsidR="00F43DAD" w:rsidRPr="00BE1566">
        <w:rPr>
          <w:rFonts w:cs="Arial"/>
          <w:sz w:val="24"/>
        </w:rPr>
        <w:t>65 year-olds</w:t>
      </w:r>
      <w:r>
        <w:rPr>
          <w:rFonts w:cs="Arial"/>
          <w:sz w:val="24"/>
        </w:rPr>
        <w:t xml:space="preserve"> and those presenting with MenACWY </w:t>
      </w:r>
      <w:r w:rsidR="00603B14">
        <w:rPr>
          <w:rFonts w:cs="Arial"/>
          <w:sz w:val="24"/>
        </w:rPr>
        <w:t xml:space="preserve">disease </w:t>
      </w:r>
      <w:r>
        <w:rPr>
          <w:rFonts w:cs="Arial"/>
          <w:sz w:val="24"/>
        </w:rPr>
        <w:t>compared to MenB disease</w:t>
      </w:r>
      <w:r w:rsidR="00F43934" w:rsidRPr="00BE1566">
        <w:rPr>
          <w:rFonts w:cs="Arial"/>
          <w:sz w:val="24"/>
        </w:rPr>
        <w:t xml:space="preserve">. </w:t>
      </w:r>
      <w:r w:rsidR="00BE1566">
        <w:rPr>
          <w:rFonts w:cs="Arial"/>
          <w:sz w:val="24"/>
        </w:rPr>
        <w:t>In children</w:t>
      </w:r>
      <w:r w:rsidR="00054572">
        <w:rPr>
          <w:rFonts w:cs="Arial"/>
          <w:sz w:val="24"/>
        </w:rPr>
        <w:t xml:space="preserve">, </w:t>
      </w:r>
      <w:r w:rsidR="00C462AE">
        <w:rPr>
          <w:rFonts w:cs="Arial"/>
          <w:sz w:val="24"/>
        </w:rPr>
        <w:t>those who died were significantly more likely to have a positive culture result</w:t>
      </w:r>
      <w:r w:rsidR="00B57D40">
        <w:rPr>
          <w:rFonts w:cs="Arial"/>
          <w:sz w:val="24"/>
        </w:rPr>
        <w:t xml:space="preserve"> </w:t>
      </w:r>
      <w:r w:rsidR="00603B14">
        <w:rPr>
          <w:rFonts w:cs="Arial"/>
          <w:sz w:val="24"/>
        </w:rPr>
        <w:t>than</w:t>
      </w:r>
      <w:r w:rsidR="00B57D40">
        <w:rPr>
          <w:rFonts w:cs="Arial"/>
          <w:sz w:val="24"/>
        </w:rPr>
        <w:t xml:space="preserve"> confirmation by PCR only.</w:t>
      </w:r>
    </w:p>
    <w:p w14:paraId="4BDF4C2A" w14:textId="24B0A547" w:rsidR="004F6022" w:rsidRPr="004F6022" w:rsidRDefault="004D3769" w:rsidP="00FC32CC">
      <w:pPr>
        <w:rPr>
          <w:rFonts w:cs="Arial"/>
          <w:sz w:val="24"/>
        </w:rPr>
      </w:pPr>
      <w:r>
        <w:rPr>
          <w:rFonts w:cs="Arial"/>
          <w:sz w:val="24"/>
        </w:rPr>
        <w:t>L</w:t>
      </w:r>
      <w:r w:rsidR="009957BD">
        <w:rPr>
          <w:rFonts w:cs="Arial"/>
          <w:sz w:val="24"/>
        </w:rPr>
        <w:t>i</w:t>
      </w:r>
      <w:r w:rsidR="0086673D" w:rsidRPr="00BE1566">
        <w:rPr>
          <w:rFonts w:cs="Arial"/>
          <w:sz w:val="24"/>
        </w:rPr>
        <w:t>nkage of large datasets is increasingly be</w:t>
      </w:r>
      <w:r w:rsidR="00603B14">
        <w:rPr>
          <w:rFonts w:cs="Arial"/>
          <w:sz w:val="24"/>
        </w:rPr>
        <w:t>com</w:t>
      </w:r>
      <w:r w:rsidR="0086673D" w:rsidRPr="00BE1566">
        <w:rPr>
          <w:rFonts w:cs="Arial"/>
          <w:sz w:val="24"/>
        </w:rPr>
        <w:t xml:space="preserve">ing recognised as a cost-efficient tool for </w:t>
      </w:r>
      <w:r w:rsidR="00C02F9A">
        <w:rPr>
          <w:rFonts w:cs="Arial"/>
          <w:sz w:val="24"/>
        </w:rPr>
        <w:t xml:space="preserve">surveillance of </w:t>
      </w:r>
      <w:r w:rsidR="0086673D" w:rsidRPr="00BE1566">
        <w:rPr>
          <w:rFonts w:cs="Arial"/>
          <w:sz w:val="24"/>
        </w:rPr>
        <w:t>infectious disease</w:t>
      </w:r>
      <w:r w:rsidR="00C02F9A">
        <w:rPr>
          <w:rFonts w:cs="Arial"/>
          <w:sz w:val="24"/>
        </w:rPr>
        <w:t>s</w:t>
      </w:r>
      <w:r w:rsidR="0086673D" w:rsidRPr="00BE1566">
        <w:rPr>
          <w:rFonts w:cs="Arial"/>
          <w:sz w:val="24"/>
        </w:rPr>
        <w:t xml:space="preserve"> and monitoring </w:t>
      </w:r>
      <w:r w:rsidR="00200557">
        <w:rPr>
          <w:rFonts w:cs="Arial"/>
          <w:sz w:val="24"/>
        </w:rPr>
        <w:t>trends</w:t>
      </w:r>
      <w:r w:rsidR="0086673D" w:rsidRPr="00BE1566">
        <w:rPr>
          <w:rFonts w:cs="Arial"/>
          <w:sz w:val="24"/>
        </w:rPr>
        <w:t xml:space="preserve">. </w:t>
      </w:r>
      <w:r w:rsidR="000815D8" w:rsidRPr="00BE1566">
        <w:rPr>
          <w:rFonts w:cs="Arial"/>
          <w:sz w:val="24"/>
        </w:rPr>
        <w:t xml:space="preserve">Despite the complexities of linking national data sources that were not designed for integration, the increased recording of </w:t>
      </w:r>
      <w:r w:rsidR="00C02F9A">
        <w:rPr>
          <w:rFonts w:cs="Arial"/>
          <w:sz w:val="24"/>
        </w:rPr>
        <w:t xml:space="preserve">unique </w:t>
      </w:r>
      <w:r w:rsidR="000815D8" w:rsidRPr="00BE1566">
        <w:rPr>
          <w:rFonts w:cs="Arial"/>
          <w:sz w:val="24"/>
        </w:rPr>
        <w:t xml:space="preserve">NHS numbers </w:t>
      </w:r>
      <w:r w:rsidR="00C02F9A">
        <w:rPr>
          <w:rFonts w:cs="Arial"/>
          <w:sz w:val="24"/>
        </w:rPr>
        <w:t>for individual</w:t>
      </w:r>
      <w:r w:rsidR="00926103">
        <w:rPr>
          <w:rFonts w:cs="Arial"/>
          <w:sz w:val="24"/>
        </w:rPr>
        <w:t xml:space="preserve"> patient</w:t>
      </w:r>
      <w:r w:rsidR="00C02F9A">
        <w:rPr>
          <w:rFonts w:cs="Arial"/>
          <w:sz w:val="24"/>
        </w:rPr>
        <w:t xml:space="preserve">s </w:t>
      </w:r>
      <w:r w:rsidR="000815D8" w:rsidRPr="00BE1566">
        <w:rPr>
          <w:rFonts w:cs="Arial"/>
          <w:sz w:val="24"/>
        </w:rPr>
        <w:t>in recent years has facilitated linkage</w:t>
      </w:r>
      <w:r w:rsidR="00C02F9A">
        <w:rPr>
          <w:rFonts w:cs="Arial"/>
          <w:sz w:val="24"/>
        </w:rPr>
        <w:t xml:space="preserve"> of healthcare records</w:t>
      </w:r>
      <w:r w:rsidR="000815D8" w:rsidRPr="00BE1566">
        <w:rPr>
          <w:rFonts w:cs="Arial"/>
          <w:sz w:val="24"/>
        </w:rPr>
        <w:t xml:space="preserve">. </w:t>
      </w:r>
      <w:r w:rsidR="00BE1566" w:rsidRPr="00BE1566">
        <w:rPr>
          <w:rFonts w:cs="Arial"/>
          <w:sz w:val="24"/>
        </w:rPr>
        <w:t xml:space="preserve">By linking multiple national datasets, we were able to demonstrate that </w:t>
      </w:r>
      <w:r w:rsidR="00BE1566">
        <w:rPr>
          <w:rFonts w:cs="Arial"/>
          <w:sz w:val="24"/>
        </w:rPr>
        <w:t xml:space="preserve">the MRU, which is the </w:t>
      </w:r>
      <w:r w:rsidR="00C02F9A">
        <w:rPr>
          <w:rFonts w:cs="Arial"/>
          <w:sz w:val="24"/>
        </w:rPr>
        <w:t xml:space="preserve">currently the </w:t>
      </w:r>
      <w:r w:rsidR="00926103">
        <w:rPr>
          <w:rFonts w:cs="Arial"/>
          <w:sz w:val="24"/>
        </w:rPr>
        <w:t xml:space="preserve">focal point for </w:t>
      </w:r>
      <w:r w:rsidR="00200557">
        <w:rPr>
          <w:rFonts w:cs="Arial"/>
          <w:sz w:val="24"/>
        </w:rPr>
        <w:t xml:space="preserve">IMD surveillance </w:t>
      </w:r>
      <w:r w:rsidR="00BE1566">
        <w:rPr>
          <w:rFonts w:cs="Arial"/>
          <w:sz w:val="24"/>
        </w:rPr>
        <w:t>in England, captured &gt;95% of laboratory-confirmed cases</w:t>
      </w:r>
      <w:r w:rsidR="00BE1566" w:rsidRPr="00BE1566">
        <w:rPr>
          <w:rFonts w:cs="Arial"/>
          <w:sz w:val="24"/>
        </w:rPr>
        <w:t xml:space="preserve"> </w:t>
      </w:r>
      <w:r w:rsidR="00200557">
        <w:rPr>
          <w:rFonts w:cs="Arial"/>
          <w:sz w:val="24"/>
        </w:rPr>
        <w:t>nationally</w:t>
      </w:r>
      <w:r w:rsidR="00603B14">
        <w:rPr>
          <w:rFonts w:cs="Arial"/>
          <w:sz w:val="24"/>
        </w:rPr>
        <w:t>,</w:t>
      </w:r>
      <w:r w:rsidR="0022615A">
        <w:rPr>
          <w:rFonts w:cs="Arial"/>
          <w:sz w:val="24"/>
        </w:rPr>
        <w:fldChar w:fldCharType="begin" w:fldLock="1"/>
      </w:r>
      <w:r w:rsidR="004814B6">
        <w:rPr>
          <w:rFonts w:cs="Arial"/>
          <w:sz w:val="24"/>
        </w:rPr>
        <w:instrText>ADDIN CSL_CITATION { "citationItems" : [ { "id" : "ITEM-1", "itemData" : { "author" : [ { "dropping-particle" : "", "family" : "Ladhani", "given" : "Shamez", "non-dropping-particle" : "", "parse-names" : false, "suffix" : "" }, { "dropping-particle" : "", "family" : "Kaye", "given" : "Pauline", "non-dropping-particle" : "", "parse-names" : false, "suffix" : "" }, { "dropping-particle" : "", "family" : "Ribeiro", "given" : "Sonia", "non-dropping-particle" : "", "parse-names" : false, "suffix" : "" }, { "dropping-particle" : "", "family" : "Ramsay", "given" : "Mary", "non-dropping-particle" : "", "parse-names" : false, "suffix" : "" } ], "id" : "ITEM-1", "issue" : "December", "issued" : { "date-parts" : [ [ "2014" ] ] }, "page" : "1-23", "title" : "Estimating the total burden of invasive meningococcal disease in England using multiple data sources", "type" : "article-journal" }, "uris" : [ "http://www.mendeley.com/documents/?uuid=8cb74916-9000-4f73-8520-eb271665e4b1" ] } ], "mendeley" : { "formattedCitation" : "&lt;sup&gt;5&lt;/sup&gt;", "plainTextFormattedCitation" : "5", "previouslyFormattedCitation" : "&lt;sup&gt;5&lt;/sup&gt;"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5</w:t>
      </w:r>
      <w:r w:rsidR="0022615A">
        <w:rPr>
          <w:rFonts w:cs="Arial"/>
          <w:sz w:val="24"/>
        </w:rPr>
        <w:fldChar w:fldCharType="end"/>
      </w:r>
      <w:r w:rsidR="00C02F9A">
        <w:rPr>
          <w:rFonts w:cs="Arial"/>
          <w:sz w:val="24"/>
        </w:rPr>
        <w:t xml:space="preserve"> </w:t>
      </w:r>
      <w:r w:rsidR="00C02F9A" w:rsidRPr="000C4D01">
        <w:rPr>
          <w:rFonts w:cs="Arial"/>
          <w:color w:val="FF0000"/>
          <w:sz w:val="24"/>
        </w:rPr>
        <w:t>consistent with our previous reports demonstrating high case ascertainment</w:t>
      </w:r>
      <w:r w:rsidR="00374762" w:rsidRPr="000C4D01">
        <w:rPr>
          <w:rFonts w:cs="Arial"/>
          <w:color w:val="FF0000"/>
          <w:sz w:val="24"/>
        </w:rPr>
        <w:t xml:space="preserve"> </w:t>
      </w:r>
      <w:r w:rsidR="000C4D01">
        <w:rPr>
          <w:rFonts w:cs="Arial"/>
          <w:color w:val="FF0000"/>
          <w:sz w:val="24"/>
        </w:rPr>
        <w:t>highlighting</w:t>
      </w:r>
      <w:r w:rsidR="00374762" w:rsidRPr="000C4D01">
        <w:rPr>
          <w:rFonts w:cs="Arial"/>
          <w:color w:val="FF0000"/>
          <w:sz w:val="24"/>
        </w:rPr>
        <w:t xml:space="preserve"> the advantage of having  a single national reference centre</w:t>
      </w:r>
      <w:r w:rsidR="00FF27D7" w:rsidRPr="000C4D01">
        <w:rPr>
          <w:rFonts w:cs="Arial"/>
          <w:color w:val="FF0000"/>
          <w:sz w:val="24"/>
        </w:rPr>
        <w:t>.</w:t>
      </w:r>
      <w:r w:rsidR="0022615A" w:rsidRPr="000C4D01">
        <w:rPr>
          <w:rFonts w:cs="Arial"/>
          <w:color w:val="FF0000"/>
          <w:sz w:val="24"/>
        </w:rPr>
        <w:fldChar w:fldCharType="begin" w:fldLock="1"/>
      </w:r>
      <w:r w:rsidR="004814B6" w:rsidRPr="000C4D01">
        <w:rPr>
          <w:rFonts w:cs="Arial"/>
          <w:color w:val="FF0000"/>
          <w:sz w:val="24"/>
        </w:rPr>
        <w:instrText>ADDIN CSL_CITATION { "citationItems" : [ { "id" : "ITEM-1", "itemData" : { "abstract" : "Objectives: In England, national guidance recommends that all patients with suspected invasive meningococcal disease (IMD) should be investigated by blood culture and polymerase chain reaction (PCR) testing. The Meningococcal Reference Unit (MRU) provides a national service for meningococcal species confirmation and PCR-testing of clinical samples. We performed a population-level assessment of the added value of PCR-testing for IMD to augment traditional culture confirmation. Methods: We analysed all PCR-samples and invasive meningococcal isolates received by MRU in 2009 and 2010. We assumed that all patients with PCR-samples submitted to MRU also had blood cultures performed and that positive blood cultures were referred to MRU. We confirmed this assertion by case ascertainment. Results: In total, 25,379 specimens from 22,039 patients were submitted for PCR-testing and 1492 (6.8%) tested PCR-positive. MRU received 825 invasive meningococcal isolates; 393 confirmed by PCR and culture, 405 without a PCR-specimen submitted and 27 with a PCR-negative result. Thus, of 1924 reported IMD cases, 1099 (57.1%) were confirmed by PCR only, 432 (22.5%) by culture only and 393 (20.4%) by both tests. Conclusion: More than half of all confirmed IMD cases were confirmed by PCR only, indicating this service ensures high case ascertainment for national surveillance. ?? 2013 The British Infection Association.", "author" : [ { "dropping-particle" : "", "family" : "Heinsbroek", "given" : "Ellen", "non-dropping-particle" : "", "parse-names" : false, "suffix" : "" }, { "dropping-particle" : "", "family" : "Ladhani", "given" : "Shamez", "non-dropping-particle" : "", "parse-names" : false, "suffix" : "" }, { "dropping-particle" : "", "family" : "Gray", "given" : "Steve", "non-dropping-particle" : "", "parse-names" : false, "suffix" : "" }, { "dropping-particle" : "", "family" : "Guiver", "given" : "Malcolm", "non-dropping-particle" : "", "parse-names" : false, "suffix" : "" }, { "dropping-particle" : "", "family" : "Kaczmarski", "given" : "Ed", "non-dropping-particle" : "", "parse-names" : false, "suffix" : "" }, { "dropping-particle" : "", "family" : "Borrow", "given" : "Ray", "non-dropping-particle" : "", "parse-names" : false, "suffix" : "" }, { "dropping-particle" : "", "family" : "Ramsay", "given" : "Mary", "non-dropping-particle" : "", "parse-names" : false, "suffix" : "" } ], "container-title" : "Journal of Infection", "id" : "ITEM-1", "issue" : "5", "issued" : { "date-parts" : [ [ "2013" ] ] }, "page" : "385-390", "title" : "Added value of PCR-testing for confirmation of invasive meningococcal disease in England", "type" : "article-journal", "volume" : "67" }, "uris" : [ "http://www.mendeley.com/documents/?uuid=b4a869bd-4093-4747-b8c3-324605bb7430" ] } ], "mendeley" : { "formattedCitation" : "&lt;sup&gt;6&lt;/sup&gt;", "plainTextFormattedCitation" : "6", "previouslyFormattedCitation" : "&lt;sup&gt;6&lt;/sup&gt;" }, "properties" : { "noteIndex" : 0 }, "schema" : "https://github.com/citation-style-language/schema/raw/master/csl-citation.json" }</w:instrText>
      </w:r>
      <w:r w:rsidR="0022615A" w:rsidRPr="000C4D01">
        <w:rPr>
          <w:rFonts w:cs="Arial"/>
          <w:color w:val="FF0000"/>
          <w:sz w:val="24"/>
        </w:rPr>
        <w:fldChar w:fldCharType="separate"/>
      </w:r>
      <w:r w:rsidR="004814B6" w:rsidRPr="000C4D01">
        <w:rPr>
          <w:rFonts w:cs="Arial"/>
          <w:noProof/>
          <w:color w:val="FF0000"/>
          <w:sz w:val="24"/>
          <w:vertAlign w:val="superscript"/>
        </w:rPr>
        <w:t>6</w:t>
      </w:r>
      <w:r w:rsidR="0022615A" w:rsidRPr="000C4D01">
        <w:rPr>
          <w:rFonts w:cs="Arial"/>
          <w:color w:val="FF0000"/>
          <w:sz w:val="24"/>
        </w:rPr>
        <w:fldChar w:fldCharType="end"/>
      </w:r>
      <w:r w:rsidR="00FF27D7" w:rsidRPr="000C4D01">
        <w:rPr>
          <w:rFonts w:cs="Arial"/>
          <w:color w:val="FF0000"/>
          <w:sz w:val="24"/>
        </w:rPr>
        <w:t xml:space="preserve"> </w:t>
      </w:r>
      <w:r w:rsidR="00BE1566">
        <w:rPr>
          <w:rFonts w:cs="Arial"/>
          <w:sz w:val="24"/>
        </w:rPr>
        <w:t>We also link</w:t>
      </w:r>
      <w:r w:rsidR="00926103">
        <w:rPr>
          <w:rFonts w:cs="Arial"/>
          <w:sz w:val="24"/>
        </w:rPr>
        <w:t xml:space="preserve">ed </w:t>
      </w:r>
      <w:r w:rsidR="000815D8" w:rsidRPr="00BE1566">
        <w:rPr>
          <w:rFonts w:cs="Arial"/>
          <w:sz w:val="24"/>
        </w:rPr>
        <w:t xml:space="preserve">90% of MRU-confirmed cases to a </w:t>
      </w:r>
      <w:r w:rsidR="00BE1566">
        <w:rPr>
          <w:rFonts w:cs="Arial"/>
          <w:sz w:val="24"/>
        </w:rPr>
        <w:t xml:space="preserve">hospitalisation </w:t>
      </w:r>
      <w:r w:rsidR="000815D8" w:rsidRPr="00BE1566">
        <w:rPr>
          <w:rFonts w:cs="Arial"/>
          <w:sz w:val="24"/>
        </w:rPr>
        <w:t>record</w:t>
      </w:r>
      <w:r w:rsidR="00603B14">
        <w:rPr>
          <w:rFonts w:cs="Arial"/>
          <w:sz w:val="24"/>
        </w:rPr>
        <w:t xml:space="preserve">, equivalent to an </w:t>
      </w:r>
      <w:r w:rsidR="00FC32CC">
        <w:rPr>
          <w:rFonts w:cs="Arial"/>
          <w:sz w:val="24"/>
        </w:rPr>
        <w:t xml:space="preserve">average annual incidence of laboratory-confirmed, hospitalised IMD cases </w:t>
      </w:r>
      <w:r w:rsidR="00603B14">
        <w:rPr>
          <w:rFonts w:cs="Arial"/>
          <w:sz w:val="24"/>
        </w:rPr>
        <w:t xml:space="preserve">of </w:t>
      </w:r>
      <w:r w:rsidR="000D0788" w:rsidRPr="001360AD">
        <w:rPr>
          <w:sz w:val="24"/>
        </w:rPr>
        <w:t>1</w:t>
      </w:r>
      <w:r w:rsidR="001A7C08">
        <w:rPr>
          <w:sz w:val="24"/>
        </w:rPr>
        <w:t>·</w:t>
      </w:r>
      <w:r w:rsidR="000D0788" w:rsidRPr="001360AD">
        <w:rPr>
          <w:sz w:val="24"/>
        </w:rPr>
        <w:t>77</w:t>
      </w:r>
      <w:r w:rsidR="00FC32CC" w:rsidRPr="001360AD">
        <w:rPr>
          <w:sz w:val="24"/>
        </w:rPr>
        <w:t>/100,000, compared to 2</w:t>
      </w:r>
      <w:r w:rsidR="001A7C08">
        <w:rPr>
          <w:sz w:val="24"/>
        </w:rPr>
        <w:t>·</w:t>
      </w:r>
      <w:r w:rsidR="00FC32CC" w:rsidRPr="001360AD">
        <w:rPr>
          <w:sz w:val="24"/>
        </w:rPr>
        <w:t xml:space="preserve">0/100,000 </w:t>
      </w:r>
      <w:r w:rsidR="00603B14">
        <w:rPr>
          <w:sz w:val="24"/>
        </w:rPr>
        <w:t xml:space="preserve">for all MRU-confirmed cases </w:t>
      </w:r>
      <w:r w:rsidR="00FC32CC" w:rsidRPr="001360AD">
        <w:rPr>
          <w:sz w:val="24"/>
        </w:rPr>
        <w:t>for the same 5</w:t>
      </w:r>
      <w:r w:rsidR="00603B14">
        <w:rPr>
          <w:sz w:val="24"/>
        </w:rPr>
        <w:t>-</w:t>
      </w:r>
      <w:r w:rsidR="00FC32CC" w:rsidRPr="001360AD">
        <w:rPr>
          <w:sz w:val="24"/>
        </w:rPr>
        <w:t>year</w:t>
      </w:r>
      <w:r w:rsidR="00603B14">
        <w:rPr>
          <w:sz w:val="24"/>
        </w:rPr>
        <w:t xml:space="preserve"> </w:t>
      </w:r>
      <w:r w:rsidR="00FC32CC" w:rsidRPr="001360AD">
        <w:rPr>
          <w:sz w:val="24"/>
        </w:rPr>
        <w:t>period</w:t>
      </w:r>
      <w:r w:rsidR="00FF27D7">
        <w:rPr>
          <w:sz w:val="24"/>
        </w:rPr>
        <w:t>.</w:t>
      </w:r>
      <w:r w:rsidR="0022615A" w:rsidRPr="001360AD">
        <w:rPr>
          <w:sz w:val="24"/>
        </w:rPr>
        <w:fldChar w:fldCharType="begin" w:fldLock="1"/>
      </w:r>
      <w:r w:rsidR="004814B6">
        <w:rPr>
          <w:sz w:val="24"/>
        </w:rPr>
        <w:instrText>ADDIN CSL_CITATION { "citationItems" : [ { "id" : "ITEM-1", "itemData" : { "DOI" : "10.1016/j.vaccine.2012.03.011", "ISBN" : "1873-2518", "ISSN" : "0264410X", "PMID" : "22429756", "abstract" : "A number of meningococcal vaccines have either been recently licensed or are in late-phase clinical trials. To inform national vaccination policy, it is important to define the burden of disease and the potential impact of any new vaccine. This study describes the epidemiology of invasive meningococcal disease across all age groups in England and Wales for recent epidemiological years between 2006 and 2010. The Health Protection Agency (HPA) conducts enhanced national meningococcal surveillance through a combination of clinical and laboratory reporting. Between 2006/07 and 2010/11, the average annual incidence of invasive meningococcal disease across all age groups was 2.0/100,000. Capsular group B (MenB) accounted for 87% (4777/5471) cases, with an overall incidence of 1.8/100,000. The highest MenB incidence observed among infants (36.2/100,000) where cases increased from birth to 5. months of age then gradually declined. An annual average of 245 MenB cases occurred in infants (135 in those aged \u22646. months) representing 26% (and 14%) of all MenB cases, respectively. After infancy, MenB rates declined until the age of 12. years, rising to a second smaller peak at 18. years. MenB case fatality ratio (CFR) was 5.2% (247/4777 cases) overall and was highest among \u226565. year-olds (28/161; 17.4%). The largest number of deaths (n= 125), however, occurred among &lt;5. year-olds. Clonal complexes cc269 and cc41/44 each accounted for around a third of cases across the age groups. Other capsular groups rarely caused invasive disease, although capsular group Y (MenY) cases more than doubled from 35 in 2006/07 to 86 in 2010/11. Thus, universal meningococcal vaccination with an effective broad-spectrum formulation has potential to prevent most disease, particularly if the vaccine is immunogenic early in infancy, but, there is currently little justification for routine quadrivalent ACWY conjugate vaccination in the UK, although the increase in MenY disease warrants continued surveillance. \u00a9 2012 Elsevier Ltd.", "author" : [ { "dropping-particle" : "", "family" : "Ladhani", "given" : "Shamez N.", "non-dropping-particle" : "", "parse-names" : false, "suffix" : "" }, { "dropping-particle" : "", "family" : "Flood", "given" : "Jessica S.", "non-dropping-particle" : "", "parse-names" : false, "suffix" : "" }, { "dropping-particle" : "", "family" : "Ramsay", "given" : "Mary E.", "non-dropping-particle" : "", "parse-names" : false, "suffix" : "" }, { "dropping-particle" : "", "family" : "Campbell", "given" : "Helen", "non-dropping-particle" : "", "parse-names" : false, "suffix" : "" }, { "dropping-particle" : "", "family" : "Gray", "given" : "Stephen J.", "non-dropping-particle" : "", "parse-names" : false, "suffix" : "" }, { "dropping-particle" : "", "family" : "Kaczmarski", "given" : "Edward B.", "non-dropping-particle" : "", "parse-names" : false, "suffix" : "" }, { "dropping-particle" : "", "family" : "Mallard", "given" : "Richard H.", "non-dropping-particle" : "", "parse-names" : false, "suffix" : "" }, { "dropping-particle" : "", "family" : "Guiver", "given" : "Malcolm", "non-dropping-particle" : "", "parse-names" : false, "suffix" : "" }, { "dropping-particle" : "", "family" : "Newbold", "given" : "Lynne S.", "non-dropping-particle" : "", "parse-names" : false, "suffix" : "" }, { "dropping-particle" : "", "family" : "Borrow", "given" : "Ray", "non-dropping-particle" : "", "parse-names" : false, "suffix" : "" } ], "container-title" : "Vaccine", "id" : "ITEM-1", "issue" : "24", "issued" : { "date-parts" : [ [ "2012" ] ] }, "page" : "3710-3716", "publisher" : "Elsevier Ltd", "title" : "Invasive meningococcal disease in England and Wales: Implications for the introduction of new vaccines", "type" : "article-journal", "volume" : "30" }, "uris" : [ "http://www.mendeley.com/documents/?uuid=90577c6b-00af-44ca-abd4-551b75e5ff37" ] } ], "mendeley" : { "formattedCitation" : "&lt;sup&gt;3&lt;/sup&gt;", "plainTextFormattedCitation" : "3", "previouslyFormattedCitation" : "&lt;sup&gt;3&lt;/sup&gt;" }, "properties" : { "noteIndex" : 0 }, "schema" : "https://github.com/citation-style-language/schema/raw/master/csl-citation.json" }</w:instrText>
      </w:r>
      <w:r w:rsidR="0022615A" w:rsidRPr="001360AD">
        <w:rPr>
          <w:sz w:val="24"/>
        </w:rPr>
        <w:fldChar w:fldCharType="separate"/>
      </w:r>
      <w:r w:rsidR="004814B6" w:rsidRPr="004814B6">
        <w:rPr>
          <w:noProof/>
          <w:sz w:val="24"/>
          <w:vertAlign w:val="superscript"/>
        </w:rPr>
        <w:t>3</w:t>
      </w:r>
      <w:r w:rsidR="0022615A" w:rsidRPr="001360AD">
        <w:rPr>
          <w:sz w:val="24"/>
        </w:rPr>
        <w:fldChar w:fldCharType="end"/>
      </w:r>
      <w:r w:rsidR="00FC32CC" w:rsidRPr="001360AD">
        <w:rPr>
          <w:sz w:val="24"/>
        </w:rPr>
        <w:t xml:space="preserve"> </w:t>
      </w:r>
      <w:r w:rsidR="00BE1566" w:rsidRPr="001360AD">
        <w:rPr>
          <w:rFonts w:cs="Arial"/>
          <w:sz w:val="24"/>
        </w:rPr>
        <w:t>The</w:t>
      </w:r>
      <w:r w:rsidR="00BE1566">
        <w:rPr>
          <w:rFonts w:cs="Arial"/>
          <w:sz w:val="24"/>
        </w:rPr>
        <w:t xml:space="preserve"> remaining MRU-confirmed cases either did not have sufficient identifiers for linkage or were not hospitalised</w:t>
      </w:r>
      <w:r w:rsidR="007D4F5A">
        <w:rPr>
          <w:rFonts w:cs="Arial"/>
          <w:sz w:val="24"/>
        </w:rPr>
        <w:t>, most likely because they</w:t>
      </w:r>
      <w:r w:rsidR="00BE1566">
        <w:rPr>
          <w:rFonts w:cs="Arial"/>
          <w:sz w:val="24"/>
        </w:rPr>
        <w:t xml:space="preserve"> died </w:t>
      </w:r>
      <w:r w:rsidR="008671B0">
        <w:rPr>
          <w:rFonts w:cs="Arial"/>
          <w:sz w:val="24"/>
        </w:rPr>
        <w:t>outside the hospital setting</w:t>
      </w:r>
      <w:r w:rsidR="00FF27D7">
        <w:rPr>
          <w:rFonts w:cs="Arial"/>
          <w:sz w:val="24"/>
        </w:rPr>
        <w:t>.</w:t>
      </w:r>
      <w:r w:rsidR="0022615A">
        <w:rPr>
          <w:rFonts w:cs="Arial"/>
          <w:sz w:val="24"/>
        </w:rPr>
        <w:fldChar w:fldCharType="begin" w:fldLock="1"/>
      </w:r>
      <w:r w:rsidR="004814B6">
        <w:rPr>
          <w:rFonts w:cs="Arial"/>
          <w:sz w:val="24"/>
        </w:rPr>
        <w:instrText>ADDIN CSL_CITATION { "citationItems" : [ { "id" : "ITEM-1", "itemData" : { "author" : [ { "dropping-particle" : "", "family" : "Ladhani", "given" : "Shamez", "non-dropping-particle" : "", "parse-names" : false, "suffix" : "" }, { "dropping-particle" : "", "family" : "Kaye", "given" : "Pauline", "non-dropping-particle" : "", "parse-names" : false, "suffix" : "" }, { "dropping-particle" : "", "family" : "Ribeiro", "given" : "Sonia", "non-dropping-particle" : "", "parse-names" : false, "suffix" : "" }, { "dropping-particle" : "", "family" : "Ramsay", "given" : "Mary", "non-dropping-particle" : "", "parse-names" : false, "suffix" : "" } ], "id" : "ITEM-1", "issue" : "December", "issued" : { "date-parts" : [ [ "2014" ] ] }, "page" : "1-23", "title" : "Estimating the total burden of invasive meningococcal disease in England using multiple data sources", "type" : "article-journal" }, "uris" : [ "http://www.mendeley.com/documents/?uuid=8cb74916-9000-4f73-8520-eb271665e4b1" ] } ], "mendeley" : { "formattedCitation" : "&lt;sup&gt;5&lt;/sup&gt;", "plainTextFormattedCitation" : "5", "previouslyFormattedCitation" : "&lt;sup&gt;5&lt;/sup&gt;"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5</w:t>
      </w:r>
      <w:r w:rsidR="0022615A">
        <w:rPr>
          <w:rFonts w:cs="Arial"/>
          <w:sz w:val="24"/>
        </w:rPr>
        <w:fldChar w:fldCharType="end"/>
      </w:r>
      <w:r w:rsidR="00FF27D7">
        <w:rPr>
          <w:rFonts w:cs="Arial"/>
          <w:sz w:val="24"/>
        </w:rPr>
        <w:t xml:space="preserve"> </w:t>
      </w:r>
      <w:r w:rsidR="008671B0">
        <w:rPr>
          <w:rFonts w:cs="Arial"/>
          <w:sz w:val="24"/>
        </w:rPr>
        <w:t>Such rapidly fatal cases not only demonstrate the aggressive nature of the infection</w:t>
      </w:r>
      <w:r w:rsidR="001360AD">
        <w:rPr>
          <w:rFonts w:cs="Arial"/>
          <w:sz w:val="24"/>
        </w:rPr>
        <w:t>,</w:t>
      </w:r>
      <w:r w:rsidR="008671B0">
        <w:rPr>
          <w:rFonts w:cs="Arial"/>
          <w:sz w:val="24"/>
        </w:rPr>
        <w:t xml:space="preserve"> but also highlight the importance of prevention through vaccination</w:t>
      </w:r>
      <w:r w:rsidR="00BE1566">
        <w:rPr>
          <w:rFonts w:cs="Arial"/>
          <w:sz w:val="24"/>
        </w:rPr>
        <w:t xml:space="preserve">. On the other hand, </w:t>
      </w:r>
      <w:r w:rsidR="00E87274">
        <w:rPr>
          <w:rFonts w:cs="Arial"/>
          <w:sz w:val="24"/>
        </w:rPr>
        <w:t xml:space="preserve">understanding </w:t>
      </w:r>
      <w:r w:rsidR="00C94A89">
        <w:rPr>
          <w:rFonts w:cs="Arial"/>
          <w:sz w:val="24"/>
        </w:rPr>
        <w:t xml:space="preserve">the characteristics of </w:t>
      </w:r>
      <w:r w:rsidR="00BE1566">
        <w:rPr>
          <w:rFonts w:cs="Arial"/>
          <w:sz w:val="24"/>
        </w:rPr>
        <w:t xml:space="preserve">hospitalised </w:t>
      </w:r>
      <w:r w:rsidR="00926103">
        <w:rPr>
          <w:rFonts w:cs="Arial"/>
          <w:sz w:val="24"/>
        </w:rPr>
        <w:t xml:space="preserve">IMD </w:t>
      </w:r>
      <w:r w:rsidR="00BE1566">
        <w:rPr>
          <w:rFonts w:cs="Arial"/>
          <w:sz w:val="24"/>
        </w:rPr>
        <w:t>cases</w:t>
      </w:r>
      <w:r w:rsidR="00C94A89">
        <w:rPr>
          <w:rFonts w:cs="Arial"/>
          <w:sz w:val="24"/>
        </w:rPr>
        <w:t xml:space="preserve"> </w:t>
      </w:r>
      <w:r w:rsidR="009957BD">
        <w:rPr>
          <w:rFonts w:cs="Arial"/>
          <w:sz w:val="24"/>
        </w:rPr>
        <w:t xml:space="preserve">provides an opportunity to identify </w:t>
      </w:r>
      <w:r w:rsidR="008671B0">
        <w:rPr>
          <w:rFonts w:cs="Arial"/>
          <w:sz w:val="24"/>
        </w:rPr>
        <w:t xml:space="preserve">potentially modifiable risk factors </w:t>
      </w:r>
      <w:r w:rsidR="00926103">
        <w:rPr>
          <w:rFonts w:cs="Arial"/>
          <w:sz w:val="24"/>
        </w:rPr>
        <w:t xml:space="preserve">to </w:t>
      </w:r>
      <w:r w:rsidR="002A7571" w:rsidRPr="00323A3F">
        <w:rPr>
          <w:rFonts w:cs="Arial"/>
          <w:sz w:val="24"/>
        </w:rPr>
        <w:t xml:space="preserve">define </w:t>
      </w:r>
      <w:r w:rsidR="00E87274" w:rsidRPr="00323A3F">
        <w:rPr>
          <w:rFonts w:cs="Arial"/>
          <w:sz w:val="24"/>
        </w:rPr>
        <w:t xml:space="preserve">priorities for </w:t>
      </w:r>
      <w:r w:rsidR="00D10E5C">
        <w:rPr>
          <w:rFonts w:cs="Arial"/>
          <w:sz w:val="24"/>
        </w:rPr>
        <w:t>interventions</w:t>
      </w:r>
      <w:r w:rsidR="00323A3F">
        <w:rPr>
          <w:rFonts w:cs="Arial"/>
          <w:sz w:val="24"/>
        </w:rPr>
        <w:t xml:space="preserve"> to improve outcomes. </w:t>
      </w:r>
    </w:p>
    <w:p w14:paraId="5079D27B" w14:textId="77777777" w:rsidR="00AA1400" w:rsidRPr="0018762B" w:rsidRDefault="0018762B" w:rsidP="00AA1400">
      <w:pPr>
        <w:spacing w:after="200"/>
        <w:rPr>
          <w:rFonts w:cs="Arial"/>
          <w:b/>
          <w:sz w:val="24"/>
        </w:rPr>
      </w:pPr>
      <w:r w:rsidRPr="0018762B">
        <w:rPr>
          <w:rFonts w:cs="Arial"/>
          <w:b/>
          <w:sz w:val="24"/>
        </w:rPr>
        <w:t>Clinical disease</w:t>
      </w:r>
    </w:p>
    <w:p w14:paraId="6C8C8FBF" w14:textId="77777777" w:rsidR="003D0C84" w:rsidRDefault="00871028" w:rsidP="008671B0">
      <w:pPr>
        <w:spacing w:after="200"/>
        <w:rPr>
          <w:rFonts w:cs="Arial"/>
          <w:sz w:val="24"/>
        </w:rPr>
      </w:pPr>
      <w:r>
        <w:rPr>
          <w:rFonts w:cs="Arial"/>
          <w:sz w:val="24"/>
        </w:rPr>
        <w:t>Our analysi</w:t>
      </w:r>
      <w:r w:rsidR="00AA1400">
        <w:rPr>
          <w:rFonts w:cs="Arial"/>
          <w:sz w:val="24"/>
        </w:rPr>
        <w:t xml:space="preserve">s </w:t>
      </w:r>
      <w:r w:rsidR="008671B0">
        <w:rPr>
          <w:rFonts w:cs="Arial"/>
          <w:sz w:val="24"/>
        </w:rPr>
        <w:t>reveal</w:t>
      </w:r>
      <w:r>
        <w:rPr>
          <w:rFonts w:cs="Arial"/>
          <w:sz w:val="24"/>
        </w:rPr>
        <w:t>s</w:t>
      </w:r>
      <w:r w:rsidR="008671B0">
        <w:rPr>
          <w:rFonts w:cs="Arial"/>
          <w:sz w:val="24"/>
        </w:rPr>
        <w:t xml:space="preserve"> </w:t>
      </w:r>
      <w:r w:rsidR="00AA1400">
        <w:rPr>
          <w:rFonts w:cs="Arial"/>
          <w:sz w:val="24"/>
        </w:rPr>
        <w:t>a complex interaction</w:t>
      </w:r>
      <w:r w:rsidR="003A668C">
        <w:rPr>
          <w:rFonts w:cs="Arial"/>
          <w:sz w:val="24"/>
        </w:rPr>
        <w:t xml:space="preserve"> between age, capsular group,</w:t>
      </w:r>
      <w:r w:rsidR="00AA1400">
        <w:rPr>
          <w:rFonts w:cs="Arial"/>
          <w:sz w:val="24"/>
        </w:rPr>
        <w:t xml:space="preserve"> clinical presen</w:t>
      </w:r>
      <w:r w:rsidR="003A668C">
        <w:rPr>
          <w:rFonts w:cs="Arial"/>
          <w:sz w:val="24"/>
        </w:rPr>
        <w:t>tation and fatal outcome. In children, MenB dominated among IMD cases</w:t>
      </w:r>
      <w:r w:rsidR="00AA1400">
        <w:rPr>
          <w:rFonts w:cs="Arial"/>
          <w:sz w:val="24"/>
        </w:rPr>
        <w:t xml:space="preserve"> and </w:t>
      </w:r>
      <w:r w:rsidR="004B1444">
        <w:rPr>
          <w:rFonts w:cs="Arial"/>
          <w:sz w:val="24"/>
        </w:rPr>
        <w:t xml:space="preserve">meningitis </w:t>
      </w:r>
      <w:r w:rsidR="003A668C">
        <w:rPr>
          <w:rFonts w:cs="Arial"/>
          <w:sz w:val="24"/>
        </w:rPr>
        <w:t>was</w:t>
      </w:r>
      <w:r w:rsidR="00C06666">
        <w:rPr>
          <w:rFonts w:cs="Arial"/>
          <w:sz w:val="24"/>
        </w:rPr>
        <w:t xml:space="preserve"> more prevalent </w:t>
      </w:r>
      <w:r w:rsidR="004B1444">
        <w:rPr>
          <w:rFonts w:cs="Arial"/>
          <w:sz w:val="24"/>
        </w:rPr>
        <w:t>in infants</w:t>
      </w:r>
      <w:r w:rsidR="003A668C">
        <w:rPr>
          <w:rFonts w:cs="Arial"/>
          <w:sz w:val="24"/>
        </w:rPr>
        <w:t>, while</w:t>
      </w:r>
      <w:r w:rsidR="004B1444">
        <w:rPr>
          <w:rFonts w:cs="Arial"/>
          <w:sz w:val="24"/>
        </w:rPr>
        <w:t xml:space="preserve"> </w:t>
      </w:r>
      <w:r w:rsidR="00C06666">
        <w:rPr>
          <w:rFonts w:cs="Arial"/>
          <w:sz w:val="24"/>
        </w:rPr>
        <w:t xml:space="preserve">septicaemia </w:t>
      </w:r>
      <w:r w:rsidR="003A668C">
        <w:rPr>
          <w:rFonts w:cs="Arial"/>
          <w:sz w:val="24"/>
        </w:rPr>
        <w:t xml:space="preserve">was more common </w:t>
      </w:r>
      <w:r w:rsidR="004B1444">
        <w:rPr>
          <w:rFonts w:cs="Arial"/>
          <w:sz w:val="24"/>
        </w:rPr>
        <w:t>i</w:t>
      </w:r>
      <w:r w:rsidR="004B40ED">
        <w:rPr>
          <w:rFonts w:cs="Arial"/>
          <w:sz w:val="24"/>
        </w:rPr>
        <w:t xml:space="preserve">n toddlers and older children. </w:t>
      </w:r>
      <w:r w:rsidR="003D0C84">
        <w:rPr>
          <w:rFonts w:cs="Arial"/>
          <w:sz w:val="24"/>
        </w:rPr>
        <w:t xml:space="preserve">In Liverpool, </w:t>
      </w:r>
      <w:r w:rsidR="008671B0">
        <w:rPr>
          <w:rFonts w:cs="Arial"/>
          <w:sz w:val="24"/>
        </w:rPr>
        <w:t>among</w:t>
      </w:r>
      <w:r w:rsidR="003D0C84">
        <w:rPr>
          <w:rFonts w:cs="Arial"/>
          <w:sz w:val="24"/>
        </w:rPr>
        <w:t xml:space="preserve"> &gt;1,000 children admitted to a single hospital over a 31-year period, 53% presented with meningitis and septicaemia, 30% with septicaemia alone and 16% with meningitis only, while only two children (0</w:t>
      </w:r>
      <w:r w:rsidR="001A7C08">
        <w:rPr>
          <w:rFonts w:cs="Arial"/>
          <w:sz w:val="24"/>
        </w:rPr>
        <w:t>·</w:t>
      </w:r>
      <w:r w:rsidR="003D0C84">
        <w:rPr>
          <w:rFonts w:cs="Arial"/>
          <w:sz w:val="24"/>
        </w:rPr>
        <w:t>17%) had other clinical presentations</w:t>
      </w:r>
      <w:r w:rsidR="00FF27D7">
        <w:rPr>
          <w:rFonts w:cs="Arial"/>
          <w:sz w:val="24"/>
        </w:rPr>
        <w:t>.</w:t>
      </w:r>
      <w:r w:rsidR="0022615A">
        <w:rPr>
          <w:rFonts w:cs="Arial"/>
          <w:sz w:val="24"/>
        </w:rPr>
        <w:fldChar w:fldCharType="begin" w:fldLock="1"/>
      </w:r>
      <w:r w:rsidR="004814B6">
        <w:rPr>
          <w:rFonts w:cs="Arial"/>
          <w:sz w:val="24"/>
        </w:rPr>
        <w:instrText>ADDIN CSL_CITATION { "citationItems" : [ { "id" : "ITEM-1", "itemData" : { "DOI" : "10.1371/journal.pone.0025957", "ISSN" : "1932-6203", "author" : [ { "dropping-particle" : "", "family" : "Stanton", "given" : "Michelle C.", "non-dropping-particle" : "", "parse-names" : false, "suffix" : "" }, { "dropping-particle" : "", "family" : "Taylor-Robinson", "given" : "David", "non-dropping-particle" : "", "parse-names" : false, "suffix" : "" }, { "dropping-particle" : "", "family" : "Harris", "given" : "David", "non-dropping-particle" : "", "parse-names" : false, "suffix" : "" }, { "dropping-particle" : "", "family" : "Paize", "given" : "Fauzia", "non-dropping-particle" : "", "parse-names" : false, "suffix" : "" }, { "dropping-particle" : "", "family" : "Makwana", "given" : "Nick", "non-dropping-particle" : "", "parse-names" : false, "suffix" : "" }, { "dropping-particle" : "", "family" : "Hackett", "given" : "Scott J.", "non-dropping-particle" : "", "parse-names" : false, "suffix" : "" }, { "dropping-particle" : "", "family" : "Baines", "given" : "Paul B.", "non-dropping-particle" : "", "parse-names" : false, "suffix" : "" }, { "dropping-particle" : "", "family" : "Riordan", "given" : "F. Andrew I.", "non-dropping-particle" : "", "parse-names" : false, "suffix" : "" }, { "dropping-particle" : "", "family" : "Marzouk", "given" : "Omnia", "non-dropping-particle" : "", "parse-names" : false, "suffix" : "" }, { "dropping-particle" : "", "family" : "Thomson", "given" : "Alistair P. J.", "non-dropping-particle" : "", "parse-names" : false, "suffix" : "" }, { "dropping-particle" : "", "family" : "Diggle", "given" : "Peter J.", "non-dropping-particle" : "", "parse-names" : false, "suffix" : "" }, { "dropping-particle" : "", "family" : "Hart", "given" : "C. Anthony", "non-dropping-particle" : "", "parse-names" : false, "suffix" : "" }, { "dropping-particle" : "", "family" : "Carrol", "given" : "Enitan D.", "non-dropping-particle" : "", "parse-names" : false, "suffix" : "" } ], "container-title" : "PLoS ONE", "id" : "ITEM-1", "issue" : "10", "issued" : { "date-parts" : [ [ "2011" ] ] }, "page" : "e25957", "title" : "Meningococcal Disease in Children in Merseyside, England: A 31 Year Descriptive Study", "type" : "article-journal", "volume" : "6" }, "uris" : [ "http://www.mendeley.com/documents/?uuid=3dcc083e-ebb9-4c0b-a63a-8542171b3c81" ] } ], "mendeley" : { "formattedCitation" : "&lt;sup&gt;7&lt;/sup&gt;", "plainTextFormattedCitation" : "7", "previouslyFormattedCitation" : "&lt;sup&gt;7&lt;/sup&gt;"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7</w:t>
      </w:r>
      <w:r w:rsidR="0022615A">
        <w:rPr>
          <w:rFonts w:cs="Arial"/>
          <w:sz w:val="24"/>
        </w:rPr>
        <w:fldChar w:fldCharType="end"/>
      </w:r>
      <w:r w:rsidR="003D0C84">
        <w:rPr>
          <w:rFonts w:cs="Arial"/>
          <w:sz w:val="24"/>
        </w:rPr>
        <w:t xml:space="preserve"> </w:t>
      </w:r>
      <w:r w:rsidR="00CA34D7">
        <w:rPr>
          <w:rFonts w:cs="Arial"/>
          <w:sz w:val="24"/>
        </w:rPr>
        <w:t xml:space="preserve">In our cohort, </w:t>
      </w:r>
      <w:r w:rsidR="00592290">
        <w:rPr>
          <w:rFonts w:cs="Arial"/>
          <w:sz w:val="24"/>
        </w:rPr>
        <w:t xml:space="preserve">dual </w:t>
      </w:r>
      <w:r w:rsidR="003D0C84" w:rsidRPr="00826C1D">
        <w:rPr>
          <w:rFonts w:cs="Arial"/>
          <w:sz w:val="24"/>
        </w:rPr>
        <w:t xml:space="preserve">presentation with </w:t>
      </w:r>
      <w:r w:rsidR="00623B08" w:rsidRPr="00826C1D">
        <w:rPr>
          <w:rFonts w:cs="Arial"/>
          <w:sz w:val="24"/>
        </w:rPr>
        <w:t xml:space="preserve">meningitis and septicaemia accounted for </w:t>
      </w:r>
      <w:r w:rsidR="00623B08" w:rsidRPr="001360AD">
        <w:rPr>
          <w:rFonts w:cs="Arial"/>
          <w:sz w:val="24"/>
        </w:rPr>
        <w:t xml:space="preserve">only </w:t>
      </w:r>
      <w:r w:rsidR="007E2879">
        <w:rPr>
          <w:rFonts w:cs="Arial"/>
          <w:sz w:val="24"/>
        </w:rPr>
        <w:t>9</w:t>
      </w:r>
      <w:r w:rsidR="001A7C08">
        <w:rPr>
          <w:rFonts w:cs="Arial"/>
          <w:sz w:val="24"/>
        </w:rPr>
        <w:t>·</w:t>
      </w:r>
      <w:r w:rsidR="007E2879">
        <w:rPr>
          <w:rFonts w:cs="Arial"/>
          <w:sz w:val="24"/>
        </w:rPr>
        <w:t>18</w:t>
      </w:r>
      <w:r w:rsidR="00623B08" w:rsidRPr="001360AD">
        <w:rPr>
          <w:rFonts w:cs="Arial"/>
          <w:sz w:val="24"/>
        </w:rPr>
        <w:t>%</w:t>
      </w:r>
      <w:r w:rsidR="00623B08" w:rsidRPr="00826C1D">
        <w:rPr>
          <w:rFonts w:cs="Arial"/>
          <w:i/>
          <w:sz w:val="24"/>
        </w:rPr>
        <w:t xml:space="preserve"> </w:t>
      </w:r>
      <w:r w:rsidR="00623B08" w:rsidRPr="001360AD">
        <w:rPr>
          <w:rFonts w:cs="Arial"/>
          <w:sz w:val="24"/>
        </w:rPr>
        <w:t>of</w:t>
      </w:r>
      <w:r w:rsidR="00623B08" w:rsidRPr="00826C1D">
        <w:rPr>
          <w:rFonts w:cs="Arial"/>
          <w:sz w:val="24"/>
        </w:rPr>
        <w:t xml:space="preserve"> clinical presentations</w:t>
      </w:r>
      <w:r w:rsidR="00623B08">
        <w:rPr>
          <w:rFonts w:cs="Arial"/>
          <w:sz w:val="24"/>
        </w:rPr>
        <w:t xml:space="preserve"> in </w:t>
      </w:r>
      <w:r w:rsidR="00926103">
        <w:rPr>
          <w:rFonts w:cs="Arial"/>
          <w:sz w:val="24"/>
        </w:rPr>
        <w:t>&lt;15 year-olds</w:t>
      </w:r>
      <w:r w:rsidR="00623B08">
        <w:rPr>
          <w:rFonts w:cs="Arial"/>
          <w:sz w:val="24"/>
        </w:rPr>
        <w:t xml:space="preserve">. </w:t>
      </w:r>
      <w:r w:rsidR="00D334A4">
        <w:rPr>
          <w:rFonts w:cs="Arial"/>
          <w:sz w:val="24"/>
        </w:rPr>
        <w:t xml:space="preserve">Possible reasons for differences in clinical presentations include changing epidemiology (e.g. MenC disease is associated with septicaemia, and </w:t>
      </w:r>
      <w:r w:rsidR="00592290">
        <w:rPr>
          <w:rFonts w:cs="Arial"/>
          <w:sz w:val="24"/>
        </w:rPr>
        <w:t xml:space="preserve">accounted for almost half the IMD cases in the late 1990’s but </w:t>
      </w:r>
      <w:r w:rsidR="00D334A4">
        <w:rPr>
          <w:rFonts w:cs="Arial"/>
          <w:sz w:val="24"/>
        </w:rPr>
        <w:t xml:space="preserve">is currently rare in the UK), earlier recognition </w:t>
      </w:r>
      <w:r w:rsidR="008671B0">
        <w:rPr>
          <w:rFonts w:cs="Arial"/>
          <w:sz w:val="24"/>
        </w:rPr>
        <w:t>and treatment</w:t>
      </w:r>
      <w:r w:rsidR="003A668C">
        <w:rPr>
          <w:rFonts w:cs="Arial"/>
          <w:sz w:val="24"/>
        </w:rPr>
        <w:t xml:space="preserve"> of </w:t>
      </w:r>
      <w:r w:rsidR="00592290">
        <w:rPr>
          <w:rFonts w:cs="Arial"/>
          <w:sz w:val="24"/>
        </w:rPr>
        <w:t xml:space="preserve">suspected IMD </w:t>
      </w:r>
      <w:r w:rsidR="003A668C">
        <w:rPr>
          <w:rFonts w:cs="Arial"/>
          <w:sz w:val="24"/>
        </w:rPr>
        <w:t>cases</w:t>
      </w:r>
      <w:r w:rsidR="008671B0">
        <w:rPr>
          <w:rFonts w:cs="Arial"/>
          <w:sz w:val="24"/>
        </w:rPr>
        <w:t xml:space="preserve">, and changing clinical practices, such as </w:t>
      </w:r>
      <w:r w:rsidR="000D6212">
        <w:rPr>
          <w:rFonts w:cs="Arial"/>
          <w:sz w:val="24"/>
        </w:rPr>
        <w:t>fewer</w:t>
      </w:r>
      <w:r w:rsidR="008671B0">
        <w:rPr>
          <w:rFonts w:cs="Arial"/>
          <w:sz w:val="24"/>
        </w:rPr>
        <w:t xml:space="preserve"> lumbar punctures </w:t>
      </w:r>
      <w:r w:rsidR="000D6212">
        <w:rPr>
          <w:rFonts w:cs="Arial"/>
          <w:sz w:val="24"/>
        </w:rPr>
        <w:t xml:space="preserve">being performed </w:t>
      </w:r>
      <w:r w:rsidR="008671B0">
        <w:rPr>
          <w:rFonts w:cs="Arial"/>
          <w:sz w:val="24"/>
        </w:rPr>
        <w:t xml:space="preserve">in </w:t>
      </w:r>
      <w:r w:rsidR="000D6212">
        <w:rPr>
          <w:rFonts w:cs="Arial"/>
          <w:sz w:val="24"/>
        </w:rPr>
        <w:t>recent years</w:t>
      </w:r>
      <w:r w:rsidR="00FF27D7">
        <w:rPr>
          <w:rFonts w:cs="Arial"/>
          <w:sz w:val="24"/>
        </w:rPr>
        <w:t>.</w:t>
      </w:r>
      <w:r w:rsidR="0022615A">
        <w:rPr>
          <w:rFonts w:cs="Arial"/>
          <w:sz w:val="24"/>
        </w:rPr>
        <w:fldChar w:fldCharType="begin" w:fldLock="1"/>
      </w:r>
      <w:r w:rsidR="004814B6">
        <w:rPr>
          <w:rFonts w:cs="Arial"/>
          <w:sz w:val="24"/>
        </w:rPr>
        <w:instrText>ADDIN CSL_CITATION { "citationItems" : [ { "id" : "ITEM-1", "itemData" : { "DOI" : "10.1016/B978-0-443-06839-3.00083-7", "author" : [ { "dropping-particle" : "", "family" : "Kneen", "given" : "Rachel", "non-dropping-particle" : "", "parse-names" : false, "suffix" : "" }, { "dropping-particle" : "", "family" : "Solomon", "given" : "Tom", "non-dropping-particle" : "", "parse-names" : false, "suffix" : "" }, { "dropping-particle" : "", "family" : "Appleton", "given" : "Richard", "non-dropping-particle" : "", "parse-names" : false, "suffix" : "" } ], "container-title" : "BMC Pediatrics", "id" : "ITEM-1", "issued" : { "date-parts" : [ [ "2002" ] ] }, "page" : "8-11", "title" : "Nervous System Infection", "type" : "article-journal", "volume" : "4" }, "uris" : [ "http://www.mendeley.com/documents/?uuid=071eefd4-59f6-4d0d-bcc5-8fd43b8a8ab5" ] }, { "id" : "ITEM-2", "itemData" : { "author" : [ { "dropping-particle" : "", "family" : "Nadel", "given" : "S", "non-dropping-particle" : "", "parse-names" : false, "suffix" : "" } ], "container-title" : "Archives of Disease in Childhood", "id" : "ITEM-2", "issue" : "4", "issued" : { "date-parts" : [ [ "2001" ] ] }, "page" : "375", "title" : "Lumbar puncture should not be performed in meningococcal disease.", "type" : "article-journal", "volume" : "84" }, "uris" : [ "http://www.mendeley.com/documents/?uuid=1d3d2980-4041-4999-8a2a-131736c36dbc" ] } ], "mendeley" : { "formattedCitation" : "&lt;sup&gt;8,9&lt;/sup&gt;", "plainTextFormattedCitation" : "8,9", "previouslyFormattedCitation" : "&lt;sup&gt;8,9&lt;/sup&gt;"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8,9</w:t>
      </w:r>
      <w:r w:rsidR="0022615A">
        <w:rPr>
          <w:rFonts w:cs="Arial"/>
          <w:sz w:val="24"/>
        </w:rPr>
        <w:fldChar w:fldCharType="end"/>
      </w:r>
    </w:p>
    <w:p w14:paraId="67739522" w14:textId="77777777" w:rsidR="00EF0E69" w:rsidRDefault="004B1444" w:rsidP="00AA1400">
      <w:pPr>
        <w:spacing w:after="200"/>
        <w:rPr>
          <w:rFonts w:cs="Arial"/>
          <w:sz w:val="24"/>
        </w:rPr>
      </w:pPr>
      <w:r>
        <w:rPr>
          <w:rFonts w:cs="Arial"/>
          <w:sz w:val="24"/>
        </w:rPr>
        <w:t xml:space="preserve">In adults, </w:t>
      </w:r>
      <w:r w:rsidR="0018762B">
        <w:rPr>
          <w:rFonts w:cs="Arial"/>
          <w:sz w:val="24"/>
        </w:rPr>
        <w:t xml:space="preserve">it is noteworthy </w:t>
      </w:r>
      <w:r w:rsidR="0018762B" w:rsidRPr="00A44BE5">
        <w:rPr>
          <w:rFonts w:cs="Arial"/>
          <w:sz w:val="24"/>
        </w:rPr>
        <w:t xml:space="preserve">that </w:t>
      </w:r>
      <w:r w:rsidR="00A44BE5" w:rsidRPr="006301D8">
        <w:rPr>
          <w:rFonts w:cs="Arial"/>
          <w:sz w:val="24"/>
        </w:rPr>
        <w:t>65</w:t>
      </w:r>
      <w:r w:rsidR="00A463C1" w:rsidRPr="006301D8">
        <w:rPr>
          <w:rFonts w:cs="Arial"/>
          <w:sz w:val="24"/>
        </w:rPr>
        <w:t>%</w:t>
      </w:r>
      <w:r w:rsidR="00A463C1" w:rsidRPr="00A44BE5">
        <w:rPr>
          <w:rFonts w:cs="Arial"/>
          <w:sz w:val="24"/>
        </w:rPr>
        <w:t xml:space="preserve"> of 15-64 year-olds </w:t>
      </w:r>
      <w:r w:rsidR="000D6212" w:rsidRPr="00A44BE5">
        <w:rPr>
          <w:rFonts w:cs="Arial"/>
          <w:sz w:val="24"/>
        </w:rPr>
        <w:t>presented with meningitis only</w:t>
      </w:r>
      <w:r w:rsidR="00A463C1" w:rsidRPr="00A44BE5">
        <w:rPr>
          <w:rFonts w:cs="Arial"/>
          <w:sz w:val="24"/>
        </w:rPr>
        <w:t>.</w:t>
      </w:r>
      <w:r w:rsidR="00A463C1">
        <w:rPr>
          <w:rFonts w:cs="Arial"/>
          <w:sz w:val="24"/>
        </w:rPr>
        <w:t xml:space="preserve"> Atypical clinical presentations, including pneumonia and septic arthritis, </w:t>
      </w:r>
      <w:r w:rsidR="000D6212">
        <w:rPr>
          <w:rFonts w:cs="Arial"/>
          <w:sz w:val="24"/>
        </w:rPr>
        <w:t>mainly occurred</w:t>
      </w:r>
      <w:r w:rsidR="00A463C1">
        <w:rPr>
          <w:rFonts w:cs="Arial"/>
          <w:sz w:val="24"/>
        </w:rPr>
        <w:t xml:space="preserve"> among </w:t>
      </w:r>
      <w:r w:rsidR="00153224">
        <w:rPr>
          <w:rFonts w:cs="Arial"/>
          <w:sz w:val="24"/>
        </w:rPr>
        <w:t>≥</w:t>
      </w:r>
      <w:r w:rsidR="00A463C1">
        <w:rPr>
          <w:rFonts w:cs="Arial"/>
          <w:sz w:val="24"/>
        </w:rPr>
        <w:t>65 year-olds</w:t>
      </w:r>
      <w:r w:rsidR="00153224">
        <w:rPr>
          <w:rFonts w:cs="Arial"/>
          <w:sz w:val="24"/>
        </w:rPr>
        <w:t xml:space="preserve">, usually due to </w:t>
      </w:r>
      <w:r w:rsidR="00EF0E69">
        <w:rPr>
          <w:rFonts w:cs="Arial"/>
          <w:sz w:val="24"/>
        </w:rPr>
        <w:t xml:space="preserve">the less </w:t>
      </w:r>
      <w:r w:rsidR="000D6212">
        <w:rPr>
          <w:rFonts w:cs="Arial"/>
          <w:sz w:val="24"/>
        </w:rPr>
        <w:t>prevalent</w:t>
      </w:r>
      <w:r w:rsidR="00EF0E69">
        <w:rPr>
          <w:rFonts w:cs="Arial"/>
          <w:sz w:val="24"/>
        </w:rPr>
        <w:t xml:space="preserve"> capsular groups, such as </w:t>
      </w:r>
      <w:r w:rsidR="00A463C1">
        <w:rPr>
          <w:rFonts w:cs="Arial"/>
          <w:sz w:val="24"/>
        </w:rPr>
        <w:t>MenW and MenY. The association between the</w:t>
      </w:r>
      <w:r w:rsidR="000D6212">
        <w:rPr>
          <w:rFonts w:cs="Arial"/>
          <w:sz w:val="24"/>
        </w:rPr>
        <w:t>se</w:t>
      </w:r>
      <w:r w:rsidR="00A463C1">
        <w:rPr>
          <w:rFonts w:cs="Arial"/>
          <w:sz w:val="24"/>
        </w:rPr>
        <w:t xml:space="preserve"> capsular groups and atypical clinical presentations, especially in older adults</w:t>
      </w:r>
      <w:r w:rsidR="0024150E">
        <w:rPr>
          <w:rFonts w:cs="Arial"/>
          <w:sz w:val="24"/>
        </w:rPr>
        <w:t>,</w:t>
      </w:r>
      <w:r w:rsidR="00A463C1">
        <w:rPr>
          <w:rFonts w:cs="Arial"/>
          <w:sz w:val="24"/>
        </w:rPr>
        <w:t xml:space="preserve"> is well-</w:t>
      </w:r>
      <w:r w:rsidR="0024150E">
        <w:rPr>
          <w:rFonts w:cs="Arial"/>
          <w:sz w:val="24"/>
        </w:rPr>
        <w:t>reported</w:t>
      </w:r>
      <w:r w:rsidR="00FF27D7">
        <w:rPr>
          <w:rFonts w:cs="Arial"/>
          <w:sz w:val="24"/>
        </w:rPr>
        <w:t>.</w:t>
      </w:r>
      <w:r w:rsidR="0022615A">
        <w:rPr>
          <w:rFonts w:cs="Arial"/>
          <w:sz w:val="24"/>
        </w:rPr>
        <w:fldChar w:fldCharType="begin" w:fldLock="1"/>
      </w:r>
      <w:r w:rsidR="004814B6">
        <w:rPr>
          <w:rFonts w:cs="Arial"/>
          <w:sz w:val="24"/>
        </w:rPr>
        <w:instrText>ADDIN CSL_CITATION { "citationItems" : [ { "id" : "ITEM-1", "itemData" : { "abstract" : "Enhanced national surveillance for invasive meningococcal disease in England and Wales identified an increase in laboratory-confirmed capsular group Y (MenY) disease from 34 cases in 2007 to 44 in 2008 and 65 in 2009. For cases diagnosed in 2009, patient median age at disease onset was 60 years; 39% of patients had underlying medical conditions, and 19% died. MenY isolates causing invasive disease during 2007-2009 belonged mainly to 1 of 4 clonal complexes (cc), cc23 (56% of isolates), cc174 (21%), cc167 (11%), and cc22 (8%). The 2009 increase resulted primarily from sequence type 1655 (cc23) (22 cases in 2009, compared with 4 cases each in 2007 and 2008). cc23 was associated with lpxL1 mutations and meningitis in younger age groups (&lt;25 years); cc174 was associated with nonmeningitis, particularly pneumonia, in older age groups (&gt;65 years). The increase in MenY disease requires careful epidemiologic and molecular monitoring.", "author" : [ { "dropping-particle" : "", "family" : "Ladhani", "given" : "Shamez N.", "non-dropping-particle" : "", "parse-names" : false, "suffix" : "" }, { "dropping-particle" : "", "family" : "Lucidarme", "given" : "Jay", "non-dropping-particle" : "", "parse-names" : false, "suffix" : "" }, { "dropping-particle" : "", "family" : "Newbold", "given" : "Lynne S.", "non-dropping-particle" : "", "parse-names" : false, "suffix" : "" }, { "dropping-particle" : "", "family" : "Gray", "given" : "Stephen J.", "non-dropping-particle" : "", "parse-names" : false, "suffix" : "" }, { "dropping-particle" : "", "family" : "Carr", "given" : "Anthony D.", "non-dropping-particle" : "", "parse-names" : false, "suffix" : "" }, { "dropping-particle" : "", "family" : "Findlow", "given" : "Jamie", "non-dropping-particle" : "", "parse-names" : false, "suffix" : "" }, { "dropping-particle" : "", "family" : "Ramsay", "given" : "Mary E.", "non-dropping-particle" : "", "parse-names" : false, "suffix" : "" }, { "dropping-particle" : "", "family" : "Kaczmarski", "given" : "Edward B.", "non-dropping-particle" : "", "parse-names" : false, "suffix" : "" }, { "dropping-particle" : "", "family" : "Borrow", "given" : "Raymond", "non-dropping-particle" : "", "parse-names" : false, "suffix" : "" } ], "container-title" : "Emerging Infectious Diseases", "id" : "ITEM-1", "issue" : "1", "issued" : { "date-parts" : [ [ "2012" ] ] }, "page" : "63-70", "title" : "Invasive meningococcal capsular group Y disease, England and Wales, 2007-2009", "type" : "article-journal", "volume" : "18" }, "uris" : [ "http://www.mendeley.com/documents/?uuid=b8e056e1-861b-4062-93e3-e07419d67b20" ] }, { "id" : "ITEM-2", "itemData" : { "author" : [ { "dropping-particle" : "", "family" : "Ladhani", "given" : "Shamez N", "non-dropping-particle" : "", "parse-names" : false, "suffix" : "" }, { "dropping-particle" : "", "family" : "Beebeejaun", "given" : "K", "non-dropping-particle" : "", "parse-names" : false, "suffix" : "" }, { "dropping-particle" : "", "family" : "Lucidarme", "given" : "Jay", "non-dropping-particle" : "", "parse-names" : false, "suffix" : "" }, { "dropping-particle" : "", "family" : "Campbell", "given" : "Helen", "non-dropping-particle" : "", "parse-names" : false, "suffix" : "" }, { "dropping-particle" : "", "family" : "Gray", "given" : "Steve", "non-dropping-particle" : "", "parse-names" : false, "suffix" : "" }, { "dropping-particle" : "", "family" : "Kaczmarski", "given" : "E.", "non-dropping-particle" : "", "parse-names" : false, "suffix" : "" }, { "dropping-particle" : "", "family" : "Ramsay", "given" : "Mary E", "non-dropping-particle" : "", "parse-names" : false, "suffix" : "" }, { "dropping-particle" : "", "family" : "Borrow", "given" : "Ray", "non-dropping-particle" : "", "parse-names" : false, "suffix" : "" } ], "container-title" : "Clinical Infectious Diseases", "id" : "ITEM-2", "issue" : "4", "issued" : { "date-parts" : [ [ "2015" ] ] }, "page" : "578-85", "title" : "Increase in endemic Neisseria meningitidis capsular group W sequence type 11 complex associated with severe invasive disease in England and Wales", "type" : "article-journal", "volume" : "60" }, "uris" : [ "http://www.mendeley.com/documents/?uuid=45bdf533-0742-450d-996b-d1014b4bd2a9" ] } ], "mendeley" : { "formattedCitation" : "&lt;sup&gt;10,11&lt;/sup&gt;", "plainTextFormattedCitation" : "10,11", "previouslyFormattedCitation" : "&lt;sup&gt;10,11&lt;/sup&gt;"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10,11</w:t>
      </w:r>
      <w:r w:rsidR="0022615A">
        <w:rPr>
          <w:rFonts w:cs="Arial"/>
          <w:sz w:val="24"/>
        </w:rPr>
        <w:fldChar w:fldCharType="end"/>
      </w:r>
    </w:p>
    <w:p w14:paraId="582D3834" w14:textId="71A14123" w:rsidR="00A46B8F" w:rsidRPr="002D3556" w:rsidRDefault="002830DB" w:rsidP="00AA1400">
      <w:pPr>
        <w:spacing w:after="200"/>
        <w:rPr>
          <w:rFonts w:cs="Arial"/>
          <w:color w:val="FF0000"/>
          <w:sz w:val="24"/>
        </w:rPr>
      </w:pPr>
      <w:r>
        <w:rPr>
          <w:rFonts w:cs="Arial"/>
          <w:sz w:val="24"/>
        </w:rPr>
        <w:t>In terms of IMD, the development of septicaemia is often associated with complications and high CFRs and therefore there would be rationale for analysing cases as those with septicaemia in comparison to those without. However, given the higher CFR we found associated with dual presentation, the decision was made to keep clinical presentation grouped into the four aforementioned categories. It is plausible that analysis of septicaemia versus no septicaemia cases may yield further results. In addition, t</w:t>
      </w:r>
      <w:r w:rsidR="00A46B8F">
        <w:rPr>
          <w:rFonts w:cs="Arial"/>
          <w:sz w:val="24"/>
        </w:rPr>
        <w:t xml:space="preserve">he HES database was used to classify clinical diagnosis of cases, therefore reliant on the diagnosis made by the clinician caring for the patient. </w:t>
      </w:r>
      <w:r w:rsidR="00A46B8F" w:rsidRPr="002D3556">
        <w:rPr>
          <w:rFonts w:cs="Arial"/>
          <w:color w:val="FF0000"/>
          <w:sz w:val="24"/>
        </w:rPr>
        <w:t>This is a potential source of variability that could no</w:t>
      </w:r>
      <w:r w:rsidR="002D3556">
        <w:rPr>
          <w:rFonts w:cs="Arial"/>
          <w:color w:val="FF0000"/>
          <w:sz w:val="24"/>
        </w:rPr>
        <w:t xml:space="preserve">t be addressed in this analysis and highlights a need to validate this data source against clinical records. </w:t>
      </w:r>
    </w:p>
    <w:p w14:paraId="59D21096" w14:textId="77777777" w:rsidR="006520AE" w:rsidRDefault="006520AE" w:rsidP="00AA1400">
      <w:pPr>
        <w:spacing w:after="200"/>
        <w:rPr>
          <w:rFonts w:cs="Arial"/>
          <w:b/>
          <w:sz w:val="24"/>
        </w:rPr>
      </w:pPr>
    </w:p>
    <w:p w14:paraId="6AD32155" w14:textId="77777777" w:rsidR="00AA1400" w:rsidRPr="00EF0E69" w:rsidRDefault="00EF0E69" w:rsidP="00AA1400">
      <w:pPr>
        <w:spacing w:after="200"/>
        <w:rPr>
          <w:rFonts w:cs="Arial"/>
          <w:b/>
          <w:sz w:val="24"/>
        </w:rPr>
      </w:pPr>
      <w:r w:rsidRPr="00EF0E69">
        <w:rPr>
          <w:rFonts w:cs="Arial"/>
          <w:b/>
          <w:sz w:val="24"/>
        </w:rPr>
        <w:t>C</w:t>
      </w:r>
      <w:r w:rsidR="0018762B">
        <w:rPr>
          <w:rFonts w:cs="Arial"/>
          <w:b/>
          <w:sz w:val="24"/>
        </w:rPr>
        <w:t>ase fatality</w:t>
      </w:r>
    </w:p>
    <w:p w14:paraId="40B2A7B9" w14:textId="2FE7113A" w:rsidR="00483CAB" w:rsidRDefault="00EF0E69" w:rsidP="0031766B">
      <w:pPr>
        <w:spacing w:after="200"/>
        <w:rPr>
          <w:rFonts w:cs="Arial"/>
          <w:sz w:val="24"/>
        </w:rPr>
      </w:pPr>
      <w:r>
        <w:rPr>
          <w:rFonts w:cs="Arial"/>
          <w:sz w:val="24"/>
        </w:rPr>
        <w:t>Overall, CFR was associated with age, capsular group, clinical presentation and diagnosti</w:t>
      </w:r>
      <w:r w:rsidR="0024150E">
        <w:rPr>
          <w:rFonts w:cs="Arial"/>
          <w:sz w:val="24"/>
        </w:rPr>
        <w:t>c method</w:t>
      </w:r>
      <w:r w:rsidR="0024150E" w:rsidRPr="00374762">
        <w:rPr>
          <w:rFonts w:cs="Arial"/>
          <w:sz w:val="24"/>
        </w:rPr>
        <w:t xml:space="preserve">. </w:t>
      </w:r>
      <w:r w:rsidR="00374762" w:rsidRPr="008B0BDA">
        <w:rPr>
          <w:color w:val="FF0000"/>
          <w:sz w:val="24"/>
          <w:lang w:val="en-US"/>
        </w:rPr>
        <w:t>The significantly higher CFR in ≥65 year-olds with MenB or MenACWY was independent of clinical presentation and is most likely explained by the high prevalence of underlying comorbidities</w:t>
      </w:r>
      <w:r w:rsidR="00FF27D7">
        <w:rPr>
          <w:rFonts w:cs="Arial"/>
          <w:sz w:val="24"/>
        </w:rPr>
        <w:t>.</w:t>
      </w:r>
      <w:r w:rsidR="0022615A">
        <w:rPr>
          <w:rFonts w:cs="Arial"/>
          <w:sz w:val="24"/>
        </w:rPr>
        <w:fldChar w:fldCharType="begin" w:fldLock="1"/>
      </w:r>
      <w:r w:rsidR="004814B6">
        <w:rPr>
          <w:rFonts w:cs="Arial"/>
          <w:sz w:val="24"/>
        </w:rPr>
        <w:instrText>ADDIN CSL_CITATION { "citationItems" : [ { "id" : "ITEM-1", "itemData" : { "abstract" : "Enhanced national surveillance for invasive meningococcal disease in England and Wales identified an increase in laboratory-confirmed capsular group Y (MenY) disease from 34 cases in 2007 to 44 in 2008 and 65 in 2009. For cases diagnosed in 2009, patient median age at disease onset was 60 years; 39% of patients had underlying medical conditions, and 19% died. MenY isolates causing invasive disease during 2007-2009 belonged mainly to 1 of 4 clonal complexes (cc), cc23 (56% of isolates), cc174 (21%), cc167 (11%), and cc22 (8%). The 2009 increase resulted primarily from sequence type 1655 (cc23) (22 cases in 2009, compared with 4 cases each in 2007 and 2008). cc23 was associated with lpxL1 mutations and meningitis in younger age groups (&lt;25 years); cc174 was associated with nonmeningitis, particularly pneumonia, in older age groups (&gt;65 years). The increase in MenY disease requires careful epidemiologic and molecular monitoring.", "author" : [ { "dropping-particle" : "", "family" : "Ladhani", "given" : "Shamez N.", "non-dropping-particle" : "", "parse-names" : false, "suffix" : "" }, { "dropping-particle" : "", "family" : "Lucidarme", "given" : "Jay", "non-dropping-particle" : "", "parse-names" : false, "suffix" : "" }, { "dropping-particle" : "", "family" : "Newbold", "given" : "Lynne S.", "non-dropping-particle" : "", "parse-names" : false, "suffix" : "" }, { "dropping-particle" : "", "family" : "Gray", "given" : "Stephen J.", "non-dropping-particle" : "", "parse-names" : false, "suffix" : "" }, { "dropping-particle" : "", "family" : "Carr", "given" : "Anthony D.", "non-dropping-particle" : "", "parse-names" : false, "suffix" : "" }, { "dropping-particle" : "", "family" : "Findlow", "given" : "Jamie", "non-dropping-particle" : "", "parse-names" : false, "suffix" : "" }, { "dropping-particle" : "", "family" : "Ramsay", "given" : "Mary E.", "non-dropping-particle" : "", "parse-names" : false, "suffix" : "" }, { "dropping-particle" : "", "family" : "Kaczmarski", "given" : "Edward B.", "non-dropping-particle" : "", "parse-names" : false, "suffix" : "" }, { "dropping-particle" : "", "family" : "Borrow", "given" : "Raymond", "non-dropping-particle" : "", "parse-names" : false, "suffix" : "" } ], "container-title" : "Emerging Infectious Diseases", "id" : "ITEM-1", "issue" : "1", "issued" : { "date-parts" : [ [ "2012" ] ] }, "page" : "63-70", "title" : "Invasive meningococcal capsular group Y disease, England and Wales, 2007-2009", "type" : "article-journal", "volume" : "18" }, "uris" : [ "http://www.mendeley.com/documents/?uuid=b8e056e1-861b-4062-93e3-e07419d67b20" ] }, { "id" : "ITEM-2", "itemData" : { "author" : [ { "dropping-particle" : "", "family" : "Ladhani", "given" : "Shamez N", "non-dropping-particle" : "", "parse-names" : false, "suffix" : "" }, { "dropping-particle" : "", "family" : "Beebeejaun", "given" : "K", "non-dropping-particle" : "", "parse-names" : false, "suffix" : "" }, { "dropping-particle" : "", "family" : "Lucidarme", "given" : "Jay", "non-dropping-particle" : "", "parse-names" : false, "suffix" : "" }, { "dropping-particle" : "", "family" : "Campbell", "given" : "Helen", "non-dropping-particle" : "", "parse-names" : false, "suffix" : "" }, { "dropping-particle" : "", "family" : "Gray", "given" : "Steve", "non-dropping-particle" : "", "parse-names" : false, "suffix" : "" }, { "dropping-particle" : "", "family" : "Kaczmarski", "given" : "E.", "non-dropping-particle" : "", "parse-names" : false, "suffix" : "" }, { "dropping-particle" : "", "family" : "Ramsay", "given" : "Mary E", "non-dropping-particle" : "", "parse-names" : false, "suffix" : "" }, { "dropping-particle" : "", "family" : "Borrow", "given" : "Ray", "non-dropping-particle" : "", "parse-names" : false, "suffix" : "" } ], "container-title" : "Clinical Infectious Diseases", "id" : "ITEM-2", "issue" : "4", "issued" : { "date-parts" : [ [ "2015" ] ] }, "page" : "578-85", "title" : "Increase in endemic Neisseria meningitidis capsular group W sequence type 11 complex associated with severe invasive disease in England and Wales", "type" : "article-journal", "volume" : "60" }, "uris" : [ "http://www.mendeley.com/documents/?uuid=45bdf533-0742-450d-996b-d1014b4bd2a9" ] } ], "mendeley" : { "formattedCitation" : "&lt;sup&gt;10,11&lt;/sup&gt;", "plainTextFormattedCitation" : "10,11", "previouslyFormattedCitation" : "&lt;sup&gt;10,11&lt;/sup&gt;"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10,11</w:t>
      </w:r>
      <w:r w:rsidR="0022615A">
        <w:rPr>
          <w:rFonts w:cs="Arial"/>
          <w:sz w:val="24"/>
        </w:rPr>
        <w:fldChar w:fldCharType="end"/>
      </w:r>
      <w:r w:rsidR="003D0C84">
        <w:rPr>
          <w:rFonts w:cs="Arial"/>
          <w:sz w:val="24"/>
        </w:rPr>
        <w:t xml:space="preserve"> In the logistic regression</w:t>
      </w:r>
      <w:r w:rsidR="009B6D3E">
        <w:rPr>
          <w:rFonts w:cs="Arial"/>
          <w:sz w:val="24"/>
        </w:rPr>
        <w:t xml:space="preserve"> model</w:t>
      </w:r>
      <w:r w:rsidR="003D0C84">
        <w:rPr>
          <w:rFonts w:cs="Arial"/>
          <w:sz w:val="24"/>
        </w:rPr>
        <w:t>, clinical presentation with meningitis and septicaemia together</w:t>
      </w:r>
      <w:r w:rsidR="00D417E6">
        <w:rPr>
          <w:rFonts w:cs="Arial"/>
          <w:sz w:val="24"/>
        </w:rPr>
        <w:t>,</w:t>
      </w:r>
      <w:r w:rsidR="003D0C84">
        <w:rPr>
          <w:rFonts w:cs="Arial"/>
          <w:sz w:val="24"/>
        </w:rPr>
        <w:t xml:space="preserve"> </w:t>
      </w:r>
      <w:r w:rsidR="00D417E6">
        <w:rPr>
          <w:rFonts w:cs="Arial"/>
          <w:sz w:val="24"/>
        </w:rPr>
        <w:t>was independently associated with the highest risk of death</w:t>
      </w:r>
      <w:r w:rsidR="003D0C84">
        <w:rPr>
          <w:rFonts w:cs="Arial"/>
          <w:sz w:val="24"/>
        </w:rPr>
        <w:t xml:space="preserve"> among MenB and </w:t>
      </w:r>
      <w:r w:rsidR="0020287B">
        <w:rPr>
          <w:rFonts w:cs="Arial"/>
          <w:sz w:val="24"/>
        </w:rPr>
        <w:t>MenACWY</w:t>
      </w:r>
      <w:r w:rsidR="003D0C84">
        <w:rPr>
          <w:rFonts w:cs="Arial"/>
          <w:sz w:val="24"/>
        </w:rPr>
        <w:t xml:space="preserve"> cases</w:t>
      </w:r>
      <w:r w:rsidR="006301D8">
        <w:rPr>
          <w:rFonts w:cs="Arial"/>
          <w:sz w:val="24"/>
        </w:rPr>
        <w:t>, with septicaemia only also a significant risk factors in MenB cases</w:t>
      </w:r>
      <w:r w:rsidR="003D0C84">
        <w:rPr>
          <w:rFonts w:cs="Arial"/>
          <w:sz w:val="24"/>
        </w:rPr>
        <w:t xml:space="preserve">. </w:t>
      </w:r>
      <w:r w:rsidR="00D417E6">
        <w:rPr>
          <w:rFonts w:cs="Arial"/>
          <w:sz w:val="24"/>
        </w:rPr>
        <w:t xml:space="preserve">The higher CFR associated with septicaemia compared to meningitis is well-reported, although most of the published studies were undertaken </w:t>
      </w:r>
      <w:r w:rsidR="003D0C84">
        <w:rPr>
          <w:rFonts w:cs="Arial"/>
          <w:sz w:val="24"/>
        </w:rPr>
        <w:t>prior to MenC vaccine introduction</w:t>
      </w:r>
      <w:r w:rsidR="00FF27D7">
        <w:rPr>
          <w:rFonts w:cs="Arial"/>
          <w:sz w:val="24"/>
        </w:rPr>
        <w:t>.</w:t>
      </w:r>
      <w:r w:rsidR="0022615A">
        <w:rPr>
          <w:rFonts w:cs="Arial"/>
          <w:sz w:val="24"/>
        </w:rPr>
        <w:fldChar w:fldCharType="begin" w:fldLock="1"/>
      </w:r>
      <w:r w:rsidR="004814B6">
        <w:rPr>
          <w:rFonts w:cs="Arial"/>
          <w:sz w:val="24"/>
        </w:rPr>
        <w:instrText>ADDIN CSL_CITATION { "citationItems" : [ { "id" : "ITEM-1", "itemData" : { "DOI" : "10.1371/journal.pone.0025957", "ISSN" : "1932-6203", "author" : [ { "dropping-particle" : "", "family" : "Stanton", "given" : "Michelle C.", "non-dropping-particle" : "", "parse-names" : false, "suffix" : "" }, { "dropping-particle" : "", "family" : "Taylor-Robinson", "given" : "David", "non-dropping-particle" : "", "parse-names" : false, "suffix" : "" }, { "dropping-particle" : "", "family" : "Harris", "given" : "David", "non-dropping-particle" : "", "parse-names" : false, "suffix" : "" }, { "dropping-particle" : "", "family" : "Paize", "given" : "Fauzia", "non-dropping-particle" : "", "parse-names" : false, "suffix" : "" }, { "dropping-particle" : "", "family" : "Makwana", "given" : "Nick", "non-dropping-particle" : "", "parse-names" : false, "suffix" : "" }, { "dropping-particle" : "", "family" : "Hackett", "given" : "Scott J.", "non-dropping-particle" : "", "parse-names" : false, "suffix" : "" }, { "dropping-particle" : "", "family" : "Baines", "given" : "Paul B.", "non-dropping-particle" : "", "parse-names" : false, "suffix" : "" }, { "dropping-particle" : "", "family" : "Riordan", "given" : "F. Andrew I.", "non-dropping-particle" : "", "parse-names" : false, "suffix" : "" }, { "dropping-particle" : "", "family" : "Marzouk", "given" : "Omnia", "non-dropping-particle" : "", "parse-names" : false, "suffix" : "" }, { "dropping-particle" : "", "family" : "Thomson", "given" : "Alistair P. J.", "non-dropping-particle" : "", "parse-names" : false, "suffix" : "" }, { "dropping-particle" : "", "family" : "Diggle", "given" : "Peter J.", "non-dropping-particle" : "", "parse-names" : false, "suffix" : "" }, { "dropping-particle" : "", "family" : "Hart", "given" : "C. Anthony", "non-dropping-particle" : "", "parse-names" : false, "suffix" : "" }, { "dropping-particle" : "", "family" : "Carrol", "given" : "Enitan D.", "non-dropping-particle" : "", "parse-names" : false, "suffix" : "" } ], "container-title" : "PLoS ONE", "id" : "ITEM-1", "issue" : "10", "issued" : { "date-parts" : [ [ "2011" ] ] }, "page" : "e25957", "title" : "Meningococcal Disease in Children in Merseyside, England: A 31 Year Descriptive Study", "type" : "article-journal", "volume" : "6" }, "uris" : [ "http://www.mendeley.com/documents/?uuid=3dcc083e-ebb9-4c0b-a63a-8542171b3c81" ] }, { "id" : "ITEM-2", "itemData" : { "DOI" : "10.1016/S0734-3299(09)79329-3", "ISBN" : "1537-6591 (Electronic)\\n1058-4838 (Linking)", "ISSN" : "07343299", "PMID" : "19191644", "abstract" : "BACKGROUND: Diagnostic polymerase chain reaction (PCR) detection of Neisseria meningitidis has enabled accurate quantification of the bacterial load in patients with meningococcal disease. METHODS: Quantification of the N. meningitidis DNA level by real time-PCR was conducted on whole-blood samples obtained from patients presenting with meningococcal disease to hospitals throughout England and Wales over a 3-year period. Levels were correlated with clinical outcome, infecting serogroup, and host factors including, interleukin-1 genotype (IL-1). RESULTS: Bacterial loads were available for 1045 patients and were not associated with the age of the patient, delay in sample submission, or administration of antibiotics prior to admission. The median log bacterial load was higher in 95 patients who died (5.29 log(10)copies/mL; interquartile range, 4.41-6.30 log(10)copies/mL) than in 950 patients who survived (3.79 log(10)copies/mL; interquartile range, 2.87-4.71 log(10)copies/mL). Logistic regression revealed that age (odds ratio, 1.04 per 1-year increase in age) and bacterial load (odds ratio, 2.04 per log(10)-copies/mL increase) had a statistically significant effect on the risk of death. Infection with N. meningitidis serogroup C was associated with increased risk of death and an increased bacterial load. Also associated with a higher bacterial load were prolonged hospitalization (duration, &gt;10 days); digit, limb, or soft-tissue loss; and requirement of hemodialysis. Carriage of IL-1RN(+2018) was associated with increased mortality (odds ratio, 2.14; P=.07) but not with a higher bacterial load. CONCLUSIONS: In meningococcal disease, bacterial load is associated with likelihood of death, development of permanent disease sequelae, and prolonged hospitalization. The bacterial load was relatively higher in patients infected with N. meningitidis serogroup C than in those infected with other serogroups. The effects of age and IL-1 genotype on mortality are independent of a high genomic bacterial load.", "author" : [ { "dropping-particle" : "", "family" : "Darton", "given" : "Tom", "non-dropping-particle" : "", "parse-names" : false, "suffix" : "" }, { "dropping-particle" : "", "family" : "Guiver", "given" : "Malcolm", "non-dropping-particle" : "", "parse-names" : false, "suffix" : "" }, { "dropping-particle" : "", "family" : "Naylor", "given" : "Simone", "non-dropping-particle" : "", "parse-names" : false, "suffix" : "" }, { "dropping-particle" : "", "family" : "Jack", "given" : "Dominic L", "non-dropping-particle" : "", "parse-names" : false, "suffix" : "" }, { "dropping-particle" : "", "family" : "Kaczmarski", "given" : "Edward B", "non-dropping-particle" : "", "parse-names" : false, "suffix" : "" }, { "dropping-particle" : "", "family" : "Borrow", "given" : "Raymond", "non-dropping-particle" : "", "parse-names" : false, "suffix" : "" }, { "dropping-particle" : "", "family" : "Read", "given" : "Robert C", "non-dropping-particle" : "", "parse-names" : false, "suffix" : "" } ], "container-title" : "Clinical infectious diseases: an official publication of the Infectious Diseases Society of America", "id" : "ITEM-2", "issued" : { "date-parts" : [ [ "2009" ] ] }, "page" : "587-594", "title" : "Severity of meningococcal disease associated with genomic bacterial load.", "type" : "article-journal", "volume" : "48" }, "uris" : [ "http://www.mendeley.com/documents/?uuid=fcb4d9f8-d988-495c-8136-ba0505b1be01" ] } ], "mendeley" : { "formattedCitation" : "&lt;sup&gt;7,12&lt;/sup&gt;", "plainTextFormattedCitation" : "7,12", "previouslyFormattedCitation" : "&lt;sup&gt;7,12&lt;/sup&gt;"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7,12</w:t>
      </w:r>
      <w:r w:rsidR="0022615A">
        <w:rPr>
          <w:rFonts w:cs="Arial"/>
          <w:sz w:val="24"/>
        </w:rPr>
        <w:fldChar w:fldCharType="end"/>
      </w:r>
      <w:r w:rsidR="009B6D3E">
        <w:rPr>
          <w:rFonts w:cs="Arial"/>
          <w:sz w:val="24"/>
        </w:rPr>
        <w:t xml:space="preserve"> </w:t>
      </w:r>
      <w:r w:rsidR="00153224">
        <w:rPr>
          <w:rFonts w:cs="Arial"/>
          <w:sz w:val="24"/>
        </w:rPr>
        <w:t>T</w:t>
      </w:r>
      <w:r w:rsidR="00E45701">
        <w:rPr>
          <w:rFonts w:cs="Arial"/>
          <w:sz w:val="24"/>
        </w:rPr>
        <w:t>he</w:t>
      </w:r>
      <w:r w:rsidR="00F40EC8">
        <w:rPr>
          <w:rFonts w:cs="Arial"/>
          <w:sz w:val="24"/>
        </w:rPr>
        <w:t xml:space="preserve"> </w:t>
      </w:r>
      <w:r w:rsidR="00153224">
        <w:rPr>
          <w:rFonts w:cs="Arial"/>
          <w:sz w:val="24"/>
        </w:rPr>
        <w:t xml:space="preserve">UK </w:t>
      </w:r>
      <w:r w:rsidR="00F40EC8">
        <w:rPr>
          <w:rFonts w:cs="Arial"/>
          <w:sz w:val="24"/>
        </w:rPr>
        <w:t>MenC outbreak</w:t>
      </w:r>
      <w:r w:rsidR="00E45701">
        <w:rPr>
          <w:rFonts w:cs="Arial"/>
          <w:sz w:val="24"/>
        </w:rPr>
        <w:t xml:space="preserve"> in the 1990s was </w:t>
      </w:r>
      <w:r w:rsidR="00F40EC8">
        <w:rPr>
          <w:rFonts w:cs="Arial"/>
          <w:sz w:val="24"/>
        </w:rPr>
        <w:t xml:space="preserve">particularly associated with septicaemia presentation, </w:t>
      </w:r>
      <w:r w:rsidR="00153224">
        <w:rPr>
          <w:rFonts w:cs="Arial"/>
          <w:sz w:val="24"/>
        </w:rPr>
        <w:t xml:space="preserve">with </w:t>
      </w:r>
      <w:r w:rsidR="00E45701">
        <w:rPr>
          <w:rFonts w:cs="Arial"/>
          <w:sz w:val="24"/>
        </w:rPr>
        <w:t xml:space="preserve">an aggressive clinical course </w:t>
      </w:r>
      <w:r w:rsidR="00153224">
        <w:rPr>
          <w:rFonts w:cs="Arial"/>
          <w:sz w:val="24"/>
        </w:rPr>
        <w:t xml:space="preserve">and </w:t>
      </w:r>
      <w:r w:rsidR="00E45701">
        <w:rPr>
          <w:rFonts w:cs="Arial"/>
          <w:sz w:val="24"/>
        </w:rPr>
        <w:t>severe clinical outcomes</w:t>
      </w:r>
      <w:r w:rsidR="00C26237">
        <w:rPr>
          <w:rFonts w:cs="Arial"/>
          <w:sz w:val="24"/>
        </w:rPr>
        <w:t>, including death</w:t>
      </w:r>
      <w:r w:rsidR="00FF27D7">
        <w:rPr>
          <w:rFonts w:cs="Arial"/>
          <w:sz w:val="24"/>
        </w:rPr>
        <w:t>.</w:t>
      </w:r>
      <w:r w:rsidR="0022615A">
        <w:rPr>
          <w:rFonts w:cs="Arial"/>
          <w:sz w:val="24"/>
        </w:rPr>
        <w:fldChar w:fldCharType="begin" w:fldLock="1"/>
      </w:r>
      <w:r w:rsidR="004814B6">
        <w:rPr>
          <w:rFonts w:cs="Arial"/>
          <w:sz w:val="24"/>
        </w:rPr>
        <w:instrText>ADDIN CSL_CITATION { "citationItems" : [ { "id" : "ITEM-1", "itemData" : { "author" : [ { "dropping-particle" : "", "family" : "Ramsay", "given" : "M.", "non-dropping-particle" : "", "parse-names" : false, "suffix" : "" }, { "dropping-particle" : "", "family" : "Kaczmarski", "given" : "E.", "non-dropping-particle" : "", "parse-names" : false, "suffix" : "" }, { "dropping-particle" : "", "family" : "Rush", "given" : "M", "non-dropping-particle" : "", "parse-names" : false, "suffix" : "" }, { "dropping-particle" : "", "family" : "Mallard", "given" : "R", "non-dropping-particle" : "", "parse-names" : false, "suffix" : "" }, { "dropping-particle" : "", "family" : "Farrington", "given" : "P", "non-dropping-particle" : "", "parse-names" : false, "suffix" : "" }, { "dropping-particle" : "", "family" : "White", "given" : "J", "non-dropping-particle" : "", "parse-names" : false, "suffix" : "" } ], "container-title" : "Communicable disease report, CDR review", "id" : "ITEM-1", "issue" : "4", "issued" : { "date-parts" : [ [ "1997" ] ] }, "page" : "R49-54", "title" : "Changing patterns of case ascertainment and trends in meningococcal disease in England and Wales", "type" : "article-journal", "volume" : "7" }, "uris" : [ "http://www.mendeley.com/documents/?uuid=1aab40b2-d42f-4904-9066-ec63b3807703" ] } ], "mendeley" : { "formattedCitation" : "&lt;sup&gt;13&lt;/sup&gt;", "plainTextFormattedCitation" : "13", "previouslyFormattedCitation" : "&lt;sup&gt;13&lt;/sup&gt;"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13</w:t>
      </w:r>
      <w:r w:rsidR="0022615A">
        <w:rPr>
          <w:rFonts w:cs="Arial"/>
          <w:sz w:val="24"/>
        </w:rPr>
        <w:fldChar w:fldCharType="end"/>
      </w:r>
      <w:r w:rsidR="00153224">
        <w:rPr>
          <w:rFonts w:cs="Arial"/>
          <w:sz w:val="24"/>
        </w:rPr>
        <w:t xml:space="preserve"> </w:t>
      </w:r>
      <w:r w:rsidR="00483CAB">
        <w:rPr>
          <w:rFonts w:cs="Arial"/>
          <w:sz w:val="24"/>
        </w:rPr>
        <w:t xml:space="preserve">The higher CFR in those with both septicaemia </w:t>
      </w:r>
      <w:r w:rsidR="00153224">
        <w:rPr>
          <w:rFonts w:cs="Arial"/>
          <w:sz w:val="24"/>
        </w:rPr>
        <w:t xml:space="preserve">and meningitis </w:t>
      </w:r>
      <w:r w:rsidR="00483CAB">
        <w:rPr>
          <w:rFonts w:cs="Arial"/>
          <w:sz w:val="24"/>
        </w:rPr>
        <w:t xml:space="preserve">is </w:t>
      </w:r>
      <w:r w:rsidR="00483CAB" w:rsidRPr="008B0BDA">
        <w:rPr>
          <w:rFonts w:cs="Arial"/>
          <w:color w:val="FF0000"/>
          <w:sz w:val="24"/>
        </w:rPr>
        <w:t xml:space="preserve">plausible since it </w:t>
      </w:r>
      <w:r w:rsidR="00C26237" w:rsidRPr="008B0BDA">
        <w:rPr>
          <w:rFonts w:cs="Arial"/>
          <w:color w:val="FF0000"/>
          <w:sz w:val="24"/>
        </w:rPr>
        <w:t>indicates</w:t>
      </w:r>
      <w:r w:rsidR="00483CAB" w:rsidRPr="008B0BDA">
        <w:rPr>
          <w:rFonts w:cs="Arial"/>
          <w:color w:val="FF0000"/>
          <w:sz w:val="24"/>
        </w:rPr>
        <w:t xml:space="preserve"> loss of systemic control</w:t>
      </w:r>
      <w:r w:rsidR="00E45701" w:rsidRPr="008B0BDA">
        <w:rPr>
          <w:rFonts w:cs="Arial"/>
          <w:color w:val="FF0000"/>
          <w:sz w:val="24"/>
        </w:rPr>
        <w:t xml:space="preserve"> of infection</w:t>
      </w:r>
      <w:r w:rsidR="00374762" w:rsidRPr="008B0BDA">
        <w:rPr>
          <w:rFonts w:cs="Arial"/>
          <w:color w:val="FF0000"/>
          <w:sz w:val="24"/>
        </w:rPr>
        <w:t xml:space="preserve"> which </w:t>
      </w:r>
      <w:r w:rsidR="008B0BDA" w:rsidRPr="008B0BDA">
        <w:rPr>
          <w:rFonts w:cs="Arial"/>
          <w:color w:val="FF0000"/>
          <w:sz w:val="24"/>
        </w:rPr>
        <w:t xml:space="preserve">can </w:t>
      </w:r>
      <w:r w:rsidR="00374762" w:rsidRPr="008B0BDA">
        <w:rPr>
          <w:rFonts w:cs="Arial"/>
          <w:color w:val="FF0000"/>
          <w:sz w:val="24"/>
        </w:rPr>
        <w:t>lead to</w:t>
      </w:r>
      <w:r w:rsidR="00153224" w:rsidRPr="008B0BDA">
        <w:rPr>
          <w:rFonts w:cs="Arial"/>
          <w:color w:val="FF0000"/>
          <w:sz w:val="24"/>
        </w:rPr>
        <w:t xml:space="preserve"> end-organ failure</w:t>
      </w:r>
      <w:r w:rsidR="00483CAB" w:rsidRPr="008B0BDA">
        <w:rPr>
          <w:rFonts w:cs="Arial"/>
          <w:color w:val="FF0000"/>
          <w:sz w:val="24"/>
        </w:rPr>
        <w:t xml:space="preserve">. </w:t>
      </w:r>
    </w:p>
    <w:p w14:paraId="20D94923" w14:textId="77777777" w:rsidR="00510FBD" w:rsidRPr="00E604C7" w:rsidRDefault="00EE6DC0" w:rsidP="0031766B">
      <w:pPr>
        <w:spacing w:after="200"/>
        <w:rPr>
          <w:rFonts w:cs="Arial"/>
          <w:sz w:val="24"/>
        </w:rPr>
      </w:pPr>
      <w:r>
        <w:rPr>
          <w:rFonts w:cs="Arial"/>
          <w:sz w:val="24"/>
        </w:rPr>
        <w:t xml:space="preserve">The highest burden of MenB disease was observed in infants </w:t>
      </w:r>
      <w:r w:rsidR="0083223D">
        <w:rPr>
          <w:rFonts w:cs="Arial"/>
          <w:sz w:val="24"/>
        </w:rPr>
        <w:t xml:space="preserve">(26%) </w:t>
      </w:r>
      <w:r>
        <w:rPr>
          <w:rFonts w:cs="Arial"/>
          <w:sz w:val="24"/>
        </w:rPr>
        <w:t>and toddlers</w:t>
      </w:r>
      <w:r w:rsidR="0083223D">
        <w:rPr>
          <w:rFonts w:cs="Arial"/>
          <w:sz w:val="24"/>
        </w:rPr>
        <w:t xml:space="preserve"> (31%)</w:t>
      </w:r>
      <w:r>
        <w:rPr>
          <w:rFonts w:cs="Arial"/>
          <w:sz w:val="24"/>
        </w:rPr>
        <w:t xml:space="preserve">, who accounted for </w:t>
      </w:r>
      <w:r w:rsidR="0083223D">
        <w:rPr>
          <w:rFonts w:cs="Arial"/>
          <w:sz w:val="24"/>
        </w:rPr>
        <w:t xml:space="preserve">57% of all MenB cases and 46% of </w:t>
      </w:r>
      <w:r w:rsidR="009B3385">
        <w:rPr>
          <w:rFonts w:cs="Arial"/>
          <w:sz w:val="24"/>
        </w:rPr>
        <w:t xml:space="preserve">all </w:t>
      </w:r>
      <w:r w:rsidR="0083223D">
        <w:rPr>
          <w:rFonts w:cs="Arial"/>
          <w:sz w:val="24"/>
        </w:rPr>
        <w:t>MenB deaths.</w:t>
      </w:r>
      <w:r w:rsidR="009B3385">
        <w:rPr>
          <w:rFonts w:cs="Arial"/>
          <w:sz w:val="24"/>
        </w:rPr>
        <w:t xml:space="preserve"> </w:t>
      </w:r>
      <w:r w:rsidR="0083223D">
        <w:rPr>
          <w:rFonts w:cs="Arial"/>
          <w:sz w:val="24"/>
        </w:rPr>
        <w:t>This age</w:t>
      </w:r>
      <w:r w:rsidR="00153224">
        <w:rPr>
          <w:rFonts w:cs="Arial"/>
          <w:sz w:val="24"/>
        </w:rPr>
        <w:t>-</w:t>
      </w:r>
      <w:r w:rsidR="0083223D">
        <w:rPr>
          <w:rFonts w:cs="Arial"/>
          <w:sz w:val="24"/>
        </w:rPr>
        <w:t xml:space="preserve">group is </w:t>
      </w:r>
      <w:r w:rsidR="004112AA">
        <w:rPr>
          <w:rFonts w:cs="Arial"/>
          <w:sz w:val="24"/>
        </w:rPr>
        <w:t>particularly susceptible to serious invasive infections by encapsulated bacteria, including meningococci</w:t>
      </w:r>
      <w:r w:rsidR="00FF27D7">
        <w:rPr>
          <w:rFonts w:cs="Arial"/>
          <w:sz w:val="24"/>
        </w:rPr>
        <w:t>.</w:t>
      </w:r>
      <w:r w:rsidR="0022615A">
        <w:rPr>
          <w:rFonts w:cs="Arial"/>
          <w:sz w:val="24"/>
        </w:rPr>
        <w:fldChar w:fldCharType="begin" w:fldLock="1"/>
      </w:r>
      <w:r w:rsidR="004814B6">
        <w:rPr>
          <w:rFonts w:cs="Arial"/>
          <w:sz w:val="24"/>
        </w:rPr>
        <w:instrText>ADDIN CSL_CITATION { "citationItems" : [ { "id" : "ITEM-1", "itemData" : { "DOI" : "10.1016/S1473-3099(13)70332-3", "ISBN" : "1474-4457", "ISSN" : "1474-4457", "PMID" : "24508198", "abstract" : "BACKGROUND: Meningitis remains one of the most feared infectious diseases worldwide, yet there are few population-based studies on the epidemiology, causes, or trends over time in meningitis, especially in industrialised countries. Our aim was to do such a study using routinely reported data available in England and Wales.\\n\\nMETHODS: In England and Wales, UK National Health Service hospitals routinely report laboratory-confirmed pathogens electronically to Public Health England. Records of all positive bacterial, mycobacterial, and fungal results from cerebrospinal fluid or from blood cultures in patients with clinical meningitis were extracted for analysis. The percentage change in annual incidence was estimated using linear regression analysis of the log of the annual incidence.\\n\\nFINDINGS: During 2004-11, 7061 cases of meningitis were reported (mean annual incidence 1\u00b762 per 100,000 people, 95% CI 1\u00b758-1\u00b766), including 2594 cases in children (37%). The incidence of bacterial (1\u00b744 per 100,000 people, 1\u00b741-1\u00b748), fungal (0\u00b709, 0\u00b708-0\u00b710), and mycobacterial (0\u00b709, 0\u00b708-0\u00b709) meningitis remained stable overall and across the age groups, apart from significant year-on-year increases in children younger than 3 months (978 cases; incidence 72\u00b72 per 100,000 people; annual increase 7\u00b74%, 5\u00b71-9\u00b78; p&lt;0\u00b70001) driven mainly by group B streptococci (GBS), and in adults aged 65 years or older (752 cases; incidence 1\u00b72 per 100,000 people; annual increase 3\u00b70%, 1\u00b74-4\u00b78; p&lt;0\u00b70001) primarily because of Escherichia coli. By contrast, meningococcal meningitis rates declined steadily, but remained the most common cause of meningitis in children. Overall, five groups of bacteria accounted for 60% (3790/6286) of bacterial meningitis cases: Neisseria meningitidis (1350 cases, 22%), Streptococcus pneumoniae (1143, 18%), Staphylococcus aureus (652, 10%), GBS (326, 5%), and E coli (319, 5%).\\n\\nINTERPRETATION: In England and Wales, laboratory-based surveillance shows a remarkably stable incidence of bacterial, fungal, and mycobacterial meningitis in recent years, although there were differences in individual trends among the main pathogens causing meningitis in different age groups.\\n\\nFUNDING: None.", "author" : [ { "dropping-particle" : "", "family" : "Okike", "given" : "Ifeanichukwu O", "non-dropping-particle" : "", "parse-names" : false, "suffix" : "" }, { "dropping-particle" : "", "family" : "Ribeiro", "given" : "Sonia", "non-dropping-particle" : "", "parse-names" : false, "suffix" : "" }, { "dropping-particle" : "", "family" : "Ramsay", "given" : "Mary E", "non-dropping-particle" : "", "parse-names" : false, "suffix" : "" }, { "dropping-particle" : "", "family" : "Heath", "given" : "Paul T", "non-dropping-particle" : "", "parse-names" : false, "suffix" : "" }, { "dropping-particle" : "", "family" : "Sharland", "given" : "Mike", "non-dropping-particle" : "", "parse-names" : false, "suffix" : "" }, { "dropping-particle" : "", "family" : "Ladhani", "given" : "Shamez N", "non-dropping-particle" : "", "parse-names" : false, "suffix" : "" } ], "container-title" : "The Lancet. Infectious diseases", "id" : "ITEM-1", "issue" : "4", "issued" : { "date-parts" : [ [ "2014" ] ] }, "page" : "301-7", "publisher" : "Elsevier Ltd", "title" : "Trends in bacterial, mycobacterial, and fungal meningitis in England and Wales 2004-11: an observational study.", "type" : "article-journal", "volume" : "14" }, "uris" : [ "http://www.mendeley.com/documents/?uuid=c7d7d1a9-2ab9-4212-b536-8408ee4ce312" ] } ], "mendeley" : { "formattedCitation" : "&lt;sup&gt;14&lt;/sup&gt;", "plainTextFormattedCitation" : "14", "previouslyFormattedCitation" : "&lt;sup&gt;14&lt;/sup&gt;"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14</w:t>
      </w:r>
      <w:r w:rsidR="0022615A">
        <w:rPr>
          <w:rFonts w:cs="Arial"/>
          <w:sz w:val="24"/>
        </w:rPr>
        <w:fldChar w:fldCharType="end"/>
      </w:r>
      <w:r w:rsidR="00F00517">
        <w:rPr>
          <w:rFonts w:cs="Arial"/>
          <w:sz w:val="24"/>
        </w:rPr>
        <w:t xml:space="preserve"> </w:t>
      </w:r>
      <w:r w:rsidR="00C17311">
        <w:rPr>
          <w:rFonts w:cs="Arial"/>
          <w:sz w:val="24"/>
        </w:rPr>
        <w:t xml:space="preserve"> In September 2015, the UK was</w:t>
      </w:r>
      <w:r w:rsidR="00F340ED">
        <w:rPr>
          <w:rFonts w:cs="Arial"/>
          <w:sz w:val="24"/>
        </w:rPr>
        <w:t xml:space="preserve"> the first country to introduce</w:t>
      </w:r>
      <w:r w:rsidR="00C17311">
        <w:rPr>
          <w:rFonts w:cs="Arial"/>
          <w:sz w:val="24"/>
        </w:rPr>
        <w:t xml:space="preserve"> the novel, multi-component </w:t>
      </w:r>
      <w:r w:rsidR="00DC4697">
        <w:rPr>
          <w:rFonts w:cs="Arial"/>
          <w:sz w:val="24"/>
        </w:rPr>
        <w:t xml:space="preserve">protein-based </w:t>
      </w:r>
      <w:r w:rsidR="00C17311">
        <w:rPr>
          <w:rFonts w:cs="Arial"/>
          <w:sz w:val="24"/>
        </w:rPr>
        <w:t>MenB vaccine (4CMenB, Bexsero®, GSK Biologicals) into the national infant immunisation programme</w:t>
      </w:r>
      <w:r w:rsidR="00FF27D7">
        <w:rPr>
          <w:rFonts w:cs="Arial"/>
          <w:sz w:val="24"/>
        </w:rPr>
        <w:t>.</w:t>
      </w:r>
      <w:r w:rsidR="0022615A">
        <w:rPr>
          <w:rFonts w:cs="Arial"/>
          <w:sz w:val="24"/>
        </w:rPr>
        <w:fldChar w:fldCharType="begin" w:fldLock="1"/>
      </w:r>
      <w:r w:rsidR="004814B6">
        <w:rPr>
          <w:rFonts w:cs="Arial"/>
          <w:sz w:val="24"/>
        </w:rPr>
        <w:instrText>ADDIN CSL_CITATION { "citationItems" : [ { "id" : "ITEM-1", "itemData" : { "DOI" : "10.1016/j.jinf.2015.09.035", "ISSN" : "01634453", "PMID" : "26433141", "author" : [ { "dropping-particle" : "", "family" : "Ladhani", "given" : "Shamez N.", "non-dropping-particle" : "", "parse-names" : false, "suffix" : "" }, { "dropping-particle" : "", "family" : "Campbell", "given" : "Helen", "non-dropping-particle" : "", "parse-names" : false, "suffix" : "" }, { "dropping-particle" : "", "family" : "Parikh", "given" : "Sydel R.", "non-dropping-particle" : "", "parse-names" : false, "suffix" : "" }, { "dropping-particle" : "", "family" : "Saliba", "given" : "Vanessa", "non-dropping-particle" : "", "parse-names" : false, "suffix" : "" }, { "dropping-particle" : "", "family" : "Borrow", "given" : "Ray", "non-dropping-particle" : "", "parse-names" : false, "suffix" : "" }, { "dropping-particle" : "", "family" : "Ramsay", "given" : "Mary", "non-dropping-particle" : "", "parse-names" : false, "suffix" : "" } ], "container-title" : "Journal of Infection", "id" : "ITEM-1", "issue" : "6", "issued" : { "date-parts" : [ [ "2015" ] ] }, "page" : "611-614", "publisher" : "Elsevier Ltd", "title" : "The introduction of the meningococcal B (MenB) vaccine (Bexsero\u00ae) into the national infant immunisation programme \u2013 New challenges for public health", "type" : "article-journal", "volume" : "71" }, "uris" : [ "http://www.mendeley.com/documents/?uuid=657594c2-96ae-49fe-b3b2-9cea4a21b4cc" ] } ], "mendeley" : { "formattedCitation" : "&lt;sup&gt;15&lt;/sup&gt;", "plainTextFormattedCitation" : "15", "previouslyFormattedCitation" : "&lt;sup&gt;15&lt;/sup&gt;"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15</w:t>
      </w:r>
      <w:r w:rsidR="0022615A">
        <w:rPr>
          <w:rFonts w:cs="Arial"/>
          <w:sz w:val="24"/>
        </w:rPr>
        <w:fldChar w:fldCharType="end"/>
      </w:r>
      <w:r w:rsidR="00732BE9">
        <w:rPr>
          <w:rFonts w:cs="Arial"/>
          <w:sz w:val="24"/>
        </w:rPr>
        <w:t xml:space="preserve"> </w:t>
      </w:r>
      <w:r w:rsidR="00DC4697">
        <w:rPr>
          <w:rFonts w:cs="Arial"/>
          <w:sz w:val="24"/>
        </w:rPr>
        <w:t>This vaccine is estimated to protect against 73-88% of circulating MenB strains in the UK and should also protect against other meningococcal capsular groups that share the same vaccine antigens</w:t>
      </w:r>
      <w:r w:rsidR="00FF27D7">
        <w:rPr>
          <w:rFonts w:cs="Arial"/>
          <w:sz w:val="24"/>
        </w:rPr>
        <w:t>.</w:t>
      </w:r>
      <w:r w:rsidR="0022615A">
        <w:rPr>
          <w:rFonts w:cs="Arial"/>
          <w:sz w:val="24"/>
        </w:rPr>
        <w:fldChar w:fldCharType="begin" w:fldLock="1"/>
      </w:r>
      <w:r w:rsidR="004814B6">
        <w:rPr>
          <w:rFonts w:cs="Arial"/>
          <w:sz w:val="24"/>
        </w:rPr>
        <w:instrText>ADDIN CSL_CITATION { "citationItems" : [ { "id" : "ITEM-1", "itemData" : { "DOI" : "10.1016/j.jinf.2015.09.035", "ISSN" : "01634453", "PMID" : "26433141", "author" : [ { "dropping-particle" : "", "family" : "Ladhani", "given" : "Shamez N.", "non-dropping-particle" : "", "parse-names" : false, "suffix" : "" }, { "dropping-particle" : "", "family" : "Campbell", "given" : "Helen", "non-dropping-particle" : "", "parse-names" : false, "suffix" : "" }, { "dropping-particle" : "", "family" : "Parikh", "given" : "Sydel R.", "non-dropping-particle" : "", "parse-names" : false, "suffix" : "" }, { "dropping-particle" : "", "family" : "Saliba", "given" : "Vanessa", "non-dropping-particle" : "", "parse-names" : false, "suffix" : "" }, { "dropping-particle" : "", "family" : "Borrow", "given" : "Ray", "non-dropping-particle" : "", "parse-names" : false, "suffix" : "" }, { "dropping-particle" : "", "family" : "Ramsay", "given" : "Mary", "non-dropping-particle" : "", "parse-names" : false, "suffix" : "" } ], "container-title" : "Journal of Infection", "id" : "ITEM-1", "issue" : "6", "issued" : { "date-parts" : [ [ "2015" ] ] }, "page" : "611-614", "publisher" : "Elsevier Ltd", "title" : "The introduction of the meningococcal B (MenB) vaccine (Bexsero\u00ae) into the national infant immunisation programme \u2013 New challenges for public health", "type" : "article-journal", "volume" : "71" }, "uris" : [ "http://www.mendeley.com/documents/?uuid=657594c2-96ae-49fe-b3b2-9cea4a21b4cc" ] } ], "mendeley" : { "formattedCitation" : "&lt;sup&gt;15&lt;/sup&gt;", "plainTextFormattedCitation" : "15", "previouslyFormattedCitation" : "&lt;sup&gt;15&lt;/sup&gt;"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15</w:t>
      </w:r>
      <w:r w:rsidR="0022615A">
        <w:rPr>
          <w:rFonts w:cs="Arial"/>
          <w:sz w:val="24"/>
        </w:rPr>
        <w:fldChar w:fldCharType="end"/>
      </w:r>
      <w:r w:rsidR="00FF27D7">
        <w:rPr>
          <w:rFonts w:cs="Arial"/>
          <w:sz w:val="24"/>
        </w:rPr>
        <w:t xml:space="preserve"> </w:t>
      </w:r>
      <w:r w:rsidR="00DC4697" w:rsidRPr="00E604C7">
        <w:rPr>
          <w:rFonts w:cs="Arial"/>
          <w:sz w:val="24"/>
        </w:rPr>
        <w:t xml:space="preserve">The </w:t>
      </w:r>
      <w:r w:rsidR="00153224">
        <w:rPr>
          <w:rFonts w:cs="Arial"/>
          <w:sz w:val="24"/>
        </w:rPr>
        <w:t>programme</w:t>
      </w:r>
      <w:r w:rsidR="00DC4697" w:rsidRPr="00E604C7">
        <w:rPr>
          <w:rFonts w:cs="Arial"/>
          <w:sz w:val="24"/>
        </w:rPr>
        <w:t xml:space="preserve">, therefore, has the potential to significantly reduce the burden of IMD </w:t>
      </w:r>
      <w:r w:rsidR="00F340ED" w:rsidRPr="00E604C7">
        <w:rPr>
          <w:rFonts w:cs="Arial"/>
          <w:sz w:val="24"/>
        </w:rPr>
        <w:t xml:space="preserve">– including deaths - </w:t>
      </w:r>
      <w:r w:rsidR="00DC4697" w:rsidRPr="00E604C7">
        <w:rPr>
          <w:rFonts w:cs="Arial"/>
          <w:sz w:val="24"/>
        </w:rPr>
        <w:t>in infants and toddlers in the coming years</w:t>
      </w:r>
    </w:p>
    <w:p w14:paraId="4AD790E4" w14:textId="77777777" w:rsidR="00DC4697" w:rsidRDefault="00A02B7A" w:rsidP="0031766B">
      <w:pPr>
        <w:spacing w:after="200"/>
        <w:rPr>
          <w:rFonts w:cs="Arial"/>
          <w:sz w:val="24"/>
        </w:rPr>
      </w:pPr>
      <w:r>
        <w:rPr>
          <w:rFonts w:cs="Arial"/>
          <w:sz w:val="24"/>
        </w:rPr>
        <w:t xml:space="preserve">The age distribution of </w:t>
      </w:r>
      <w:r w:rsidR="00E604C7">
        <w:rPr>
          <w:rFonts w:cs="Arial"/>
          <w:sz w:val="24"/>
        </w:rPr>
        <w:t>MenACWY</w:t>
      </w:r>
      <w:r w:rsidR="00DC4697">
        <w:rPr>
          <w:rFonts w:cs="Arial"/>
          <w:sz w:val="24"/>
        </w:rPr>
        <w:t xml:space="preserve"> </w:t>
      </w:r>
      <w:r>
        <w:rPr>
          <w:rFonts w:cs="Arial"/>
          <w:sz w:val="24"/>
        </w:rPr>
        <w:t xml:space="preserve">cases was different to MenB cases, with </w:t>
      </w:r>
      <w:r w:rsidR="00153224">
        <w:rPr>
          <w:rFonts w:cs="Arial"/>
          <w:sz w:val="24"/>
        </w:rPr>
        <w:t xml:space="preserve">few cases </w:t>
      </w:r>
      <w:r w:rsidR="00055848">
        <w:rPr>
          <w:rFonts w:cs="Arial"/>
          <w:sz w:val="24"/>
        </w:rPr>
        <w:t xml:space="preserve">in infants and </w:t>
      </w:r>
      <w:r w:rsidR="00225DBD">
        <w:rPr>
          <w:rFonts w:cs="Arial"/>
          <w:sz w:val="24"/>
        </w:rPr>
        <w:t xml:space="preserve">a small peak associated with a significantly higher CFR </w:t>
      </w:r>
      <w:r w:rsidR="00DC4697">
        <w:rPr>
          <w:rFonts w:cs="Arial"/>
          <w:sz w:val="24"/>
        </w:rPr>
        <w:t>among</w:t>
      </w:r>
      <w:r w:rsidR="002F0521">
        <w:rPr>
          <w:rFonts w:cs="Arial"/>
          <w:sz w:val="24"/>
        </w:rPr>
        <w:t xml:space="preserve"> 15-24 year-old</w:t>
      </w:r>
      <w:r w:rsidR="009B6D3E">
        <w:rPr>
          <w:rFonts w:cs="Arial"/>
          <w:sz w:val="24"/>
        </w:rPr>
        <w:t>s</w:t>
      </w:r>
      <w:r w:rsidR="00055848">
        <w:rPr>
          <w:rFonts w:cs="Arial"/>
          <w:sz w:val="24"/>
        </w:rPr>
        <w:t>,</w:t>
      </w:r>
      <w:r w:rsidR="00225DBD">
        <w:rPr>
          <w:rFonts w:cs="Arial"/>
          <w:sz w:val="24"/>
        </w:rPr>
        <w:t xml:space="preserve"> </w:t>
      </w:r>
      <w:r w:rsidR="00055848">
        <w:rPr>
          <w:rFonts w:cs="Arial"/>
          <w:sz w:val="24"/>
        </w:rPr>
        <w:t xml:space="preserve">followed by </w:t>
      </w:r>
      <w:r w:rsidR="00225DBD">
        <w:rPr>
          <w:rFonts w:cs="Arial"/>
          <w:sz w:val="24"/>
        </w:rPr>
        <w:t>increasing number of cases diagnosed from 45 years of age</w:t>
      </w:r>
      <w:r w:rsidR="00DC4697">
        <w:rPr>
          <w:rFonts w:cs="Arial"/>
          <w:sz w:val="24"/>
        </w:rPr>
        <w:t xml:space="preserve">. </w:t>
      </w:r>
      <w:r w:rsidR="00055848">
        <w:rPr>
          <w:rFonts w:cs="Arial"/>
          <w:sz w:val="24"/>
        </w:rPr>
        <w:t xml:space="preserve">In adolescents, several clinical and </w:t>
      </w:r>
      <w:r w:rsidR="00C70633">
        <w:rPr>
          <w:rFonts w:cs="Arial"/>
          <w:sz w:val="24"/>
        </w:rPr>
        <w:t xml:space="preserve">social </w:t>
      </w:r>
      <w:r w:rsidR="00055848">
        <w:rPr>
          <w:rFonts w:cs="Arial"/>
          <w:sz w:val="24"/>
        </w:rPr>
        <w:t xml:space="preserve">risk </w:t>
      </w:r>
      <w:r w:rsidR="00C70633">
        <w:rPr>
          <w:rFonts w:cs="Arial"/>
          <w:sz w:val="24"/>
        </w:rPr>
        <w:t xml:space="preserve">factors </w:t>
      </w:r>
      <w:r w:rsidR="00055848">
        <w:rPr>
          <w:rFonts w:cs="Arial"/>
          <w:sz w:val="24"/>
        </w:rPr>
        <w:t xml:space="preserve">for IMD </w:t>
      </w:r>
      <w:r w:rsidR="00C70633">
        <w:rPr>
          <w:rFonts w:cs="Arial"/>
          <w:sz w:val="24"/>
        </w:rPr>
        <w:t xml:space="preserve">have been identified </w:t>
      </w:r>
      <w:r w:rsidR="0022615A">
        <w:rPr>
          <w:rFonts w:cs="Arial"/>
          <w:sz w:val="24"/>
        </w:rPr>
        <w:fldChar w:fldCharType="begin" w:fldLock="1"/>
      </w:r>
      <w:r w:rsidR="004814B6">
        <w:rPr>
          <w:rFonts w:cs="Arial"/>
          <w:sz w:val="24"/>
        </w:rPr>
        <w:instrText>ADDIN CSL_CITATION { "citationItems" : [ { "id" : "ITEM-1", "itemData" : { "DOI" : "10.1136/bmj.38725.728472.BE", "ISBN" : "0959-8138", "ISSN" : "1756-1833", "PMID" : "16473859", "abstract" : "OBJECTIVE: To examine biological and social risk factors for meningococcal disease in adolescents.\\n\\nDESIGN: Prospective, population based, matched cohort study with controls matched for age and sex in 1:1 matching. Controls were sought from the general practitioner.\\n\\nSETTING: Six contiguous regions of England, which represent some 65% of the country's population.\\n\\nPARTICIPANTS: 15-19 year olds with meningococcal disease recruited at hospital admission in six regions (representing 65% of the population of England) from January 1999 to June 2000, and their matched controls.\\n\\nMETHODS: Blood samples and pernasal and throat swabs were taken from case patients at admission to hospital and from cases and matched controls at interview. Data on potential risk factors were gathered by confidential interview. Data were analysed by using univariate and multivariate conditional logistic regression.\\n\\nRESULTS: 144 case control pairs were recruited (74 male (51%); median age 17.6). 114 cases (79%) were confirmed microbiologically. Significant independent risk factors for meningococcal disease were history of preceding illness (matched odds ratio 2.9, 95% confidence interval 1.4 to 5.9), intimate kissing with multiple partners (3.7, 1.7 to 8.1), being a university student (3.4, 1.2 to 10) and preterm birth (3.7, 1.0 to 13.5). Religious observance (0.09, 0.02 to 0.6) and meningococcal vaccination (0.12, 0.04 to 0.4) were associated with protection.\\n\\nCONCLUSIONS: Activities and events increasing risk for meningococcal disease in adolescence are different from in childhood. Students are at higher risk. Altering personal behaviours could moderate the risk. However, the development of further effective meningococcal vaccines remains a key public health priority.", "author" : [ { "dropping-particle" : "", "family" : "Tully", "given" : "Joanna", "non-dropping-particle" : "", "parse-names" : false, "suffix" : "" }, { "dropping-particle" : "", "family" : "Viner", "given" : "Russell M", "non-dropping-particle" : "", "parse-names" : false, "suffix" : "" }, { "dropping-particle" : "", "family" : "Coen", "given" : "Pietro G", "non-dropping-particle" : "", "parse-names" : false, "suffix" : "" }, { "dropping-particle" : "", "family" : "Stuart", "given" : "James M", "non-dropping-particle" : "", "parse-names" : false, "suffix" : "" }, { "dropping-particle" : "", "family" : "Zambon", "given" : "Maria", "non-dropping-particle" : "", "parse-names" : false, "suffix" : "" }, { "dropping-particle" : "", "family" : "Peckham", "given" : "Catherine", "non-dropping-particle" : "", "parse-names" : false, "suffix" : "" }, { "dropping-particle" : "", "family" : "Booth", "given" : "Clare", "non-dropping-particle" : "", "parse-names" : false, "suffix" : "" }, { "dropping-particle" : "", "family" : "Klein", "given" : "Nigel", "non-dropping-particle" : "", "parse-names" : false, "suffix" : "" }, { "dropping-particle" : "", "family" : "Kaczmarski", "given" : "Ed", "non-dropping-particle" : "", "parse-names" : false, "suffix" : "" }, { "dropping-particle" : "", "family" : "Booy", "given" : "Robert", "non-dropping-particle" : "", "parse-names" : false, "suffix" : "" } ], "container-title" : "BMJ (Clinical research ed.)", "id" : "ITEM-1", "issue" : "7539", "issued" : { "date-parts" : [ [ "2006" ] ] }, "page" : "445-50", "title" : "Risk and protective factors for meningococcal disease in adolescents: matched cohort study.", "type" : "article-journal", "volume" : "332" }, "uris" : [ "http://www.mendeley.com/documents/?uuid=b5c739de-9b8d-4b00-ad78-348d5dc2bb10" ] } ], "mendeley" : { "formattedCitation" : "&lt;sup&gt;16&lt;/sup&gt;", "plainTextFormattedCitation" : "16", "previouslyFormattedCitation" : "&lt;sup&gt;16&lt;/sup&gt;"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16</w:t>
      </w:r>
      <w:r w:rsidR="0022615A">
        <w:rPr>
          <w:rFonts w:cs="Arial"/>
          <w:sz w:val="24"/>
        </w:rPr>
        <w:fldChar w:fldCharType="end"/>
      </w:r>
      <w:r w:rsidR="004251BC">
        <w:rPr>
          <w:rFonts w:cs="Arial"/>
          <w:sz w:val="24"/>
        </w:rPr>
        <w:t>,</w:t>
      </w:r>
      <w:r w:rsidR="005172A3">
        <w:rPr>
          <w:rFonts w:cs="Arial"/>
          <w:sz w:val="24"/>
        </w:rPr>
        <w:t xml:space="preserve"> but the</w:t>
      </w:r>
      <w:r w:rsidR="00055848">
        <w:rPr>
          <w:rFonts w:cs="Arial"/>
          <w:sz w:val="24"/>
        </w:rPr>
        <w:t xml:space="preserve">y  do not </w:t>
      </w:r>
      <w:r w:rsidR="005172A3">
        <w:rPr>
          <w:rFonts w:cs="Arial"/>
          <w:sz w:val="24"/>
        </w:rPr>
        <w:t>explain the higher C</w:t>
      </w:r>
      <w:r w:rsidR="00E604C7">
        <w:rPr>
          <w:rFonts w:cs="Arial"/>
          <w:sz w:val="24"/>
        </w:rPr>
        <w:t>FR</w:t>
      </w:r>
      <w:r w:rsidR="005172A3">
        <w:rPr>
          <w:rFonts w:cs="Arial"/>
          <w:sz w:val="24"/>
        </w:rPr>
        <w:t xml:space="preserve"> in </w:t>
      </w:r>
      <w:r w:rsidR="00E604C7">
        <w:rPr>
          <w:rFonts w:cs="Arial"/>
          <w:sz w:val="24"/>
        </w:rPr>
        <w:t>MenACWY</w:t>
      </w:r>
      <w:r w:rsidR="005172A3">
        <w:rPr>
          <w:rFonts w:cs="Arial"/>
          <w:sz w:val="24"/>
        </w:rPr>
        <w:t xml:space="preserve"> compared to MenB cases</w:t>
      </w:r>
      <w:r w:rsidR="00B71A8C">
        <w:rPr>
          <w:rFonts w:cs="Arial"/>
          <w:sz w:val="24"/>
        </w:rPr>
        <w:t>. Of particular concern in the UK is the recent emergence of an endemic hypervirulent strain of MenW belonging to ST-11 clonal complex</w:t>
      </w:r>
      <w:r w:rsidR="00153224">
        <w:rPr>
          <w:rFonts w:cs="Arial"/>
          <w:sz w:val="24"/>
        </w:rPr>
        <w:t>,</w:t>
      </w:r>
      <w:r w:rsidR="0022615A">
        <w:rPr>
          <w:rFonts w:cs="Arial"/>
          <w:sz w:val="24"/>
        </w:rPr>
        <w:fldChar w:fldCharType="begin" w:fldLock="1"/>
      </w:r>
      <w:r w:rsidR="004814B6">
        <w:rPr>
          <w:rFonts w:cs="Arial"/>
          <w:sz w:val="24"/>
        </w:rPr>
        <w:instrText>ADDIN CSL_CITATION { "citationItems" : [ { "id" : "ITEM-1", "itemData" : { "author" : [ { "dropping-particle" : "", "family" : "Ladhani", "given" : "Shamez N", "non-dropping-particle" : "", "parse-names" : false, "suffix" : "" }, { "dropping-particle" : "", "family" : "Beebeejaun", "given" : "K", "non-dropping-particle" : "", "parse-names" : false, "suffix" : "" }, { "dropping-particle" : "", "family" : "Lucidarme", "given" : "Jay", "non-dropping-particle" : "", "parse-names" : false, "suffix" : "" }, { "dropping-particle" : "", "family" : "Campbell", "given" : "Helen", "non-dropping-particle" : "", "parse-names" : false, "suffix" : "" }, { "dropping-particle" : "", "family" : "Gray", "given" : "Steve", "non-dropping-particle" : "", "parse-names" : false, "suffix" : "" }, { "dropping-particle" : "", "family" : "Kaczmarski", "given" : "E.", "non-dropping-particle" : "", "parse-names" : false, "suffix" : "" }, { "dropping-particle" : "", "family" : "Ramsay", "given" : "Mary E", "non-dropping-particle" : "", "parse-names" : false, "suffix" : "" }, { "dropping-particle" : "", "family" : "Borrow", "given" : "Ray", "non-dropping-particle" : "", "parse-names" : false, "suffix" : "" } ], "container-title" : "Clinical Infectious Diseases", "id" : "ITEM-1", "issue" : "4", "issued" : { "date-parts" : [ [ "2015" ] ] }, "page" : "578-85", "title" : "Increase in endemic Neisseria meningitidis capsular group W sequence type 11 complex associated with severe invasive disease in England and Wales", "type" : "article-journal", "volume" : "60" }, "uris" : [ "http://www.mendeley.com/documents/?uuid=45bdf533-0742-450d-996b-d1014b4bd2a9" ] } ], "mendeley" : { "formattedCitation" : "&lt;sup&gt;11&lt;/sup&gt;", "plainTextFormattedCitation" : "11", "previouslyFormattedCitation" : "&lt;sup&gt;11&lt;/sup&gt;"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11</w:t>
      </w:r>
      <w:r w:rsidR="0022615A">
        <w:rPr>
          <w:rFonts w:cs="Arial"/>
          <w:sz w:val="24"/>
        </w:rPr>
        <w:fldChar w:fldCharType="end"/>
      </w:r>
      <w:r w:rsidR="00B71A8C">
        <w:rPr>
          <w:rFonts w:cs="Arial"/>
          <w:sz w:val="24"/>
        </w:rPr>
        <w:t xml:space="preserve"> which led to the emergency introduction of an adolescent MenACWY conjugate vaccine programme </w:t>
      </w:r>
      <w:r w:rsidR="005172A3">
        <w:rPr>
          <w:rFonts w:cs="Arial"/>
          <w:sz w:val="24"/>
        </w:rPr>
        <w:t xml:space="preserve">in August 2015, with a plan to immunise all </w:t>
      </w:r>
      <w:r w:rsidR="00B71A8C">
        <w:rPr>
          <w:rFonts w:cs="Arial"/>
          <w:sz w:val="24"/>
        </w:rPr>
        <w:t>14-18 year-olds</w:t>
      </w:r>
      <w:r w:rsidR="005172A3">
        <w:rPr>
          <w:rFonts w:cs="Arial"/>
          <w:sz w:val="24"/>
        </w:rPr>
        <w:t xml:space="preserve"> over two years</w:t>
      </w:r>
      <w:r w:rsidR="00FF27D7">
        <w:rPr>
          <w:rFonts w:cs="Arial"/>
          <w:sz w:val="24"/>
        </w:rPr>
        <w:t>.</w:t>
      </w:r>
      <w:r w:rsidR="0022615A">
        <w:rPr>
          <w:rFonts w:cs="Arial"/>
          <w:sz w:val="24"/>
        </w:rPr>
        <w:fldChar w:fldCharType="begin" w:fldLock="1"/>
      </w:r>
      <w:r w:rsidR="004814B6">
        <w:rPr>
          <w:rFonts w:cs="Arial"/>
          <w:sz w:val="24"/>
        </w:rPr>
        <w:instrText>ADDIN CSL_CITATION { "citationItems" : [ { "id" : "ITEM-1", "itemData" : { "ISSN" : "1560-7917", "PMID" : "26212140", "abstract" : "Since the epidemiological year 2009/10, the United Kingdom has experienced a year-on-year increase in meningococcal group W (MenW) disease due to rapid expansion of a single endemic hyper-virulent strain belonging to sequence type 11 clonal complex (cc). This strain was identified among cases diagnosed across all regions and was not linked to travel abroad. Consequently, an adolescent MenACWY conjugate vac- cination programme for 13-18 year-olds will be intro- duced in August 2015, with priority given to 17-18 year-olds (school leavers). Here", "author" : [ { "dropping-particle" : "", "family" : "Campbell", "given" : "H", "non-dropping-particle" : "", "parse-names" : false, "suffix" : "" }, { "dropping-particle" : "", "family" : "Saliba", "given" : "V", "non-dropping-particle" : "", "parse-names" : false, "suffix" : "" }, { "dropping-particle" : "", "family" : "Borrow", "given" : "R", "non-dropping-particle" : "", "parse-names" : false, "suffix" : "" }, { "dropping-particle" : "", "family" : "Ramsay", "given" : "M", "non-dropping-particle" : "", "parse-names" : false, "suffix" : "" }, { "dropping-particle" : "", "family" : "Ladhani", "given" : "S N", "non-dropping-particle" : "", "parse-names" : false, "suffix" : "" } ], "id" : "ITEM-1", "issued" : { "date-parts" : [ [ "2015" ] ] }, "page" : "1-5", "title" : "Targeted vaccination of teenagers following continued rapid endemic expansion of a single meningococcal group W clone ( sequence type 11 clonal complex ), United Kingdom 2015", "type" : "article-journal" }, "uris" : [ "http://www.mendeley.com/documents/?uuid=376e3003-694f-4970-a692-0b0de85839d0" ] } ], "mendeley" : { "formattedCitation" : "&lt;sup&gt;4&lt;/sup&gt;", "plainTextFormattedCitation" : "4", "previouslyFormattedCitation" : "&lt;sup&gt;4&lt;/sup&gt;"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4</w:t>
      </w:r>
      <w:r w:rsidR="0022615A">
        <w:rPr>
          <w:rFonts w:cs="Arial"/>
          <w:sz w:val="24"/>
        </w:rPr>
        <w:fldChar w:fldCharType="end"/>
      </w:r>
      <w:r w:rsidR="0006073E">
        <w:rPr>
          <w:rFonts w:cs="Arial"/>
          <w:sz w:val="24"/>
        </w:rPr>
        <w:t xml:space="preserve"> </w:t>
      </w:r>
      <w:r w:rsidR="00225DBD">
        <w:rPr>
          <w:rFonts w:cs="Arial"/>
          <w:sz w:val="24"/>
        </w:rPr>
        <w:t>T</w:t>
      </w:r>
      <w:r w:rsidR="005172A3">
        <w:rPr>
          <w:rFonts w:cs="Arial"/>
          <w:sz w:val="24"/>
        </w:rPr>
        <w:t xml:space="preserve">his programme </w:t>
      </w:r>
      <w:r w:rsidR="00225DBD">
        <w:rPr>
          <w:rFonts w:cs="Arial"/>
          <w:sz w:val="24"/>
        </w:rPr>
        <w:t xml:space="preserve">should </w:t>
      </w:r>
      <w:r w:rsidR="005172A3">
        <w:rPr>
          <w:rFonts w:cs="Arial"/>
          <w:sz w:val="24"/>
        </w:rPr>
        <w:t xml:space="preserve">provide </w:t>
      </w:r>
      <w:r w:rsidR="00225DBD">
        <w:rPr>
          <w:rFonts w:cs="Arial"/>
          <w:sz w:val="24"/>
        </w:rPr>
        <w:t xml:space="preserve">vaccinated adolescents with </w:t>
      </w:r>
      <w:r w:rsidR="005172A3">
        <w:rPr>
          <w:rFonts w:cs="Arial"/>
          <w:sz w:val="24"/>
        </w:rPr>
        <w:t xml:space="preserve">direct protection </w:t>
      </w:r>
      <w:r w:rsidR="00225DBD">
        <w:rPr>
          <w:rFonts w:cs="Arial"/>
          <w:sz w:val="24"/>
        </w:rPr>
        <w:t xml:space="preserve">against invasive disease </w:t>
      </w:r>
      <w:r w:rsidR="005172A3">
        <w:rPr>
          <w:rFonts w:cs="Arial"/>
          <w:sz w:val="24"/>
        </w:rPr>
        <w:t xml:space="preserve">and, </w:t>
      </w:r>
      <w:r w:rsidR="00225DBD">
        <w:rPr>
          <w:rFonts w:cs="Arial"/>
          <w:sz w:val="24"/>
        </w:rPr>
        <w:t>because the MenACWY conjugate vaccine also prevents asymptomatic nasopharyngeal carriage</w:t>
      </w:r>
      <w:r w:rsidR="00153224">
        <w:rPr>
          <w:rFonts w:cs="Arial"/>
          <w:sz w:val="24"/>
        </w:rPr>
        <w:t>,</w:t>
      </w:r>
      <w:r w:rsidR="0022615A">
        <w:rPr>
          <w:rFonts w:cs="Arial"/>
          <w:sz w:val="24"/>
        </w:rPr>
        <w:fldChar w:fldCharType="begin" w:fldLock="1"/>
      </w:r>
      <w:r w:rsidR="004814B6">
        <w:rPr>
          <w:rFonts w:cs="Arial"/>
          <w:sz w:val="24"/>
        </w:rPr>
        <w:instrText>ADDIN CSL_CITATION { "citationItems" : [ { "id" : "ITEM-1", "itemData" : { "DOI" : "10.1016/S1473-3099(10)70251-6", "ISBN" : "1474-4457 (Electronic)\\n1473-3099 (Linking)", "ISSN" : "14733099", "PMID" : "21075057", "abstract" : "Background: Neisseria meningitidis is an important cause of meningitis and septicaemia, but most infected individuals experience a period of asymptomatic carriage rather than disease. Previous studies have shown that carriage rates vary by age and setting; however, few have assessed carriage across all ages. We aimed to estimate the age-specific prevalence of meningococcal carriage. Methods: We searched Embase, Medline, Web of Science, the Cochrane Library, and grey literature for papers reporting carriage of N meningitidis in defined age groups in European countries or in countries with a similar epidemiological pattern (where disease caused by serogroups B and C predominates). We used mixed-effects logistic regression with a natural cubic spline to model carriage prevalence as a function of age for studies that were cross-sectional or serial cross-sectional. The model assessed population type, type of swab used, when swabs were plated, use of preheated plates, and time period (decade of study) as fixed effects, with country and study as nested random effects (random intercept). Findings: Carriage prevalence increased through childhood from 4\u00b75% in infants to a peak of 23\u00b77% in 19-year olds and subsequently decreased in adulthood to 7\u00b78% in 50-year olds. The odds of testing positive for carriage decreased if swabs were not plated immediately after being taken compared with if swabs were plated immediately (odds ratio 0\u00b746, 95% CI 0\u00b731-0\u00b768; p=0\u00b70001). Interpretation: This study provides estimates of carriage prevalence across all ages, which is important for understanding the epidemiology and transmission dynamics of meningococcal infection. Funding: None. \u00a9 2010 Elsevier Ltd.", "author" : [ { "dropping-particle" : "", "family" : "Christensen", "given" : "Hannah", "non-dropping-particle" : "", "parse-names" : false, "suffix" : "" }, { "dropping-particle" : "", "family" : "May", "given" : "Margaret", "non-dropping-particle" : "", "parse-names" : false, "suffix" : "" }, { "dropping-particle" : "", "family" : "Bowen", "given" : "Leah", "non-dropping-particle" : "", "parse-names" : false, "suffix" : "" }, { "dropping-particle" : "", "family" : "Hickman", "given" : "Matthew", "non-dropping-particle" : "", "parse-names" : false, "suffix" : "" }, { "dropping-particle" : "", "family" : "Trotter", "given" : "Caroline L.", "non-dropping-particle" : "", "parse-names" : false, "suffix" : "" } ], "container-title" : "The Lancet Infectious Diseases", "id" : "ITEM-1", "issue" : "12", "issued" : { "date-parts" : [ [ "2010" ] ] }, "page" : "853-861", "publisher" : "Elsevier Ltd", "title" : "Meningococcal carriage by age: A systematic review and meta-analysis", "type" : "article-journal", "volume" : "10" }, "uris" : [ "http://www.mendeley.com/documents/?uuid=37d97001-082f-45b8-8301-eaa090172cfa" ] } ], "mendeley" : { "formattedCitation" : "&lt;sup&gt;17&lt;/sup&gt;", "plainTextFormattedCitation" : "17", "previouslyFormattedCitation" : "&lt;sup&gt;17&lt;/sup&gt;"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17</w:t>
      </w:r>
      <w:r w:rsidR="0022615A">
        <w:rPr>
          <w:rFonts w:cs="Arial"/>
          <w:sz w:val="24"/>
        </w:rPr>
        <w:fldChar w:fldCharType="end"/>
      </w:r>
      <w:r w:rsidR="00153224">
        <w:rPr>
          <w:rFonts w:cs="Arial"/>
          <w:sz w:val="24"/>
        </w:rPr>
        <w:t xml:space="preserve">should </w:t>
      </w:r>
      <w:r w:rsidR="00225DBD">
        <w:rPr>
          <w:rFonts w:cs="Arial"/>
          <w:sz w:val="24"/>
        </w:rPr>
        <w:t xml:space="preserve">also </w:t>
      </w:r>
      <w:r w:rsidR="00D67017">
        <w:rPr>
          <w:rFonts w:cs="Arial"/>
          <w:sz w:val="24"/>
        </w:rPr>
        <w:t xml:space="preserve">provide indirect (herd) protection to unvaccinated </w:t>
      </w:r>
      <w:r w:rsidR="00153224">
        <w:rPr>
          <w:rFonts w:cs="Arial"/>
          <w:sz w:val="24"/>
        </w:rPr>
        <w:t>children and adults</w:t>
      </w:r>
      <w:r w:rsidR="00055848">
        <w:rPr>
          <w:rFonts w:cs="Arial"/>
          <w:sz w:val="24"/>
        </w:rPr>
        <w:t xml:space="preserve"> </w:t>
      </w:r>
      <w:r w:rsidR="00D67017">
        <w:rPr>
          <w:rFonts w:cs="Arial"/>
          <w:sz w:val="24"/>
        </w:rPr>
        <w:t>in the coming years</w:t>
      </w:r>
      <w:r w:rsidR="00FF27D7">
        <w:rPr>
          <w:rFonts w:cs="Arial"/>
          <w:sz w:val="24"/>
        </w:rPr>
        <w:t>.</w:t>
      </w:r>
      <w:r w:rsidR="0022615A">
        <w:rPr>
          <w:rFonts w:cs="Arial"/>
          <w:sz w:val="24"/>
        </w:rPr>
        <w:fldChar w:fldCharType="begin" w:fldLock="1"/>
      </w:r>
      <w:r w:rsidR="004814B6">
        <w:rPr>
          <w:rFonts w:cs="Arial"/>
          <w:sz w:val="24"/>
        </w:rPr>
        <w:instrText>ADDIN CSL_CITATION { "citationItems" : [ { "id" : "ITEM-1", "itemData" : { "author" : [ { "dropping-particle" : "", "family" : "Ladhani", "given" : "S N", "non-dropping-particle" : "", "parse-names" : false, "suffix" : "" }, { "dropping-particle" : "", "family" : "Christensen", "given" : "Hannah", "non-dropping-particle" : "", "parse-names" : false, "suffix" : "" }, { "dropping-particle" : "", "family" : "Trotter", "given" : "C L", "non-dropping-particle" : "", "parse-names" : false, "suffix" : "" }, { "dropping-particle" : "", "family" : "Ramsay", "given" : "M E", "non-dropping-particle" : "", "parse-names" : false, "suffix" : "" } ], "container-title" : "13th congress European Meningooccal Disease Society Conference", "id" : "ITEM-1", "issued" : { "date-parts" : [ [ "2015" ] ] }, "title" : "Indirect impact of an adolescent meningococcal ACWY conjugate vaccine programme in England with and without catch-up: a transmission dynamic model", "type" : "paper-conference" }, "uris" : [ "http://www.mendeley.com/documents/?uuid=0831ca20-7ee5-444f-bf11-ad17bd7e124e" ] } ], "mendeley" : { "formattedCitation" : "&lt;sup&gt;18&lt;/sup&gt;", "plainTextFormattedCitation" : "18", "previouslyFormattedCitation" : "&lt;sup&gt;18&lt;/sup&gt;"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18</w:t>
      </w:r>
      <w:r w:rsidR="0022615A">
        <w:rPr>
          <w:rFonts w:cs="Arial"/>
          <w:sz w:val="24"/>
        </w:rPr>
        <w:fldChar w:fldCharType="end"/>
      </w:r>
    </w:p>
    <w:p w14:paraId="4ADE581D" w14:textId="77777777" w:rsidR="00847626" w:rsidRPr="00847626" w:rsidRDefault="00B564A4" w:rsidP="00847626">
      <w:pPr>
        <w:spacing w:after="200"/>
        <w:rPr>
          <w:rFonts w:cs="Arial"/>
          <w:b/>
          <w:sz w:val="24"/>
        </w:rPr>
      </w:pPr>
      <w:r>
        <w:rPr>
          <w:rFonts w:cs="Arial"/>
          <w:b/>
          <w:sz w:val="24"/>
        </w:rPr>
        <w:t xml:space="preserve">The role of </w:t>
      </w:r>
      <w:r w:rsidR="00847626" w:rsidRPr="00847626">
        <w:rPr>
          <w:rFonts w:cs="Arial"/>
          <w:b/>
          <w:sz w:val="24"/>
        </w:rPr>
        <w:t>PCR</w:t>
      </w:r>
      <w:r w:rsidR="00153224">
        <w:rPr>
          <w:rFonts w:cs="Arial"/>
          <w:b/>
          <w:sz w:val="24"/>
        </w:rPr>
        <w:t>-</w:t>
      </w:r>
      <w:r>
        <w:rPr>
          <w:rFonts w:cs="Arial"/>
          <w:b/>
          <w:sz w:val="24"/>
        </w:rPr>
        <w:t>testing</w:t>
      </w:r>
    </w:p>
    <w:p w14:paraId="4EE72FD8" w14:textId="74D0043D" w:rsidR="00A46B8F" w:rsidRDefault="00B564A4" w:rsidP="00327D88">
      <w:pPr>
        <w:spacing w:after="200"/>
        <w:rPr>
          <w:rFonts w:cs="Arial"/>
          <w:sz w:val="24"/>
        </w:rPr>
      </w:pPr>
      <w:r>
        <w:rPr>
          <w:rFonts w:cs="Arial"/>
          <w:sz w:val="24"/>
        </w:rPr>
        <w:t xml:space="preserve">Our study highlighted the importance of </w:t>
      </w:r>
      <w:r w:rsidR="00B26939">
        <w:rPr>
          <w:rFonts w:cs="Arial"/>
          <w:sz w:val="24"/>
        </w:rPr>
        <w:t xml:space="preserve">a national </w:t>
      </w:r>
      <w:r>
        <w:rPr>
          <w:rFonts w:cs="Arial"/>
          <w:sz w:val="24"/>
        </w:rPr>
        <w:t xml:space="preserve">PCR testing </w:t>
      </w:r>
      <w:r w:rsidR="00B26939">
        <w:rPr>
          <w:rFonts w:cs="Arial"/>
          <w:sz w:val="24"/>
        </w:rPr>
        <w:t xml:space="preserve">service </w:t>
      </w:r>
      <w:r>
        <w:rPr>
          <w:rFonts w:cs="Arial"/>
          <w:sz w:val="24"/>
        </w:rPr>
        <w:t>for confirming the diagnosis of IMD</w:t>
      </w:r>
      <w:r w:rsidR="00B26939">
        <w:rPr>
          <w:rFonts w:cs="Arial"/>
          <w:sz w:val="24"/>
        </w:rPr>
        <w:t xml:space="preserve">. Confirmation </w:t>
      </w:r>
      <w:r w:rsidR="00327D88">
        <w:rPr>
          <w:rFonts w:cs="Arial"/>
          <w:sz w:val="24"/>
        </w:rPr>
        <w:t xml:space="preserve">by culture </w:t>
      </w:r>
      <w:r w:rsidR="00B26939">
        <w:rPr>
          <w:rFonts w:cs="Arial"/>
          <w:sz w:val="24"/>
        </w:rPr>
        <w:t xml:space="preserve">was more likely at the extremes of age, </w:t>
      </w:r>
      <w:r w:rsidR="00327D88">
        <w:rPr>
          <w:rFonts w:cs="Arial"/>
          <w:sz w:val="24"/>
        </w:rPr>
        <w:t xml:space="preserve">with septicaemia presentations (with or without meningitis) where a higher bacterial load in the blood would be expected and </w:t>
      </w:r>
      <w:r w:rsidR="00B26939">
        <w:rPr>
          <w:rFonts w:cs="Arial"/>
          <w:sz w:val="24"/>
        </w:rPr>
        <w:t>with capsular groups that were more likely to have atypical clinical presentations (MenW</w:t>
      </w:r>
      <w:r w:rsidR="00327D88">
        <w:rPr>
          <w:rFonts w:cs="Arial"/>
          <w:sz w:val="24"/>
        </w:rPr>
        <w:t xml:space="preserve">, </w:t>
      </w:r>
      <w:r w:rsidR="00B26939">
        <w:rPr>
          <w:rFonts w:cs="Arial"/>
          <w:sz w:val="24"/>
        </w:rPr>
        <w:t xml:space="preserve">MenY). </w:t>
      </w:r>
      <w:r w:rsidR="00327D88">
        <w:rPr>
          <w:rFonts w:cs="Arial"/>
          <w:sz w:val="24"/>
        </w:rPr>
        <w:t xml:space="preserve">In children, culture-confirmed cases had a significantly higher CFR compared to </w:t>
      </w:r>
      <w:r w:rsidR="00B57D40">
        <w:rPr>
          <w:rFonts w:cs="Arial"/>
          <w:sz w:val="24"/>
        </w:rPr>
        <w:t>by PCR</w:t>
      </w:r>
      <w:r w:rsidR="00327D88">
        <w:rPr>
          <w:rFonts w:cs="Arial"/>
          <w:sz w:val="24"/>
        </w:rPr>
        <w:t>–</w:t>
      </w:r>
      <w:r w:rsidR="00B57D40">
        <w:rPr>
          <w:rFonts w:cs="Arial"/>
          <w:sz w:val="24"/>
        </w:rPr>
        <w:t xml:space="preserve">only. </w:t>
      </w:r>
      <w:r>
        <w:rPr>
          <w:rFonts w:cs="Arial"/>
          <w:sz w:val="24"/>
        </w:rPr>
        <w:t xml:space="preserve">Two previous studies have </w:t>
      </w:r>
      <w:r w:rsidR="0074336B">
        <w:rPr>
          <w:rFonts w:cs="Arial"/>
          <w:sz w:val="24"/>
        </w:rPr>
        <w:t>reported</w:t>
      </w:r>
      <w:r w:rsidR="00F13AB1">
        <w:rPr>
          <w:rFonts w:cs="Arial"/>
          <w:sz w:val="24"/>
        </w:rPr>
        <w:t xml:space="preserve"> mor</w:t>
      </w:r>
      <w:r w:rsidR="0074336B">
        <w:rPr>
          <w:rFonts w:cs="Arial"/>
          <w:sz w:val="24"/>
        </w:rPr>
        <w:t xml:space="preserve">e severe clinical disease and </w:t>
      </w:r>
      <w:r w:rsidR="00F13AB1">
        <w:rPr>
          <w:rFonts w:cs="Arial"/>
          <w:sz w:val="24"/>
        </w:rPr>
        <w:t>higher CFR associated with increasing meningococcal blood DNA load, especially in those presenting with septicaemia</w:t>
      </w:r>
      <w:r w:rsidR="00DB1B8E">
        <w:rPr>
          <w:rFonts w:cs="Arial"/>
          <w:sz w:val="24"/>
        </w:rPr>
        <w:t>, but neither study assessed these associations in relation to culture positivity</w:t>
      </w:r>
      <w:r w:rsidR="00FF27D7">
        <w:rPr>
          <w:rFonts w:cs="Arial"/>
          <w:sz w:val="24"/>
        </w:rPr>
        <w:t>.</w:t>
      </w:r>
      <w:r w:rsidR="0022615A">
        <w:rPr>
          <w:rFonts w:cs="Arial"/>
          <w:sz w:val="24"/>
        </w:rPr>
        <w:fldChar w:fldCharType="begin" w:fldLock="1"/>
      </w:r>
      <w:r w:rsidR="004814B6">
        <w:rPr>
          <w:rFonts w:cs="Arial"/>
          <w:sz w:val="24"/>
        </w:rPr>
        <w:instrText>ADDIN CSL_CITATION { "citationItems" : [ { "id" : "ITEM-1", "itemData" : { "DOI" : "10.1016/S0734-3299(09)79329-3", "ISBN" : "1537-6591 (Electronic)\\n1058-4838 (Linking)", "ISSN" : "07343299", "PMID" : "19191644", "abstract" : "BACKGROUND: Diagnostic polymerase chain reaction (PCR) detection of Neisseria meningitidis has enabled accurate quantification of the bacterial load in patients with meningococcal disease. METHODS: Quantification of the N. meningitidis DNA level by real time-PCR was conducted on whole-blood samples obtained from patients presenting with meningococcal disease to hospitals throughout England and Wales over a 3-year period. Levels were correlated with clinical outcome, infecting serogroup, and host factors including, interleukin-1 genotype (IL-1). RESULTS: Bacterial loads were available for 1045 patients and were not associated with the age of the patient, delay in sample submission, or administration of antibiotics prior to admission. The median log bacterial load was higher in 95 patients who died (5.29 log(10)copies/mL; interquartile range, 4.41-6.30 log(10)copies/mL) than in 950 patients who survived (3.79 log(10)copies/mL; interquartile range, 2.87-4.71 log(10)copies/mL). Logistic regression revealed that age (odds ratio, 1.04 per 1-year increase in age) and bacterial load (odds ratio, 2.04 per log(10)-copies/mL increase) had a statistically significant effect on the risk of death. Infection with N. meningitidis serogroup C was associated with increased risk of death and an increased bacterial load. Also associated with a higher bacterial load were prolonged hospitalization (duration, &gt;10 days); digit, limb, or soft-tissue loss; and requirement of hemodialysis. Carriage of IL-1RN(+2018) was associated with increased mortality (odds ratio, 2.14; P=.07) but not with a higher bacterial load. CONCLUSIONS: In meningococcal disease, bacterial load is associated with likelihood of death, development of permanent disease sequelae, and prolonged hospitalization. The bacterial load was relatively higher in patients infected with N. meningitidis serogroup C than in those infected with other serogroups. The effects of age and IL-1 genotype on mortality are independent of a high genomic bacterial load.", "author" : [ { "dropping-particle" : "", "family" : "Darton", "given" : "Tom", "non-dropping-particle" : "", "parse-names" : false, "suffix" : "" }, { "dropping-particle" : "", "family" : "Guiver", "given" : "Malcolm", "non-dropping-particle" : "", "parse-names" : false, "suffix" : "" }, { "dropping-particle" : "", "family" : "Naylor", "given" : "Simone", "non-dropping-particle" : "", "parse-names" : false, "suffix" : "" }, { "dropping-particle" : "", "family" : "Jack", "given" : "Dominic L", "non-dropping-particle" : "", "parse-names" : false, "suffix" : "" }, { "dropping-particle" : "", "family" : "Kaczmarski", "given" : "Edward B", "non-dropping-particle" : "", "parse-names" : false, "suffix" : "" }, { "dropping-particle" : "", "family" : "Borrow", "given" : "Raymond", "non-dropping-particle" : "", "parse-names" : false, "suffix" : "" }, { "dropping-particle" : "", "family" : "Read", "given" : "Robert C", "non-dropping-particle" : "", "parse-names" : false, "suffix" : "" } ], "container-title" : "Clinical infectious diseases: an official publication of the Infectious Diseases Society of America", "id" : "ITEM-1", "issued" : { "date-parts" : [ [ "2009" ] ] }, "page" : "587-594", "title" : "Severity of meningococcal disease associated with genomic bacterial load.", "type" : "article-journal", "volume" : "48" }, "uris" : [ "http://www.mendeley.com/documents/?uuid=fcb4d9f8-d988-495c-8136-ba0505b1be01" ] }, { "id" : "ITEM-2", "itemData" : { "DOI" : "10.1136/adc.86.1.44", "ISBN" : "1468-2044 (Electronic)\\n0003-9888 (Linking)", "ISSN" : "1468-2044", "PMID" : "11806883", "abstract" : "AIMS: To determine bacterial loads in meningococcal disease (MCD), their relation with disease severity, and the factors which determine bacterial load.\\n\\nMETHODS: Meningococcal DNA quantification was performed by the Taqman PCR method on admission and sequential blood samples from patients with MCD. Disease severity was assessed using the Glasgow Septicaemia Prognostic Score (GMSPS, range 0-15, severe disease &gt; or =8).\\n\\nRESULTS: Median admission bacterial load was 1.6 x 10(6) DNA copies/ml of blood (range 2.2 x 10(4) to 1.6 x 10(8)). Bacterial load was significantly higher in patients with severe (8.4 x 10(6)) compared to milder disease (1.1 x 10(6), p = 0.018). This difference was greater in septicaemic patients (median 1.6 x 10(7) versus 9.2 x 10(5), p &lt; 0.001). Bacterial loads were significantly higher in patients that died (p = 0.017). Admission bacterial load was independent of the duration of clinical symptoms prior to admission, with no difference between the duration of symptoms in mild or severe cases (median, 10.5 and 11 hours respectively). Bacterial loads were independent of DNA elimination rates following treatment.\\n\\nCONCLUSION: Patients with MCD have higher bacterial loads than previously determined with quantitative culture methods. Admission bacterial load is significantly higher in patients with severe disease (GMSPS &gt; or =8) and maximum load is highest in those who die. Bacterial load is independent of the duration of clinical symptoms or the decline in DNA load.", "author" : [ { "dropping-particle" : "", "family" : "Hackett", "given" : "S J", "non-dropping-particle" : "", "parse-names" : false, "suffix" : "" }, { "dropping-particle" : "", "family" : "Guiver", "given" : "M", "non-dropping-particle" : "", "parse-names" : false, "suffix" : "" }, { "dropping-particle" : "", "family" : "Marsh", "given" : "J", "non-dropping-particle" : "", "parse-names" : false, "suffix" : "" }, { "dropping-particle" : "", "family" : "Sills", "given" : "J a", "non-dropping-particle" : "", "parse-names" : false, "suffix" : "" }, { "dropping-particle" : "", "family" : "Thomson", "given" : "a P J", "non-dropping-particle" : "", "parse-names" : false, "suffix" : "" }, { "dropping-particle" : "", "family" : "Kaczmarski", "given" : "E B", "non-dropping-particle" : "", "parse-names" : false, "suffix" : "" }, { "dropping-particle" : "", "family" : "Hart", "given" : "C a", "non-dropping-particle" : "", "parse-names" : false, "suffix" : "" } ], "container-title" : "Archives of disease in childhood", "id" : "ITEM-2", "issue" : "1", "issued" : { "date-parts" : [ [ "2002" ] ] }, "page" : "44-6", "title" : "Meningococcal bacterial DNA load at presentation correlates with disease severity.", "type" : "article-journal", "volume" : "86" }, "uris" : [ "http://www.mendeley.com/documents/?uuid=5d7f0147-21df-4aa6-b844-66cefd6d443f" ] } ], "mendeley" : { "formattedCitation" : "&lt;sup&gt;12,19&lt;/sup&gt;", "plainTextFormattedCitation" : "12,19", "previouslyFormattedCitation" : "&lt;sup&gt;12,19&lt;/sup&gt;"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12,19</w:t>
      </w:r>
      <w:r w:rsidR="0022615A">
        <w:rPr>
          <w:rFonts w:cs="Arial"/>
          <w:sz w:val="24"/>
        </w:rPr>
        <w:fldChar w:fldCharType="end"/>
      </w:r>
      <w:r w:rsidR="00F13AB1">
        <w:rPr>
          <w:rFonts w:cs="Arial"/>
          <w:sz w:val="24"/>
        </w:rPr>
        <w:t xml:space="preserve"> </w:t>
      </w:r>
      <w:r w:rsidR="009E527C">
        <w:rPr>
          <w:rFonts w:cs="Arial"/>
          <w:sz w:val="24"/>
        </w:rPr>
        <w:t>C</w:t>
      </w:r>
      <w:r w:rsidR="00E01113">
        <w:rPr>
          <w:rFonts w:cs="Arial"/>
          <w:sz w:val="24"/>
        </w:rPr>
        <w:t>ulture positivity require</w:t>
      </w:r>
      <w:r w:rsidR="00E604C7">
        <w:rPr>
          <w:rFonts w:cs="Arial"/>
          <w:sz w:val="24"/>
        </w:rPr>
        <w:t>s</w:t>
      </w:r>
      <w:r w:rsidR="00D67017">
        <w:rPr>
          <w:rFonts w:cs="Arial"/>
          <w:sz w:val="24"/>
        </w:rPr>
        <w:t xml:space="preserve"> </w:t>
      </w:r>
      <w:r w:rsidR="009E527C">
        <w:rPr>
          <w:rFonts w:cs="Arial"/>
          <w:sz w:val="24"/>
        </w:rPr>
        <w:t xml:space="preserve">viable bacteria and </w:t>
      </w:r>
      <w:r w:rsidR="00D67017">
        <w:rPr>
          <w:rFonts w:cs="Arial"/>
          <w:sz w:val="24"/>
        </w:rPr>
        <w:t>a higher bacterial load, compared to PCR confirmat</w:t>
      </w:r>
      <w:r w:rsidR="00A102E4">
        <w:rPr>
          <w:rFonts w:cs="Arial"/>
          <w:sz w:val="24"/>
        </w:rPr>
        <w:t>ion, which can detect very small</w:t>
      </w:r>
      <w:r w:rsidR="00D67017">
        <w:rPr>
          <w:rFonts w:cs="Arial"/>
          <w:sz w:val="24"/>
        </w:rPr>
        <w:t xml:space="preserve"> quantities of meningococcal </w:t>
      </w:r>
      <w:r w:rsidR="00D67017" w:rsidRPr="006520AE">
        <w:rPr>
          <w:rFonts w:cs="Arial"/>
          <w:sz w:val="24"/>
        </w:rPr>
        <w:t>DNA</w:t>
      </w:r>
      <w:r w:rsidR="00FF27D7">
        <w:rPr>
          <w:rFonts w:cs="Arial"/>
          <w:sz w:val="24"/>
        </w:rPr>
        <w:t>.</w:t>
      </w:r>
      <w:r w:rsidR="0074336B" w:rsidRPr="006520AE">
        <w:rPr>
          <w:rFonts w:cs="Arial"/>
          <w:sz w:val="24"/>
        </w:rPr>
        <w:t xml:space="preserve"> </w:t>
      </w:r>
      <w:r w:rsidR="0022615A" w:rsidRPr="006520AE">
        <w:rPr>
          <w:rFonts w:cs="Arial"/>
          <w:sz w:val="24"/>
        </w:rPr>
        <w:fldChar w:fldCharType="begin" w:fldLock="1"/>
      </w:r>
      <w:r w:rsidR="004814B6">
        <w:rPr>
          <w:rFonts w:cs="Arial"/>
          <w:sz w:val="24"/>
        </w:rPr>
        <w:instrText>ADDIN CSL_CITATION { "citationItems" : [ { "id" : "ITEM-1", "itemData" : { "abstract" : "Invasive meningococcal disease continues to be a life-threatening condition and rapid diagnosis is important for the administration of appropriate treatment. This study focused on the use of PCR for the diagnosis of meningococcal aetiology and the dynamics of PCR-based diagnosis over time in various biological samples. Sixty cerebrospinal fluid (CSF) and 144 serum samples collected during the first week of hospitalisation from 37 patients with laboratory-confirmed invasive meningococcal disease were investigated. Overall, 91.9% of CSF samples and 45.9% of serum samples were PCR-positive, while culture of CSF and blood was positive for only 35% and 39% samples, respectively. Positive PCR results were obtained until day 7 with CSF and until day 5 with serum. It is therefore recommended that samples for molecular diagnosis should be collected early in the course of suspected invasive meningococcal disease.", "author" : [ { "dropping-particle" : "", "family" : "Bronska", "given" : "E.", "non-dropping-particle" : "", "parse-names" : false, "suffix" : "" }, { "dropping-particle" : "", "family" : "Kalmusova", "given" : "J.", "non-dropping-particle" : "", "parse-names" : false, "suffix" : "" }, { "dropping-particle" : "", "family" : "Dzupova", "given" : "O.", "non-dropping-particle" : "", "parse-names" : false, "suffix" : "" }, { "dropping-particle" : "", "family" : "Maresova", "given" : "V.", "non-dropping-particle" : "", "parse-names" : false, "suffix" : "" }, { "dropping-particle" : "", "family" : "Kriz", "given" : "P.", "non-dropping-particle" : "", "parse-names" : false, "suffix" : "" }, { "dropping-particle" : "", "family" : "Benes", "given" : "J.", "non-dropping-particle" : "", "parse-names" : false, "suffix" : "" } ], "container-title" : "Clinical Microbiology and Infection", "id" : "ITEM-1", "issue" : "2", "issued" : { "date-parts" : [ [ "2006" ] ] }, "page" : "137-141", "title" : "Dynamics of PCR-based diagnosis in patients with invasive meningococcal disease", "type" : "article-journal", "volume" : "12" }, "uris" : [ "http://www.mendeley.com/documents/?uuid=daf929f9-3cc5-4934-bb08-ffac40e1ce5f" ] }, { "id" : "ITEM-2", "itemData" : { "abstract" : "Abstract AIMS: To describe changes in epidemiology and diagnostic techniques for adult meningitis at Middlemore Hospital following the decline of the meningococcal epidemic. METHODS: Retrospective audit of cases of meningitis from 2000 to 2009. RESULTS: Microbiologically-confirmed diagnosis (MCD) was established in 296 of 743 episodes (40%), most commonly enterovirus (123/296, 42%), Neisseria meningitidis (43/296, 15%) and Streptococcus pneumoniae (34/296, 11%). N. meningitidis meningitis declined and herpes viruses increased over time, without significant change in overall meningitis case numbers. By 2009, S. pneumoniae constituted a greater proportion of cases than N. meningitidis. Cerebrospinal fluid (CSF) polymerase chain reaction (PCR) and pneumococcal immunochromatographic testing (PICT) increased over time as did the proportion of cases with MCD. CSF Gram stain was positive in 45% (53/118) and CSF culture made MCD in 37% (44/118) of confirmed bacterial episodes (CBE). PCR provided MCD in 59% (26/54) of CBE and 99% (168/170) of viral episodes. CSF PICT was tested in 76% (26/34) of S. pneumoniae meningitis (positive in 92% (24/26). CONCLUSIONS: As the epidemic waned, local incidence of meningococcal meningitis decreased without significant decreasing meningitis overall. Empiric treatment for meningitis in New Zealand adults should routinely include pneumococcal cover. Increased PCR testing increases MCD in meningitis.", "author" : [ { "dropping-particle" : "", "family" : "McBride", "given" : "S", "non-dropping-particle" : "", "parse-names" : false, "suffix" : "" }, { "dropping-particle" : "", "family" : "Fulke", "given" : "J", "non-dropping-particle" : "", "parse-names" : false, "suffix" : "" }, { "dropping-particle" : "", "family" : "Giles", "given" : "H", "non-dropping-particle" : "", "parse-names" : false, "suffix" : "" }, { "dropping-particle" : "", "family" : "Hobbs", "given" : "M", "non-dropping-particle" : "", "parse-names" : false, "suffix" : "" }, { "dropping-particle" : "", "family" : "Suh", "given" : "J", "non-dropping-particle" : "", "parse-names" : false, "suffix" : "" }, { "dropping-particle" : "", "family" : "Sathyendran", "given" : "V", "non-dropping-particle" : "", "parse-names" : false, "suffix" : "" }, { "dropping-particle" : "", "family" : "Thompson", "given" : "E", "non-dropping-particle" : "", "parse-names" : false, "suffix" : "" }, { "dropping-particle" : "", "family" : "Taylor", "given" : "S", "non-dropping-particle" : "", "parse-names" : false, "suffix" : "" }, { "dropping-particle" : "", "family" : "Holland", "given" : "D", "non-dropping-particle" : "", "parse-names" : false, "suffix" : "" } ], "container-title" : "The New Zealand Medical Journal", "id" : "ITEM-2", "issue" : "1410", "issued" : { "date-parts" : [ [ "2015" ] ] }, "page" : "17-24", "title" : "Epidemiology and diagnostic testing for meningitis in adults as the meningococcal epidemic declined at Middlemore Hospital.", "type" : "article-journal", "volume" : "128" }, "uris" : [ "http://www.mendeley.com/documents/?uuid=8f44325a-1db4-400f-a41d-466baab844f3" ] } ], "mendeley" : { "formattedCitation" : "&lt;sup&gt;20,21&lt;/sup&gt;", "plainTextFormattedCitation" : "20,21", "previouslyFormattedCitation" : "&lt;sup&gt;20,21&lt;/sup&gt;" }, "properties" : { "noteIndex" : 0 }, "schema" : "https://github.com/citation-style-language/schema/raw/master/csl-citation.json" }</w:instrText>
      </w:r>
      <w:r w:rsidR="0022615A" w:rsidRPr="006520AE">
        <w:rPr>
          <w:rFonts w:cs="Arial"/>
          <w:sz w:val="24"/>
        </w:rPr>
        <w:fldChar w:fldCharType="separate"/>
      </w:r>
      <w:r w:rsidR="004814B6" w:rsidRPr="004814B6">
        <w:rPr>
          <w:rFonts w:cs="Arial"/>
          <w:noProof/>
          <w:sz w:val="24"/>
          <w:vertAlign w:val="superscript"/>
        </w:rPr>
        <w:t>20,21</w:t>
      </w:r>
      <w:r w:rsidR="0022615A" w:rsidRPr="006520AE">
        <w:rPr>
          <w:rFonts w:cs="Arial"/>
          <w:sz w:val="24"/>
        </w:rPr>
        <w:fldChar w:fldCharType="end"/>
      </w:r>
      <w:r w:rsidR="00F13AB1" w:rsidRPr="006520AE">
        <w:rPr>
          <w:rFonts w:cs="Arial"/>
          <w:sz w:val="24"/>
        </w:rPr>
        <w:t xml:space="preserve"> </w:t>
      </w:r>
      <w:r w:rsidR="00327D88">
        <w:rPr>
          <w:rFonts w:cs="Arial"/>
          <w:sz w:val="24"/>
        </w:rPr>
        <w:t>Therefore, culture positivity could indicate uncontrolled bacterial replication, resulting in more severe disease and poor outcomes. However, it is also possible that meningococcal strains identified through culture may be more virulent than those confirmed by PCR only.</w:t>
      </w:r>
      <w:r w:rsidR="0022615A">
        <w:rPr>
          <w:rFonts w:cs="Arial"/>
          <w:sz w:val="24"/>
        </w:rPr>
        <w:fldChar w:fldCharType="begin" w:fldLock="1"/>
      </w:r>
      <w:r w:rsidR="004814B6">
        <w:rPr>
          <w:rFonts w:cs="Arial"/>
          <w:sz w:val="24"/>
        </w:rPr>
        <w:instrText>ADDIN CSL_CITATION { "citationItems" : [ { "id" : "ITEM-1", "itemData" : { "author" : [ { "dropping-particle" : "", "family" : "Clark", "given" : "SA", "non-dropping-particle" : "", "parse-names" : false, "suffix" : "" }, { "dropping-particle" : "", "family" : "Lekshmi", "given" : "A", "non-dropping-particle" : "", "parse-names" : false, "suffix" : "" }, { "dropping-particle" : "", "family" : "Lucidarme", "given" : "Jay", "non-dropping-particle" : "", "parse-names" : false, "suffix" : "" }, { "dropping-particle" : "", "family" : "Hao", "given" : "L", "non-dropping-particle" : "", "parse-names" : false, "suffix" : "" }, { "dropping-particle" : "", "family" : "Tsao", "given" : "H", "non-dropping-particle" : "", "parse-names" : false, "suffix" : "" }, { "dropping-particle" : "", "family" : "Newbold", "given" : "Lynne S.", "non-dropping-particle" : "", "parse-names" : false, "suffix" : "" }, { "dropping-particle" : "", "family" : "Anderson", "given" : "Annaliesa S.", "non-dropping-particle" : "", "parse-names" : false, "suffix" : "" }, { "dropping-particle" : "", "family" : "Borrow", "given" : "R", "non-dropping-particle" : "", "parse-names" : false, "suffix" : "" } ], "container-title" : "Meningitis and Septicaemia in Children and Adults 2015", "id" : "ITEM-1", "issued" : { "date-parts" : [ [ "2015" ] ] }, "title" : "Factor H-binding protein distribution among culture and non-culture meningococci in England and Wales: 2011-13", "type" : "paper-conference" }, "uris" : [ "http://www.mendeley.com/documents/?uuid=f77bb428-3d43-440a-a57a-c3c66c3acb1b" ] } ], "mendeley" : { "formattedCitation" : "&lt;sup&gt;22&lt;/sup&gt;", "plainTextFormattedCitation" : "22", "previouslyFormattedCitation" : "&lt;sup&gt;22&lt;/sup&gt;"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22</w:t>
      </w:r>
      <w:r w:rsidR="0022615A">
        <w:rPr>
          <w:rFonts w:cs="Arial"/>
          <w:sz w:val="24"/>
        </w:rPr>
        <w:fldChar w:fldCharType="end"/>
      </w:r>
      <w:r w:rsidR="00327D88">
        <w:rPr>
          <w:rFonts w:cs="Arial"/>
          <w:sz w:val="24"/>
        </w:rPr>
        <w:t xml:space="preserve"> This merits further investigation</w:t>
      </w:r>
      <w:r w:rsidR="004303B3">
        <w:rPr>
          <w:rFonts w:cs="Arial"/>
          <w:sz w:val="24"/>
        </w:rPr>
        <w:t>.</w:t>
      </w:r>
      <w:r w:rsidR="00374762">
        <w:rPr>
          <w:rFonts w:cs="Arial"/>
          <w:sz w:val="24"/>
        </w:rPr>
        <w:t xml:space="preserve"> </w:t>
      </w:r>
    </w:p>
    <w:p w14:paraId="16234D1C" w14:textId="5EF82F86" w:rsidR="00B564A4" w:rsidRDefault="00374762" w:rsidP="00327D88">
      <w:pPr>
        <w:spacing w:after="200"/>
        <w:rPr>
          <w:rFonts w:cs="Arial"/>
          <w:sz w:val="24"/>
        </w:rPr>
      </w:pPr>
      <w:r w:rsidRPr="00371EFD">
        <w:rPr>
          <w:rFonts w:cs="Arial"/>
          <w:color w:val="FF0000"/>
          <w:sz w:val="24"/>
        </w:rPr>
        <w:t xml:space="preserve"> It is possible that </w:t>
      </w:r>
      <w:r w:rsidR="00371EFD">
        <w:rPr>
          <w:rFonts w:cs="Arial"/>
          <w:color w:val="FF0000"/>
          <w:sz w:val="24"/>
        </w:rPr>
        <w:t>pre-hospital</w:t>
      </w:r>
      <w:r w:rsidRPr="00371EFD">
        <w:rPr>
          <w:rFonts w:cs="Arial"/>
          <w:color w:val="FF0000"/>
          <w:sz w:val="24"/>
        </w:rPr>
        <w:t xml:space="preserve"> antibiotic treatment could have influenced the</w:t>
      </w:r>
      <w:r w:rsidR="00B51E66">
        <w:rPr>
          <w:rFonts w:cs="Arial"/>
          <w:color w:val="FF0000"/>
          <w:sz w:val="24"/>
        </w:rPr>
        <w:t xml:space="preserve"> results of culture/PCR confirmation</w:t>
      </w:r>
      <w:r>
        <w:rPr>
          <w:rFonts w:cs="Arial"/>
          <w:sz w:val="24"/>
        </w:rPr>
        <w:t xml:space="preserve">. </w:t>
      </w:r>
      <w:r w:rsidR="00A46B8F">
        <w:rPr>
          <w:rFonts w:cs="Arial"/>
          <w:sz w:val="24"/>
        </w:rPr>
        <w:t xml:space="preserve">Equally, results </w:t>
      </w:r>
      <w:r w:rsidR="002830DB">
        <w:rPr>
          <w:rFonts w:cs="Arial"/>
          <w:sz w:val="24"/>
        </w:rPr>
        <w:t>may</w:t>
      </w:r>
      <w:r w:rsidR="00A46B8F">
        <w:rPr>
          <w:rFonts w:cs="Arial"/>
          <w:sz w:val="24"/>
        </w:rPr>
        <w:t xml:space="preserve"> have been affected by the source of the sterile biological material</w:t>
      </w:r>
      <w:r w:rsidR="002830DB">
        <w:rPr>
          <w:rFonts w:cs="Arial"/>
          <w:sz w:val="24"/>
        </w:rPr>
        <w:t xml:space="preserve"> used for testing</w:t>
      </w:r>
      <w:r w:rsidR="00A46B8F">
        <w:rPr>
          <w:rFonts w:cs="Arial"/>
          <w:sz w:val="24"/>
        </w:rPr>
        <w:t xml:space="preserve">. This information was not routinely collected as part of the national surveillance dataset, </w:t>
      </w:r>
      <w:r w:rsidR="00734E98">
        <w:rPr>
          <w:rFonts w:cs="Arial"/>
          <w:sz w:val="24"/>
        </w:rPr>
        <w:t>and as such unavailable for analysis, although as a consequence of this linkage work</w:t>
      </w:r>
      <w:r w:rsidR="002830DB">
        <w:rPr>
          <w:rFonts w:cs="Arial"/>
          <w:sz w:val="24"/>
        </w:rPr>
        <w:t xml:space="preserve"> patient</w:t>
      </w:r>
      <w:r w:rsidR="00734E98">
        <w:rPr>
          <w:rFonts w:cs="Arial"/>
          <w:sz w:val="24"/>
        </w:rPr>
        <w:t xml:space="preserve"> sample site</w:t>
      </w:r>
      <w:r w:rsidR="002830DB">
        <w:rPr>
          <w:rFonts w:cs="Arial"/>
          <w:sz w:val="24"/>
        </w:rPr>
        <w:t xml:space="preserve"> data</w:t>
      </w:r>
      <w:r w:rsidR="00734E98">
        <w:rPr>
          <w:rFonts w:cs="Arial"/>
          <w:sz w:val="24"/>
        </w:rPr>
        <w:t xml:space="preserve"> will soon be collected routinely.</w:t>
      </w:r>
      <w:r w:rsidR="00596A54">
        <w:rPr>
          <w:rFonts w:cs="Arial"/>
          <w:sz w:val="24"/>
        </w:rPr>
        <w:t xml:space="preserve"> </w:t>
      </w:r>
    </w:p>
    <w:p w14:paraId="2097B9FD" w14:textId="77C6D874" w:rsidR="001309D7" w:rsidRPr="001309D7" w:rsidRDefault="001309D7" w:rsidP="00327D88">
      <w:pPr>
        <w:spacing w:after="200"/>
        <w:rPr>
          <w:rFonts w:cs="Arial"/>
          <w:b/>
          <w:sz w:val="24"/>
        </w:rPr>
      </w:pPr>
      <w:r w:rsidRPr="001309D7">
        <w:rPr>
          <w:rFonts w:cs="Arial"/>
          <w:b/>
          <w:sz w:val="24"/>
        </w:rPr>
        <w:t>Severe complications</w:t>
      </w:r>
    </w:p>
    <w:p w14:paraId="6351E444" w14:textId="77777777" w:rsidR="00CA5EF7" w:rsidRPr="004F6022" w:rsidRDefault="00CA5EF7" w:rsidP="00CA5EF7">
      <w:pPr>
        <w:spacing w:after="200"/>
        <w:rPr>
          <w:rFonts w:cs="Arial"/>
          <w:sz w:val="24"/>
        </w:rPr>
      </w:pPr>
      <w:r>
        <w:rPr>
          <w:rFonts w:cs="Arial"/>
          <w:sz w:val="24"/>
        </w:rPr>
        <w:t xml:space="preserve">The exploratory analysis also identified a number of </w:t>
      </w:r>
      <w:r w:rsidR="00C462AE">
        <w:rPr>
          <w:rFonts w:cs="Arial"/>
          <w:sz w:val="24"/>
        </w:rPr>
        <w:t>severe complications associated with</w:t>
      </w:r>
      <w:r>
        <w:rPr>
          <w:rFonts w:cs="Arial"/>
          <w:sz w:val="24"/>
        </w:rPr>
        <w:t xml:space="preserve"> CFR. It is possible that individuals with more severe clinical outcomes, including death, may have more complete recording on HES compared to those who survived. However, the identified risk factors are biologically plausible and many of the risk factors have been reported in other clinical studies</w:t>
      </w:r>
      <w:r w:rsidR="00FF27D7">
        <w:rPr>
          <w:rFonts w:cs="Arial"/>
          <w:sz w:val="24"/>
        </w:rPr>
        <w:t>.</w:t>
      </w:r>
      <w:r>
        <w:rPr>
          <w:rFonts w:cs="Arial"/>
          <w:sz w:val="24"/>
        </w:rPr>
        <w:t xml:space="preserve"> </w:t>
      </w:r>
      <w:r w:rsidR="0022615A">
        <w:rPr>
          <w:rFonts w:cs="Arial"/>
          <w:sz w:val="24"/>
        </w:rPr>
        <w:fldChar w:fldCharType="begin" w:fldLock="1"/>
      </w:r>
      <w:r w:rsidR="004814B6">
        <w:rPr>
          <w:rFonts w:cs="Arial"/>
          <w:sz w:val="24"/>
        </w:rPr>
        <w:instrText>ADDIN CSL_CITATION { "citationItems" : [ { "id" : "ITEM-1", "itemData" : { "DOI" : "10.1093/cid/civ028", "ISSN" : "1058-4838", "author" : [ { "dropping-particle" : "", "family" : "Sadarangani", "given" : "M.", "non-dropping-particle" : "", "parse-names" : false, "suffix" : "" }, { "dropping-particle" : "", "family" : "Scheifele", "given" : "D. W.", "non-dropping-particle" : "", "parse-names" : false, "suffix" : "" }, { "dropping-particle" : "", "family" : "Halperin", "given" : "S. a.", "non-dropping-particle" : "", "parse-names" : false, "suffix" : "" }, { "dropping-particle" : "", "family" : "Vaudry", "given" : "W.", "non-dropping-particle" : "", "parse-names" : false, "suffix" : "" }, { "dropping-particle" : "", "family" : "Saux", "given" : "N.", "non-dropping-particle" : "Le", "parse-names" : false, "suffix" : "" }, { "dropping-particle" : "", "family" : "Tsang", "given" : "R.", "non-dropping-particle" : "", "parse-names" : false, "suffix" : "" }, { "dropping-particle" : "", "family" : "Bettinger", "given" : "J. a.", "non-dropping-particle" : "", "parse-names" : false, "suffix" : "" }, { "dropping-particle" : "", "family" : "investigators of the Canadian Immunization", "given" : "", "non-dropping-particle" : "", "parse-names" : false, "suffix" : "" }, { "dropping-particle" : "", "family" : "Bridger", "given" : "N.", "non-dropping-particle" : "", "parse-names" : false, "suffix" : "" }, { "dropping-particle" : "", "family" : "Morris", "given" : "R.", "non-dropping-particle" : "", "parse-names" : false, "suffix" : "" }, { "dropping-particle" : "", "family" : "Halperin", "given" : "S.", "non-dropping-particle" : "", "parse-names" : false, "suffix" : "" }, { "dropping-particle" : "", "family" : "Top", "given" : "K.", "non-dropping-particle" : "", "parse-names" : false, "suffix" : "" }, { "dropping-particle" : "", "family" : "Dery", "given" : "P.", "non-dropping-particle" : "", "parse-names" : false, "suffix" : "" }, { "dropping-particle" : "", "family" : "Moore", "given" : "D.", "non-dropping-particle" : "", "parse-names" : false, "suffix" : "" }, { "dropping-particle" : "", "family" : "Lebel", "given" : "M.", "non-dropping-particle" : "", "parse-names" : false, "suffix" : "" }, { "dropping-particle" : "", "family" : "Saux", "given" : "N.", "non-dropping-particle" : "Le", "parse-names" : false, "suffix" : "" }, { "dropping-particle" : "", "family" : "Tran", "given" : "D.", "non-dropping-particle" : "", "parse-names" : false, "suffix" : "" }, { "dropping-particle" : "", "family" : "Ford-Jones", "given" : "L.", "non-dropping-particle" : "", "parse-names" : false, "suffix" : "" }, { "dropping-particle" : "", "family" : "Embree", "given" : "J.", "non-dropping-particle" : "", "parse-names" : false, "suffix" : "" }, { "dropping-particle" : "", "family" : "Law", "given" : "B.", "non-dropping-particle" : "", "parse-names" : false, "suffix" : "" }, { "dropping-particle" : "", "family" : "Tsang", "given" : "R.", "non-dropping-particle" : "", "parse-names" : false, "suffix" : "" }, { "dropping-particle" : "", "family" : "Tan", "given" : "B.", "non-dropping-particle" : "", "parse-names" : false, "suffix" : "" }, { "dropping-particle" : "", "family" : "Vaudry", "given" : "W.", "non-dropping-particle" : "", "parse-names" : false, "suffix" : "" }, { "dropping-particle" : "", "family" : "Jadavji", "given" : "T.", "non-dropping-particle" : "", "parse-names" : false, "suffix" : "" }, { "dropping-particle" : "", "family" : "Vanderkooi", "given" : "O. G.", "non-dropping-particle" : "", "parse-names" : false, "suffix" : "" }, { "dropping-particle" : "", "family" : "Scheifele", "given" : "D.", "non-dropping-particle" : "", "parse-names" : false, "suffix" : "" }, { "dropping-particle" : "", "family" : "Sauve", "given" : "L.", "non-dropping-particle" : "", "parse-names" : false, "suffix" : "" }, { "dropping-particle" : "", "family" : "Bettinger", "given" : "J.", "non-dropping-particle" : "", "parse-names" : false, "suffix" : "" } ], "container-title" : "Clinical Infectious Diseases", "id" : "ITEM-1", "issue" : "8", "issued" : { "date-parts" : [ [ "2015" ] ] }, "page" : "e27-e35", "title" : "Outcomes of Invasive Meningococcal Disease in Adults and Children in Canada Between 2002 and 2011: A Prospective Cohort Study", "type" : "article-journal", "volume" : "60" }, "uris" : [ "http://www.mendeley.com/documents/?uuid=9b110981-de4b-4f72-9fd8-037499259e96" ] }, { "id" : "ITEM-2", "itemData" : { "DOI" : "10.1186/cc12609", "ISBN" : "1364-8535\\r1466-609X", "ISSN" : "1466-609X", "PMID" : "23577792", "abstract" : "INTRODUCTION: The aim of this study was to derive a novel prognostic score for mortality in paediatric meningococcal sepsis (MS) based on readily available laboratory markers. METHODS: A multicentre retrospective cohort study for the consortium set and a single centre retrospective study for replication set. The consortium set were 1,073 children (age 1 week to 17.9 years) referred over a 15-year period (1996 to 2011), who had an admission diagnosis of MS, referred to paediatric intensive care units (PICUs) in six different European centres. The consortium set was split into a development set and validation set to derive the score. The replication set were 134 children with MS (age 2 weeks to 16 years) referred over a 4-year period (2007 to 2011) to PICUs via the Children's Acute Transport Service (CATS), London. RESULTS: A total of 85/1,073 (7.9%) children in the consortium set died. A total of 16/134 (11.9%) children in the replication set died. Children dying in the consortium set had significantly lower base excess, C-reactive protein (CRP), platelet and white cell count, more deranged coagulation and higher lactate than survivors. Paediatric risk of mortality (PRISM) score, Glasgow meningococcal septicaemia prognosis score (GMSPS) and Rotterdam score were also higher. Using the consortium set, a new scoring system using base excess and platelet count at presentation, termed the BEP score, was mathematically developed and validated. BEP predicted mortality with high sensitivity and specificity scores (area under the curve (AUC) in the validation set=0.86 and in the replication set=0.96). In the validation set, BEP score performance (AUC=0.86, confidence interval (CI): 0.80 to 0.91) was better than GMSPS (AUC=0.77, CI: 0.68, 0.85), similar to Rotterdam (AUC=0.87, CI: 0.81 to 0.93) and not as good as PRISM (AUC=0.93, CI: 0.85 to 0.97). CONCLUSIONS: The BEP score, relying on only two variables that are quickly and objectively measurable and readily available at presentation, is highly sensitive and specific in predicting death from MS in childhood.", "author" : [ { "dropping-particle" : "", "family" : "Couto-Alves", "given" : "Alexessander", "non-dropping-particle" : "", "parse-names" : false, "suffix" : "" }, { "dropping-particle" : "", "family" : "Wright", "given" : "Victoria J", "non-dropping-particle" : "", "parse-names" : false, "suffix" : "" }, { "dropping-particle" : "", "family" : "Perumal", "given" : "Karnan", "non-dropping-particle" : "", "parse-names" : false, "suffix" : "" }, { "dropping-particle" : "", "family" : "Binder", "given" : "Alexander", "non-dropping-particle" : "", "parse-names" : false, "suffix" : "" }, { "dropping-particle" : "", "family" : "Carrol", "given" : "Enitan D", "non-dropping-particle" : "", "parse-names" : false, "suffix" : "" }, { "dropping-particle" : "", "family" : "Emonts", "given" : "Marieke", "non-dropping-particle" : "", "parse-names" : false, "suffix" : "" }, { "dropping-particle" : "", "family" : "Groot", "given" : "Ronald", "non-dropping-particle" : "de", "parse-names" : false, "suffix" : "" }, { "dropping-particle" : "", "family" : "Hazelzet", "given" : "Jan", "non-dropping-particle" : "", "parse-names" : false, "suffix" : "" }, { "dropping-particle" : "", "family" : "Kuijpers", "given" : "Taco", "non-dropping-particle" : "", "parse-names" : false, "suffix" : "" }, { "dropping-particle" : "", "family" : "Nadel", "given" : "Simon", "non-dropping-particle" : "", "parse-names" : false, "suffix" : "" }, { "dropping-particle" : "", "family" : "Zenz", "given" : "Werner", "non-dropping-particle" : "", "parse-names" : false, "suffix" : "" }, { "dropping-particle" : "", "family" : "Ramnarayan", "given" : "Padmanabhan", "non-dropping-particle" : "", "parse-names" : false, "suffix" : "" }, { "dropping-particle" : "", "family" : "Levin", "given" : "Michael", "non-dropping-particle" : "", "parse-names" : false, "suffix" : "" }, { "dropping-particle" : "", "family" : "Coin", "given" : "Lachlan", "non-dropping-particle" : "", "parse-names" : false, "suffix" : "" }, { "dropping-particle" : "", "family" : "Inwald", "given" : "David P", "non-dropping-particle" : "", "parse-names" : false, "suffix" : "" } ], "container-title" : "Critical care (London, England)", "id" : "ITEM-2", "issue" : "2", "issued" : { "date-parts" : [ [ "2013" ] ] }, "page" : "R68", "publisher" : "BioMed Central Ltd", "title" : "A new scoring system derived from base excess and platelet count at presentation predicts mortality in paediatric meningococcal sepsis.", "type" : "article-journal", "volume" : "17" }, "uris" : [ "http://www.mendeley.com/documents/?uuid=b9e41da9-a69f-4763-89e1-23e6a16331d7" ] } ], "mendeley" : { "formattedCitation" : "&lt;sup&gt;23,24&lt;/sup&gt;", "plainTextFormattedCitation" : "23,24", "previouslyFormattedCitation" : "&lt;sup&gt;23,24&lt;/sup&gt;" }, "properties" : { "noteIndex" : 0 }, "schema" : "https://github.com/citation-style-language/schema/raw/master/csl-citation.json" }</w:instrText>
      </w:r>
      <w:r w:rsidR="0022615A">
        <w:rPr>
          <w:rFonts w:cs="Arial"/>
          <w:sz w:val="24"/>
        </w:rPr>
        <w:fldChar w:fldCharType="separate"/>
      </w:r>
      <w:r w:rsidR="004814B6" w:rsidRPr="004814B6">
        <w:rPr>
          <w:rFonts w:cs="Arial"/>
          <w:noProof/>
          <w:sz w:val="24"/>
          <w:vertAlign w:val="superscript"/>
        </w:rPr>
        <w:t>23,24</w:t>
      </w:r>
      <w:r w:rsidR="0022615A">
        <w:rPr>
          <w:rFonts w:cs="Arial"/>
          <w:sz w:val="24"/>
        </w:rPr>
        <w:fldChar w:fldCharType="end"/>
      </w:r>
      <w:r>
        <w:rPr>
          <w:rFonts w:cs="Arial"/>
          <w:sz w:val="24"/>
        </w:rPr>
        <w:t xml:space="preserve"> </w:t>
      </w:r>
      <w:r w:rsidR="00A64A07">
        <w:rPr>
          <w:rFonts w:cs="Arial"/>
          <w:sz w:val="24"/>
        </w:rPr>
        <w:t xml:space="preserve">Their </w:t>
      </w:r>
      <w:r w:rsidR="00A64A07" w:rsidRPr="004F6022">
        <w:rPr>
          <w:rFonts w:cs="Arial"/>
          <w:sz w:val="24"/>
        </w:rPr>
        <w:t xml:space="preserve">presence in </w:t>
      </w:r>
      <w:r w:rsidR="009E527C">
        <w:rPr>
          <w:rFonts w:cs="Arial"/>
          <w:sz w:val="24"/>
        </w:rPr>
        <w:t xml:space="preserve">any patient with suspected IMD </w:t>
      </w:r>
      <w:r w:rsidR="00A64A07" w:rsidRPr="004F6022">
        <w:rPr>
          <w:rFonts w:cs="Arial"/>
          <w:sz w:val="24"/>
        </w:rPr>
        <w:t xml:space="preserve">should alert the clinician </w:t>
      </w:r>
      <w:r w:rsidR="00327D88">
        <w:rPr>
          <w:rFonts w:cs="Arial"/>
          <w:sz w:val="24"/>
        </w:rPr>
        <w:t xml:space="preserve">to a </w:t>
      </w:r>
      <w:r w:rsidR="00A64A07" w:rsidRPr="004F6022">
        <w:rPr>
          <w:rFonts w:cs="Arial"/>
          <w:sz w:val="24"/>
        </w:rPr>
        <w:t xml:space="preserve">potentially severe </w:t>
      </w:r>
      <w:r w:rsidR="009E527C">
        <w:rPr>
          <w:rFonts w:cs="Arial"/>
          <w:sz w:val="24"/>
        </w:rPr>
        <w:t>course of illness</w:t>
      </w:r>
      <w:r w:rsidR="00A64A07" w:rsidRPr="004F6022">
        <w:rPr>
          <w:rFonts w:cs="Arial"/>
          <w:sz w:val="24"/>
        </w:rPr>
        <w:t>.</w:t>
      </w:r>
    </w:p>
    <w:p w14:paraId="57AEEE47" w14:textId="77777777" w:rsidR="0074336B" w:rsidRPr="004F6022" w:rsidRDefault="0074336B" w:rsidP="0074336B">
      <w:pPr>
        <w:pStyle w:val="Heading1"/>
      </w:pPr>
      <w:r w:rsidRPr="004F6022">
        <w:t>Conclusions</w:t>
      </w:r>
    </w:p>
    <w:p w14:paraId="6CF7F102" w14:textId="77777777" w:rsidR="0017400F" w:rsidRPr="00C404E6" w:rsidRDefault="004F6022" w:rsidP="009A6825">
      <w:pPr>
        <w:rPr>
          <w:rFonts w:cs="Arial"/>
        </w:rPr>
      </w:pPr>
      <w:r w:rsidRPr="006520AE">
        <w:rPr>
          <w:sz w:val="24"/>
        </w:rPr>
        <w:t>Whilst acknowledging the limitations of linking datasets that were not designed for integration, the large number of laboratory-confirmed cases with clinical and outcome data has allowed us to study, in detail, the complex interactions between age, meningococcal capsular group, clinical presentation, diagnostic method and outcome</w:t>
      </w:r>
      <w:r w:rsidR="0058283B">
        <w:rPr>
          <w:sz w:val="24"/>
        </w:rPr>
        <w:t>s</w:t>
      </w:r>
      <w:r w:rsidRPr="006520AE">
        <w:rPr>
          <w:sz w:val="24"/>
        </w:rPr>
        <w:t xml:space="preserve">. </w:t>
      </w:r>
      <w:r w:rsidR="00C02BE2" w:rsidRPr="006520AE">
        <w:rPr>
          <w:sz w:val="24"/>
        </w:rPr>
        <w:t xml:space="preserve">The exclusion of a small number of unlinked cases, laboratory-unconfirmed cases and those that died outside the hospital setting is unlikely to affect </w:t>
      </w:r>
      <w:r w:rsidR="0058283B">
        <w:rPr>
          <w:sz w:val="24"/>
        </w:rPr>
        <w:t xml:space="preserve">our </w:t>
      </w:r>
      <w:r w:rsidR="00C02BE2" w:rsidRPr="006520AE">
        <w:rPr>
          <w:sz w:val="24"/>
        </w:rPr>
        <w:t xml:space="preserve">overall findings. We also recognise that </w:t>
      </w:r>
      <w:r w:rsidR="0074336B" w:rsidRPr="006520AE">
        <w:rPr>
          <w:rFonts w:cs="Arial"/>
          <w:sz w:val="24"/>
        </w:rPr>
        <w:t xml:space="preserve">the information coded in HES </w:t>
      </w:r>
      <w:r w:rsidR="00C02BE2" w:rsidRPr="006520AE">
        <w:rPr>
          <w:rFonts w:cs="Arial"/>
          <w:sz w:val="24"/>
        </w:rPr>
        <w:t>may be limited</w:t>
      </w:r>
      <w:r w:rsidR="00807873" w:rsidRPr="006520AE">
        <w:rPr>
          <w:rFonts w:cs="Arial"/>
          <w:sz w:val="24"/>
        </w:rPr>
        <w:t xml:space="preserve"> compared to clinical studies</w:t>
      </w:r>
      <w:r w:rsidR="00C02BE2" w:rsidRPr="006520AE">
        <w:rPr>
          <w:rFonts w:cs="Arial"/>
          <w:sz w:val="24"/>
        </w:rPr>
        <w:t xml:space="preserve">, </w:t>
      </w:r>
      <w:r w:rsidR="00807873" w:rsidRPr="006520AE">
        <w:rPr>
          <w:rFonts w:cs="Arial"/>
          <w:sz w:val="24"/>
        </w:rPr>
        <w:t>but the large number of cases over a relatively short period provides true insight into</w:t>
      </w:r>
      <w:r w:rsidR="006A3335" w:rsidRPr="006520AE">
        <w:rPr>
          <w:rFonts w:cs="Arial"/>
          <w:sz w:val="24"/>
        </w:rPr>
        <w:t xml:space="preserve"> </w:t>
      </w:r>
      <w:r w:rsidR="00807873" w:rsidRPr="006520AE">
        <w:rPr>
          <w:rFonts w:cs="Arial"/>
          <w:sz w:val="24"/>
        </w:rPr>
        <w:t xml:space="preserve">disease </w:t>
      </w:r>
      <w:r w:rsidR="006A3335" w:rsidRPr="006520AE">
        <w:rPr>
          <w:rFonts w:cs="Arial"/>
          <w:sz w:val="24"/>
        </w:rPr>
        <w:t xml:space="preserve">characteristics </w:t>
      </w:r>
      <w:r w:rsidR="00807873" w:rsidRPr="006520AE">
        <w:rPr>
          <w:rFonts w:cs="Arial"/>
          <w:sz w:val="24"/>
        </w:rPr>
        <w:t xml:space="preserve">at a population level. </w:t>
      </w:r>
      <w:r w:rsidR="006E585C" w:rsidRPr="006520AE">
        <w:rPr>
          <w:rFonts w:cs="Arial"/>
          <w:sz w:val="24"/>
        </w:rPr>
        <w:t>Our results provide age- and capsular-group specific data on clinical presentations</w:t>
      </w:r>
      <w:r w:rsidR="009E527C" w:rsidRPr="006520AE">
        <w:rPr>
          <w:rFonts w:cs="Arial"/>
          <w:sz w:val="24"/>
        </w:rPr>
        <w:t>, risk factors</w:t>
      </w:r>
      <w:r w:rsidR="006E585C" w:rsidRPr="006520AE">
        <w:rPr>
          <w:rFonts w:cs="Arial"/>
          <w:sz w:val="24"/>
        </w:rPr>
        <w:t xml:space="preserve"> and outcomes of IMD and suggest that the recent introduction of the infant MenB and adolescent MenACWY immunisation programmes could have a significant impact </w:t>
      </w:r>
      <w:r w:rsidR="00801245" w:rsidRPr="006520AE">
        <w:rPr>
          <w:rFonts w:cs="Arial"/>
          <w:sz w:val="24"/>
        </w:rPr>
        <w:t>in reducing</w:t>
      </w:r>
      <w:r w:rsidR="006E585C" w:rsidRPr="006520AE">
        <w:rPr>
          <w:rFonts w:cs="Arial"/>
          <w:sz w:val="24"/>
        </w:rPr>
        <w:t xml:space="preserve"> meningococcal </w:t>
      </w:r>
      <w:r w:rsidR="009E527C" w:rsidRPr="006520AE">
        <w:rPr>
          <w:rFonts w:cs="Arial"/>
          <w:sz w:val="24"/>
        </w:rPr>
        <w:t xml:space="preserve">disease and </w:t>
      </w:r>
      <w:r w:rsidR="006E585C" w:rsidRPr="00C404E6">
        <w:rPr>
          <w:rFonts w:cs="Arial"/>
          <w:sz w:val="24"/>
        </w:rPr>
        <w:t xml:space="preserve">deaths in </w:t>
      </w:r>
      <w:r w:rsidR="0058283B" w:rsidRPr="00C404E6">
        <w:rPr>
          <w:rFonts w:cs="Arial"/>
          <w:sz w:val="24"/>
        </w:rPr>
        <w:t xml:space="preserve">the UK </w:t>
      </w:r>
      <w:r w:rsidR="006E585C" w:rsidRPr="00C404E6">
        <w:rPr>
          <w:rFonts w:cs="Arial"/>
          <w:sz w:val="24"/>
        </w:rPr>
        <w:t>in the coming years.</w:t>
      </w:r>
    </w:p>
    <w:p w14:paraId="7EE5C40C" w14:textId="77777777" w:rsidR="00FF6F48" w:rsidRPr="00C404E6" w:rsidRDefault="00FF6F48" w:rsidP="007B789D"/>
    <w:p w14:paraId="4F9EF6F8" w14:textId="77777777" w:rsidR="006520AE" w:rsidRPr="00883A16" w:rsidRDefault="00E848E5" w:rsidP="007B789D">
      <w:pPr>
        <w:rPr>
          <w:b/>
        </w:rPr>
      </w:pPr>
      <w:r w:rsidRPr="00883A16">
        <w:rPr>
          <w:b/>
        </w:rPr>
        <w:t>AUTHOR CONTRIBUTIONS</w:t>
      </w:r>
    </w:p>
    <w:p w14:paraId="2075769D" w14:textId="77777777" w:rsidR="00C404E6" w:rsidRPr="00883A16" w:rsidRDefault="00C404E6" w:rsidP="00C404E6">
      <w:pPr>
        <w:spacing w:line="480" w:lineRule="auto"/>
        <w:rPr>
          <w:rFonts w:cs="Arial"/>
          <w:sz w:val="24"/>
        </w:rPr>
      </w:pPr>
      <w:r w:rsidRPr="00883A16">
        <w:rPr>
          <w:rFonts w:cs="Arial"/>
          <w:sz w:val="24"/>
        </w:rPr>
        <w:t xml:space="preserve">SNL and MER developed the concept and design of the study. PAW linked the multiple datasets and developed the final database. SR manages the PHE meningococcal database. </w:t>
      </w:r>
      <w:r w:rsidRPr="00C404E6">
        <w:rPr>
          <w:rFonts w:cs="Arial"/>
          <w:sz w:val="24"/>
        </w:rPr>
        <w:t xml:space="preserve">CE </w:t>
      </w:r>
      <w:r w:rsidRPr="00883A16">
        <w:rPr>
          <w:rFonts w:cs="Arial"/>
          <w:sz w:val="24"/>
        </w:rPr>
        <w:t xml:space="preserve">analysed </w:t>
      </w:r>
      <w:r w:rsidRPr="00C404E6">
        <w:rPr>
          <w:rFonts w:cs="Arial"/>
          <w:sz w:val="24"/>
        </w:rPr>
        <w:t xml:space="preserve">and </w:t>
      </w:r>
      <w:r w:rsidRPr="00883A16">
        <w:rPr>
          <w:rFonts w:cs="Arial"/>
          <w:sz w:val="24"/>
        </w:rPr>
        <w:t>wrote the first draft of the manuscript. All authors contributed to interpreting the results and revising the manuscript. All authors read and approved the final version of the manuscript.</w:t>
      </w:r>
    </w:p>
    <w:p w14:paraId="55543BCD" w14:textId="77777777" w:rsidR="00E848E5" w:rsidRPr="00C404E6" w:rsidRDefault="00E848E5" w:rsidP="007B789D"/>
    <w:p w14:paraId="1B870E5A" w14:textId="77777777" w:rsidR="00C404E6" w:rsidRDefault="00C404E6" w:rsidP="00C404E6">
      <w:pPr>
        <w:rPr>
          <w:b/>
        </w:rPr>
      </w:pPr>
      <w:r w:rsidRPr="004A5E45">
        <w:rPr>
          <w:b/>
        </w:rPr>
        <w:t>Acknowledgements</w:t>
      </w:r>
    </w:p>
    <w:p w14:paraId="273E553C" w14:textId="77777777" w:rsidR="00C9756D" w:rsidRDefault="00C9756D" w:rsidP="006A7E10">
      <w:pPr>
        <w:spacing w:line="480" w:lineRule="auto"/>
      </w:pPr>
      <w:r w:rsidRPr="00C9756D">
        <w:t>The authors thank Prof</w:t>
      </w:r>
      <w:r w:rsidR="00FD1381">
        <w:t>essor</w:t>
      </w:r>
      <w:r w:rsidRPr="00C9756D">
        <w:t>. Martin Mckee</w:t>
      </w:r>
      <w:r>
        <w:t xml:space="preserve"> for</w:t>
      </w:r>
      <w:r w:rsidR="007A5FDD">
        <w:t xml:space="preserve"> providing </w:t>
      </w:r>
      <w:r>
        <w:t>pro</w:t>
      </w:r>
      <w:r w:rsidR="007A5FDD">
        <w:t>ject supervision and assistance during the data analysis, which was performed at the London School of Hygiene and Tropical Medicine.</w:t>
      </w:r>
    </w:p>
    <w:p w14:paraId="1D589DAA" w14:textId="77777777" w:rsidR="00FD1381" w:rsidRPr="00FD1381" w:rsidRDefault="00FD1381" w:rsidP="006A7E10">
      <w:pPr>
        <w:spacing w:line="480" w:lineRule="auto"/>
        <w:rPr>
          <w:b/>
        </w:rPr>
      </w:pPr>
      <w:r w:rsidRPr="00FD1381">
        <w:rPr>
          <w:b/>
        </w:rPr>
        <w:t>Bibliography</w:t>
      </w:r>
    </w:p>
    <w:p w14:paraId="6BA54571" w14:textId="77777777" w:rsidR="00690743" w:rsidRPr="00690743" w:rsidRDefault="0022615A" w:rsidP="00690743">
      <w:pPr>
        <w:widowControl w:val="0"/>
        <w:autoSpaceDE w:val="0"/>
        <w:autoSpaceDN w:val="0"/>
        <w:adjustRightInd w:val="0"/>
        <w:ind w:left="640" w:hanging="640"/>
        <w:rPr>
          <w:rFonts w:cs="Arial"/>
          <w:noProof/>
        </w:rPr>
      </w:pPr>
      <w:r>
        <w:fldChar w:fldCharType="begin" w:fldLock="1"/>
      </w:r>
      <w:r w:rsidR="00690743">
        <w:instrText xml:space="preserve">ADDIN Mendeley Bibliography CSL_BIBLIOGRAPHY </w:instrText>
      </w:r>
      <w:r>
        <w:fldChar w:fldCharType="separate"/>
      </w:r>
      <w:r w:rsidR="00690743" w:rsidRPr="00690743">
        <w:rPr>
          <w:rFonts w:cs="Arial"/>
          <w:noProof/>
        </w:rPr>
        <w:t xml:space="preserve">1. </w:t>
      </w:r>
      <w:r w:rsidR="00690743" w:rsidRPr="00690743">
        <w:rPr>
          <w:rFonts w:cs="Arial"/>
          <w:noProof/>
        </w:rPr>
        <w:tab/>
        <w:t xml:space="preserve">Harrison LH, Trotter CL, Ramsay ME. Global epidemiology of meningococcal disease. Vaccine. 2009. </w:t>
      </w:r>
    </w:p>
    <w:p w14:paraId="3E65F337"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2. </w:t>
      </w:r>
      <w:r w:rsidRPr="00690743">
        <w:rPr>
          <w:rFonts w:cs="Arial"/>
          <w:noProof/>
        </w:rPr>
        <w:tab/>
        <w:t xml:space="preserve">Trotter CL, Andrews NJ, Kaczmarski EB, Miller E, Ramsay ME. Effectiveness of meningococcal serogroup C conjugate vaccine 4 years after introduction. </w:t>
      </w:r>
      <w:r w:rsidRPr="00690743">
        <w:rPr>
          <w:rFonts w:cs="Arial"/>
          <w:i/>
          <w:iCs/>
          <w:noProof/>
        </w:rPr>
        <w:t>Lancet</w:t>
      </w:r>
      <w:r w:rsidRPr="00690743">
        <w:rPr>
          <w:rFonts w:cs="Arial"/>
          <w:noProof/>
        </w:rPr>
        <w:t>. 2004;</w:t>
      </w:r>
      <w:r w:rsidRPr="00690743">
        <w:rPr>
          <w:rFonts w:cs="Arial"/>
          <w:b/>
          <w:bCs/>
          <w:noProof/>
        </w:rPr>
        <w:t>364</w:t>
      </w:r>
      <w:r w:rsidRPr="00690743">
        <w:rPr>
          <w:rFonts w:cs="Arial"/>
          <w:noProof/>
        </w:rPr>
        <w:t xml:space="preserve">(Mcc):365–7. </w:t>
      </w:r>
    </w:p>
    <w:p w14:paraId="683065DC"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3. </w:t>
      </w:r>
      <w:r w:rsidRPr="00690743">
        <w:rPr>
          <w:rFonts w:cs="Arial"/>
          <w:noProof/>
        </w:rPr>
        <w:tab/>
        <w:t xml:space="preserve">Ladhani SN, Flood JS, Ramsay ME, Campbell H, Gray SJ, Kaczmarski EB, et al. Invasive meningococcal disease in England and Wales: Implications for the introduction of new vaccines. </w:t>
      </w:r>
      <w:r w:rsidRPr="00690743">
        <w:rPr>
          <w:rFonts w:cs="Arial"/>
          <w:i/>
          <w:iCs/>
          <w:noProof/>
        </w:rPr>
        <w:t>Vaccine</w:t>
      </w:r>
      <w:r w:rsidRPr="00690743">
        <w:rPr>
          <w:rFonts w:cs="Arial"/>
          <w:noProof/>
        </w:rPr>
        <w:t xml:space="preserve"> [Internet]. Elsevier Ltd; 2012;</w:t>
      </w:r>
      <w:r w:rsidRPr="00690743">
        <w:rPr>
          <w:rFonts w:cs="Arial"/>
          <w:b/>
          <w:bCs/>
          <w:noProof/>
        </w:rPr>
        <w:t>30</w:t>
      </w:r>
      <w:r w:rsidRPr="00690743">
        <w:rPr>
          <w:rFonts w:cs="Arial"/>
          <w:noProof/>
        </w:rPr>
        <w:t>(24):3710–6. Available from: http://dx.doi.org/10.1016/j.vaccine.2012.03.011</w:t>
      </w:r>
    </w:p>
    <w:p w14:paraId="23C0A3CE"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4. </w:t>
      </w:r>
      <w:r w:rsidRPr="00690743">
        <w:rPr>
          <w:rFonts w:cs="Arial"/>
          <w:noProof/>
        </w:rPr>
        <w:tab/>
        <w:t xml:space="preserve">Campbell H, Saliba V, Borrow R, Ramsay M, Ladhani SN. Targeted vaccination of teenagers following continued rapid endemic expansion of a single meningococcal group W clone ( sequence type 11 clonal complex ), United Kingdom 2015. 2015;1–5. </w:t>
      </w:r>
    </w:p>
    <w:p w14:paraId="3058EB7B"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5. </w:t>
      </w:r>
      <w:r w:rsidRPr="00690743">
        <w:rPr>
          <w:rFonts w:cs="Arial"/>
          <w:noProof/>
        </w:rPr>
        <w:tab/>
        <w:t xml:space="preserve">Ladhani S, Kaye P, Ribeiro S, Ramsay M. Estimating the total burden of invasive meningococcal disease in England using multiple data sources. 2014;(December):1–23. </w:t>
      </w:r>
    </w:p>
    <w:p w14:paraId="5E4E98C3"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6. </w:t>
      </w:r>
      <w:r w:rsidRPr="00690743">
        <w:rPr>
          <w:rFonts w:cs="Arial"/>
          <w:noProof/>
        </w:rPr>
        <w:tab/>
        <w:t xml:space="preserve">Heinsbroek E, Ladhani S, Gray S, Guiver M, Kaczmarski E, Borrow R, et al. Added value of PCR-testing for confirmation of invasive meningococcal disease in England. </w:t>
      </w:r>
      <w:r w:rsidRPr="00690743">
        <w:rPr>
          <w:rFonts w:cs="Arial"/>
          <w:i/>
          <w:iCs/>
          <w:noProof/>
        </w:rPr>
        <w:t>J Infect</w:t>
      </w:r>
      <w:r w:rsidRPr="00690743">
        <w:rPr>
          <w:rFonts w:cs="Arial"/>
          <w:noProof/>
        </w:rPr>
        <w:t>. 2013;</w:t>
      </w:r>
      <w:r w:rsidRPr="00690743">
        <w:rPr>
          <w:rFonts w:cs="Arial"/>
          <w:b/>
          <w:bCs/>
          <w:noProof/>
        </w:rPr>
        <w:t>67</w:t>
      </w:r>
      <w:r w:rsidRPr="00690743">
        <w:rPr>
          <w:rFonts w:cs="Arial"/>
          <w:noProof/>
        </w:rPr>
        <w:t xml:space="preserve">(5):385–90. </w:t>
      </w:r>
    </w:p>
    <w:p w14:paraId="08474AD5"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7. </w:t>
      </w:r>
      <w:r w:rsidRPr="00690743">
        <w:rPr>
          <w:rFonts w:cs="Arial"/>
          <w:noProof/>
        </w:rPr>
        <w:tab/>
        <w:t xml:space="preserve">Stanton MC, Taylor-Robinson D, Harris D, Paize F, Makwana N, Hackett SJ, et al. Meningococcal Disease in Children in Merseyside, England: A 31 Year Descriptive Study. </w:t>
      </w:r>
      <w:r w:rsidRPr="00690743">
        <w:rPr>
          <w:rFonts w:cs="Arial"/>
          <w:i/>
          <w:iCs/>
          <w:noProof/>
        </w:rPr>
        <w:t>PLoS One</w:t>
      </w:r>
      <w:r w:rsidRPr="00690743">
        <w:rPr>
          <w:rFonts w:cs="Arial"/>
          <w:noProof/>
        </w:rPr>
        <w:t xml:space="preserve"> [Internet]. 2011;</w:t>
      </w:r>
      <w:r w:rsidRPr="00690743">
        <w:rPr>
          <w:rFonts w:cs="Arial"/>
          <w:b/>
          <w:bCs/>
          <w:noProof/>
        </w:rPr>
        <w:t>6</w:t>
      </w:r>
      <w:r w:rsidRPr="00690743">
        <w:rPr>
          <w:rFonts w:cs="Arial"/>
          <w:noProof/>
        </w:rPr>
        <w:t>(10):e25957. Available from: http://dx.plos.org/10.1371/journal.pone.0025957</w:t>
      </w:r>
    </w:p>
    <w:p w14:paraId="320E86A0"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8. </w:t>
      </w:r>
      <w:r w:rsidRPr="00690743">
        <w:rPr>
          <w:rFonts w:cs="Arial"/>
          <w:noProof/>
        </w:rPr>
        <w:tab/>
        <w:t xml:space="preserve">Kneen R, Solomon T, Appleton R. Nervous System Infection. </w:t>
      </w:r>
      <w:r w:rsidRPr="00690743">
        <w:rPr>
          <w:rFonts w:cs="Arial"/>
          <w:i/>
          <w:iCs/>
          <w:noProof/>
        </w:rPr>
        <w:t>BMC Pediatr</w:t>
      </w:r>
      <w:r w:rsidRPr="00690743">
        <w:rPr>
          <w:rFonts w:cs="Arial"/>
          <w:noProof/>
        </w:rPr>
        <w:t>. 2002;</w:t>
      </w:r>
      <w:r w:rsidRPr="00690743">
        <w:rPr>
          <w:rFonts w:cs="Arial"/>
          <w:b/>
          <w:bCs/>
          <w:noProof/>
        </w:rPr>
        <w:t>4</w:t>
      </w:r>
      <w:r w:rsidRPr="00690743">
        <w:rPr>
          <w:rFonts w:cs="Arial"/>
          <w:noProof/>
        </w:rPr>
        <w:t xml:space="preserve">:8–11. </w:t>
      </w:r>
    </w:p>
    <w:p w14:paraId="724F7945"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9. </w:t>
      </w:r>
      <w:r w:rsidRPr="00690743">
        <w:rPr>
          <w:rFonts w:cs="Arial"/>
          <w:noProof/>
        </w:rPr>
        <w:tab/>
        <w:t xml:space="preserve">Nadel S. Lumbar puncture should not be performed in meningococcal disease. </w:t>
      </w:r>
      <w:r w:rsidRPr="00690743">
        <w:rPr>
          <w:rFonts w:cs="Arial"/>
          <w:i/>
          <w:iCs/>
          <w:noProof/>
        </w:rPr>
        <w:t>Arch Dis Child</w:t>
      </w:r>
      <w:r w:rsidRPr="00690743">
        <w:rPr>
          <w:rFonts w:cs="Arial"/>
          <w:noProof/>
        </w:rPr>
        <w:t>. 2001;</w:t>
      </w:r>
      <w:r w:rsidRPr="00690743">
        <w:rPr>
          <w:rFonts w:cs="Arial"/>
          <w:b/>
          <w:bCs/>
          <w:noProof/>
        </w:rPr>
        <w:t>84</w:t>
      </w:r>
      <w:r w:rsidRPr="00690743">
        <w:rPr>
          <w:rFonts w:cs="Arial"/>
          <w:noProof/>
        </w:rPr>
        <w:t xml:space="preserve">(4):375. </w:t>
      </w:r>
    </w:p>
    <w:p w14:paraId="6DEC4167"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10. </w:t>
      </w:r>
      <w:r w:rsidRPr="00690743">
        <w:rPr>
          <w:rFonts w:cs="Arial"/>
          <w:noProof/>
        </w:rPr>
        <w:tab/>
        <w:t xml:space="preserve">Ladhani SN, Lucidarme J, Newbold LS, Gray SJ, Carr AD, Findlow J, et al. Invasive meningococcal capsular group Y disease, England and Wales, 2007-2009. </w:t>
      </w:r>
      <w:r w:rsidRPr="00690743">
        <w:rPr>
          <w:rFonts w:cs="Arial"/>
          <w:i/>
          <w:iCs/>
          <w:noProof/>
        </w:rPr>
        <w:t>Emerg Infect Dis</w:t>
      </w:r>
      <w:r w:rsidRPr="00690743">
        <w:rPr>
          <w:rFonts w:cs="Arial"/>
          <w:noProof/>
        </w:rPr>
        <w:t>. 2012;</w:t>
      </w:r>
      <w:r w:rsidRPr="00690743">
        <w:rPr>
          <w:rFonts w:cs="Arial"/>
          <w:b/>
          <w:bCs/>
          <w:noProof/>
        </w:rPr>
        <w:t>18</w:t>
      </w:r>
      <w:r w:rsidRPr="00690743">
        <w:rPr>
          <w:rFonts w:cs="Arial"/>
          <w:noProof/>
        </w:rPr>
        <w:t xml:space="preserve">(1):63–70. </w:t>
      </w:r>
    </w:p>
    <w:p w14:paraId="1B95F7A5"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11. </w:t>
      </w:r>
      <w:r w:rsidRPr="00690743">
        <w:rPr>
          <w:rFonts w:cs="Arial"/>
          <w:noProof/>
        </w:rPr>
        <w:tab/>
        <w:t xml:space="preserve">Ladhani SN, Beebeejaun K, Lucidarme J, Campbell H, Gray S, Kaczmarski E, et al. Increase in endemic Neisseria meningitidis capsular group W sequence type 11 complex associated with severe invasive disease in England and Wales. </w:t>
      </w:r>
      <w:r w:rsidRPr="00690743">
        <w:rPr>
          <w:rFonts w:cs="Arial"/>
          <w:i/>
          <w:iCs/>
          <w:noProof/>
        </w:rPr>
        <w:t>Clin Infect Dis</w:t>
      </w:r>
      <w:r w:rsidRPr="00690743">
        <w:rPr>
          <w:rFonts w:cs="Arial"/>
          <w:noProof/>
        </w:rPr>
        <w:t>. 2015;</w:t>
      </w:r>
      <w:r w:rsidRPr="00690743">
        <w:rPr>
          <w:rFonts w:cs="Arial"/>
          <w:b/>
          <w:bCs/>
          <w:noProof/>
        </w:rPr>
        <w:t>60</w:t>
      </w:r>
      <w:r w:rsidRPr="00690743">
        <w:rPr>
          <w:rFonts w:cs="Arial"/>
          <w:noProof/>
        </w:rPr>
        <w:t xml:space="preserve">(4):578–85. </w:t>
      </w:r>
    </w:p>
    <w:p w14:paraId="634A25B8"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12. </w:t>
      </w:r>
      <w:r w:rsidRPr="00690743">
        <w:rPr>
          <w:rFonts w:cs="Arial"/>
          <w:noProof/>
        </w:rPr>
        <w:tab/>
        <w:t xml:space="preserve">Darton T, Guiver M, Naylor S, Jack DL, Kaczmarski EB, Borrow R, et al. Severity of meningococcal disease associated with genomic bacterial load. </w:t>
      </w:r>
      <w:r w:rsidRPr="00690743">
        <w:rPr>
          <w:rFonts w:cs="Arial"/>
          <w:i/>
          <w:iCs/>
          <w:noProof/>
        </w:rPr>
        <w:t>Clin Infect Dis an Off Publ Infect Dis Soc Am</w:t>
      </w:r>
      <w:r w:rsidRPr="00690743">
        <w:rPr>
          <w:rFonts w:cs="Arial"/>
          <w:noProof/>
        </w:rPr>
        <w:t>. 2009;</w:t>
      </w:r>
      <w:r w:rsidRPr="00690743">
        <w:rPr>
          <w:rFonts w:cs="Arial"/>
          <w:b/>
          <w:bCs/>
          <w:noProof/>
        </w:rPr>
        <w:t>48</w:t>
      </w:r>
      <w:r w:rsidRPr="00690743">
        <w:rPr>
          <w:rFonts w:cs="Arial"/>
          <w:noProof/>
        </w:rPr>
        <w:t xml:space="preserve">:587–94. </w:t>
      </w:r>
    </w:p>
    <w:p w14:paraId="2E95E733"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13. </w:t>
      </w:r>
      <w:r w:rsidRPr="00690743">
        <w:rPr>
          <w:rFonts w:cs="Arial"/>
          <w:noProof/>
        </w:rPr>
        <w:tab/>
        <w:t xml:space="preserve">Ramsay M, Kaczmarski E, Rush M, Mallard R, Farrington P, White J. Changing patterns of case ascertainment and trends in meningococcal disease in England and Wales. </w:t>
      </w:r>
      <w:r w:rsidRPr="00690743">
        <w:rPr>
          <w:rFonts w:cs="Arial"/>
          <w:i/>
          <w:iCs/>
          <w:noProof/>
        </w:rPr>
        <w:t>Commun Dis report, CDR Rev</w:t>
      </w:r>
      <w:r w:rsidRPr="00690743">
        <w:rPr>
          <w:rFonts w:cs="Arial"/>
          <w:noProof/>
        </w:rPr>
        <w:t>. 1997;</w:t>
      </w:r>
      <w:r w:rsidRPr="00690743">
        <w:rPr>
          <w:rFonts w:cs="Arial"/>
          <w:b/>
          <w:bCs/>
          <w:noProof/>
        </w:rPr>
        <w:t>7</w:t>
      </w:r>
      <w:r w:rsidRPr="00690743">
        <w:rPr>
          <w:rFonts w:cs="Arial"/>
          <w:noProof/>
        </w:rPr>
        <w:t xml:space="preserve">(4):R49–54. </w:t>
      </w:r>
    </w:p>
    <w:p w14:paraId="47D363D2"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14. </w:t>
      </w:r>
      <w:r w:rsidRPr="00690743">
        <w:rPr>
          <w:rFonts w:cs="Arial"/>
          <w:noProof/>
        </w:rPr>
        <w:tab/>
        <w:t xml:space="preserve">Okike IO, Ribeiro S, Ramsay ME, Heath PT, Sharland M, Ladhani SN. Trends in bacterial, mycobacterial, and fungal meningitis in England and Wales 2004-11: an observational study. </w:t>
      </w:r>
      <w:r w:rsidRPr="00690743">
        <w:rPr>
          <w:rFonts w:cs="Arial"/>
          <w:i/>
          <w:iCs/>
          <w:noProof/>
        </w:rPr>
        <w:t>Lancet Infect Dis</w:t>
      </w:r>
      <w:r w:rsidRPr="00690743">
        <w:rPr>
          <w:rFonts w:cs="Arial"/>
          <w:noProof/>
        </w:rPr>
        <w:t xml:space="preserve"> [Internet]. Elsevier Ltd; 2014;</w:t>
      </w:r>
      <w:r w:rsidRPr="00690743">
        <w:rPr>
          <w:rFonts w:cs="Arial"/>
          <w:b/>
          <w:bCs/>
          <w:noProof/>
        </w:rPr>
        <w:t>14</w:t>
      </w:r>
      <w:r w:rsidRPr="00690743">
        <w:rPr>
          <w:rFonts w:cs="Arial"/>
          <w:noProof/>
        </w:rPr>
        <w:t>(4):301–7. Available from: http://www.sciencedirect.com/science/article/pii/S1473309913703323</w:t>
      </w:r>
    </w:p>
    <w:p w14:paraId="13A95665"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15. </w:t>
      </w:r>
      <w:r w:rsidRPr="00690743">
        <w:rPr>
          <w:rFonts w:cs="Arial"/>
          <w:noProof/>
        </w:rPr>
        <w:tab/>
        <w:t xml:space="preserve">Ladhani SN, Campbell H, Parikh SR, Saliba V, Borrow R, Ramsay M. The introduction of the meningococcal B (MenB) vaccine (Bexsero®) into the national infant immunisation programme – New challenges for public health. </w:t>
      </w:r>
      <w:r w:rsidRPr="00690743">
        <w:rPr>
          <w:rFonts w:cs="Arial"/>
          <w:i/>
          <w:iCs/>
          <w:noProof/>
        </w:rPr>
        <w:t>J Infect</w:t>
      </w:r>
      <w:r w:rsidRPr="00690743">
        <w:rPr>
          <w:rFonts w:cs="Arial"/>
          <w:noProof/>
        </w:rPr>
        <w:t xml:space="preserve"> [Internet]. Elsevier Ltd; 2015;</w:t>
      </w:r>
      <w:r w:rsidRPr="00690743">
        <w:rPr>
          <w:rFonts w:cs="Arial"/>
          <w:b/>
          <w:bCs/>
          <w:noProof/>
        </w:rPr>
        <w:t>71</w:t>
      </w:r>
      <w:r w:rsidRPr="00690743">
        <w:rPr>
          <w:rFonts w:cs="Arial"/>
          <w:noProof/>
        </w:rPr>
        <w:t>(6):611–4. Available from: http://linkinghub.elsevier.com/retrieve/pii/S0163445315003138</w:t>
      </w:r>
    </w:p>
    <w:p w14:paraId="626411C5"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16. </w:t>
      </w:r>
      <w:r w:rsidRPr="00690743">
        <w:rPr>
          <w:rFonts w:cs="Arial"/>
          <w:noProof/>
        </w:rPr>
        <w:tab/>
        <w:t xml:space="preserve">Tully J, Viner RM, Coen PG, Stuart JM, Zambon M, Peckham C, et al. Risk and protective factors for meningococcal disease in adolescents: matched cohort study. </w:t>
      </w:r>
      <w:r w:rsidRPr="00690743">
        <w:rPr>
          <w:rFonts w:cs="Arial"/>
          <w:i/>
          <w:iCs/>
          <w:noProof/>
        </w:rPr>
        <w:t>BMJ</w:t>
      </w:r>
      <w:r w:rsidRPr="00690743">
        <w:rPr>
          <w:rFonts w:cs="Arial"/>
          <w:noProof/>
        </w:rPr>
        <w:t xml:space="preserve"> [Internet]. 2006;</w:t>
      </w:r>
      <w:r w:rsidRPr="00690743">
        <w:rPr>
          <w:rFonts w:cs="Arial"/>
          <w:b/>
          <w:bCs/>
          <w:noProof/>
        </w:rPr>
        <w:t>332</w:t>
      </w:r>
      <w:r w:rsidRPr="00690743">
        <w:rPr>
          <w:rFonts w:cs="Arial"/>
          <w:noProof/>
        </w:rPr>
        <w:t>(7539):445–50. Available from: http://www.pubmedcentral.nih.gov/articlerender.fcgi?artid=1382533&amp;tool=pmcentrez&amp;rendertype=abstract</w:t>
      </w:r>
    </w:p>
    <w:p w14:paraId="340A8B6F"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17. </w:t>
      </w:r>
      <w:r w:rsidRPr="00690743">
        <w:rPr>
          <w:rFonts w:cs="Arial"/>
          <w:noProof/>
        </w:rPr>
        <w:tab/>
        <w:t xml:space="preserve">Christensen H, May M, Bowen L, Hickman M, Trotter CL. Meningococcal carriage by age: A systematic review and meta-analysis. </w:t>
      </w:r>
      <w:r w:rsidRPr="00690743">
        <w:rPr>
          <w:rFonts w:cs="Arial"/>
          <w:i/>
          <w:iCs/>
          <w:noProof/>
        </w:rPr>
        <w:t>Lancet Infect Dis</w:t>
      </w:r>
      <w:r w:rsidRPr="00690743">
        <w:rPr>
          <w:rFonts w:cs="Arial"/>
          <w:noProof/>
        </w:rPr>
        <w:t xml:space="preserve"> [Internet]. Elsevier Ltd; 2010;</w:t>
      </w:r>
      <w:r w:rsidRPr="00690743">
        <w:rPr>
          <w:rFonts w:cs="Arial"/>
          <w:b/>
          <w:bCs/>
          <w:noProof/>
        </w:rPr>
        <w:t>10</w:t>
      </w:r>
      <w:r w:rsidRPr="00690743">
        <w:rPr>
          <w:rFonts w:cs="Arial"/>
          <w:noProof/>
        </w:rPr>
        <w:t>(12):853–61. Available from: http://dx.doi.org/10.1016/S1473-3099(10)70251-6</w:t>
      </w:r>
    </w:p>
    <w:p w14:paraId="1393E523"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18. </w:t>
      </w:r>
      <w:r w:rsidRPr="00690743">
        <w:rPr>
          <w:rFonts w:cs="Arial"/>
          <w:noProof/>
        </w:rPr>
        <w:tab/>
        <w:t xml:space="preserve">Ladhani SN, Christensen H, Trotter CL, Ramsay ME. Indirect impact of an adolescent meningococcal ACWY conjugate vaccine programme in England with and without catch-up: a transmission dynamic model. In: 13th congress European Meningooccal Disease Society Conference. 2015. </w:t>
      </w:r>
    </w:p>
    <w:p w14:paraId="2BCA31F4"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19. </w:t>
      </w:r>
      <w:r w:rsidRPr="00690743">
        <w:rPr>
          <w:rFonts w:cs="Arial"/>
          <w:noProof/>
        </w:rPr>
        <w:tab/>
        <w:t xml:space="preserve">Hackett SJ, Guiver M, Marsh J, Sills J a, Thomson  a PJ, Kaczmarski EB, et al. Meningococcal bacterial DNA load at presentation correlates with disease severity. </w:t>
      </w:r>
      <w:r w:rsidRPr="00690743">
        <w:rPr>
          <w:rFonts w:cs="Arial"/>
          <w:i/>
          <w:iCs/>
          <w:noProof/>
        </w:rPr>
        <w:t>Arch Dis Child</w:t>
      </w:r>
      <w:r w:rsidRPr="00690743">
        <w:rPr>
          <w:rFonts w:cs="Arial"/>
          <w:noProof/>
        </w:rPr>
        <w:t xml:space="preserve"> [Internet]. 2002;</w:t>
      </w:r>
      <w:r w:rsidRPr="00690743">
        <w:rPr>
          <w:rFonts w:cs="Arial"/>
          <w:b/>
          <w:bCs/>
          <w:noProof/>
        </w:rPr>
        <w:t>86</w:t>
      </w:r>
      <w:r w:rsidRPr="00690743">
        <w:rPr>
          <w:rFonts w:cs="Arial"/>
          <w:noProof/>
        </w:rPr>
        <w:t>(1):44–6. Available from: http://www.pubmedcentral.nih.gov/articlerender.fcgi?artid=1719043&amp;tool=pmcentrez&amp;rendertype=abstract</w:t>
      </w:r>
    </w:p>
    <w:p w14:paraId="06EB2700"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20. </w:t>
      </w:r>
      <w:r w:rsidRPr="00690743">
        <w:rPr>
          <w:rFonts w:cs="Arial"/>
          <w:noProof/>
        </w:rPr>
        <w:tab/>
        <w:t xml:space="preserve">Bronska E, Kalmusova J, Dzupova O, Maresova V, Kriz P, Benes J. Dynamics of PCR-based diagnosis in patients with invasive meningococcal disease. </w:t>
      </w:r>
      <w:r w:rsidRPr="00690743">
        <w:rPr>
          <w:rFonts w:cs="Arial"/>
          <w:i/>
          <w:iCs/>
          <w:noProof/>
        </w:rPr>
        <w:t>Clin Microbiol Infect</w:t>
      </w:r>
      <w:r w:rsidRPr="00690743">
        <w:rPr>
          <w:rFonts w:cs="Arial"/>
          <w:noProof/>
        </w:rPr>
        <w:t>. 2006;</w:t>
      </w:r>
      <w:r w:rsidRPr="00690743">
        <w:rPr>
          <w:rFonts w:cs="Arial"/>
          <w:b/>
          <w:bCs/>
          <w:noProof/>
        </w:rPr>
        <w:t>12</w:t>
      </w:r>
      <w:r w:rsidRPr="00690743">
        <w:rPr>
          <w:rFonts w:cs="Arial"/>
          <w:noProof/>
        </w:rPr>
        <w:t xml:space="preserve">(2):137–41. </w:t>
      </w:r>
    </w:p>
    <w:p w14:paraId="0643D7D0"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21. </w:t>
      </w:r>
      <w:r w:rsidRPr="00690743">
        <w:rPr>
          <w:rFonts w:cs="Arial"/>
          <w:noProof/>
        </w:rPr>
        <w:tab/>
        <w:t xml:space="preserve">McBride S, Fulke J, Giles H, Hobbs M, Suh J, Sathyendran V, et al. Epidemiology and diagnostic testing for meningitis in adults as the meningococcal epidemic declined at Middlemore Hospital. </w:t>
      </w:r>
      <w:r w:rsidRPr="00690743">
        <w:rPr>
          <w:rFonts w:cs="Arial"/>
          <w:i/>
          <w:iCs/>
          <w:noProof/>
        </w:rPr>
        <w:t>N Z Med J</w:t>
      </w:r>
      <w:r w:rsidRPr="00690743">
        <w:rPr>
          <w:rFonts w:cs="Arial"/>
          <w:noProof/>
        </w:rPr>
        <w:t>. 2015;</w:t>
      </w:r>
      <w:r w:rsidRPr="00690743">
        <w:rPr>
          <w:rFonts w:cs="Arial"/>
          <w:b/>
          <w:bCs/>
          <w:noProof/>
        </w:rPr>
        <w:t>128</w:t>
      </w:r>
      <w:r w:rsidRPr="00690743">
        <w:rPr>
          <w:rFonts w:cs="Arial"/>
          <w:noProof/>
        </w:rPr>
        <w:t xml:space="preserve">(1410):17–24. </w:t>
      </w:r>
    </w:p>
    <w:p w14:paraId="73BAEB80"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22. </w:t>
      </w:r>
      <w:r w:rsidRPr="00690743">
        <w:rPr>
          <w:rFonts w:cs="Arial"/>
          <w:noProof/>
        </w:rPr>
        <w:tab/>
        <w:t xml:space="preserve">Clark S, Lekshmi A, Lucidarme J, Hao L, Tsao H, Newbold LS, et al. Factor H-binding protein distribution among culture and non-culture meningococci in England and Wales: 2011-13. In: Meningitis and Septicaemia in Children and Adults 2015. 2015. </w:t>
      </w:r>
    </w:p>
    <w:p w14:paraId="64E97C64"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23. </w:t>
      </w:r>
      <w:r w:rsidRPr="00690743">
        <w:rPr>
          <w:rFonts w:cs="Arial"/>
          <w:noProof/>
        </w:rPr>
        <w:tab/>
        <w:t xml:space="preserve">Sadarangani M, Scheifele DW, Halperin S a., Vaudry W, Le Saux N, Tsang R, et al. Outcomes of Invasive Meningococcal Disease in Adults and Children in Canada Between 2002 and 2011: A Prospective Cohort Study. </w:t>
      </w:r>
      <w:r w:rsidRPr="00690743">
        <w:rPr>
          <w:rFonts w:cs="Arial"/>
          <w:i/>
          <w:iCs/>
          <w:noProof/>
        </w:rPr>
        <w:t>Clin Infect Dis</w:t>
      </w:r>
      <w:r w:rsidRPr="00690743">
        <w:rPr>
          <w:rFonts w:cs="Arial"/>
          <w:noProof/>
        </w:rPr>
        <w:t xml:space="preserve"> [Internet]. 2015;</w:t>
      </w:r>
      <w:r w:rsidRPr="00690743">
        <w:rPr>
          <w:rFonts w:cs="Arial"/>
          <w:b/>
          <w:bCs/>
          <w:noProof/>
        </w:rPr>
        <w:t>60</w:t>
      </w:r>
      <w:r w:rsidRPr="00690743">
        <w:rPr>
          <w:rFonts w:cs="Arial"/>
          <w:noProof/>
        </w:rPr>
        <w:t>(8):e27–35. Available from: http://cid.oxfordjournals.org/lookup/doi/10.1093/cid/civ028</w:t>
      </w:r>
    </w:p>
    <w:p w14:paraId="6C5601EF" w14:textId="77777777" w:rsidR="00690743" w:rsidRPr="00690743" w:rsidRDefault="00690743" w:rsidP="00690743">
      <w:pPr>
        <w:widowControl w:val="0"/>
        <w:autoSpaceDE w:val="0"/>
        <w:autoSpaceDN w:val="0"/>
        <w:adjustRightInd w:val="0"/>
        <w:ind w:left="640" w:hanging="640"/>
        <w:rPr>
          <w:rFonts w:cs="Arial"/>
          <w:noProof/>
        </w:rPr>
      </w:pPr>
      <w:r w:rsidRPr="00690743">
        <w:rPr>
          <w:rFonts w:cs="Arial"/>
          <w:noProof/>
        </w:rPr>
        <w:t xml:space="preserve">24. </w:t>
      </w:r>
      <w:r w:rsidRPr="00690743">
        <w:rPr>
          <w:rFonts w:cs="Arial"/>
          <w:noProof/>
        </w:rPr>
        <w:tab/>
        <w:t xml:space="preserve">Couto-Alves A, Wright VJ, Perumal K, Binder A, Carrol ED, Emonts M, et al. A new scoring system derived from base excess and platelet count at presentation predicts mortality in paediatric meningococcal sepsis. </w:t>
      </w:r>
      <w:r w:rsidRPr="00690743">
        <w:rPr>
          <w:rFonts w:cs="Arial"/>
          <w:i/>
          <w:iCs/>
          <w:noProof/>
        </w:rPr>
        <w:t>Crit Care</w:t>
      </w:r>
      <w:r w:rsidRPr="00690743">
        <w:rPr>
          <w:rFonts w:cs="Arial"/>
          <w:noProof/>
        </w:rPr>
        <w:t xml:space="preserve"> [Internet]. BioMed Central Ltd; 2013;</w:t>
      </w:r>
      <w:r w:rsidRPr="00690743">
        <w:rPr>
          <w:rFonts w:cs="Arial"/>
          <w:b/>
          <w:bCs/>
          <w:noProof/>
        </w:rPr>
        <w:t>17</w:t>
      </w:r>
      <w:r w:rsidRPr="00690743">
        <w:rPr>
          <w:rFonts w:cs="Arial"/>
          <w:noProof/>
        </w:rPr>
        <w:t>(2):R68. Available from: http://www.pubmedcentral.nih.gov/articlerender.fcgi?artid=3672696&amp;tool=pmcentrez&amp;rendertype=abstract</w:t>
      </w:r>
    </w:p>
    <w:p w14:paraId="3A952676" w14:textId="77777777" w:rsidR="006520AE" w:rsidRPr="004A5E45" w:rsidRDefault="0022615A" w:rsidP="007B789D">
      <w:r>
        <w:fldChar w:fldCharType="end"/>
      </w:r>
    </w:p>
    <w:p w14:paraId="78E6CBB4" w14:textId="77777777" w:rsidR="00750106" w:rsidRDefault="00750106">
      <w:pPr>
        <w:spacing w:after="200" w:line="276" w:lineRule="auto"/>
        <w:rPr>
          <w:b/>
        </w:rPr>
      </w:pPr>
      <w:r>
        <w:rPr>
          <w:b/>
        </w:rPr>
        <w:br w:type="page"/>
      </w:r>
    </w:p>
    <w:p w14:paraId="06F1416E" w14:textId="4921BCA4" w:rsidR="00835245" w:rsidRPr="00FF6F48" w:rsidRDefault="00FD1381" w:rsidP="00835245">
      <w:r>
        <w:rPr>
          <w:b/>
        </w:rPr>
        <w:t>F</w:t>
      </w:r>
      <w:r w:rsidR="00835245">
        <w:rPr>
          <w:b/>
        </w:rPr>
        <w:t xml:space="preserve">igure 1. </w:t>
      </w:r>
      <w:r w:rsidR="00835245">
        <w:t>Mean annual age-</w:t>
      </w:r>
      <w:r w:rsidR="00F2217A">
        <w:t>specific</w:t>
      </w:r>
      <w:r w:rsidR="00835245">
        <w:t xml:space="preserve"> and gender-specific incidence of hospitalised cases of laboratory-confirmed IMD in England during 2007-11</w:t>
      </w:r>
      <w:r w:rsidR="00F2217A">
        <w:t xml:space="preserve">. </w:t>
      </w:r>
      <w:r w:rsidR="00750106">
        <w:t>The numbers above the bars denote the incidence for that age group and gender</w:t>
      </w:r>
    </w:p>
    <w:p w14:paraId="7067D427" w14:textId="77777777" w:rsidR="003B16F6" w:rsidRDefault="003B16F6" w:rsidP="003B16F6">
      <w:r>
        <w:rPr>
          <w:noProof/>
          <w:lang w:eastAsia="en-GB"/>
        </w:rPr>
        <w:drawing>
          <wp:inline distT="0" distB="0" distL="0" distR="0" wp14:anchorId="66305E56" wp14:editId="689FECAB">
            <wp:extent cx="6000750" cy="37909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42C90A" w14:textId="77777777" w:rsidR="00835245" w:rsidRDefault="00835245" w:rsidP="00835245"/>
    <w:p w14:paraId="4F275BA0" w14:textId="77777777" w:rsidR="00835245" w:rsidRDefault="00835245" w:rsidP="00835245"/>
    <w:p w14:paraId="33F2DE8B" w14:textId="77777777" w:rsidR="00835245" w:rsidRDefault="00835245" w:rsidP="00835245"/>
    <w:p w14:paraId="07505709" w14:textId="77777777" w:rsidR="00835245" w:rsidRDefault="00835245" w:rsidP="00835245"/>
    <w:p w14:paraId="3027B442" w14:textId="77777777" w:rsidR="00835245" w:rsidRDefault="00835245" w:rsidP="00835245"/>
    <w:p w14:paraId="7E3B2675" w14:textId="77777777" w:rsidR="00835245" w:rsidRDefault="00835245" w:rsidP="00835245"/>
    <w:p w14:paraId="3E3F5894" w14:textId="77777777" w:rsidR="00835245" w:rsidRDefault="00835245" w:rsidP="00835245"/>
    <w:p w14:paraId="1F360C32" w14:textId="77777777" w:rsidR="00835245" w:rsidRDefault="00835245" w:rsidP="00835245"/>
    <w:p w14:paraId="777E9940" w14:textId="77777777" w:rsidR="00835245" w:rsidRDefault="00835245" w:rsidP="00835245"/>
    <w:p w14:paraId="4ECA2A34" w14:textId="77777777" w:rsidR="00835245" w:rsidRDefault="00835245" w:rsidP="00835245"/>
    <w:p w14:paraId="3CC1F3C5" w14:textId="3980EC2D" w:rsidR="00835245" w:rsidRDefault="00835245" w:rsidP="00835245">
      <w:r w:rsidRPr="00835245">
        <w:rPr>
          <w:b/>
        </w:rPr>
        <w:t>Figure 2</w:t>
      </w:r>
      <w:r>
        <w:t xml:space="preserve">. Number (a) and Proportion (b) of IMD cases caused by different capsular groups in different age groups among hospitalised cases with laboratory-confirmed IMD in England during 2007-11. </w:t>
      </w:r>
    </w:p>
    <w:p w14:paraId="77B18F1A" w14:textId="77777777" w:rsidR="00FF6F48" w:rsidRDefault="00FF6F48" w:rsidP="00FF6F48">
      <w:pPr>
        <w:rPr>
          <w:rFonts w:cs="Arial"/>
        </w:rPr>
      </w:pPr>
    </w:p>
    <w:p w14:paraId="71CBBDAC" w14:textId="77777777" w:rsidR="00657ED6" w:rsidRDefault="00657ED6" w:rsidP="00FF6F48">
      <w:pPr>
        <w:rPr>
          <w:rFonts w:cs="Arial"/>
        </w:rPr>
      </w:pPr>
      <w:r>
        <w:rPr>
          <w:noProof/>
          <w:lang w:eastAsia="en-GB"/>
        </w:rPr>
        <w:drawing>
          <wp:inline distT="0" distB="0" distL="0" distR="0" wp14:anchorId="5A475DBF" wp14:editId="7EE44B5D">
            <wp:extent cx="4886325" cy="274320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38589C" w14:textId="77777777" w:rsidR="00FF27C5" w:rsidRPr="002D76F5" w:rsidRDefault="00FF27C5" w:rsidP="00FF6F48">
      <w:pPr>
        <w:rPr>
          <w:rFonts w:cs="Arial"/>
        </w:rPr>
      </w:pPr>
      <w:r>
        <w:rPr>
          <w:noProof/>
          <w:lang w:eastAsia="en-GB"/>
        </w:rPr>
        <w:drawing>
          <wp:inline distT="0" distB="0" distL="0" distR="0" wp14:anchorId="172C2CF8" wp14:editId="14C5D514">
            <wp:extent cx="4886325" cy="27432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AC2C83" w14:textId="77777777" w:rsidR="007B0EB2" w:rsidRDefault="007B0EB2" w:rsidP="00FF6F48">
      <w:pPr>
        <w:rPr>
          <w:rFonts w:cs="Arial"/>
        </w:rPr>
      </w:pPr>
    </w:p>
    <w:p w14:paraId="7434A79B" w14:textId="77777777" w:rsidR="00835245" w:rsidRDefault="00835245" w:rsidP="00835245"/>
    <w:p w14:paraId="230ED5A1" w14:textId="77777777" w:rsidR="00835245" w:rsidRDefault="00835245" w:rsidP="00835245"/>
    <w:p w14:paraId="775F2623" w14:textId="77777777" w:rsidR="00F03EFB" w:rsidRDefault="00F03EFB">
      <w:pPr>
        <w:spacing w:after="200" w:line="276" w:lineRule="auto"/>
        <w:rPr>
          <w:b/>
        </w:rPr>
      </w:pPr>
      <w:r>
        <w:rPr>
          <w:b/>
        </w:rPr>
        <w:br w:type="page"/>
      </w:r>
    </w:p>
    <w:p w14:paraId="0B263FC2" w14:textId="580FF60D" w:rsidR="00B35E33" w:rsidRDefault="00835245" w:rsidP="00B35E33">
      <w:pPr>
        <w:spacing w:after="200" w:line="276" w:lineRule="auto"/>
        <w:rPr>
          <w:rFonts w:cs="Arial"/>
          <w:b/>
        </w:rPr>
      </w:pPr>
      <w:r w:rsidRPr="00835245">
        <w:rPr>
          <w:b/>
        </w:rPr>
        <w:t>Figure 3</w:t>
      </w:r>
      <w:r>
        <w:t xml:space="preserve">. Prevalence of </w:t>
      </w:r>
      <w:r w:rsidR="00B35E33">
        <w:t xml:space="preserve">(a) </w:t>
      </w:r>
      <w:r w:rsidRPr="00883A16">
        <w:rPr>
          <w:b/>
        </w:rPr>
        <w:t>clinical presentation</w:t>
      </w:r>
      <w:r>
        <w:t xml:space="preserve"> </w:t>
      </w:r>
      <w:r w:rsidR="00B35E33">
        <w:t xml:space="preserve">and (b) </w:t>
      </w:r>
      <w:r w:rsidR="00B35E33" w:rsidRPr="00883A16">
        <w:rPr>
          <w:b/>
        </w:rPr>
        <w:t>diagnostic confirmation</w:t>
      </w:r>
      <w:r w:rsidR="00B35E33">
        <w:t xml:space="preserve"> </w:t>
      </w:r>
      <w:r>
        <w:t>by age group among hospitalised cases with laboratory-confirmed IMD in England during 2007-11</w:t>
      </w:r>
      <w:r w:rsidR="00B35E33" w:rsidRPr="00B35E33">
        <w:rPr>
          <w:rFonts w:cs="Arial"/>
          <w:b/>
        </w:rPr>
        <w:t xml:space="preserve"> </w:t>
      </w:r>
    </w:p>
    <w:p w14:paraId="5568A6C7" w14:textId="77777777" w:rsidR="00B35E33" w:rsidRDefault="00B35E33" w:rsidP="007B789D">
      <w:pPr>
        <w:rPr>
          <w:rFonts w:cs="Arial"/>
          <w:b/>
        </w:rPr>
      </w:pPr>
    </w:p>
    <w:p w14:paraId="2AD30E11" w14:textId="77777777" w:rsidR="00B35E33" w:rsidRDefault="00B35E33" w:rsidP="007B789D">
      <w:pPr>
        <w:rPr>
          <w:rFonts w:cs="Arial"/>
          <w:b/>
        </w:rPr>
      </w:pPr>
    </w:p>
    <w:p w14:paraId="7DCF599F" w14:textId="77777777" w:rsidR="00FF27C5" w:rsidRDefault="00FF27C5" w:rsidP="007B789D">
      <w:r>
        <w:rPr>
          <w:noProof/>
          <w:lang w:eastAsia="en-GB"/>
        </w:rPr>
        <w:drawing>
          <wp:inline distT="0" distB="0" distL="0" distR="0" wp14:anchorId="048C0F79" wp14:editId="0C3A5912">
            <wp:extent cx="5400000" cy="2880000"/>
            <wp:effectExtent l="0" t="0" r="10795"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AE127D" w14:textId="77777777" w:rsidR="007B789D" w:rsidRDefault="00FF27C5" w:rsidP="007B789D">
      <w:r>
        <w:rPr>
          <w:noProof/>
          <w:lang w:eastAsia="en-GB"/>
        </w:rPr>
        <w:drawing>
          <wp:inline distT="0" distB="0" distL="0" distR="0" wp14:anchorId="3577BF49" wp14:editId="4DF232C1">
            <wp:extent cx="5400000" cy="2880000"/>
            <wp:effectExtent l="0" t="0" r="10795" b="158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080447" w14:textId="77777777" w:rsidR="00835245" w:rsidRDefault="00835245" w:rsidP="007B789D"/>
    <w:p w14:paraId="6198DA7A" w14:textId="77777777" w:rsidR="00835245" w:rsidRDefault="00835245" w:rsidP="007B789D"/>
    <w:p w14:paraId="40026D7C" w14:textId="77777777" w:rsidR="00F2217A" w:rsidRDefault="00F2217A">
      <w:pPr>
        <w:spacing w:after="200" w:line="276" w:lineRule="auto"/>
        <w:rPr>
          <w:rFonts w:cs="Arial"/>
          <w:b/>
        </w:rPr>
      </w:pPr>
      <w:r>
        <w:rPr>
          <w:rFonts w:cs="Arial"/>
          <w:b/>
        </w:rPr>
        <w:br w:type="page"/>
      </w:r>
    </w:p>
    <w:p w14:paraId="09345FB8" w14:textId="3615F9F9" w:rsidR="002E608E" w:rsidRPr="00CA613E" w:rsidRDefault="002E608E" w:rsidP="00CA613E">
      <w:pPr>
        <w:spacing w:after="200" w:line="276" w:lineRule="auto"/>
        <w:rPr>
          <w:rFonts w:eastAsiaTheme="majorEastAsia" w:cs="Arial"/>
          <w:b/>
          <w:bCs/>
          <w:sz w:val="20"/>
          <w:szCs w:val="16"/>
        </w:rPr>
      </w:pPr>
      <w:r w:rsidRPr="00883A16">
        <w:rPr>
          <w:b/>
          <w:sz w:val="20"/>
          <w:szCs w:val="16"/>
        </w:rPr>
        <w:t>Table 1</w:t>
      </w:r>
      <w:r w:rsidR="004A5E45">
        <w:rPr>
          <w:b/>
          <w:sz w:val="20"/>
          <w:szCs w:val="16"/>
        </w:rPr>
        <w:t xml:space="preserve">. Number (percentages) of different clinical presentations by age group and capsular group among hospitalised IMD cases confirmed in England during 2007-11. </w:t>
      </w:r>
    </w:p>
    <w:p w14:paraId="3948CFA4" w14:textId="77777777" w:rsidR="00674B5B" w:rsidRPr="00FB42C1" w:rsidRDefault="00674B5B" w:rsidP="00674B5B">
      <w:pPr>
        <w:pStyle w:val="Caption"/>
        <w:rPr>
          <w:rFonts w:cs="Arial"/>
          <w:color w:val="auto"/>
          <w:sz w:val="16"/>
          <w:szCs w:val="16"/>
        </w:rPr>
      </w:pPr>
    </w:p>
    <w:tbl>
      <w:tblPr>
        <w:tblStyle w:val="MediumShading11"/>
        <w:tblW w:w="7911" w:type="dxa"/>
        <w:tblInd w:w="108" w:type="dxa"/>
        <w:tblLayout w:type="fixed"/>
        <w:tblLook w:val="04A0" w:firstRow="1" w:lastRow="0" w:firstColumn="1" w:lastColumn="0" w:noHBand="0" w:noVBand="1"/>
      </w:tblPr>
      <w:tblGrid>
        <w:gridCol w:w="906"/>
        <w:gridCol w:w="905"/>
        <w:gridCol w:w="1223"/>
        <w:gridCol w:w="1329"/>
        <w:gridCol w:w="1166"/>
        <w:gridCol w:w="1417"/>
        <w:gridCol w:w="965"/>
      </w:tblGrid>
      <w:tr w:rsidR="006953FF" w:rsidRPr="00FB42C1" w14:paraId="4CCA3D13" w14:textId="77777777" w:rsidTr="00C6415A">
        <w:trPr>
          <w:cnfStyle w:val="100000000000" w:firstRow="1" w:lastRow="0" w:firstColumn="0" w:lastColumn="0" w:oddVBand="0" w:evenVBand="0" w:oddHBand="0"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val="restart"/>
          </w:tcPr>
          <w:p w14:paraId="3952A98D" w14:textId="77777777" w:rsidR="006953FF" w:rsidRPr="00FB42C1" w:rsidRDefault="006953FF" w:rsidP="00674B5B">
            <w:pPr>
              <w:spacing w:after="0" w:line="240" w:lineRule="auto"/>
              <w:rPr>
                <w:rFonts w:ascii="Arial" w:hAnsi="Arial" w:cs="Arial"/>
                <w:b w:val="0"/>
                <w:sz w:val="16"/>
                <w:szCs w:val="16"/>
              </w:rPr>
            </w:pPr>
            <w:r w:rsidRPr="00FB42C1">
              <w:rPr>
                <w:rFonts w:ascii="Arial" w:hAnsi="Arial" w:cs="Arial"/>
                <w:b w:val="0"/>
                <w:sz w:val="16"/>
                <w:szCs w:val="16"/>
              </w:rPr>
              <w:t>Age group</w:t>
            </w:r>
          </w:p>
        </w:tc>
        <w:tc>
          <w:tcPr>
            <w:tcW w:w="905" w:type="dxa"/>
            <w:vMerge w:val="restart"/>
          </w:tcPr>
          <w:p w14:paraId="333F4EC1" w14:textId="77777777" w:rsidR="006953FF" w:rsidRPr="00FB42C1" w:rsidRDefault="006953FF" w:rsidP="00674B5B">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B42C1">
              <w:rPr>
                <w:rFonts w:ascii="Arial" w:hAnsi="Arial" w:cs="Arial"/>
                <w:b w:val="0"/>
                <w:sz w:val="16"/>
                <w:szCs w:val="16"/>
              </w:rPr>
              <w:t>Capsular group</w:t>
            </w:r>
          </w:p>
        </w:tc>
        <w:tc>
          <w:tcPr>
            <w:tcW w:w="5135" w:type="dxa"/>
            <w:gridSpan w:val="4"/>
            <w:tcBorders>
              <w:top w:val="nil"/>
              <w:bottom w:val="nil"/>
            </w:tcBorders>
          </w:tcPr>
          <w:p w14:paraId="1EBD155C" w14:textId="77777777" w:rsidR="006953FF" w:rsidRPr="00FB42C1" w:rsidRDefault="006953FF" w:rsidP="002E60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FB42C1">
              <w:rPr>
                <w:rFonts w:ascii="Arial" w:hAnsi="Arial" w:cs="Arial"/>
                <w:b w:val="0"/>
                <w:sz w:val="16"/>
                <w:szCs w:val="16"/>
              </w:rPr>
              <w:t>Clinical presentation</w:t>
            </w:r>
          </w:p>
        </w:tc>
        <w:tc>
          <w:tcPr>
            <w:tcW w:w="965" w:type="dxa"/>
            <w:vMerge w:val="restart"/>
            <w:tcBorders>
              <w:top w:val="nil"/>
              <w:right w:val="nil"/>
            </w:tcBorders>
          </w:tcPr>
          <w:p w14:paraId="56E93CB1" w14:textId="1F1DF3F1" w:rsidR="006953FF" w:rsidRPr="00FB42C1" w:rsidRDefault="006953FF" w:rsidP="00C6415A">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FB42C1">
              <w:rPr>
                <w:rFonts w:ascii="Arial" w:hAnsi="Arial" w:cs="Arial"/>
                <w:b w:val="0"/>
                <w:sz w:val="16"/>
                <w:szCs w:val="16"/>
              </w:rPr>
              <w:t>Total</w:t>
            </w:r>
            <w:r w:rsidR="00C6415A">
              <w:rPr>
                <w:rFonts w:ascii="Arial" w:hAnsi="Arial" w:cs="Arial"/>
                <w:b w:val="0"/>
                <w:sz w:val="16"/>
                <w:szCs w:val="16"/>
              </w:rPr>
              <w:t xml:space="preserve"> number of</w:t>
            </w:r>
            <w:r w:rsidRPr="00FB42C1">
              <w:rPr>
                <w:rFonts w:ascii="Arial" w:hAnsi="Arial" w:cs="Arial"/>
                <w:b w:val="0"/>
                <w:sz w:val="16"/>
                <w:szCs w:val="16"/>
              </w:rPr>
              <w:t xml:space="preserve"> </w:t>
            </w:r>
            <w:r w:rsidR="00C6415A">
              <w:rPr>
                <w:rFonts w:ascii="Arial" w:hAnsi="Arial" w:cs="Arial"/>
                <w:b w:val="0"/>
                <w:sz w:val="16"/>
                <w:szCs w:val="16"/>
              </w:rPr>
              <w:t>IMD cases</w:t>
            </w:r>
          </w:p>
        </w:tc>
      </w:tr>
      <w:tr w:rsidR="006953FF" w:rsidRPr="00FB42C1" w14:paraId="51E82F96"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Pr>
          <w:p w14:paraId="0595D587" w14:textId="77777777" w:rsidR="006953FF" w:rsidRPr="00FB42C1" w:rsidRDefault="006953FF" w:rsidP="00674B5B">
            <w:pPr>
              <w:spacing w:after="0" w:line="240" w:lineRule="auto"/>
              <w:rPr>
                <w:rFonts w:ascii="Arial" w:hAnsi="Arial" w:cs="Arial"/>
                <w:b w:val="0"/>
                <w:sz w:val="16"/>
                <w:szCs w:val="16"/>
              </w:rPr>
            </w:pPr>
          </w:p>
        </w:tc>
        <w:tc>
          <w:tcPr>
            <w:tcW w:w="905" w:type="dxa"/>
            <w:vMerge/>
            <w:tcBorders>
              <w:bottom w:val="single" w:sz="4" w:space="0" w:color="auto"/>
            </w:tcBorders>
            <w:shd w:val="clear" w:color="auto" w:fill="000000" w:themeFill="text1"/>
          </w:tcPr>
          <w:p w14:paraId="602D446D"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23" w:type="dxa"/>
            <w:tcBorders>
              <w:top w:val="nil"/>
              <w:bottom w:val="nil"/>
            </w:tcBorders>
            <w:shd w:val="clear" w:color="auto" w:fill="000000" w:themeFill="text1"/>
          </w:tcPr>
          <w:p w14:paraId="43A70621" w14:textId="5503AE14"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FB42C1">
              <w:rPr>
                <w:rFonts w:ascii="Arial" w:hAnsi="Arial" w:cs="Arial"/>
                <w:b/>
                <w:sz w:val="16"/>
                <w:szCs w:val="16"/>
              </w:rPr>
              <w:t>Meningitis only</w:t>
            </w:r>
            <w:r w:rsidR="00C6415A">
              <w:rPr>
                <w:rFonts w:ascii="Arial" w:hAnsi="Arial" w:cs="Arial"/>
                <w:b/>
                <w:sz w:val="16"/>
                <w:szCs w:val="16"/>
              </w:rPr>
              <w:t xml:space="preserve"> cases/ total IMD cases (%)</w:t>
            </w:r>
          </w:p>
        </w:tc>
        <w:tc>
          <w:tcPr>
            <w:tcW w:w="1329" w:type="dxa"/>
            <w:tcBorders>
              <w:top w:val="nil"/>
              <w:bottom w:val="nil"/>
            </w:tcBorders>
            <w:shd w:val="clear" w:color="auto" w:fill="000000" w:themeFill="text1"/>
          </w:tcPr>
          <w:p w14:paraId="79A2F57A" w14:textId="44FD043C"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FB42C1">
              <w:rPr>
                <w:rFonts w:ascii="Arial" w:hAnsi="Arial" w:cs="Arial"/>
                <w:b/>
                <w:sz w:val="16"/>
                <w:szCs w:val="16"/>
              </w:rPr>
              <w:t>Septicaemia only</w:t>
            </w:r>
            <w:r w:rsidR="00C6415A">
              <w:rPr>
                <w:rFonts w:ascii="Arial" w:hAnsi="Arial" w:cs="Arial"/>
                <w:b/>
                <w:sz w:val="16"/>
                <w:szCs w:val="16"/>
              </w:rPr>
              <w:t xml:space="preserve"> cases</w:t>
            </w:r>
            <w:r w:rsidR="009B58FF">
              <w:rPr>
                <w:rFonts w:ascii="Arial" w:hAnsi="Arial" w:cs="Arial"/>
                <w:b/>
                <w:sz w:val="16"/>
                <w:szCs w:val="16"/>
              </w:rPr>
              <w:t xml:space="preserve"> </w:t>
            </w:r>
            <w:r w:rsidR="00C6415A">
              <w:rPr>
                <w:rFonts w:ascii="Arial" w:hAnsi="Arial" w:cs="Arial"/>
                <w:b/>
                <w:sz w:val="16"/>
                <w:szCs w:val="16"/>
              </w:rPr>
              <w:t>/</w:t>
            </w:r>
            <w:r w:rsidR="009B58FF">
              <w:rPr>
                <w:rFonts w:ascii="Arial" w:hAnsi="Arial" w:cs="Arial"/>
                <w:b/>
                <w:sz w:val="16"/>
                <w:szCs w:val="16"/>
              </w:rPr>
              <w:t xml:space="preserve"> </w:t>
            </w:r>
            <w:r w:rsidR="00C6415A">
              <w:rPr>
                <w:rFonts w:ascii="Arial" w:hAnsi="Arial" w:cs="Arial"/>
                <w:b/>
                <w:sz w:val="16"/>
                <w:szCs w:val="16"/>
              </w:rPr>
              <w:t>total IMD cases (%)</w:t>
            </w:r>
          </w:p>
        </w:tc>
        <w:tc>
          <w:tcPr>
            <w:tcW w:w="1166" w:type="dxa"/>
            <w:tcBorders>
              <w:top w:val="nil"/>
              <w:bottom w:val="nil"/>
            </w:tcBorders>
            <w:shd w:val="clear" w:color="auto" w:fill="000000" w:themeFill="text1"/>
          </w:tcPr>
          <w:p w14:paraId="7BB0532F" w14:textId="39985395"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FB42C1">
              <w:rPr>
                <w:rFonts w:ascii="Arial" w:hAnsi="Arial" w:cs="Arial"/>
                <w:b/>
                <w:sz w:val="16"/>
                <w:szCs w:val="16"/>
              </w:rPr>
              <w:t>Meningitis &amp; septicaemia</w:t>
            </w:r>
            <w:r w:rsidR="00C6415A">
              <w:rPr>
                <w:rFonts w:ascii="Arial" w:hAnsi="Arial" w:cs="Arial"/>
                <w:b/>
                <w:sz w:val="16"/>
                <w:szCs w:val="16"/>
              </w:rPr>
              <w:t>/</w:t>
            </w:r>
            <w:r w:rsidR="009B58FF">
              <w:rPr>
                <w:rFonts w:ascii="Arial" w:hAnsi="Arial" w:cs="Arial"/>
                <w:b/>
                <w:sz w:val="16"/>
                <w:szCs w:val="16"/>
              </w:rPr>
              <w:t xml:space="preserve"> </w:t>
            </w:r>
            <w:r w:rsidR="00C6415A">
              <w:rPr>
                <w:rFonts w:ascii="Arial" w:hAnsi="Arial" w:cs="Arial"/>
                <w:b/>
                <w:sz w:val="16"/>
                <w:szCs w:val="16"/>
              </w:rPr>
              <w:t>total IMD cases (%)</w:t>
            </w:r>
          </w:p>
        </w:tc>
        <w:tc>
          <w:tcPr>
            <w:tcW w:w="1417" w:type="dxa"/>
            <w:tcBorders>
              <w:top w:val="nil"/>
              <w:bottom w:val="nil"/>
            </w:tcBorders>
            <w:shd w:val="clear" w:color="auto" w:fill="000000" w:themeFill="text1"/>
          </w:tcPr>
          <w:p w14:paraId="23FB910F" w14:textId="46BBEB7A"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FB42C1">
              <w:rPr>
                <w:rFonts w:ascii="Arial" w:hAnsi="Arial" w:cs="Arial"/>
                <w:b/>
                <w:sz w:val="16"/>
                <w:szCs w:val="16"/>
              </w:rPr>
              <w:t>Other</w:t>
            </w:r>
            <w:r w:rsidR="00C6415A">
              <w:rPr>
                <w:rFonts w:ascii="Arial" w:hAnsi="Arial" w:cs="Arial"/>
                <w:b/>
                <w:sz w:val="16"/>
                <w:szCs w:val="16"/>
              </w:rPr>
              <w:t xml:space="preserve"> presentations</w:t>
            </w:r>
            <w:r w:rsidR="009B58FF">
              <w:rPr>
                <w:rFonts w:ascii="Arial" w:hAnsi="Arial" w:cs="Arial"/>
                <w:b/>
                <w:sz w:val="16"/>
                <w:szCs w:val="16"/>
              </w:rPr>
              <w:t xml:space="preserve"> </w:t>
            </w:r>
            <w:r w:rsidR="00C6415A">
              <w:rPr>
                <w:rFonts w:ascii="Arial" w:hAnsi="Arial" w:cs="Arial"/>
                <w:b/>
                <w:sz w:val="16"/>
                <w:szCs w:val="16"/>
              </w:rPr>
              <w:t>/</w:t>
            </w:r>
            <w:r w:rsidR="009B58FF">
              <w:rPr>
                <w:rFonts w:ascii="Arial" w:hAnsi="Arial" w:cs="Arial"/>
                <w:b/>
                <w:sz w:val="16"/>
                <w:szCs w:val="16"/>
              </w:rPr>
              <w:t xml:space="preserve"> </w:t>
            </w:r>
            <w:r w:rsidR="00C6415A">
              <w:rPr>
                <w:rFonts w:ascii="Arial" w:hAnsi="Arial" w:cs="Arial"/>
                <w:b/>
                <w:sz w:val="16"/>
                <w:szCs w:val="16"/>
              </w:rPr>
              <w:t>total IMD cases (%)</w:t>
            </w:r>
          </w:p>
        </w:tc>
        <w:tc>
          <w:tcPr>
            <w:tcW w:w="965" w:type="dxa"/>
            <w:vMerge/>
            <w:tcBorders>
              <w:bottom w:val="nil"/>
              <w:right w:val="nil"/>
            </w:tcBorders>
            <w:shd w:val="clear" w:color="auto" w:fill="000000" w:themeFill="text1"/>
          </w:tcPr>
          <w:p w14:paraId="04F8A540"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r>
      <w:tr w:rsidR="006953FF" w:rsidRPr="00FB42C1" w14:paraId="7DDFD4B5"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tcBorders>
              <w:top w:val="single" w:sz="4" w:space="0" w:color="auto"/>
              <w:left w:val="single" w:sz="4" w:space="0" w:color="auto"/>
              <w:bottom w:val="single" w:sz="18" w:space="0" w:color="auto"/>
              <w:right w:val="single" w:sz="4" w:space="0" w:color="auto"/>
            </w:tcBorders>
            <w:vAlign w:val="center"/>
          </w:tcPr>
          <w:p w14:paraId="027AC1A1" w14:textId="13AEEB3A" w:rsidR="006953FF" w:rsidRPr="00C6415A" w:rsidRDefault="00C6415A" w:rsidP="00674B5B">
            <w:pPr>
              <w:spacing w:after="0" w:line="240" w:lineRule="auto"/>
              <w:rPr>
                <w:rFonts w:ascii="Arial" w:hAnsi="Arial" w:cs="Arial"/>
                <w:color w:val="FF0000"/>
                <w:sz w:val="16"/>
                <w:szCs w:val="16"/>
              </w:rPr>
            </w:pPr>
            <w:r>
              <w:rPr>
                <w:rFonts w:ascii="Arial" w:hAnsi="Arial" w:cs="Arial"/>
                <w:sz w:val="16"/>
                <w:szCs w:val="16"/>
              </w:rPr>
              <w:t>Total</w:t>
            </w:r>
          </w:p>
        </w:tc>
        <w:tc>
          <w:tcPr>
            <w:tcW w:w="905" w:type="dxa"/>
            <w:tcBorders>
              <w:top w:val="single" w:sz="4" w:space="0" w:color="auto"/>
              <w:left w:val="single" w:sz="4" w:space="0" w:color="auto"/>
              <w:bottom w:val="single" w:sz="18" w:space="0" w:color="auto"/>
              <w:right w:val="single" w:sz="4" w:space="0" w:color="auto"/>
            </w:tcBorders>
            <w:vAlign w:val="center"/>
          </w:tcPr>
          <w:p w14:paraId="3A62F563"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1223" w:type="dxa"/>
            <w:tcBorders>
              <w:top w:val="single" w:sz="4" w:space="0" w:color="auto"/>
              <w:left w:val="single" w:sz="4" w:space="0" w:color="auto"/>
              <w:bottom w:val="single" w:sz="18" w:space="0" w:color="auto"/>
              <w:right w:val="single" w:sz="4" w:space="0" w:color="auto"/>
            </w:tcBorders>
            <w:vAlign w:val="center"/>
          </w:tcPr>
          <w:p w14:paraId="016C9DC7"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2057/4619 (45%)</w:t>
            </w:r>
          </w:p>
        </w:tc>
        <w:tc>
          <w:tcPr>
            <w:tcW w:w="1329" w:type="dxa"/>
            <w:tcBorders>
              <w:top w:val="single" w:sz="4" w:space="0" w:color="auto"/>
              <w:left w:val="single" w:sz="4" w:space="0" w:color="auto"/>
              <w:bottom w:val="single" w:sz="18" w:space="0" w:color="auto"/>
              <w:right w:val="single" w:sz="4" w:space="0" w:color="auto"/>
            </w:tcBorders>
            <w:vAlign w:val="center"/>
          </w:tcPr>
          <w:p w14:paraId="3EED985C"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1725/4619</w:t>
            </w:r>
          </w:p>
          <w:p w14:paraId="3BFADCB0"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(37%)</w:t>
            </w:r>
          </w:p>
        </w:tc>
        <w:tc>
          <w:tcPr>
            <w:tcW w:w="1166" w:type="dxa"/>
            <w:tcBorders>
              <w:top w:val="single" w:sz="4" w:space="0" w:color="auto"/>
              <w:left w:val="single" w:sz="4" w:space="0" w:color="auto"/>
              <w:bottom w:val="single" w:sz="18" w:space="0" w:color="auto"/>
              <w:right w:val="single" w:sz="4" w:space="0" w:color="auto"/>
            </w:tcBorders>
            <w:vAlign w:val="center"/>
          </w:tcPr>
          <w:p w14:paraId="21F11405"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389/4619 (8%)</w:t>
            </w:r>
          </w:p>
        </w:tc>
        <w:tc>
          <w:tcPr>
            <w:tcW w:w="1417" w:type="dxa"/>
            <w:tcBorders>
              <w:top w:val="single" w:sz="4" w:space="0" w:color="auto"/>
              <w:left w:val="single" w:sz="4" w:space="0" w:color="auto"/>
              <w:bottom w:val="single" w:sz="18" w:space="0" w:color="auto"/>
              <w:right w:val="single" w:sz="4" w:space="0" w:color="auto"/>
            </w:tcBorders>
            <w:vAlign w:val="center"/>
          </w:tcPr>
          <w:p w14:paraId="3899D39E"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448/4619 </w:t>
            </w:r>
          </w:p>
          <w:p w14:paraId="00581909"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(10%)</w:t>
            </w:r>
          </w:p>
        </w:tc>
        <w:tc>
          <w:tcPr>
            <w:tcW w:w="965" w:type="dxa"/>
            <w:tcBorders>
              <w:top w:val="single" w:sz="4" w:space="0" w:color="auto"/>
              <w:left w:val="single" w:sz="4" w:space="0" w:color="auto"/>
              <w:bottom w:val="single" w:sz="18" w:space="0" w:color="auto"/>
              <w:right w:val="single" w:sz="4" w:space="0" w:color="auto"/>
            </w:tcBorders>
          </w:tcPr>
          <w:p w14:paraId="4EC5306E"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4619</w:t>
            </w:r>
          </w:p>
        </w:tc>
      </w:tr>
      <w:tr w:rsidR="006953FF" w:rsidRPr="00FB42C1" w14:paraId="47E92C24"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val="restart"/>
            <w:tcBorders>
              <w:top w:val="single" w:sz="18" w:space="0" w:color="auto"/>
              <w:left w:val="single" w:sz="18" w:space="0" w:color="auto"/>
              <w:bottom w:val="single" w:sz="4" w:space="0" w:color="auto"/>
              <w:right w:val="single" w:sz="4" w:space="0" w:color="auto"/>
            </w:tcBorders>
            <w:vAlign w:val="center"/>
          </w:tcPr>
          <w:p w14:paraId="0EF02FCC" w14:textId="77777777" w:rsidR="006953FF" w:rsidRPr="00FB42C1" w:rsidRDefault="006953FF" w:rsidP="00674B5B">
            <w:pPr>
              <w:spacing w:after="0" w:line="240" w:lineRule="auto"/>
              <w:rPr>
                <w:rFonts w:ascii="Arial" w:hAnsi="Arial" w:cs="Arial"/>
                <w:b w:val="0"/>
                <w:sz w:val="16"/>
                <w:szCs w:val="16"/>
              </w:rPr>
            </w:pPr>
            <w:r w:rsidRPr="00FB42C1">
              <w:rPr>
                <w:rFonts w:ascii="Arial" w:hAnsi="Arial" w:cs="Arial"/>
                <w:b w:val="0"/>
                <w:sz w:val="16"/>
                <w:szCs w:val="16"/>
              </w:rPr>
              <w:t>All ages</w:t>
            </w:r>
          </w:p>
        </w:tc>
        <w:tc>
          <w:tcPr>
            <w:tcW w:w="905" w:type="dxa"/>
            <w:tcBorders>
              <w:top w:val="single" w:sz="18" w:space="0" w:color="auto"/>
              <w:left w:val="single" w:sz="4" w:space="0" w:color="auto"/>
              <w:bottom w:val="single" w:sz="4" w:space="0" w:color="auto"/>
              <w:right w:val="single" w:sz="4" w:space="0" w:color="auto"/>
            </w:tcBorders>
            <w:vAlign w:val="center"/>
          </w:tcPr>
          <w:p w14:paraId="2F666B52"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223" w:type="dxa"/>
            <w:tcBorders>
              <w:top w:val="single" w:sz="18" w:space="0" w:color="auto"/>
              <w:left w:val="single" w:sz="4" w:space="0" w:color="auto"/>
              <w:bottom w:val="single" w:sz="4" w:space="0" w:color="auto"/>
              <w:right w:val="single" w:sz="4" w:space="0" w:color="auto"/>
            </w:tcBorders>
            <w:vAlign w:val="center"/>
          </w:tcPr>
          <w:p w14:paraId="072FE3D6"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1807/4034</w:t>
            </w:r>
          </w:p>
          <w:p w14:paraId="53444150"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(45%)</w:t>
            </w:r>
          </w:p>
        </w:tc>
        <w:tc>
          <w:tcPr>
            <w:tcW w:w="1329" w:type="dxa"/>
            <w:tcBorders>
              <w:top w:val="single" w:sz="18" w:space="0" w:color="auto"/>
              <w:left w:val="single" w:sz="4" w:space="0" w:color="auto"/>
              <w:bottom w:val="single" w:sz="4" w:space="0" w:color="auto"/>
              <w:right w:val="single" w:sz="4" w:space="0" w:color="auto"/>
            </w:tcBorders>
            <w:vAlign w:val="center"/>
          </w:tcPr>
          <w:p w14:paraId="7C8A7938"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r w:rsidRPr="00FB42C1">
              <w:rPr>
                <w:rFonts w:ascii="Arial" w:hAnsi="Arial" w:cs="Arial"/>
                <w:sz w:val="16"/>
                <w:szCs w:val="16"/>
              </w:rPr>
              <w:t>554/4034</w:t>
            </w:r>
          </w:p>
          <w:p w14:paraId="67594D68"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(39%)</w:t>
            </w:r>
          </w:p>
        </w:tc>
        <w:tc>
          <w:tcPr>
            <w:tcW w:w="1166" w:type="dxa"/>
            <w:tcBorders>
              <w:top w:val="single" w:sz="18" w:space="0" w:color="auto"/>
              <w:left w:val="single" w:sz="4" w:space="0" w:color="auto"/>
              <w:bottom w:val="single" w:sz="4" w:space="0" w:color="auto"/>
              <w:right w:val="single" w:sz="4" w:space="0" w:color="auto"/>
            </w:tcBorders>
            <w:vAlign w:val="center"/>
          </w:tcPr>
          <w:p w14:paraId="67FB768E"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344/4034 (9%)</w:t>
            </w:r>
          </w:p>
        </w:tc>
        <w:tc>
          <w:tcPr>
            <w:tcW w:w="1417" w:type="dxa"/>
            <w:tcBorders>
              <w:top w:val="single" w:sz="18" w:space="0" w:color="auto"/>
              <w:left w:val="single" w:sz="4" w:space="0" w:color="auto"/>
              <w:bottom w:val="single" w:sz="4" w:space="0" w:color="auto"/>
              <w:right w:val="single" w:sz="4" w:space="0" w:color="auto"/>
            </w:tcBorders>
            <w:vAlign w:val="center"/>
          </w:tcPr>
          <w:p w14:paraId="35001561"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329/4034</w:t>
            </w:r>
          </w:p>
          <w:p w14:paraId="5F410460"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(8%)</w:t>
            </w:r>
          </w:p>
        </w:tc>
        <w:tc>
          <w:tcPr>
            <w:tcW w:w="965" w:type="dxa"/>
            <w:tcBorders>
              <w:top w:val="single" w:sz="18" w:space="0" w:color="auto"/>
              <w:left w:val="single" w:sz="4" w:space="0" w:color="auto"/>
              <w:bottom w:val="single" w:sz="4" w:space="0" w:color="auto"/>
              <w:right w:val="single" w:sz="18" w:space="0" w:color="auto"/>
            </w:tcBorders>
          </w:tcPr>
          <w:p w14:paraId="5C51C46B"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4034</w:t>
            </w:r>
          </w:p>
        </w:tc>
      </w:tr>
      <w:tr w:rsidR="006953FF" w:rsidRPr="00FB42C1" w14:paraId="2C2D76A3"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574F30CD"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14100C81"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223" w:type="dxa"/>
            <w:tcBorders>
              <w:top w:val="single" w:sz="4" w:space="0" w:color="auto"/>
              <w:left w:val="single" w:sz="4" w:space="0" w:color="auto"/>
              <w:bottom w:val="single" w:sz="4" w:space="0" w:color="auto"/>
              <w:right w:val="single" w:sz="4" w:space="0" w:color="auto"/>
            </w:tcBorders>
            <w:vAlign w:val="center"/>
          </w:tcPr>
          <w:p w14:paraId="46BC7725"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33/87</w:t>
            </w:r>
          </w:p>
          <w:p w14:paraId="4733AED1"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(38%)</w:t>
            </w:r>
          </w:p>
        </w:tc>
        <w:tc>
          <w:tcPr>
            <w:tcW w:w="1329" w:type="dxa"/>
            <w:tcBorders>
              <w:top w:val="single" w:sz="4" w:space="0" w:color="auto"/>
              <w:left w:val="single" w:sz="4" w:space="0" w:color="auto"/>
              <w:bottom w:val="single" w:sz="4" w:space="0" w:color="auto"/>
              <w:right w:val="single" w:sz="4" w:space="0" w:color="auto"/>
            </w:tcBorders>
            <w:vAlign w:val="center"/>
          </w:tcPr>
          <w:p w14:paraId="24C662BE"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35/87</w:t>
            </w:r>
          </w:p>
          <w:p w14:paraId="69C6CC31"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(40%)</w:t>
            </w:r>
          </w:p>
        </w:tc>
        <w:tc>
          <w:tcPr>
            <w:tcW w:w="1166" w:type="dxa"/>
            <w:tcBorders>
              <w:top w:val="single" w:sz="4" w:space="0" w:color="auto"/>
              <w:left w:val="single" w:sz="4" w:space="0" w:color="auto"/>
              <w:bottom w:val="single" w:sz="4" w:space="0" w:color="auto"/>
              <w:right w:val="single" w:sz="4" w:space="0" w:color="auto"/>
            </w:tcBorders>
            <w:vAlign w:val="center"/>
          </w:tcPr>
          <w:p w14:paraId="0A946459"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8/87</w:t>
            </w:r>
          </w:p>
          <w:p w14:paraId="79DA5710"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(9%)</w:t>
            </w:r>
          </w:p>
        </w:tc>
        <w:tc>
          <w:tcPr>
            <w:tcW w:w="1417" w:type="dxa"/>
            <w:tcBorders>
              <w:top w:val="single" w:sz="4" w:space="0" w:color="auto"/>
              <w:left w:val="single" w:sz="4" w:space="0" w:color="auto"/>
              <w:bottom w:val="single" w:sz="4" w:space="0" w:color="auto"/>
              <w:right w:val="single" w:sz="4" w:space="0" w:color="auto"/>
            </w:tcBorders>
            <w:vAlign w:val="center"/>
          </w:tcPr>
          <w:p w14:paraId="484AEB83"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11/87</w:t>
            </w:r>
          </w:p>
          <w:p w14:paraId="7D39CD3D"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(13%)</w:t>
            </w:r>
          </w:p>
        </w:tc>
        <w:tc>
          <w:tcPr>
            <w:tcW w:w="965" w:type="dxa"/>
            <w:tcBorders>
              <w:top w:val="single" w:sz="4" w:space="0" w:color="auto"/>
              <w:left w:val="single" w:sz="4" w:space="0" w:color="auto"/>
              <w:bottom w:val="single" w:sz="4" w:space="0" w:color="auto"/>
              <w:right w:val="single" w:sz="18" w:space="0" w:color="auto"/>
            </w:tcBorders>
          </w:tcPr>
          <w:p w14:paraId="2D839665"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87</w:t>
            </w:r>
          </w:p>
        </w:tc>
      </w:tr>
      <w:tr w:rsidR="006953FF" w:rsidRPr="00FB42C1" w14:paraId="5BE90824"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672D0BCD"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462AA757"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223" w:type="dxa"/>
            <w:tcBorders>
              <w:top w:val="single" w:sz="4" w:space="0" w:color="auto"/>
              <w:left w:val="single" w:sz="4" w:space="0" w:color="auto"/>
              <w:bottom w:val="single" w:sz="4" w:space="0" w:color="auto"/>
              <w:right w:val="single" w:sz="4" w:space="0" w:color="auto"/>
            </w:tcBorders>
            <w:vAlign w:val="center"/>
          </w:tcPr>
          <w:p w14:paraId="6D6295B6"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47/105</w:t>
            </w:r>
          </w:p>
          <w:p w14:paraId="7A16508A"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(45%)</w:t>
            </w:r>
          </w:p>
        </w:tc>
        <w:tc>
          <w:tcPr>
            <w:tcW w:w="1329" w:type="dxa"/>
            <w:tcBorders>
              <w:top w:val="single" w:sz="4" w:space="0" w:color="auto"/>
              <w:left w:val="single" w:sz="4" w:space="0" w:color="auto"/>
              <w:bottom w:val="single" w:sz="4" w:space="0" w:color="auto"/>
              <w:right w:val="single" w:sz="4" w:space="0" w:color="auto"/>
            </w:tcBorders>
            <w:vAlign w:val="center"/>
          </w:tcPr>
          <w:p w14:paraId="451CADDA"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28/105</w:t>
            </w:r>
          </w:p>
          <w:p w14:paraId="78465770"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(27%)</w:t>
            </w:r>
          </w:p>
        </w:tc>
        <w:tc>
          <w:tcPr>
            <w:tcW w:w="1166" w:type="dxa"/>
            <w:tcBorders>
              <w:top w:val="single" w:sz="4" w:space="0" w:color="auto"/>
              <w:left w:val="single" w:sz="4" w:space="0" w:color="auto"/>
              <w:bottom w:val="single" w:sz="4" w:space="0" w:color="auto"/>
              <w:right w:val="single" w:sz="4" w:space="0" w:color="auto"/>
            </w:tcBorders>
            <w:vAlign w:val="center"/>
          </w:tcPr>
          <w:p w14:paraId="3D955C53"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6/105 </w:t>
            </w:r>
          </w:p>
          <w:p w14:paraId="2603A0B7"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(6%)</w:t>
            </w:r>
          </w:p>
        </w:tc>
        <w:tc>
          <w:tcPr>
            <w:tcW w:w="1417" w:type="dxa"/>
            <w:tcBorders>
              <w:top w:val="single" w:sz="4" w:space="0" w:color="auto"/>
              <w:left w:val="single" w:sz="4" w:space="0" w:color="auto"/>
              <w:bottom w:val="single" w:sz="4" w:space="0" w:color="auto"/>
              <w:right w:val="single" w:sz="4" w:space="0" w:color="auto"/>
            </w:tcBorders>
            <w:vAlign w:val="center"/>
          </w:tcPr>
          <w:p w14:paraId="743947AC"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24/105</w:t>
            </w:r>
          </w:p>
          <w:p w14:paraId="547F7E5B"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(23%)</w:t>
            </w:r>
          </w:p>
        </w:tc>
        <w:tc>
          <w:tcPr>
            <w:tcW w:w="965" w:type="dxa"/>
            <w:tcBorders>
              <w:top w:val="single" w:sz="4" w:space="0" w:color="auto"/>
              <w:left w:val="single" w:sz="4" w:space="0" w:color="auto"/>
              <w:bottom w:val="single" w:sz="4" w:space="0" w:color="auto"/>
              <w:right w:val="single" w:sz="18" w:space="0" w:color="auto"/>
            </w:tcBorders>
          </w:tcPr>
          <w:p w14:paraId="3A1F400D"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105</w:t>
            </w:r>
          </w:p>
        </w:tc>
      </w:tr>
      <w:tr w:rsidR="006953FF" w:rsidRPr="00FB42C1" w14:paraId="2955A3BD"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15EA299E"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534B5263"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223" w:type="dxa"/>
            <w:tcBorders>
              <w:top w:val="single" w:sz="4" w:space="0" w:color="auto"/>
              <w:left w:val="single" w:sz="4" w:space="0" w:color="auto"/>
              <w:bottom w:val="single" w:sz="4" w:space="0" w:color="auto"/>
              <w:right w:val="single" w:sz="4" w:space="0" w:color="auto"/>
            </w:tcBorders>
            <w:vAlign w:val="center"/>
          </w:tcPr>
          <w:p w14:paraId="0BA47E74"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91/242</w:t>
            </w:r>
          </w:p>
          <w:p w14:paraId="4093DD7D"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(38%)</w:t>
            </w:r>
          </w:p>
        </w:tc>
        <w:tc>
          <w:tcPr>
            <w:tcW w:w="1329" w:type="dxa"/>
            <w:tcBorders>
              <w:top w:val="single" w:sz="4" w:space="0" w:color="auto"/>
              <w:left w:val="single" w:sz="4" w:space="0" w:color="auto"/>
              <w:bottom w:val="single" w:sz="4" w:space="0" w:color="auto"/>
              <w:right w:val="single" w:sz="4" w:space="0" w:color="auto"/>
            </w:tcBorders>
            <w:vAlign w:val="center"/>
          </w:tcPr>
          <w:p w14:paraId="03A4EAD7"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69/242</w:t>
            </w:r>
          </w:p>
          <w:p w14:paraId="68D1F931"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(29%)</w:t>
            </w:r>
          </w:p>
        </w:tc>
        <w:tc>
          <w:tcPr>
            <w:tcW w:w="1166" w:type="dxa"/>
            <w:tcBorders>
              <w:top w:val="single" w:sz="4" w:space="0" w:color="auto"/>
              <w:left w:val="single" w:sz="4" w:space="0" w:color="auto"/>
              <w:bottom w:val="single" w:sz="4" w:space="0" w:color="auto"/>
              <w:right w:val="single" w:sz="4" w:space="0" w:color="auto"/>
            </w:tcBorders>
            <w:vAlign w:val="center"/>
          </w:tcPr>
          <w:p w14:paraId="5A51CAC1"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27/242</w:t>
            </w:r>
          </w:p>
          <w:p w14:paraId="0EDC34EB"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(11%)</w:t>
            </w:r>
          </w:p>
        </w:tc>
        <w:tc>
          <w:tcPr>
            <w:tcW w:w="1417" w:type="dxa"/>
            <w:tcBorders>
              <w:top w:val="single" w:sz="4" w:space="0" w:color="auto"/>
              <w:left w:val="single" w:sz="4" w:space="0" w:color="auto"/>
              <w:bottom w:val="single" w:sz="4" w:space="0" w:color="auto"/>
              <w:right w:val="single" w:sz="4" w:space="0" w:color="auto"/>
            </w:tcBorders>
            <w:vAlign w:val="center"/>
          </w:tcPr>
          <w:p w14:paraId="30E6D6F1"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55/242</w:t>
            </w:r>
          </w:p>
          <w:p w14:paraId="22D09E8A"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(23%)</w:t>
            </w:r>
          </w:p>
        </w:tc>
        <w:tc>
          <w:tcPr>
            <w:tcW w:w="965" w:type="dxa"/>
            <w:tcBorders>
              <w:top w:val="single" w:sz="4" w:space="0" w:color="auto"/>
              <w:left w:val="single" w:sz="4" w:space="0" w:color="auto"/>
              <w:bottom w:val="single" w:sz="4" w:space="0" w:color="auto"/>
              <w:right w:val="single" w:sz="18" w:space="0" w:color="auto"/>
            </w:tcBorders>
          </w:tcPr>
          <w:p w14:paraId="385ED672"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242</w:t>
            </w:r>
          </w:p>
        </w:tc>
      </w:tr>
      <w:tr w:rsidR="006953FF" w:rsidRPr="00FB42C1" w14:paraId="30A60786"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18" w:space="0" w:color="auto"/>
              <w:right w:val="single" w:sz="4" w:space="0" w:color="auto"/>
            </w:tcBorders>
            <w:vAlign w:val="center"/>
          </w:tcPr>
          <w:p w14:paraId="557758B5"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18" w:space="0" w:color="auto"/>
              <w:right w:val="single" w:sz="4" w:space="0" w:color="auto"/>
            </w:tcBorders>
            <w:vAlign w:val="center"/>
          </w:tcPr>
          <w:p w14:paraId="5E9309CB"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223" w:type="dxa"/>
            <w:tcBorders>
              <w:top w:val="single" w:sz="4" w:space="0" w:color="auto"/>
              <w:left w:val="single" w:sz="4" w:space="0" w:color="auto"/>
              <w:bottom w:val="single" w:sz="18" w:space="0" w:color="auto"/>
              <w:right w:val="single" w:sz="4" w:space="0" w:color="auto"/>
            </w:tcBorders>
            <w:vAlign w:val="center"/>
          </w:tcPr>
          <w:p w14:paraId="49EB9C1E"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79/151</w:t>
            </w:r>
          </w:p>
          <w:p w14:paraId="6ED10FE6"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(52%)</w:t>
            </w:r>
          </w:p>
        </w:tc>
        <w:tc>
          <w:tcPr>
            <w:tcW w:w="1329" w:type="dxa"/>
            <w:tcBorders>
              <w:top w:val="single" w:sz="4" w:space="0" w:color="auto"/>
              <w:left w:val="single" w:sz="4" w:space="0" w:color="auto"/>
              <w:bottom w:val="single" w:sz="18" w:space="0" w:color="auto"/>
              <w:right w:val="single" w:sz="4" w:space="0" w:color="auto"/>
            </w:tcBorders>
            <w:vAlign w:val="center"/>
          </w:tcPr>
          <w:p w14:paraId="655BE50F"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39/151 </w:t>
            </w:r>
          </w:p>
          <w:p w14:paraId="116F700E"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(26%)</w:t>
            </w:r>
          </w:p>
        </w:tc>
        <w:tc>
          <w:tcPr>
            <w:tcW w:w="1166" w:type="dxa"/>
            <w:tcBorders>
              <w:top w:val="single" w:sz="4" w:space="0" w:color="auto"/>
              <w:left w:val="single" w:sz="4" w:space="0" w:color="auto"/>
              <w:bottom w:val="single" w:sz="18" w:space="0" w:color="auto"/>
              <w:right w:val="single" w:sz="4" w:space="0" w:color="auto"/>
            </w:tcBorders>
            <w:vAlign w:val="center"/>
          </w:tcPr>
          <w:p w14:paraId="7B2A895F"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4/151</w:t>
            </w:r>
          </w:p>
          <w:p w14:paraId="29E4FBDF"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(3%)</w:t>
            </w:r>
          </w:p>
        </w:tc>
        <w:tc>
          <w:tcPr>
            <w:tcW w:w="1417" w:type="dxa"/>
            <w:tcBorders>
              <w:top w:val="single" w:sz="4" w:space="0" w:color="auto"/>
              <w:left w:val="single" w:sz="4" w:space="0" w:color="auto"/>
              <w:bottom w:val="single" w:sz="18" w:space="0" w:color="auto"/>
              <w:right w:val="single" w:sz="4" w:space="0" w:color="auto"/>
            </w:tcBorders>
            <w:vAlign w:val="center"/>
          </w:tcPr>
          <w:p w14:paraId="509F6550"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29/151 </w:t>
            </w:r>
          </w:p>
          <w:p w14:paraId="0DFE9CF6"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(19%)</w:t>
            </w:r>
          </w:p>
        </w:tc>
        <w:tc>
          <w:tcPr>
            <w:tcW w:w="965" w:type="dxa"/>
            <w:tcBorders>
              <w:top w:val="single" w:sz="4" w:space="0" w:color="auto"/>
              <w:left w:val="single" w:sz="4" w:space="0" w:color="auto"/>
              <w:bottom w:val="single" w:sz="18" w:space="0" w:color="auto"/>
              <w:right w:val="single" w:sz="18" w:space="0" w:color="auto"/>
            </w:tcBorders>
          </w:tcPr>
          <w:p w14:paraId="7BD8363F"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151</w:t>
            </w:r>
          </w:p>
        </w:tc>
      </w:tr>
      <w:tr w:rsidR="006953FF" w:rsidRPr="00FB42C1" w14:paraId="5E24556B"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val="restart"/>
            <w:tcBorders>
              <w:top w:val="single" w:sz="18" w:space="0" w:color="auto"/>
              <w:left w:val="single" w:sz="18" w:space="0" w:color="auto"/>
              <w:bottom w:val="single" w:sz="4" w:space="0" w:color="auto"/>
              <w:right w:val="single" w:sz="4" w:space="0" w:color="auto"/>
            </w:tcBorders>
            <w:vAlign w:val="center"/>
          </w:tcPr>
          <w:p w14:paraId="6C7B643D" w14:textId="77777777" w:rsidR="006953FF" w:rsidRPr="00FB42C1" w:rsidRDefault="006953FF" w:rsidP="00674B5B">
            <w:pPr>
              <w:spacing w:after="0" w:line="240" w:lineRule="auto"/>
              <w:rPr>
                <w:rFonts w:ascii="Arial" w:hAnsi="Arial" w:cs="Arial"/>
                <w:b w:val="0"/>
                <w:sz w:val="16"/>
                <w:szCs w:val="16"/>
              </w:rPr>
            </w:pPr>
            <w:r w:rsidRPr="00FB42C1">
              <w:rPr>
                <w:rFonts w:ascii="Arial" w:hAnsi="Arial" w:cs="Arial"/>
                <w:b w:val="0"/>
                <w:sz w:val="16"/>
                <w:szCs w:val="16"/>
              </w:rPr>
              <w:t>&lt;1</w:t>
            </w:r>
          </w:p>
        </w:tc>
        <w:tc>
          <w:tcPr>
            <w:tcW w:w="905" w:type="dxa"/>
            <w:tcBorders>
              <w:top w:val="single" w:sz="18" w:space="0" w:color="auto"/>
              <w:left w:val="single" w:sz="4" w:space="0" w:color="auto"/>
              <w:bottom w:val="single" w:sz="4" w:space="0" w:color="auto"/>
              <w:right w:val="single" w:sz="4" w:space="0" w:color="auto"/>
            </w:tcBorders>
            <w:vAlign w:val="center"/>
          </w:tcPr>
          <w:p w14:paraId="54C159B7"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223" w:type="dxa"/>
            <w:tcBorders>
              <w:top w:val="single" w:sz="18" w:space="0" w:color="auto"/>
              <w:left w:val="single" w:sz="4" w:space="0" w:color="auto"/>
              <w:bottom w:val="single" w:sz="4" w:space="0" w:color="auto"/>
              <w:right w:val="single" w:sz="4" w:space="0" w:color="auto"/>
            </w:tcBorders>
            <w:vAlign w:val="center"/>
          </w:tcPr>
          <w:p w14:paraId="189BAE81"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500/1043</w:t>
            </w:r>
          </w:p>
          <w:p w14:paraId="2782495B"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(48%)</w:t>
            </w:r>
          </w:p>
        </w:tc>
        <w:tc>
          <w:tcPr>
            <w:tcW w:w="1329" w:type="dxa"/>
            <w:tcBorders>
              <w:top w:val="single" w:sz="18" w:space="0" w:color="auto"/>
              <w:left w:val="single" w:sz="4" w:space="0" w:color="auto"/>
              <w:bottom w:val="single" w:sz="4" w:space="0" w:color="auto"/>
              <w:right w:val="single" w:sz="4" w:space="0" w:color="auto"/>
            </w:tcBorders>
            <w:vAlign w:val="center"/>
          </w:tcPr>
          <w:p w14:paraId="4C44EE44"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370/1043</w:t>
            </w:r>
          </w:p>
          <w:p w14:paraId="0B75881D"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(35%)</w:t>
            </w:r>
          </w:p>
        </w:tc>
        <w:tc>
          <w:tcPr>
            <w:tcW w:w="1166" w:type="dxa"/>
            <w:tcBorders>
              <w:top w:val="single" w:sz="18" w:space="0" w:color="auto"/>
              <w:left w:val="single" w:sz="4" w:space="0" w:color="auto"/>
              <w:bottom w:val="single" w:sz="4" w:space="0" w:color="auto"/>
              <w:right w:val="single" w:sz="4" w:space="0" w:color="auto"/>
            </w:tcBorders>
            <w:vAlign w:val="center"/>
          </w:tcPr>
          <w:p w14:paraId="36F3791B"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107/1043</w:t>
            </w:r>
          </w:p>
          <w:p w14:paraId="3579DFF8"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(10%)</w:t>
            </w:r>
          </w:p>
        </w:tc>
        <w:tc>
          <w:tcPr>
            <w:tcW w:w="1417" w:type="dxa"/>
            <w:tcBorders>
              <w:top w:val="single" w:sz="18" w:space="0" w:color="auto"/>
              <w:left w:val="single" w:sz="4" w:space="0" w:color="auto"/>
              <w:bottom w:val="single" w:sz="4" w:space="0" w:color="auto"/>
              <w:right w:val="single" w:sz="4" w:space="0" w:color="auto"/>
            </w:tcBorders>
            <w:vAlign w:val="center"/>
          </w:tcPr>
          <w:p w14:paraId="1F91FACC"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66/1043</w:t>
            </w:r>
          </w:p>
          <w:p w14:paraId="3E4F2573"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(6%)</w:t>
            </w:r>
          </w:p>
        </w:tc>
        <w:tc>
          <w:tcPr>
            <w:tcW w:w="965" w:type="dxa"/>
            <w:tcBorders>
              <w:top w:val="single" w:sz="18" w:space="0" w:color="auto"/>
              <w:left w:val="single" w:sz="4" w:space="0" w:color="auto"/>
              <w:bottom w:val="single" w:sz="4" w:space="0" w:color="auto"/>
              <w:right w:val="single" w:sz="18" w:space="0" w:color="auto"/>
            </w:tcBorders>
          </w:tcPr>
          <w:p w14:paraId="7D5C6F3C"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1043</w:t>
            </w:r>
          </w:p>
        </w:tc>
      </w:tr>
      <w:tr w:rsidR="006953FF" w:rsidRPr="00FB42C1" w14:paraId="6191408E"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32EDD731"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69654D29"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223" w:type="dxa"/>
            <w:tcBorders>
              <w:top w:val="single" w:sz="4" w:space="0" w:color="auto"/>
              <w:left w:val="single" w:sz="4" w:space="0" w:color="auto"/>
              <w:bottom w:val="single" w:sz="4" w:space="0" w:color="auto"/>
              <w:right w:val="single" w:sz="4" w:space="0" w:color="auto"/>
            </w:tcBorders>
            <w:vAlign w:val="center"/>
          </w:tcPr>
          <w:p w14:paraId="6E4E2058"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5/6</w:t>
            </w:r>
          </w:p>
          <w:p w14:paraId="463BB2E0"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(83%)</w:t>
            </w:r>
          </w:p>
        </w:tc>
        <w:tc>
          <w:tcPr>
            <w:tcW w:w="1329" w:type="dxa"/>
            <w:tcBorders>
              <w:top w:val="single" w:sz="4" w:space="0" w:color="auto"/>
              <w:left w:val="single" w:sz="4" w:space="0" w:color="auto"/>
              <w:bottom w:val="single" w:sz="4" w:space="0" w:color="auto"/>
              <w:right w:val="single" w:sz="4" w:space="0" w:color="auto"/>
            </w:tcBorders>
            <w:vAlign w:val="center"/>
          </w:tcPr>
          <w:p w14:paraId="7B4A0C38"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1/6</w:t>
            </w:r>
          </w:p>
          <w:p w14:paraId="62C3C02B"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(17%)</w:t>
            </w:r>
          </w:p>
        </w:tc>
        <w:tc>
          <w:tcPr>
            <w:tcW w:w="1166" w:type="dxa"/>
            <w:tcBorders>
              <w:top w:val="single" w:sz="4" w:space="0" w:color="auto"/>
              <w:left w:val="single" w:sz="4" w:space="0" w:color="auto"/>
              <w:bottom w:val="single" w:sz="4" w:space="0" w:color="auto"/>
              <w:right w:val="single" w:sz="4" w:space="0" w:color="auto"/>
            </w:tcBorders>
            <w:vAlign w:val="center"/>
          </w:tcPr>
          <w:p w14:paraId="0AB02D55"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tcPr>
          <w:p w14:paraId="23C7C516"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tc>
        <w:tc>
          <w:tcPr>
            <w:tcW w:w="965" w:type="dxa"/>
            <w:tcBorders>
              <w:top w:val="single" w:sz="4" w:space="0" w:color="auto"/>
              <w:left w:val="single" w:sz="4" w:space="0" w:color="auto"/>
              <w:bottom w:val="single" w:sz="4" w:space="0" w:color="auto"/>
              <w:right w:val="single" w:sz="18" w:space="0" w:color="auto"/>
            </w:tcBorders>
          </w:tcPr>
          <w:p w14:paraId="41E0A11A"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6</w:t>
            </w:r>
          </w:p>
        </w:tc>
      </w:tr>
      <w:tr w:rsidR="006953FF" w:rsidRPr="00FB42C1" w14:paraId="08866EBA"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1C6666D3"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1F835AF6"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223" w:type="dxa"/>
            <w:tcBorders>
              <w:top w:val="single" w:sz="4" w:space="0" w:color="auto"/>
              <w:left w:val="single" w:sz="4" w:space="0" w:color="auto"/>
              <w:bottom w:val="single" w:sz="4" w:space="0" w:color="auto"/>
              <w:right w:val="single" w:sz="4" w:space="0" w:color="auto"/>
            </w:tcBorders>
            <w:vAlign w:val="center"/>
          </w:tcPr>
          <w:p w14:paraId="0D454C96"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10/17</w:t>
            </w:r>
          </w:p>
          <w:p w14:paraId="3697D954"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(59%)</w:t>
            </w:r>
          </w:p>
        </w:tc>
        <w:tc>
          <w:tcPr>
            <w:tcW w:w="1329" w:type="dxa"/>
            <w:tcBorders>
              <w:top w:val="single" w:sz="4" w:space="0" w:color="auto"/>
              <w:left w:val="single" w:sz="4" w:space="0" w:color="auto"/>
              <w:bottom w:val="single" w:sz="4" w:space="0" w:color="auto"/>
              <w:right w:val="single" w:sz="4" w:space="0" w:color="auto"/>
            </w:tcBorders>
            <w:vAlign w:val="center"/>
          </w:tcPr>
          <w:p w14:paraId="7A794640"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6/17</w:t>
            </w:r>
          </w:p>
          <w:p w14:paraId="1989042E"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(35%)</w:t>
            </w:r>
          </w:p>
        </w:tc>
        <w:tc>
          <w:tcPr>
            <w:tcW w:w="1166" w:type="dxa"/>
            <w:tcBorders>
              <w:top w:val="single" w:sz="4" w:space="0" w:color="auto"/>
              <w:left w:val="single" w:sz="4" w:space="0" w:color="auto"/>
              <w:bottom w:val="single" w:sz="4" w:space="0" w:color="auto"/>
              <w:right w:val="single" w:sz="4" w:space="0" w:color="auto"/>
            </w:tcBorders>
            <w:vAlign w:val="center"/>
          </w:tcPr>
          <w:p w14:paraId="38722729"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tcPr>
          <w:p w14:paraId="0E55308E"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1/17 </w:t>
            </w:r>
          </w:p>
          <w:p w14:paraId="75347732"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(6%)</w:t>
            </w:r>
          </w:p>
        </w:tc>
        <w:tc>
          <w:tcPr>
            <w:tcW w:w="965" w:type="dxa"/>
            <w:tcBorders>
              <w:top w:val="single" w:sz="4" w:space="0" w:color="auto"/>
              <w:left w:val="single" w:sz="4" w:space="0" w:color="auto"/>
              <w:bottom w:val="single" w:sz="4" w:space="0" w:color="auto"/>
              <w:right w:val="single" w:sz="18" w:space="0" w:color="auto"/>
            </w:tcBorders>
          </w:tcPr>
          <w:p w14:paraId="78CDC188"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17</w:t>
            </w:r>
          </w:p>
        </w:tc>
      </w:tr>
      <w:tr w:rsidR="006953FF" w:rsidRPr="00FB42C1" w14:paraId="63EE503D"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285293D6"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02FE506A"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223" w:type="dxa"/>
            <w:tcBorders>
              <w:top w:val="single" w:sz="4" w:space="0" w:color="auto"/>
              <w:left w:val="single" w:sz="4" w:space="0" w:color="auto"/>
              <w:bottom w:val="single" w:sz="4" w:space="0" w:color="auto"/>
              <w:right w:val="single" w:sz="4" w:space="0" w:color="auto"/>
            </w:tcBorders>
            <w:vAlign w:val="center"/>
          </w:tcPr>
          <w:p w14:paraId="715F938C"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5/15</w:t>
            </w:r>
          </w:p>
          <w:p w14:paraId="7AAC6608"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(33%)</w:t>
            </w:r>
          </w:p>
        </w:tc>
        <w:tc>
          <w:tcPr>
            <w:tcW w:w="1329" w:type="dxa"/>
            <w:tcBorders>
              <w:top w:val="single" w:sz="4" w:space="0" w:color="auto"/>
              <w:left w:val="single" w:sz="4" w:space="0" w:color="auto"/>
              <w:bottom w:val="single" w:sz="4" w:space="0" w:color="auto"/>
              <w:right w:val="single" w:sz="4" w:space="0" w:color="auto"/>
            </w:tcBorders>
            <w:vAlign w:val="center"/>
          </w:tcPr>
          <w:p w14:paraId="42D341B5"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2/15</w:t>
            </w:r>
          </w:p>
          <w:p w14:paraId="3D8C9FE2"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(13%)</w:t>
            </w:r>
          </w:p>
        </w:tc>
        <w:tc>
          <w:tcPr>
            <w:tcW w:w="1166" w:type="dxa"/>
            <w:tcBorders>
              <w:top w:val="single" w:sz="4" w:space="0" w:color="auto"/>
              <w:left w:val="single" w:sz="4" w:space="0" w:color="auto"/>
              <w:bottom w:val="single" w:sz="4" w:space="0" w:color="auto"/>
              <w:right w:val="single" w:sz="4" w:space="0" w:color="auto"/>
            </w:tcBorders>
            <w:vAlign w:val="center"/>
          </w:tcPr>
          <w:p w14:paraId="56DE86DA"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5/15 </w:t>
            </w:r>
          </w:p>
          <w:p w14:paraId="31E84CA9"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(33%)</w:t>
            </w:r>
          </w:p>
        </w:tc>
        <w:tc>
          <w:tcPr>
            <w:tcW w:w="1417" w:type="dxa"/>
            <w:tcBorders>
              <w:top w:val="single" w:sz="4" w:space="0" w:color="auto"/>
              <w:left w:val="single" w:sz="4" w:space="0" w:color="auto"/>
              <w:bottom w:val="single" w:sz="4" w:space="0" w:color="auto"/>
              <w:right w:val="single" w:sz="4" w:space="0" w:color="auto"/>
            </w:tcBorders>
            <w:vAlign w:val="center"/>
          </w:tcPr>
          <w:p w14:paraId="37D1C5B6"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3/15 </w:t>
            </w:r>
          </w:p>
          <w:p w14:paraId="059ABA8D"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(20%)</w:t>
            </w:r>
          </w:p>
        </w:tc>
        <w:tc>
          <w:tcPr>
            <w:tcW w:w="965" w:type="dxa"/>
            <w:tcBorders>
              <w:top w:val="single" w:sz="4" w:space="0" w:color="auto"/>
              <w:left w:val="single" w:sz="4" w:space="0" w:color="auto"/>
              <w:bottom w:val="single" w:sz="4" w:space="0" w:color="auto"/>
              <w:right w:val="single" w:sz="18" w:space="0" w:color="auto"/>
            </w:tcBorders>
          </w:tcPr>
          <w:p w14:paraId="1BF36820"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15</w:t>
            </w:r>
          </w:p>
        </w:tc>
      </w:tr>
      <w:tr w:rsidR="006953FF" w:rsidRPr="00FB42C1" w14:paraId="496BA8D1"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18" w:space="0" w:color="auto"/>
              <w:right w:val="single" w:sz="4" w:space="0" w:color="auto"/>
            </w:tcBorders>
            <w:vAlign w:val="center"/>
          </w:tcPr>
          <w:p w14:paraId="48893257"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18" w:space="0" w:color="auto"/>
              <w:right w:val="single" w:sz="4" w:space="0" w:color="auto"/>
            </w:tcBorders>
            <w:vAlign w:val="center"/>
          </w:tcPr>
          <w:p w14:paraId="525D08F3"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223" w:type="dxa"/>
            <w:tcBorders>
              <w:top w:val="single" w:sz="4" w:space="0" w:color="auto"/>
              <w:left w:val="single" w:sz="4" w:space="0" w:color="auto"/>
              <w:bottom w:val="single" w:sz="18" w:space="0" w:color="auto"/>
              <w:right w:val="single" w:sz="4" w:space="0" w:color="auto"/>
            </w:tcBorders>
            <w:vAlign w:val="center"/>
          </w:tcPr>
          <w:p w14:paraId="562D27D8"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18/34</w:t>
            </w:r>
          </w:p>
          <w:p w14:paraId="1D5E73F2"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(53%)</w:t>
            </w:r>
          </w:p>
        </w:tc>
        <w:tc>
          <w:tcPr>
            <w:tcW w:w="1329" w:type="dxa"/>
            <w:tcBorders>
              <w:top w:val="single" w:sz="4" w:space="0" w:color="auto"/>
              <w:left w:val="single" w:sz="4" w:space="0" w:color="auto"/>
              <w:bottom w:val="single" w:sz="18" w:space="0" w:color="auto"/>
              <w:right w:val="single" w:sz="4" w:space="0" w:color="auto"/>
            </w:tcBorders>
            <w:vAlign w:val="center"/>
          </w:tcPr>
          <w:p w14:paraId="4B92C2A9"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7/34</w:t>
            </w:r>
          </w:p>
          <w:p w14:paraId="5842ACA1"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(21%)</w:t>
            </w:r>
          </w:p>
        </w:tc>
        <w:tc>
          <w:tcPr>
            <w:tcW w:w="1166" w:type="dxa"/>
            <w:tcBorders>
              <w:top w:val="single" w:sz="4" w:space="0" w:color="auto"/>
              <w:left w:val="single" w:sz="4" w:space="0" w:color="auto"/>
              <w:bottom w:val="single" w:sz="18" w:space="0" w:color="auto"/>
              <w:right w:val="single" w:sz="4" w:space="0" w:color="auto"/>
            </w:tcBorders>
            <w:vAlign w:val="center"/>
          </w:tcPr>
          <w:p w14:paraId="10E57129"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tc>
        <w:tc>
          <w:tcPr>
            <w:tcW w:w="1417" w:type="dxa"/>
            <w:tcBorders>
              <w:top w:val="single" w:sz="4" w:space="0" w:color="auto"/>
              <w:left w:val="single" w:sz="4" w:space="0" w:color="auto"/>
              <w:bottom w:val="single" w:sz="18" w:space="0" w:color="auto"/>
              <w:right w:val="single" w:sz="4" w:space="0" w:color="auto"/>
            </w:tcBorders>
            <w:vAlign w:val="center"/>
          </w:tcPr>
          <w:p w14:paraId="4D32EF1C"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9/34</w:t>
            </w:r>
          </w:p>
          <w:p w14:paraId="360BEE5F"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(26%)</w:t>
            </w:r>
          </w:p>
        </w:tc>
        <w:tc>
          <w:tcPr>
            <w:tcW w:w="965" w:type="dxa"/>
            <w:tcBorders>
              <w:top w:val="single" w:sz="4" w:space="0" w:color="auto"/>
              <w:left w:val="single" w:sz="4" w:space="0" w:color="auto"/>
              <w:bottom w:val="single" w:sz="18" w:space="0" w:color="auto"/>
              <w:right w:val="single" w:sz="18" w:space="0" w:color="auto"/>
            </w:tcBorders>
          </w:tcPr>
          <w:p w14:paraId="02C48D41"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34</w:t>
            </w:r>
          </w:p>
        </w:tc>
      </w:tr>
      <w:tr w:rsidR="006953FF" w:rsidRPr="00FB42C1" w14:paraId="415C05F9"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val="restart"/>
            <w:tcBorders>
              <w:top w:val="single" w:sz="18" w:space="0" w:color="auto"/>
              <w:left w:val="single" w:sz="12" w:space="0" w:color="auto"/>
              <w:bottom w:val="single" w:sz="4" w:space="0" w:color="auto"/>
              <w:right w:val="single" w:sz="4" w:space="0" w:color="auto"/>
            </w:tcBorders>
            <w:vAlign w:val="center"/>
          </w:tcPr>
          <w:p w14:paraId="4238283A" w14:textId="77777777" w:rsidR="006953FF" w:rsidRPr="00FB42C1" w:rsidRDefault="006953FF" w:rsidP="00674B5B">
            <w:pPr>
              <w:spacing w:after="0" w:line="240" w:lineRule="auto"/>
              <w:rPr>
                <w:rFonts w:ascii="Arial" w:hAnsi="Arial" w:cs="Arial"/>
                <w:b w:val="0"/>
                <w:sz w:val="16"/>
                <w:szCs w:val="16"/>
              </w:rPr>
            </w:pPr>
            <w:r w:rsidRPr="00FB42C1">
              <w:rPr>
                <w:rFonts w:ascii="Arial" w:hAnsi="Arial" w:cs="Arial"/>
                <w:b w:val="0"/>
                <w:sz w:val="16"/>
                <w:szCs w:val="16"/>
              </w:rPr>
              <w:t>1-4</w:t>
            </w:r>
          </w:p>
        </w:tc>
        <w:tc>
          <w:tcPr>
            <w:tcW w:w="905" w:type="dxa"/>
            <w:tcBorders>
              <w:top w:val="single" w:sz="18" w:space="0" w:color="auto"/>
              <w:left w:val="single" w:sz="4" w:space="0" w:color="auto"/>
              <w:bottom w:val="single" w:sz="4" w:space="0" w:color="auto"/>
              <w:right w:val="single" w:sz="4" w:space="0" w:color="auto"/>
            </w:tcBorders>
            <w:vAlign w:val="center"/>
          </w:tcPr>
          <w:p w14:paraId="7F6C22CA"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223" w:type="dxa"/>
            <w:tcBorders>
              <w:top w:val="single" w:sz="18" w:space="0" w:color="auto"/>
              <w:left w:val="single" w:sz="4" w:space="0" w:color="auto"/>
              <w:bottom w:val="single" w:sz="4" w:space="0" w:color="auto"/>
              <w:right w:val="single" w:sz="4" w:space="0" w:color="auto"/>
            </w:tcBorders>
            <w:vAlign w:val="center"/>
          </w:tcPr>
          <w:p w14:paraId="727FAAE6"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366/1306</w:t>
            </w:r>
          </w:p>
          <w:p w14:paraId="26CC1BCA"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(28%)</w:t>
            </w:r>
          </w:p>
        </w:tc>
        <w:tc>
          <w:tcPr>
            <w:tcW w:w="1329" w:type="dxa"/>
            <w:tcBorders>
              <w:top w:val="single" w:sz="18" w:space="0" w:color="auto"/>
              <w:left w:val="single" w:sz="4" w:space="0" w:color="auto"/>
              <w:bottom w:val="single" w:sz="4" w:space="0" w:color="auto"/>
              <w:right w:val="single" w:sz="4" w:space="0" w:color="auto"/>
            </w:tcBorders>
            <w:vAlign w:val="center"/>
          </w:tcPr>
          <w:p w14:paraId="7F52CCF3"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714/1306</w:t>
            </w:r>
          </w:p>
          <w:p w14:paraId="268D8BCD"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(55%)</w:t>
            </w:r>
          </w:p>
        </w:tc>
        <w:tc>
          <w:tcPr>
            <w:tcW w:w="1166" w:type="dxa"/>
            <w:tcBorders>
              <w:top w:val="single" w:sz="18" w:space="0" w:color="auto"/>
              <w:left w:val="single" w:sz="4" w:space="0" w:color="auto"/>
              <w:bottom w:val="single" w:sz="4" w:space="0" w:color="auto"/>
              <w:right w:val="single" w:sz="4" w:space="0" w:color="auto"/>
            </w:tcBorders>
            <w:vAlign w:val="center"/>
          </w:tcPr>
          <w:p w14:paraId="1F390553"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100/1306 (8%)</w:t>
            </w:r>
          </w:p>
        </w:tc>
        <w:tc>
          <w:tcPr>
            <w:tcW w:w="1417" w:type="dxa"/>
            <w:tcBorders>
              <w:top w:val="single" w:sz="18" w:space="0" w:color="auto"/>
              <w:left w:val="single" w:sz="4" w:space="0" w:color="auto"/>
              <w:bottom w:val="single" w:sz="4" w:space="0" w:color="auto"/>
              <w:right w:val="single" w:sz="4" w:space="0" w:color="auto"/>
            </w:tcBorders>
            <w:vAlign w:val="center"/>
          </w:tcPr>
          <w:p w14:paraId="698E106D"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126/1251 </w:t>
            </w:r>
          </w:p>
          <w:p w14:paraId="0A19062F"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(10%)</w:t>
            </w:r>
          </w:p>
        </w:tc>
        <w:tc>
          <w:tcPr>
            <w:tcW w:w="965" w:type="dxa"/>
            <w:tcBorders>
              <w:top w:val="single" w:sz="18" w:space="0" w:color="auto"/>
              <w:left w:val="single" w:sz="4" w:space="0" w:color="auto"/>
              <w:bottom w:val="single" w:sz="4" w:space="0" w:color="auto"/>
              <w:right w:val="single" w:sz="12" w:space="0" w:color="auto"/>
            </w:tcBorders>
          </w:tcPr>
          <w:p w14:paraId="7D0EF1B7"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1251</w:t>
            </w:r>
          </w:p>
        </w:tc>
      </w:tr>
      <w:tr w:rsidR="006953FF" w:rsidRPr="00FB42C1" w14:paraId="1F00E6AB"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2" w:space="0" w:color="auto"/>
              <w:bottom w:val="single" w:sz="4" w:space="0" w:color="auto"/>
              <w:right w:val="single" w:sz="4" w:space="0" w:color="auto"/>
            </w:tcBorders>
            <w:vAlign w:val="center"/>
          </w:tcPr>
          <w:p w14:paraId="025DEB1E"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68118037"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223" w:type="dxa"/>
            <w:tcBorders>
              <w:top w:val="single" w:sz="4" w:space="0" w:color="auto"/>
              <w:left w:val="single" w:sz="4" w:space="0" w:color="auto"/>
              <w:bottom w:val="single" w:sz="4" w:space="0" w:color="auto"/>
              <w:right w:val="single" w:sz="4" w:space="0" w:color="auto"/>
            </w:tcBorders>
            <w:vAlign w:val="center"/>
          </w:tcPr>
          <w:p w14:paraId="02709F2B"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3/12</w:t>
            </w:r>
          </w:p>
          <w:p w14:paraId="3596EF4A"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(25%)</w:t>
            </w:r>
          </w:p>
        </w:tc>
        <w:tc>
          <w:tcPr>
            <w:tcW w:w="1329" w:type="dxa"/>
            <w:tcBorders>
              <w:top w:val="single" w:sz="4" w:space="0" w:color="auto"/>
              <w:left w:val="single" w:sz="4" w:space="0" w:color="auto"/>
              <w:bottom w:val="single" w:sz="4" w:space="0" w:color="auto"/>
              <w:right w:val="single" w:sz="4" w:space="0" w:color="auto"/>
            </w:tcBorders>
            <w:vAlign w:val="center"/>
          </w:tcPr>
          <w:p w14:paraId="7A66CC56"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6/12</w:t>
            </w:r>
          </w:p>
          <w:p w14:paraId="54BA0A02"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(50%)</w:t>
            </w:r>
          </w:p>
        </w:tc>
        <w:tc>
          <w:tcPr>
            <w:tcW w:w="1166" w:type="dxa"/>
            <w:tcBorders>
              <w:top w:val="single" w:sz="4" w:space="0" w:color="auto"/>
              <w:left w:val="single" w:sz="4" w:space="0" w:color="auto"/>
              <w:bottom w:val="single" w:sz="4" w:space="0" w:color="auto"/>
              <w:right w:val="single" w:sz="4" w:space="0" w:color="auto"/>
            </w:tcBorders>
            <w:vAlign w:val="center"/>
          </w:tcPr>
          <w:p w14:paraId="001ED7DB"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1/12 </w:t>
            </w:r>
          </w:p>
          <w:p w14:paraId="3A4B99F7"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(8%)</w:t>
            </w:r>
          </w:p>
        </w:tc>
        <w:tc>
          <w:tcPr>
            <w:tcW w:w="1417" w:type="dxa"/>
            <w:tcBorders>
              <w:top w:val="single" w:sz="4" w:space="0" w:color="auto"/>
              <w:left w:val="single" w:sz="4" w:space="0" w:color="auto"/>
              <w:bottom w:val="single" w:sz="4" w:space="0" w:color="auto"/>
              <w:right w:val="single" w:sz="4" w:space="0" w:color="auto"/>
            </w:tcBorders>
            <w:vAlign w:val="center"/>
          </w:tcPr>
          <w:p w14:paraId="015E756C"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2/12</w:t>
            </w:r>
          </w:p>
          <w:p w14:paraId="1FCB662F"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(17%)</w:t>
            </w:r>
          </w:p>
        </w:tc>
        <w:tc>
          <w:tcPr>
            <w:tcW w:w="965" w:type="dxa"/>
            <w:tcBorders>
              <w:top w:val="single" w:sz="4" w:space="0" w:color="auto"/>
              <w:left w:val="single" w:sz="4" w:space="0" w:color="auto"/>
              <w:bottom w:val="single" w:sz="4" w:space="0" w:color="auto"/>
              <w:right w:val="single" w:sz="12" w:space="0" w:color="auto"/>
            </w:tcBorders>
          </w:tcPr>
          <w:p w14:paraId="591BEA85"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12</w:t>
            </w:r>
          </w:p>
        </w:tc>
      </w:tr>
      <w:tr w:rsidR="006953FF" w:rsidRPr="00FB42C1" w14:paraId="2A488B18"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2" w:space="0" w:color="auto"/>
              <w:bottom w:val="single" w:sz="4" w:space="0" w:color="auto"/>
              <w:right w:val="single" w:sz="4" w:space="0" w:color="auto"/>
            </w:tcBorders>
            <w:vAlign w:val="center"/>
          </w:tcPr>
          <w:p w14:paraId="009DF0F6"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4631C1BE"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223" w:type="dxa"/>
            <w:tcBorders>
              <w:top w:val="single" w:sz="4" w:space="0" w:color="auto"/>
              <w:left w:val="single" w:sz="4" w:space="0" w:color="auto"/>
              <w:bottom w:val="single" w:sz="4" w:space="0" w:color="auto"/>
              <w:right w:val="single" w:sz="4" w:space="0" w:color="auto"/>
            </w:tcBorders>
            <w:vAlign w:val="center"/>
          </w:tcPr>
          <w:p w14:paraId="7DE26E96"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7/18</w:t>
            </w:r>
          </w:p>
          <w:p w14:paraId="72B9709E"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(39%)</w:t>
            </w:r>
          </w:p>
        </w:tc>
        <w:tc>
          <w:tcPr>
            <w:tcW w:w="1329" w:type="dxa"/>
            <w:tcBorders>
              <w:top w:val="single" w:sz="4" w:space="0" w:color="auto"/>
              <w:left w:val="single" w:sz="4" w:space="0" w:color="auto"/>
              <w:bottom w:val="single" w:sz="4" w:space="0" w:color="auto"/>
              <w:right w:val="single" w:sz="4" w:space="0" w:color="auto"/>
            </w:tcBorders>
            <w:vAlign w:val="center"/>
          </w:tcPr>
          <w:p w14:paraId="4F224E9D"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6/18</w:t>
            </w:r>
          </w:p>
          <w:p w14:paraId="722EC88E"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(33%)</w:t>
            </w:r>
          </w:p>
        </w:tc>
        <w:tc>
          <w:tcPr>
            <w:tcW w:w="1166" w:type="dxa"/>
            <w:tcBorders>
              <w:top w:val="single" w:sz="4" w:space="0" w:color="auto"/>
              <w:left w:val="single" w:sz="4" w:space="0" w:color="auto"/>
              <w:bottom w:val="single" w:sz="4" w:space="0" w:color="auto"/>
              <w:right w:val="single" w:sz="4" w:space="0" w:color="auto"/>
            </w:tcBorders>
            <w:vAlign w:val="center"/>
          </w:tcPr>
          <w:p w14:paraId="07D0E288"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3/18 </w:t>
            </w:r>
          </w:p>
          <w:p w14:paraId="738F2118"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(17%)</w:t>
            </w:r>
          </w:p>
        </w:tc>
        <w:tc>
          <w:tcPr>
            <w:tcW w:w="1417" w:type="dxa"/>
            <w:tcBorders>
              <w:top w:val="single" w:sz="4" w:space="0" w:color="auto"/>
              <w:left w:val="single" w:sz="4" w:space="0" w:color="auto"/>
              <w:bottom w:val="single" w:sz="4" w:space="0" w:color="auto"/>
              <w:right w:val="single" w:sz="4" w:space="0" w:color="auto"/>
            </w:tcBorders>
            <w:vAlign w:val="center"/>
          </w:tcPr>
          <w:p w14:paraId="54F57D92"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2/18</w:t>
            </w:r>
          </w:p>
          <w:p w14:paraId="68DF1A96"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(11%)</w:t>
            </w:r>
          </w:p>
        </w:tc>
        <w:tc>
          <w:tcPr>
            <w:tcW w:w="965" w:type="dxa"/>
            <w:tcBorders>
              <w:top w:val="single" w:sz="4" w:space="0" w:color="auto"/>
              <w:left w:val="single" w:sz="4" w:space="0" w:color="auto"/>
              <w:bottom w:val="single" w:sz="4" w:space="0" w:color="auto"/>
              <w:right w:val="single" w:sz="12" w:space="0" w:color="auto"/>
            </w:tcBorders>
          </w:tcPr>
          <w:p w14:paraId="520BD072"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18</w:t>
            </w:r>
          </w:p>
        </w:tc>
      </w:tr>
      <w:tr w:rsidR="006953FF" w:rsidRPr="00FB42C1" w14:paraId="2462627C"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2" w:space="0" w:color="auto"/>
              <w:bottom w:val="single" w:sz="4" w:space="0" w:color="auto"/>
              <w:right w:val="single" w:sz="4" w:space="0" w:color="auto"/>
            </w:tcBorders>
            <w:vAlign w:val="center"/>
          </w:tcPr>
          <w:p w14:paraId="3C0CDDDA"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54A7CEA2"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223" w:type="dxa"/>
            <w:tcBorders>
              <w:top w:val="single" w:sz="4" w:space="0" w:color="auto"/>
              <w:left w:val="single" w:sz="4" w:space="0" w:color="auto"/>
              <w:bottom w:val="single" w:sz="4" w:space="0" w:color="auto"/>
              <w:right w:val="single" w:sz="4" w:space="0" w:color="auto"/>
            </w:tcBorders>
            <w:vAlign w:val="center"/>
          </w:tcPr>
          <w:p w14:paraId="44AEFFE8"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2/9</w:t>
            </w:r>
          </w:p>
          <w:p w14:paraId="089C4612"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(22%)</w:t>
            </w:r>
          </w:p>
        </w:tc>
        <w:tc>
          <w:tcPr>
            <w:tcW w:w="1329" w:type="dxa"/>
            <w:tcBorders>
              <w:top w:val="single" w:sz="4" w:space="0" w:color="auto"/>
              <w:left w:val="single" w:sz="4" w:space="0" w:color="auto"/>
              <w:bottom w:val="single" w:sz="4" w:space="0" w:color="auto"/>
              <w:right w:val="single" w:sz="4" w:space="0" w:color="auto"/>
            </w:tcBorders>
            <w:vAlign w:val="center"/>
          </w:tcPr>
          <w:p w14:paraId="6E38CB65"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2/9</w:t>
            </w:r>
          </w:p>
          <w:p w14:paraId="13DFDE00"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(22%)</w:t>
            </w:r>
          </w:p>
        </w:tc>
        <w:tc>
          <w:tcPr>
            <w:tcW w:w="1166" w:type="dxa"/>
            <w:tcBorders>
              <w:top w:val="single" w:sz="4" w:space="0" w:color="auto"/>
              <w:left w:val="single" w:sz="4" w:space="0" w:color="auto"/>
              <w:bottom w:val="single" w:sz="4" w:space="0" w:color="auto"/>
              <w:right w:val="single" w:sz="4" w:space="0" w:color="auto"/>
            </w:tcBorders>
            <w:vAlign w:val="center"/>
          </w:tcPr>
          <w:p w14:paraId="0E5466AB"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2/9 </w:t>
            </w:r>
          </w:p>
          <w:p w14:paraId="56F3583B"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(22%)</w:t>
            </w:r>
          </w:p>
        </w:tc>
        <w:tc>
          <w:tcPr>
            <w:tcW w:w="1417" w:type="dxa"/>
            <w:tcBorders>
              <w:top w:val="single" w:sz="4" w:space="0" w:color="auto"/>
              <w:left w:val="single" w:sz="4" w:space="0" w:color="auto"/>
              <w:bottom w:val="single" w:sz="4" w:space="0" w:color="auto"/>
              <w:right w:val="single" w:sz="4" w:space="0" w:color="auto"/>
            </w:tcBorders>
            <w:vAlign w:val="center"/>
          </w:tcPr>
          <w:p w14:paraId="508CAC6B"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3/9</w:t>
            </w:r>
          </w:p>
          <w:p w14:paraId="3FBF6EAC"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(33%)</w:t>
            </w:r>
          </w:p>
        </w:tc>
        <w:tc>
          <w:tcPr>
            <w:tcW w:w="965" w:type="dxa"/>
            <w:tcBorders>
              <w:top w:val="single" w:sz="4" w:space="0" w:color="auto"/>
              <w:left w:val="single" w:sz="4" w:space="0" w:color="auto"/>
              <w:bottom w:val="single" w:sz="4" w:space="0" w:color="auto"/>
              <w:right w:val="single" w:sz="12" w:space="0" w:color="auto"/>
            </w:tcBorders>
          </w:tcPr>
          <w:p w14:paraId="2E05823E"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9</w:t>
            </w:r>
          </w:p>
        </w:tc>
      </w:tr>
      <w:tr w:rsidR="006953FF" w:rsidRPr="00FB42C1" w14:paraId="5221732A"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2" w:space="0" w:color="auto"/>
              <w:bottom w:val="single" w:sz="12" w:space="0" w:color="auto"/>
              <w:right w:val="single" w:sz="4" w:space="0" w:color="auto"/>
            </w:tcBorders>
            <w:vAlign w:val="center"/>
          </w:tcPr>
          <w:p w14:paraId="6D690057"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12" w:space="0" w:color="auto"/>
              <w:right w:val="single" w:sz="4" w:space="0" w:color="auto"/>
            </w:tcBorders>
            <w:vAlign w:val="center"/>
          </w:tcPr>
          <w:p w14:paraId="703F0CE1"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223" w:type="dxa"/>
            <w:tcBorders>
              <w:top w:val="single" w:sz="4" w:space="0" w:color="auto"/>
              <w:left w:val="single" w:sz="4" w:space="0" w:color="auto"/>
              <w:bottom w:val="single" w:sz="12" w:space="0" w:color="auto"/>
              <w:right w:val="single" w:sz="4" w:space="0" w:color="auto"/>
            </w:tcBorders>
            <w:vAlign w:val="center"/>
          </w:tcPr>
          <w:p w14:paraId="3DDDF692"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18/47 </w:t>
            </w:r>
          </w:p>
          <w:p w14:paraId="074908FF"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(38%)</w:t>
            </w:r>
          </w:p>
        </w:tc>
        <w:tc>
          <w:tcPr>
            <w:tcW w:w="1329" w:type="dxa"/>
            <w:tcBorders>
              <w:top w:val="single" w:sz="4" w:space="0" w:color="auto"/>
              <w:left w:val="single" w:sz="4" w:space="0" w:color="auto"/>
              <w:bottom w:val="single" w:sz="12" w:space="0" w:color="auto"/>
              <w:right w:val="single" w:sz="4" w:space="0" w:color="auto"/>
            </w:tcBorders>
            <w:vAlign w:val="center"/>
          </w:tcPr>
          <w:p w14:paraId="17EADCD4"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20/47</w:t>
            </w:r>
          </w:p>
          <w:p w14:paraId="282681B7"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(43%)</w:t>
            </w:r>
          </w:p>
        </w:tc>
        <w:tc>
          <w:tcPr>
            <w:tcW w:w="1166" w:type="dxa"/>
            <w:tcBorders>
              <w:top w:val="single" w:sz="4" w:space="0" w:color="auto"/>
              <w:left w:val="single" w:sz="4" w:space="0" w:color="auto"/>
              <w:bottom w:val="single" w:sz="12" w:space="0" w:color="auto"/>
              <w:right w:val="single" w:sz="4" w:space="0" w:color="auto"/>
            </w:tcBorders>
            <w:vAlign w:val="center"/>
          </w:tcPr>
          <w:p w14:paraId="684B1502"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tc>
        <w:tc>
          <w:tcPr>
            <w:tcW w:w="1417" w:type="dxa"/>
            <w:tcBorders>
              <w:top w:val="single" w:sz="4" w:space="0" w:color="auto"/>
              <w:left w:val="single" w:sz="4" w:space="0" w:color="auto"/>
              <w:bottom w:val="single" w:sz="12" w:space="0" w:color="auto"/>
              <w:right w:val="single" w:sz="4" w:space="0" w:color="auto"/>
            </w:tcBorders>
            <w:vAlign w:val="center"/>
          </w:tcPr>
          <w:p w14:paraId="2371CB2A"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9/47</w:t>
            </w:r>
          </w:p>
          <w:p w14:paraId="5F8BD123"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(19%)</w:t>
            </w:r>
          </w:p>
        </w:tc>
        <w:tc>
          <w:tcPr>
            <w:tcW w:w="965" w:type="dxa"/>
            <w:tcBorders>
              <w:top w:val="single" w:sz="4" w:space="0" w:color="auto"/>
              <w:left w:val="single" w:sz="4" w:space="0" w:color="auto"/>
              <w:bottom w:val="single" w:sz="12" w:space="0" w:color="auto"/>
              <w:right w:val="single" w:sz="12" w:space="0" w:color="auto"/>
            </w:tcBorders>
          </w:tcPr>
          <w:p w14:paraId="11E3257A"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47</w:t>
            </w:r>
          </w:p>
        </w:tc>
      </w:tr>
      <w:tr w:rsidR="006953FF" w:rsidRPr="00FB42C1" w14:paraId="2514D6EC"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val="restart"/>
            <w:tcBorders>
              <w:top w:val="single" w:sz="12" w:space="0" w:color="auto"/>
              <w:left w:val="single" w:sz="18" w:space="0" w:color="auto"/>
              <w:bottom w:val="single" w:sz="4" w:space="0" w:color="auto"/>
              <w:right w:val="single" w:sz="4" w:space="0" w:color="auto"/>
            </w:tcBorders>
            <w:vAlign w:val="center"/>
          </w:tcPr>
          <w:p w14:paraId="684BF4C9" w14:textId="77777777" w:rsidR="006953FF" w:rsidRPr="00FB42C1" w:rsidRDefault="006953FF" w:rsidP="00674B5B">
            <w:pPr>
              <w:spacing w:after="0" w:line="240" w:lineRule="auto"/>
              <w:rPr>
                <w:rFonts w:ascii="Arial" w:hAnsi="Arial" w:cs="Arial"/>
                <w:b w:val="0"/>
                <w:sz w:val="16"/>
                <w:szCs w:val="16"/>
              </w:rPr>
            </w:pPr>
            <w:r w:rsidRPr="00FB42C1">
              <w:rPr>
                <w:rFonts w:ascii="Arial" w:hAnsi="Arial" w:cs="Arial"/>
                <w:b w:val="0"/>
                <w:sz w:val="16"/>
                <w:szCs w:val="16"/>
              </w:rPr>
              <w:t>5-14</w:t>
            </w:r>
          </w:p>
        </w:tc>
        <w:tc>
          <w:tcPr>
            <w:tcW w:w="905" w:type="dxa"/>
            <w:tcBorders>
              <w:top w:val="single" w:sz="12" w:space="0" w:color="auto"/>
              <w:left w:val="single" w:sz="4" w:space="0" w:color="auto"/>
              <w:bottom w:val="single" w:sz="4" w:space="0" w:color="auto"/>
              <w:right w:val="single" w:sz="4" w:space="0" w:color="auto"/>
            </w:tcBorders>
            <w:vAlign w:val="center"/>
          </w:tcPr>
          <w:p w14:paraId="44FABDC1"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223" w:type="dxa"/>
            <w:tcBorders>
              <w:top w:val="single" w:sz="12" w:space="0" w:color="auto"/>
              <w:left w:val="single" w:sz="4" w:space="0" w:color="auto"/>
              <w:bottom w:val="single" w:sz="4" w:space="0" w:color="auto"/>
              <w:right w:val="single" w:sz="4" w:space="0" w:color="auto"/>
            </w:tcBorders>
            <w:vAlign w:val="center"/>
          </w:tcPr>
          <w:p w14:paraId="624E5CD1"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132/434</w:t>
            </w:r>
          </w:p>
          <w:p w14:paraId="734BB79B"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(30%)</w:t>
            </w:r>
          </w:p>
        </w:tc>
        <w:tc>
          <w:tcPr>
            <w:tcW w:w="1329" w:type="dxa"/>
            <w:tcBorders>
              <w:top w:val="single" w:sz="12" w:space="0" w:color="auto"/>
              <w:left w:val="single" w:sz="4" w:space="0" w:color="auto"/>
              <w:bottom w:val="single" w:sz="4" w:space="0" w:color="auto"/>
              <w:right w:val="single" w:sz="4" w:space="0" w:color="auto"/>
            </w:tcBorders>
            <w:vAlign w:val="center"/>
          </w:tcPr>
          <w:p w14:paraId="3ACFB4EA"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194/434</w:t>
            </w:r>
          </w:p>
          <w:p w14:paraId="4D5C355F"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(45%)</w:t>
            </w:r>
          </w:p>
        </w:tc>
        <w:tc>
          <w:tcPr>
            <w:tcW w:w="1166" w:type="dxa"/>
            <w:tcBorders>
              <w:top w:val="single" w:sz="12" w:space="0" w:color="auto"/>
              <w:left w:val="single" w:sz="4" w:space="0" w:color="auto"/>
              <w:bottom w:val="single" w:sz="4" w:space="0" w:color="auto"/>
              <w:right w:val="single" w:sz="4" w:space="0" w:color="auto"/>
            </w:tcBorders>
            <w:vAlign w:val="center"/>
          </w:tcPr>
          <w:p w14:paraId="65785879"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51/434 </w:t>
            </w:r>
          </w:p>
          <w:p w14:paraId="54E7076D"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(12%)</w:t>
            </w:r>
          </w:p>
        </w:tc>
        <w:tc>
          <w:tcPr>
            <w:tcW w:w="1417" w:type="dxa"/>
            <w:tcBorders>
              <w:top w:val="single" w:sz="12" w:space="0" w:color="auto"/>
              <w:left w:val="single" w:sz="4" w:space="0" w:color="auto"/>
              <w:bottom w:val="single" w:sz="4" w:space="0" w:color="auto"/>
              <w:right w:val="single" w:sz="4" w:space="0" w:color="auto"/>
            </w:tcBorders>
            <w:vAlign w:val="center"/>
          </w:tcPr>
          <w:p w14:paraId="3E14C8E6"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57/434 </w:t>
            </w:r>
          </w:p>
          <w:p w14:paraId="3E6BF366"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(13%)</w:t>
            </w:r>
          </w:p>
        </w:tc>
        <w:tc>
          <w:tcPr>
            <w:tcW w:w="965" w:type="dxa"/>
            <w:tcBorders>
              <w:top w:val="single" w:sz="12" w:space="0" w:color="auto"/>
              <w:left w:val="single" w:sz="4" w:space="0" w:color="auto"/>
              <w:bottom w:val="single" w:sz="4" w:space="0" w:color="auto"/>
              <w:right w:val="single" w:sz="18" w:space="0" w:color="auto"/>
            </w:tcBorders>
          </w:tcPr>
          <w:p w14:paraId="4E6573B5"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434</w:t>
            </w:r>
          </w:p>
        </w:tc>
      </w:tr>
      <w:tr w:rsidR="006953FF" w:rsidRPr="00FB42C1" w14:paraId="4E0F98A3"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2B85F25A"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4CAF3FA2"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223" w:type="dxa"/>
            <w:tcBorders>
              <w:top w:val="single" w:sz="4" w:space="0" w:color="auto"/>
              <w:left w:val="single" w:sz="4" w:space="0" w:color="auto"/>
              <w:bottom w:val="single" w:sz="4" w:space="0" w:color="auto"/>
              <w:right w:val="single" w:sz="4" w:space="0" w:color="auto"/>
            </w:tcBorders>
            <w:vAlign w:val="center"/>
          </w:tcPr>
          <w:p w14:paraId="7A291AFD"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2/12</w:t>
            </w:r>
          </w:p>
          <w:p w14:paraId="15FD66C1"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(17%)</w:t>
            </w:r>
          </w:p>
        </w:tc>
        <w:tc>
          <w:tcPr>
            <w:tcW w:w="1329" w:type="dxa"/>
            <w:tcBorders>
              <w:top w:val="single" w:sz="4" w:space="0" w:color="auto"/>
              <w:left w:val="single" w:sz="4" w:space="0" w:color="auto"/>
              <w:bottom w:val="single" w:sz="4" w:space="0" w:color="auto"/>
              <w:right w:val="single" w:sz="4" w:space="0" w:color="auto"/>
            </w:tcBorders>
            <w:vAlign w:val="center"/>
          </w:tcPr>
          <w:p w14:paraId="355BC3EB"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6/12 </w:t>
            </w:r>
          </w:p>
          <w:p w14:paraId="1C77E4FE"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(50%)</w:t>
            </w:r>
          </w:p>
        </w:tc>
        <w:tc>
          <w:tcPr>
            <w:tcW w:w="1166" w:type="dxa"/>
            <w:tcBorders>
              <w:top w:val="single" w:sz="4" w:space="0" w:color="auto"/>
              <w:left w:val="single" w:sz="4" w:space="0" w:color="auto"/>
              <w:bottom w:val="single" w:sz="4" w:space="0" w:color="auto"/>
              <w:right w:val="single" w:sz="4" w:space="0" w:color="auto"/>
            </w:tcBorders>
            <w:vAlign w:val="center"/>
          </w:tcPr>
          <w:p w14:paraId="3E9896DA"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2/12</w:t>
            </w:r>
          </w:p>
          <w:p w14:paraId="7EDFF3F8"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(17%)</w:t>
            </w:r>
          </w:p>
        </w:tc>
        <w:tc>
          <w:tcPr>
            <w:tcW w:w="1417" w:type="dxa"/>
            <w:tcBorders>
              <w:top w:val="single" w:sz="4" w:space="0" w:color="auto"/>
              <w:left w:val="single" w:sz="4" w:space="0" w:color="auto"/>
              <w:bottom w:val="single" w:sz="4" w:space="0" w:color="auto"/>
              <w:right w:val="single" w:sz="4" w:space="0" w:color="auto"/>
            </w:tcBorders>
            <w:vAlign w:val="center"/>
          </w:tcPr>
          <w:p w14:paraId="709F7BEF"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2/12</w:t>
            </w:r>
          </w:p>
          <w:p w14:paraId="31626FFE"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(17%)</w:t>
            </w:r>
          </w:p>
        </w:tc>
        <w:tc>
          <w:tcPr>
            <w:tcW w:w="965" w:type="dxa"/>
            <w:tcBorders>
              <w:top w:val="single" w:sz="4" w:space="0" w:color="auto"/>
              <w:left w:val="single" w:sz="4" w:space="0" w:color="auto"/>
              <w:bottom w:val="single" w:sz="4" w:space="0" w:color="auto"/>
              <w:right w:val="single" w:sz="18" w:space="0" w:color="auto"/>
            </w:tcBorders>
          </w:tcPr>
          <w:p w14:paraId="286F39F8"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12</w:t>
            </w:r>
          </w:p>
        </w:tc>
      </w:tr>
      <w:tr w:rsidR="006953FF" w:rsidRPr="00FB42C1" w14:paraId="4F3A6353"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475F923C"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3879ECA7"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223" w:type="dxa"/>
            <w:tcBorders>
              <w:top w:val="single" w:sz="4" w:space="0" w:color="auto"/>
              <w:left w:val="single" w:sz="4" w:space="0" w:color="auto"/>
              <w:bottom w:val="single" w:sz="4" w:space="0" w:color="auto"/>
              <w:right w:val="single" w:sz="4" w:space="0" w:color="auto"/>
            </w:tcBorders>
            <w:vAlign w:val="center"/>
          </w:tcPr>
          <w:p w14:paraId="387888E0"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3/7</w:t>
            </w:r>
          </w:p>
          <w:p w14:paraId="0327DAC9"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(43%)</w:t>
            </w:r>
          </w:p>
        </w:tc>
        <w:tc>
          <w:tcPr>
            <w:tcW w:w="1329" w:type="dxa"/>
            <w:tcBorders>
              <w:top w:val="single" w:sz="4" w:space="0" w:color="auto"/>
              <w:left w:val="single" w:sz="4" w:space="0" w:color="auto"/>
              <w:bottom w:val="single" w:sz="4" w:space="0" w:color="auto"/>
              <w:right w:val="single" w:sz="4" w:space="0" w:color="auto"/>
            </w:tcBorders>
            <w:vAlign w:val="center"/>
          </w:tcPr>
          <w:p w14:paraId="2B010998"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3/7</w:t>
            </w:r>
          </w:p>
          <w:p w14:paraId="61D9C504"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(43%)</w:t>
            </w:r>
          </w:p>
        </w:tc>
        <w:tc>
          <w:tcPr>
            <w:tcW w:w="1166" w:type="dxa"/>
            <w:tcBorders>
              <w:top w:val="single" w:sz="4" w:space="0" w:color="auto"/>
              <w:left w:val="single" w:sz="4" w:space="0" w:color="auto"/>
              <w:bottom w:val="single" w:sz="4" w:space="0" w:color="auto"/>
              <w:right w:val="single" w:sz="4" w:space="0" w:color="auto"/>
            </w:tcBorders>
            <w:vAlign w:val="center"/>
          </w:tcPr>
          <w:p w14:paraId="7A680F27"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tcPr>
          <w:p w14:paraId="051A502B"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1/7</w:t>
            </w:r>
          </w:p>
          <w:p w14:paraId="5D8244FB"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(14%)</w:t>
            </w:r>
          </w:p>
        </w:tc>
        <w:tc>
          <w:tcPr>
            <w:tcW w:w="965" w:type="dxa"/>
            <w:tcBorders>
              <w:top w:val="single" w:sz="4" w:space="0" w:color="auto"/>
              <w:left w:val="single" w:sz="4" w:space="0" w:color="auto"/>
              <w:bottom w:val="single" w:sz="4" w:space="0" w:color="auto"/>
              <w:right w:val="single" w:sz="18" w:space="0" w:color="auto"/>
            </w:tcBorders>
          </w:tcPr>
          <w:p w14:paraId="699D3656"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7</w:t>
            </w:r>
          </w:p>
        </w:tc>
      </w:tr>
      <w:tr w:rsidR="006953FF" w:rsidRPr="00FB42C1" w14:paraId="14B1F2B7"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0E013814"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5FD11155"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223" w:type="dxa"/>
            <w:tcBorders>
              <w:top w:val="single" w:sz="4" w:space="0" w:color="auto"/>
              <w:left w:val="single" w:sz="4" w:space="0" w:color="auto"/>
              <w:bottom w:val="single" w:sz="4" w:space="0" w:color="auto"/>
              <w:right w:val="single" w:sz="4" w:space="0" w:color="auto"/>
            </w:tcBorders>
            <w:vAlign w:val="center"/>
          </w:tcPr>
          <w:p w14:paraId="7292E150"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7/18</w:t>
            </w:r>
          </w:p>
          <w:p w14:paraId="07DAA870"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(39%)</w:t>
            </w:r>
          </w:p>
        </w:tc>
        <w:tc>
          <w:tcPr>
            <w:tcW w:w="1329" w:type="dxa"/>
            <w:tcBorders>
              <w:top w:val="single" w:sz="4" w:space="0" w:color="auto"/>
              <w:left w:val="single" w:sz="4" w:space="0" w:color="auto"/>
              <w:bottom w:val="single" w:sz="4" w:space="0" w:color="auto"/>
              <w:right w:val="single" w:sz="4" w:space="0" w:color="auto"/>
            </w:tcBorders>
            <w:vAlign w:val="center"/>
          </w:tcPr>
          <w:p w14:paraId="6A7C733A"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5/18 </w:t>
            </w:r>
          </w:p>
          <w:p w14:paraId="435D6E28"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(28%)</w:t>
            </w:r>
          </w:p>
        </w:tc>
        <w:tc>
          <w:tcPr>
            <w:tcW w:w="1166" w:type="dxa"/>
            <w:tcBorders>
              <w:top w:val="single" w:sz="4" w:space="0" w:color="auto"/>
              <w:left w:val="single" w:sz="4" w:space="0" w:color="auto"/>
              <w:bottom w:val="single" w:sz="4" w:space="0" w:color="auto"/>
              <w:right w:val="single" w:sz="4" w:space="0" w:color="auto"/>
            </w:tcBorders>
            <w:vAlign w:val="center"/>
          </w:tcPr>
          <w:p w14:paraId="7257D88F"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3/18 </w:t>
            </w:r>
          </w:p>
          <w:p w14:paraId="2F1BD299"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(17%)</w:t>
            </w:r>
          </w:p>
        </w:tc>
        <w:tc>
          <w:tcPr>
            <w:tcW w:w="1417" w:type="dxa"/>
            <w:tcBorders>
              <w:top w:val="single" w:sz="4" w:space="0" w:color="auto"/>
              <w:left w:val="single" w:sz="4" w:space="0" w:color="auto"/>
              <w:bottom w:val="single" w:sz="4" w:space="0" w:color="auto"/>
              <w:right w:val="single" w:sz="4" w:space="0" w:color="auto"/>
            </w:tcBorders>
            <w:vAlign w:val="center"/>
          </w:tcPr>
          <w:p w14:paraId="596AF9BE"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3/18 </w:t>
            </w:r>
          </w:p>
          <w:p w14:paraId="77FBD6C5"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(17%)</w:t>
            </w:r>
          </w:p>
        </w:tc>
        <w:tc>
          <w:tcPr>
            <w:tcW w:w="965" w:type="dxa"/>
            <w:tcBorders>
              <w:top w:val="single" w:sz="4" w:space="0" w:color="auto"/>
              <w:left w:val="single" w:sz="4" w:space="0" w:color="auto"/>
              <w:bottom w:val="single" w:sz="4" w:space="0" w:color="auto"/>
              <w:right w:val="single" w:sz="18" w:space="0" w:color="auto"/>
            </w:tcBorders>
          </w:tcPr>
          <w:p w14:paraId="136B4139"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18</w:t>
            </w:r>
          </w:p>
        </w:tc>
      </w:tr>
      <w:tr w:rsidR="006953FF" w:rsidRPr="00FB42C1" w14:paraId="273029A1"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18" w:space="0" w:color="auto"/>
              <w:right w:val="single" w:sz="4" w:space="0" w:color="auto"/>
            </w:tcBorders>
            <w:vAlign w:val="center"/>
          </w:tcPr>
          <w:p w14:paraId="09B90324"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18" w:space="0" w:color="auto"/>
              <w:right w:val="single" w:sz="4" w:space="0" w:color="auto"/>
            </w:tcBorders>
            <w:vAlign w:val="center"/>
          </w:tcPr>
          <w:p w14:paraId="19BA3972"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223" w:type="dxa"/>
            <w:tcBorders>
              <w:top w:val="single" w:sz="4" w:space="0" w:color="auto"/>
              <w:left w:val="single" w:sz="4" w:space="0" w:color="auto"/>
              <w:bottom w:val="single" w:sz="18" w:space="0" w:color="auto"/>
              <w:right w:val="single" w:sz="4" w:space="0" w:color="auto"/>
            </w:tcBorders>
            <w:vAlign w:val="center"/>
          </w:tcPr>
          <w:p w14:paraId="183A9B31"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11/19</w:t>
            </w:r>
          </w:p>
          <w:p w14:paraId="1B6052F0"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(58%)</w:t>
            </w:r>
          </w:p>
        </w:tc>
        <w:tc>
          <w:tcPr>
            <w:tcW w:w="1329" w:type="dxa"/>
            <w:tcBorders>
              <w:top w:val="single" w:sz="4" w:space="0" w:color="auto"/>
              <w:left w:val="single" w:sz="4" w:space="0" w:color="auto"/>
              <w:bottom w:val="single" w:sz="18" w:space="0" w:color="auto"/>
              <w:right w:val="single" w:sz="4" w:space="0" w:color="auto"/>
            </w:tcBorders>
            <w:vAlign w:val="center"/>
          </w:tcPr>
          <w:p w14:paraId="595A7423"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4/19 </w:t>
            </w:r>
          </w:p>
          <w:p w14:paraId="7E265055"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(21%)</w:t>
            </w:r>
          </w:p>
        </w:tc>
        <w:tc>
          <w:tcPr>
            <w:tcW w:w="1166" w:type="dxa"/>
            <w:tcBorders>
              <w:top w:val="single" w:sz="4" w:space="0" w:color="auto"/>
              <w:left w:val="single" w:sz="4" w:space="0" w:color="auto"/>
              <w:bottom w:val="single" w:sz="18" w:space="0" w:color="auto"/>
              <w:right w:val="single" w:sz="4" w:space="0" w:color="auto"/>
            </w:tcBorders>
            <w:vAlign w:val="center"/>
          </w:tcPr>
          <w:p w14:paraId="1EE4C31E"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1/19</w:t>
            </w:r>
          </w:p>
          <w:p w14:paraId="491E21A7"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(5%)</w:t>
            </w:r>
          </w:p>
        </w:tc>
        <w:tc>
          <w:tcPr>
            <w:tcW w:w="1417" w:type="dxa"/>
            <w:tcBorders>
              <w:top w:val="single" w:sz="4" w:space="0" w:color="auto"/>
              <w:left w:val="single" w:sz="4" w:space="0" w:color="auto"/>
              <w:bottom w:val="single" w:sz="18" w:space="0" w:color="auto"/>
              <w:right w:val="single" w:sz="4" w:space="0" w:color="auto"/>
            </w:tcBorders>
            <w:vAlign w:val="center"/>
          </w:tcPr>
          <w:p w14:paraId="23FDCFA6"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3/19 </w:t>
            </w:r>
          </w:p>
          <w:p w14:paraId="5B13CDD3"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(16%)</w:t>
            </w:r>
          </w:p>
        </w:tc>
        <w:tc>
          <w:tcPr>
            <w:tcW w:w="965" w:type="dxa"/>
            <w:tcBorders>
              <w:top w:val="single" w:sz="4" w:space="0" w:color="auto"/>
              <w:left w:val="single" w:sz="4" w:space="0" w:color="auto"/>
              <w:bottom w:val="single" w:sz="18" w:space="0" w:color="auto"/>
              <w:right w:val="single" w:sz="18" w:space="0" w:color="auto"/>
            </w:tcBorders>
          </w:tcPr>
          <w:p w14:paraId="21CBEC2C"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19</w:t>
            </w:r>
          </w:p>
        </w:tc>
      </w:tr>
      <w:tr w:rsidR="006953FF" w:rsidRPr="00FB42C1" w14:paraId="41CDCFC5" w14:textId="77777777" w:rsidTr="00C6415A">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06" w:type="dxa"/>
            <w:vMerge w:val="restart"/>
            <w:tcBorders>
              <w:top w:val="single" w:sz="18" w:space="0" w:color="auto"/>
              <w:left w:val="single" w:sz="18" w:space="0" w:color="auto"/>
              <w:bottom w:val="single" w:sz="4" w:space="0" w:color="auto"/>
              <w:right w:val="single" w:sz="4" w:space="0" w:color="auto"/>
            </w:tcBorders>
            <w:vAlign w:val="center"/>
          </w:tcPr>
          <w:p w14:paraId="7DB9D090" w14:textId="77777777" w:rsidR="006953FF" w:rsidRPr="00FB42C1" w:rsidRDefault="006953FF" w:rsidP="00674B5B">
            <w:pPr>
              <w:spacing w:after="0" w:line="240" w:lineRule="auto"/>
              <w:rPr>
                <w:rFonts w:ascii="Arial" w:hAnsi="Arial" w:cs="Arial"/>
                <w:b w:val="0"/>
                <w:sz w:val="16"/>
                <w:szCs w:val="16"/>
              </w:rPr>
            </w:pPr>
            <w:r w:rsidRPr="00FB42C1">
              <w:rPr>
                <w:rFonts w:ascii="Arial" w:hAnsi="Arial" w:cs="Arial"/>
                <w:b w:val="0"/>
                <w:sz w:val="16"/>
                <w:szCs w:val="16"/>
              </w:rPr>
              <w:t>15-24</w:t>
            </w:r>
          </w:p>
        </w:tc>
        <w:tc>
          <w:tcPr>
            <w:tcW w:w="905" w:type="dxa"/>
            <w:tcBorders>
              <w:top w:val="single" w:sz="18" w:space="0" w:color="auto"/>
              <w:left w:val="single" w:sz="4" w:space="0" w:color="auto"/>
              <w:bottom w:val="single" w:sz="4" w:space="0" w:color="auto"/>
              <w:right w:val="single" w:sz="4" w:space="0" w:color="auto"/>
            </w:tcBorders>
            <w:vAlign w:val="center"/>
          </w:tcPr>
          <w:p w14:paraId="5C8324AA"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223" w:type="dxa"/>
            <w:tcBorders>
              <w:top w:val="single" w:sz="18" w:space="0" w:color="auto"/>
              <w:left w:val="single" w:sz="4" w:space="0" w:color="auto"/>
              <w:bottom w:val="single" w:sz="4" w:space="0" w:color="auto"/>
              <w:right w:val="single" w:sz="4" w:space="0" w:color="auto"/>
            </w:tcBorders>
            <w:vAlign w:val="center"/>
          </w:tcPr>
          <w:p w14:paraId="2E226D71"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415/587 </w:t>
            </w:r>
          </w:p>
          <w:p w14:paraId="79CD602A"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(71%)</w:t>
            </w:r>
          </w:p>
        </w:tc>
        <w:tc>
          <w:tcPr>
            <w:tcW w:w="1329" w:type="dxa"/>
            <w:tcBorders>
              <w:top w:val="single" w:sz="18" w:space="0" w:color="auto"/>
              <w:left w:val="single" w:sz="4" w:space="0" w:color="auto"/>
              <w:bottom w:val="single" w:sz="4" w:space="0" w:color="auto"/>
              <w:right w:val="single" w:sz="4" w:space="0" w:color="auto"/>
            </w:tcBorders>
            <w:vAlign w:val="center"/>
          </w:tcPr>
          <w:p w14:paraId="56EF1C79"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109/587 </w:t>
            </w:r>
          </w:p>
          <w:p w14:paraId="2E24397B"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(19%)</w:t>
            </w:r>
          </w:p>
        </w:tc>
        <w:tc>
          <w:tcPr>
            <w:tcW w:w="1166" w:type="dxa"/>
            <w:tcBorders>
              <w:top w:val="single" w:sz="18" w:space="0" w:color="auto"/>
              <w:left w:val="single" w:sz="4" w:space="0" w:color="auto"/>
              <w:bottom w:val="single" w:sz="4" w:space="0" w:color="auto"/>
              <w:right w:val="single" w:sz="4" w:space="0" w:color="auto"/>
            </w:tcBorders>
            <w:vAlign w:val="center"/>
          </w:tcPr>
          <w:p w14:paraId="3EBDF043"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36/587</w:t>
            </w:r>
          </w:p>
          <w:p w14:paraId="17B7063F"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(6%)</w:t>
            </w:r>
          </w:p>
        </w:tc>
        <w:tc>
          <w:tcPr>
            <w:tcW w:w="1417" w:type="dxa"/>
            <w:tcBorders>
              <w:top w:val="single" w:sz="18" w:space="0" w:color="auto"/>
              <w:left w:val="single" w:sz="4" w:space="0" w:color="auto"/>
              <w:bottom w:val="single" w:sz="4" w:space="0" w:color="auto"/>
              <w:right w:val="single" w:sz="4" w:space="0" w:color="auto"/>
            </w:tcBorders>
            <w:vAlign w:val="center"/>
          </w:tcPr>
          <w:p w14:paraId="63775270"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27/587</w:t>
            </w:r>
          </w:p>
          <w:p w14:paraId="73A26B53"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(5%)</w:t>
            </w:r>
          </w:p>
        </w:tc>
        <w:tc>
          <w:tcPr>
            <w:tcW w:w="965" w:type="dxa"/>
            <w:tcBorders>
              <w:top w:val="single" w:sz="18" w:space="0" w:color="auto"/>
              <w:left w:val="single" w:sz="4" w:space="0" w:color="auto"/>
              <w:bottom w:val="single" w:sz="4" w:space="0" w:color="auto"/>
              <w:right w:val="single" w:sz="18" w:space="0" w:color="auto"/>
            </w:tcBorders>
          </w:tcPr>
          <w:p w14:paraId="38FC4AC9"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587</w:t>
            </w:r>
          </w:p>
        </w:tc>
      </w:tr>
      <w:tr w:rsidR="006953FF" w:rsidRPr="00FB42C1" w14:paraId="4DC16E29"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0FA88EBD"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507897CA"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223" w:type="dxa"/>
            <w:tcBorders>
              <w:top w:val="single" w:sz="4" w:space="0" w:color="auto"/>
              <w:left w:val="single" w:sz="4" w:space="0" w:color="auto"/>
              <w:bottom w:val="single" w:sz="4" w:space="0" w:color="auto"/>
              <w:right w:val="single" w:sz="4" w:space="0" w:color="auto"/>
            </w:tcBorders>
            <w:vAlign w:val="center"/>
          </w:tcPr>
          <w:p w14:paraId="3D6403E3"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5/9</w:t>
            </w:r>
          </w:p>
          <w:p w14:paraId="40F5FDB2"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(56%)</w:t>
            </w:r>
          </w:p>
        </w:tc>
        <w:tc>
          <w:tcPr>
            <w:tcW w:w="1329" w:type="dxa"/>
            <w:tcBorders>
              <w:top w:val="single" w:sz="4" w:space="0" w:color="auto"/>
              <w:left w:val="single" w:sz="4" w:space="0" w:color="auto"/>
              <w:bottom w:val="single" w:sz="4" w:space="0" w:color="auto"/>
              <w:right w:val="single" w:sz="4" w:space="0" w:color="auto"/>
            </w:tcBorders>
            <w:vAlign w:val="center"/>
          </w:tcPr>
          <w:p w14:paraId="38127486"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3/9 (33%)</w:t>
            </w:r>
          </w:p>
        </w:tc>
        <w:tc>
          <w:tcPr>
            <w:tcW w:w="1166" w:type="dxa"/>
            <w:tcBorders>
              <w:top w:val="single" w:sz="4" w:space="0" w:color="auto"/>
              <w:left w:val="single" w:sz="4" w:space="0" w:color="auto"/>
              <w:bottom w:val="single" w:sz="4" w:space="0" w:color="auto"/>
              <w:right w:val="single" w:sz="4" w:space="0" w:color="auto"/>
            </w:tcBorders>
            <w:vAlign w:val="center"/>
          </w:tcPr>
          <w:p w14:paraId="370D10DF"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tcPr>
          <w:p w14:paraId="0B4D0CD6"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1/9</w:t>
            </w:r>
          </w:p>
          <w:p w14:paraId="25F22EB5"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(11%)</w:t>
            </w:r>
          </w:p>
        </w:tc>
        <w:tc>
          <w:tcPr>
            <w:tcW w:w="965" w:type="dxa"/>
            <w:tcBorders>
              <w:top w:val="single" w:sz="4" w:space="0" w:color="auto"/>
              <w:left w:val="single" w:sz="4" w:space="0" w:color="auto"/>
              <w:bottom w:val="single" w:sz="4" w:space="0" w:color="auto"/>
              <w:right w:val="single" w:sz="18" w:space="0" w:color="auto"/>
            </w:tcBorders>
          </w:tcPr>
          <w:p w14:paraId="56F69BBC"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9</w:t>
            </w:r>
          </w:p>
        </w:tc>
      </w:tr>
      <w:tr w:rsidR="006953FF" w:rsidRPr="00FB42C1" w14:paraId="7ADD6A92"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10AC0632"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327663D6"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223" w:type="dxa"/>
            <w:tcBorders>
              <w:top w:val="single" w:sz="4" w:space="0" w:color="auto"/>
              <w:left w:val="single" w:sz="4" w:space="0" w:color="auto"/>
              <w:bottom w:val="single" w:sz="4" w:space="0" w:color="auto"/>
              <w:right w:val="single" w:sz="4" w:space="0" w:color="auto"/>
            </w:tcBorders>
            <w:vAlign w:val="center"/>
          </w:tcPr>
          <w:p w14:paraId="02E0E103"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9/14</w:t>
            </w:r>
          </w:p>
          <w:p w14:paraId="0824E285"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(64%)</w:t>
            </w:r>
          </w:p>
        </w:tc>
        <w:tc>
          <w:tcPr>
            <w:tcW w:w="1329" w:type="dxa"/>
            <w:tcBorders>
              <w:top w:val="single" w:sz="4" w:space="0" w:color="auto"/>
              <w:left w:val="single" w:sz="4" w:space="0" w:color="auto"/>
              <w:bottom w:val="single" w:sz="4" w:space="0" w:color="auto"/>
              <w:right w:val="single" w:sz="4" w:space="0" w:color="auto"/>
            </w:tcBorders>
            <w:vAlign w:val="center"/>
          </w:tcPr>
          <w:p w14:paraId="0A12C52A"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2/14</w:t>
            </w:r>
          </w:p>
          <w:p w14:paraId="0D229340"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(14%)</w:t>
            </w:r>
          </w:p>
        </w:tc>
        <w:tc>
          <w:tcPr>
            <w:tcW w:w="1166" w:type="dxa"/>
            <w:tcBorders>
              <w:top w:val="single" w:sz="4" w:space="0" w:color="auto"/>
              <w:left w:val="single" w:sz="4" w:space="0" w:color="auto"/>
              <w:bottom w:val="single" w:sz="4" w:space="0" w:color="auto"/>
              <w:right w:val="single" w:sz="4" w:space="0" w:color="auto"/>
            </w:tcBorders>
            <w:vAlign w:val="center"/>
          </w:tcPr>
          <w:p w14:paraId="0277AEE9"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tcPr>
          <w:p w14:paraId="447DD71C"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3/14</w:t>
            </w:r>
          </w:p>
          <w:p w14:paraId="2AB219C8"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(21%)</w:t>
            </w:r>
          </w:p>
        </w:tc>
        <w:tc>
          <w:tcPr>
            <w:tcW w:w="965" w:type="dxa"/>
            <w:tcBorders>
              <w:top w:val="single" w:sz="4" w:space="0" w:color="auto"/>
              <w:left w:val="single" w:sz="4" w:space="0" w:color="auto"/>
              <w:bottom w:val="single" w:sz="4" w:space="0" w:color="auto"/>
              <w:right w:val="single" w:sz="18" w:space="0" w:color="auto"/>
            </w:tcBorders>
          </w:tcPr>
          <w:p w14:paraId="0D93D19F"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14</w:t>
            </w:r>
          </w:p>
        </w:tc>
      </w:tr>
      <w:tr w:rsidR="006953FF" w:rsidRPr="00FB42C1" w14:paraId="79D46C13"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1B4E4A85"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258D7DF3"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223" w:type="dxa"/>
            <w:tcBorders>
              <w:top w:val="single" w:sz="4" w:space="0" w:color="auto"/>
              <w:left w:val="single" w:sz="4" w:space="0" w:color="auto"/>
              <w:bottom w:val="single" w:sz="4" w:space="0" w:color="auto"/>
              <w:right w:val="single" w:sz="4" w:space="0" w:color="auto"/>
            </w:tcBorders>
            <w:vAlign w:val="center"/>
          </w:tcPr>
          <w:p w14:paraId="40259E81"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25/51</w:t>
            </w:r>
          </w:p>
          <w:p w14:paraId="7E3EA2C9"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(49%)</w:t>
            </w:r>
          </w:p>
        </w:tc>
        <w:tc>
          <w:tcPr>
            <w:tcW w:w="1329" w:type="dxa"/>
            <w:tcBorders>
              <w:top w:val="single" w:sz="4" w:space="0" w:color="auto"/>
              <w:left w:val="single" w:sz="4" w:space="0" w:color="auto"/>
              <w:bottom w:val="single" w:sz="4" w:space="0" w:color="auto"/>
              <w:right w:val="single" w:sz="4" w:space="0" w:color="auto"/>
            </w:tcBorders>
            <w:vAlign w:val="center"/>
          </w:tcPr>
          <w:p w14:paraId="43F7F6C0"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12/51</w:t>
            </w:r>
          </w:p>
          <w:p w14:paraId="1AC1F5CD"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(24%)</w:t>
            </w:r>
          </w:p>
        </w:tc>
        <w:tc>
          <w:tcPr>
            <w:tcW w:w="1166" w:type="dxa"/>
            <w:tcBorders>
              <w:top w:val="single" w:sz="4" w:space="0" w:color="auto"/>
              <w:left w:val="single" w:sz="4" w:space="0" w:color="auto"/>
              <w:bottom w:val="single" w:sz="4" w:space="0" w:color="auto"/>
              <w:right w:val="single" w:sz="4" w:space="0" w:color="auto"/>
            </w:tcBorders>
            <w:vAlign w:val="center"/>
          </w:tcPr>
          <w:p w14:paraId="1DFF68FB"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7/51 </w:t>
            </w:r>
          </w:p>
          <w:p w14:paraId="6A6B1ECD"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(14%)</w:t>
            </w:r>
          </w:p>
        </w:tc>
        <w:tc>
          <w:tcPr>
            <w:tcW w:w="1417" w:type="dxa"/>
            <w:tcBorders>
              <w:top w:val="single" w:sz="4" w:space="0" w:color="auto"/>
              <w:left w:val="single" w:sz="4" w:space="0" w:color="auto"/>
              <w:bottom w:val="single" w:sz="4" w:space="0" w:color="auto"/>
              <w:right w:val="single" w:sz="4" w:space="0" w:color="auto"/>
            </w:tcBorders>
            <w:vAlign w:val="center"/>
          </w:tcPr>
          <w:p w14:paraId="2A899277"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7/51</w:t>
            </w:r>
          </w:p>
          <w:p w14:paraId="7AC49999"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(14%)</w:t>
            </w:r>
          </w:p>
        </w:tc>
        <w:tc>
          <w:tcPr>
            <w:tcW w:w="965" w:type="dxa"/>
            <w:tcBorders>
              <w:top w:val="single" w:sz="4" w:space="0" w:color="auto"/>
              <w:left w:val="single" w:sz="4" w:space="0" w:color="auto"/>
              <w:bottom w:val="single" w:sz="4" w:space="0" w:color="auto"/>
              <w:right w:val="single" w:sz="18" w:space="0" w:color="auto"/>
            </w:tcBorders>
          </w:tcPr>
          <w:p w14:paraId="63456F87"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51</w:t>
            </w:r>
          </w:p>
        </w:tc>
      </w:tr>
      <w:tr w:rsidR="006953FF" w:rsidRPr="00FB42C1" w14:paraId="52D23A95"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18" w:space="0" w:color="auto"/>
              <w:right w:val="single" w:sz="4" w:space="0" w:color="auto"/>
            </w:tcBorders>
            <w:vAlign w:val="center"/>
          </w:tcPr>
          <w:p w14:paraId="65431387"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18" w:space="0" w:color="auto"/>
              <w:right w:val="single" w:sz="4" w:space="0" w:color="auto"/>
            </w:tcBorders>
            <w:vAlign w:val="center"/>
          </w:tcPr>
          <w:p w14:paraId="59512158"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223" w:type="dxa"/>
            <w:tcBorders>
              <w:top w:val="single" w:sz="4" w:space="0" w:color="auto"/>
              <w:left w:val="single" w:sz="4" w:space="0" w:color="auto"/>
              <w:bottom w:val="single" w:sz="18" w:space="0" w:color="auto"/>
              <w:right w:val="single" w:sz="4" w:space="0" w:color="auto"/>
            </w:tcBorders>
            <w:vAlign w:val="center"/>
          </w:tcPr>
          <w:p w14:paraId="18791E1D"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16/23</w:t>
            </w:r>
          </w:p>
          <w:p w14:paraId="7984FCA6"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(70%)</w:t>
            </w:r>
          </w:p>
        </w:tc>
        <w:tc>
          <w:tcPr>
            <w:tcW w:w="1329" w:type="dxa"/>
            <w:tcBorders>
              <w:top w:val="single" w:sz="4" w:space="0" w:color="auto"/>
              <w:left w:val="single" w:sz="4" w:space="0" w:color="auto"/>
              <w:bottom w:val="single" w:sz="18" w:space="0" w:color="auto"/>
              <w:right w:val="single" w:sz="4" w:space="0" w:color="auto"/>
            </w:tcBorders>
            <w:vAlign w:val="center"/>
          </w:tcPr>
          <w:p w14:paraId="7DDD5C65"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2/23 </w:t>
            </w:r>
          </w:p>
          <w:p w14:paraId="302E84B4"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(9%)</w:t>
            </w:r>
          </w:p>
        </w:tc>
        <w:tc>
          <w:tcPr>
            <w:tcW w:w="1166" w:type="dxa"/>
            <w:tcBorders>
              <w:top w:val="single" w:sz="4" w:space="0" w:color="auto"/>
              <w:left w:val="single" w:sz="4" w:space="0" w:color="auto"/>
              <w:bottom w:val="single" w:sz="18" w:space="0" w:color="auto"/>
              <w:right w:val="single" w:sz="4" w:space="0" w:color="auto"/>
            </w:tcBorders>
            <w:vAlign w:val="center"/>
          </w:tcPr>
          <w:p w14:paraId="03A5CA88"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2/23</w:t>
            </w:r>
          </w:p>
          <w:p w14:paraId="0A576E6B"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(9%)</w:t>
            </w:r>
          </w:p>
        </w:tc>
        <w:tc>
          <w:tcPr>
            <w:tcW w:w="1417" w:type="dxa"/>
            <w:tcBorders>
              <w:top w:val="single" w:sz="4" w:space="0" w:color="auto"/>
              <w:left w:val="single" w:sz="4" w:space="0" w:color="auto"/>
              <w:bottom w:val="single" w:sz="18" w:space="0" w:color="auto"/>
              <w:right w:val="single" w:sz="4" w:space="0" w:color="auto"/>
            </w:tcBorders>
            <w:vAlign w:val="center"/>
          </w:tcPr>
          <w:p w14:paraId="5733BC63"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3/23 </w:t>
            </w:r>
          </w:p>
          <w:p w14:paraId="76CF00AC"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(13%)</w:t>
            </w:r>
          </w:p>
        </w:tc>
        <w:tc>
          <w:tcPr>
            <w:tcW w:w="965" w:type="dxa"/>
            <w:tcBorders>
              <w:top w:val="single" w:sz="4" w:space="0" w:color="auto"/>
              <w:left w:val="single" w:sz="4" w:space="0" w:color="auto"/>
              <w:bottom w:val="single" w:sz="18" w:space="0" w:color="auto"/>
              <w:right w:val="single" w:sz="18" w:space="0" w:color="auto"/>
            </w:tcBorders>
          </w:tcPr>
          <w:p w14:paraId="7E59B719"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23</w:t>
            </w:r>
          </w:p>
        </w:tc>
      </w:tr>
      <w:tr w:rsidR="006953FF" w:rsidRPr="00FB42C1" w14:paraId="69F8D262" w14:textId="77777777" w:rsidTr="00C6415A">
        <w:trPr>
          <w:cnfStyle w:val="000000010000" w:firstRow="0" w:lastRow="0" w:firstColumn="0" w:lastColumn="0" w:oddVBand="0" w:evenVBand="0" w:oddHBand="0" w:evenHBand="1"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906" w:type="dxa"/>
            <w:vMerge w:val="restart"/>
            <w:tcBorders>
              <w:top w:val="single" w:sz="18" w:space="0" w:color="auto"/>
              <w:left w:val="single" w:sz="18" w:space="0" w:color="auto"/>
              <w:bottom w:val="single" w:sz="4" w:space="0" w:color="auto"/>
              <w:right w:val="single" w:sz="4" w:space="0" w:color="auto"/>
            </w:tcBorders>
            <w:vAlign w:val="center"/>
          </w:tcPr>
          <w:p w14:paraId="661E53BF" w14:textId="77777777" w:rsidR="006953FF" w:rsidRPr="00FB42C1" w:rsidRDefault="006953FF" w:rsidP="00674B5B">
            <w:pPr>
              <w:spacing w:after="0" w:line="240" w:lineRule="auto"/>
              <w:rPr>
                <w:rFonts w:ascii="Arial" w:hAnsi="Arial" w:cs="Arial"/>
                <w:b w:val="0"/>
                <w:sz w:val="16"/>
                <w:szCs w:val="16"/>
              </w:rPr>
            </w:pPr>
            <w:r w:rsidRPr="00FB42C1">
              <w:rPr>
                <w:rFonts w:ascii="Arial" w:hAnsi="Arial" w:cs="Arial"/>
                <w:b w:val="0"/>
                <w:sz w:val="16"/>
                <w:szCs w:val="16"/>
              </w:rPr>
              <w:t>25-44</w:t>
            </w:r>
          </w:p>
        </w:tc>
        <w:tc>
          <w:tcPr>
            <w:tcW w:w="905" w:type="dxa"/>
            <w:tcBorders>
              <w:top w:val="single" w:sz="18" w:space="0" w:color="auto"/>
              <w:left w:val="single" w:sz="4" w:space="0" w:color="auto"/>
              <w:bottom w:val="single" w:sz="4" w:space="0" w:color="auto"/>
              <w:right w:val="single" w:sz="4" w:space="0" w:color="auto"/>
            </w:tcBorders>
          </w:tcPr>
          <w:p w14:paraId="347FBCA0"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223" w:type="dxa"/>
            <w:tcBorders>
              <w:top w:val="single" w:sz="18" w:space="0" w:color="auto"/>
              <w:left w:val="single" w:sz="4" w:space="0" w:color="auto"/>
              <w:bottom w:val="single" w:sz="4" w:space="0" w:color="auto"/>
              <w:right w:val="single" w:sz="4" w:space="0" w:color="auto"/>
            </w:tcBorders>
          </w:tcPr>
          <w:p w14:paraId="237411BB"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142/224</w:t>
            </w:r>
          </w:p>
          <w:p w14:paraId="36D8F0FA"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(63%)</w:t>
            </w:r>
          </w:p>
        </w:tc>
        <w:tc>
          <w:tcPr>
            <w:tcW w:w="1329" w:type="dxa"/>
            <w:tcBorders>
              <w:top w:val="single" w:sz="18" w:space="0" w:color="auto"/>
              <w:left w:val="single" w:sz="4" w:space="0" w:color="auto"/>
              <w:bottom w:val="single" w:sz="4" w:space="0" w:color="auto"/>
              <w:right w:val="single" w:sz="4" w:space="0" w:color="auto"/>
            </w:tcBorders>
          </w:tcPr>
          <w:p w14:paraId="3BA16995"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50/224</w:t>
            </w:r>
          </w:p>
          <w:p w14:paraId="3A5C4CE6"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(22%)</w:t>
            </w:r>
          </w:p>
        </w:tc>
        <w:tc>
          <w:tcPr>
            <w:tcW w:w="1166" w:type="dxa"/>
            <w:tcBorders>
              <w:top w:val="single" w:sz="18" w:space="0" w:color="auto"/>
              <w:left w:val="single" w:sz="4" w:space="0" w:color="auto"/>
              <w:bottom w:val="single" w:sz="4" w:space="0" w:color="auto"/>
              <w:right w:val="single" w:sz="4" w:space="0" w:color="auto"/>
            </w:tcBorders>
          </w:tcPr>
          <w:p w14:paraId="01FEF03F"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16/224 </w:t>
            </w:r>
          </w:p>
          <w:p w14:paraId="2C534873"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(7%)</w:t>
            </w:r>
          </w:p>
        </w:tc>
        <w:tc>
          <w:tcPr>
            <w:tcW w:w="1417" w:type="dxa"/>
            <w:tcBorders>
              <w:top w:val="single" w:sz="18" w:space="0" w:color="auto"/>
              <w:left w:val="single" w:sz="4" w:space="0" w:color="auto"/>
              <w:bottom w:val="single" w:sz="4" w:space="0" w:color="auto"/>
              <w:right w:val="single" w:sz="4" w:space="0" w:color="auto"/>
            </w:tcBorders>
          </w:tcPr>
          <w:p w14:paraId="120F3A06"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16/224</w:t>
            </w:r>
          </w:p>
          <w:p w14:paraId="6D31C547"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(7%)</w:t>
            </w:r>
          </w:p>
        </w:tc>
        <w:tc>
          <w:tcPr>
            <w:tcW w:w="965" w:type="dxa"/>
            <w:tcBorders>
              <w:top w:val="single" w:sz="18" w:space="0" w:color="auto"/>
              <w:left w:val="single" w:sz="4" w:space="0" w:color="auto"/>
              <w:bottom w:val="single" w:sz="4" w:space="0" w:color="auto"/>
              <w:right w:val="single" w:sz="18" w:space="0" w:color="auto"/>
            </w:tcBorders>
          </w:tcPr>
          <w:p w14:paraId="296A317A"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224</w:t>
            </w:r>
          </w:p>
        </w:tc>
      </w:tr>
      <w:tr w:rsidR="006953FF" w:rsidRPr="00FB42C1" w14:paraId="5E00CE13"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09ABFB3B"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25D1C30D"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223" w:type="dxa"/>
            <w:tcBorders>
              <w:top w:val="single" w:sz="4" w:space="0" w:color="auto"/>
              <w:left w:val="single" w:sz="4" w:space="0" w:color="auto"/>
              <w:bottom w:val="single" w:sz="4" w:space="0" w:color="auto"/>
              <w:right w:val="single" w:sz="4" w:space="0" w:color="auto"/>
            </w:tcBorders>
            <w:vAlign w:val="center"/>
          </w:tcPr>
          <w:p w14:paraId="7B34A189"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5/16</w:t>
            </w:r>
          </w:p>
          <w:p w14:paraId="2D26007A"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(31%)</w:t>
            </w:r>
          </w:p>
        </w:tc>
        <w:tc>
          <w:tcPr>
            <w:tcW w:w="1329" w:type="dxa"/>
            <w:tcBorders>
              <w:top w:val="single" w:sz="4" w:space="0" w:color="auto"/>
              <w:left w:val="single" w:sz="4" w:space="0" w:color="auto"/>
              <w:bottom w:val="single" w:sz="4" w:space="0" w:color="auto"/>
              <w:right w:val="single" w:sz="4" w:space="0" w:color="auto"/>
            </w:tcBorders>
            <w:vAlign w:val="center"/>
          </w:tcPr>
          <w:p w14:paraId="25ED1DF7"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7/16</w:t>
            </w:r>
          </w:p>
          <w:p w14:paraId="14A357D0"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(44%)</w:t>
            </w:r>
          </w:p>
        </w:tc>
        <w:tc>
          <w:tcPr>
            <w:tcW w:w="1166" w:type="dxa"/>
            <w:tcBorders>
              <w:top w:val="single" w:sz="4" w:space="0" w:color="auto"/>
              <w:left w:val="single" w:sz="4" w:space="0" w:color="auto"/>
              <w:bottom w:val="single" w:sz="4" w:space="0" w:color="auto"/>
              <w:right w:val="single" w:sz="4" w:space="0" w:color="auto"/>
            </w:tcBorders>
            <w:vAlign w:val="center"/>
          </w:tcPr>
          <w:p w14:paraId="596C7A30"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2/16</w:t>
            </w:r>
          </w:p>
          <w:p w14:paraId="3198630C"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(13%)</w:t>
            </w:r>
          </w:p>
        </w:tc>
        <w:tc>
          <w:tcPr>
            <w:tcW w:w="1417" w:type="dxa"/>
            <w:tcBorders>
              <w:top w:val="single" w:sz="4" w:space="0" w:color="auto"/>
              <w:left w:val="single" w:sz="4" w:space="0" w:color="auto"/>
              <w:bottom w:val="single" w:sz="4" w:space="0" w:color="auto"/>
              <w:right w:val="single" w:sz="4" w:space="0" w:color="auto"/>
            </w:tcBorders>
            <w:vAlign w:val="center"/>
          </w:tcPr>
          <w:p w14:paraId="3E1C9482"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2/16 </w:t>
            </w:r>
          </w:p>
          <w:p w14:paraId="697A0E33"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(13% )</w:t>
            </w:r>
          </w:p>
        </w:tc>
        <w:tc>
          <w:tcPr>
            <w:tcW w:w="965" w:type="dxa"/>
            <w:tcBorders>
              <w:top w:val="single" w:sz="4" w:space="0" w:color="auto"/>
              <w:left w:val="single" w:sz="4" w:space="0" w:color="auto"/>
              <w:bottom w:val="single" w:sz="4" w:space="0" w:color="auto"/>
              <w:right w:val="single" w:sz="18" w:space="0" w:color="auto"/>
            </w:tcBorders>
          </w:tcPr>
          <w:p w14:paraId="0A7FA59A"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16</w:t>
            </w:r>
          </w:p>
        </w:tc>
      </w:tr>
      <w:tr w:rsidR="006953FF" w:rsidRPr="00FB42C1" w14:paraId="15AD8E51"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5FEE9388"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5E9EA012"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223" w:type="dxa"/>
            <w:tcBorders>
              <w:top w:val="single" w:sz="4" w:space="0" w:color="auto"/>
              <w:left w:val="single" w:sz="4" w:space="0" w:color="auto"/>
              <w:bottom w:val="single" w:sz="4" w:space="0" w:color="auto"/>
              <w:right w:val="single" w:sz="4" w:space="0" w:color="auto"/>
            </w:tcBorders>
            <w:vAlign w:val="center"/>
          </w:tcPr>
          <w:p w14:paraId="066FC050"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¾</w:t>
            </w:r>
          </w:p>
          <w:p w14:paraId="08317483"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(75%)</w:t>
            </w:r>
          </w:p>
        </w:tc>
        <w:tc>
          <w:tcPr>
            <w:tcW w:w="1329" w:type="dxa"/>
            <w:tcBorders>
              <w:top w:val="single" w:sz="4" w:space="0" w:color="auto"/>
              <w:left w:val="single" w:sz="4" w:space="0" w:color="auto"/>
              <w:bottom w:val="single" w:sz="4" w:space="0" w:color="auto"/>
              <w:right w:val="single" w:sz="4" w:space="0" w:color="auto"/>
            </w:tcBorders>
            <w:vAlign w:val="center"/>
          </w:tcPr>
          <w:p w14:paraId="6C4F88F3"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tc>
        <w:tc>
          <w:tcPr>
            <w:tcW w:w="1166" w:type="dxa"/>
            <w:tcBorders>
              <w:top w:val="single" w:sz="4" w:space="0" w:color="auto"/>
              <w:left w:val="single" w:sz="4" w:space="0" w:color="auto"/>
              <w:bottom w:val="single" w:sz="4" w:space="0" w:color="auto"/>
              <w:right w:val="single" w:sz="4" w:space="0" w:color="auto"/>
            </w:tcBorders>
            <w:vAlign w:val="center"/>
          </w:tcPr>
          <w:p w14:paraId="4245B76E"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¼</w:t>
            </w:r>
          </w:p>
          <w:p w14:paraId="079AD932"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(25%)</w:t>
            </w:r>
          </w:p>
        </w:tc>
        <w:tc>
          <w:tcPr>
            <w:tcW w:w="1417" w:type="dxa"/>
            <w:tcBorders>
              <w:top w:val="single" w:sz="4" w:space="0" w:color="auto"/>
              <w:left w:val="single" w:sz="4" w:space="0" w:color="auto"/>
              <w:bottom w:val="single" w:sz="4" w:space="0" w:color="auto"/>
              <w:right w:val="single" w:sz="4" w:space="0" w:color="auto"/>
            </w:tcBorders>
            <w:vAlign w:val="center"/>
          </w:tcPr>
          <w:p w14:paraId="5A8B0BA9"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tc>
        <w:tc>
          <w:tcPr>
            <w:tcW w:w="965" w:type="dxa"/>
            <w:tcBorders>
              <w:top w:val="single" w:sz="4" w:space="0" w:color="auto"/>
              <w:left w:val="single" w:sz="4" w:space="0" w:color="auto"/>
              <w:bottom w:val="single" w:sz="4" w:space="0" w:color="auto"/>
              <w:right w:val="single" w:sz="18" w:space="0" w:color="auto"/>
            </w:tcBorders>
          </w:tcPr>
          <w:p w14:paraId="234B2A96"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w:t>
            </w:r>
          </w:p>
        </w:tc>
      </w:tr>
      <w:tr w:rsidR="006953FF" w:rsidRPr="00FB42C1" w14:paraId="387C3296"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3E397A64"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3E191450"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223" w:type="dxa"/>
            <w:tcBorders>
              <w:top w:val="single" w:sz="4" w:space="0" w:color="auto"/>
              <w:left w:val="single" w:sz="4" w:space="0" w:color="auto"/>
              <w:bottom w:val="single" w:sz="4" w:space="0" w:color="auto"/>
              <w:right w:val="single" w:sz="4" w:space="0" w:color="auto"/>
            </w:tcBorders>
            <w:vAlign w:val="center"/>
          </w:tcPr>
          <w:p w14:paraId="632D0D90"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10/14</w:t>
            </w:r>
          </w:p>
          <w:p w14:paraId="526E389C"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(71%)</w:t>
            </w:r>
          </w:p>
        </w:tc>
        <w:tc>
          <w:tcPr>
            <w:tcW w:w="1329" w:type="dxa"/>
            <w:tcBorders>
              <w:top w:val="single" w:sz="4" w:space="0" w:color="auto"/>
              <w:left w:val="single" w:sz="4" w:space="0" w:color="auto"/>
              <w:bottom w:val="single" w:sz="4" w:space="0" w:color="auto"/>
              <w:right w:val="single" w:sz="4" w:space="0" w:color="auto"/>
            </w:tcBorders>
            <w:vAlign w:val="center"/>
          </w:tcPr>
          <w:p w14:paraId="697E96B4"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2/14</w:t>
            </w:r>
          </w:p>
          <w:p w14:paraId="38687605"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(14%)</w:t>
            </w:r>
          </w:p>
        </w:tc>
        <w:tc>
          <w:tcPr>
            <w:tcW w:w="1166" w:type="dxa"/>
            <w:tcBorders>
              <w:top w:val="single" w:sz="4" w:space="0" w:color="auto"/>
              <w:left w:val="single" w:sz="4" w:space="0" w:color="auto"/>
              <w:bottom w:val="single" w:sz="4" w:space="0" w:color="auto"/>
              <w:right w:val="single" w:sz="4" w:space="0" w:color="auto"/>
            </w:tcBorders>
            <w:vAlign w:val="center"/>
          </w:tcPr>
          <w:p w14:paraId="1A84769C"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1/14(</w:t>
            </w:r>
          </w:p>
          <w:p w14:paraId="66C6FB83"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7%)</w:t>
            </w:r>
          </w:p>
        </w:tc>
        <w:tc>
          <w:tcPr>
            <w:tcW w:w="1417" w:type="dxa"/>
            <w:tcBorders>
              <w:top w:val="single" w:sz="4" w:space="0" w:color="auto"/>
              <w:left w:val="single" w:sz="4" w:space="0" w:color="auto"/>
              <w:bottom w:val="single" w:sz="4" w:space="0" w:color="auto"/>
              <w:right w:val="single" w:sz="4" w:space="0" w:color="auto"/>
            </w:tcBorders>
            <w:vAlign w:val="center"/>
          </w:tcPr>
          <w:p w14:paraId="7AABBD4F"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1/14 </w:t>
            </w:r>
          </w:p>
          <w:p w14:paraId="298A6F0B"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(7%)</w:t>
            </w:r>
          </w:p>
        </w:tc>
        <w:tc>
          <w:tcPr>
            <w:tcW w:w="965" w:type="dxa"/>
            <w:tcBorders>
              <w:top w:val="single" w:sz="4" w:space="0" w:color="auto"/>
              <w:left w:val="single" w:sz="4" w:space="0" w:color="auto"/>
              <w:bottom w:val="single" w:sz="4" w:space="0" w:color="auto"/>
              <w:right w:val="single" w:sz="18" w:space="0" w:color="auto"/>
            </w:tcBorders>
          </w:tcPr>
          <w:p w14:paraId="3ED2CFD7"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14</w:t>
            </w:r>
          </w:p>
        </w:tc>
      </w:tr>
      <w:tr w:rsidR="006953FF" w:rsidRPr="00FB42C1" w14:paraId="777FF4F4"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18" w:space="0" w:color="auto"/>
              <w:right w:val="single" w:sz="4" w:space="0" w:color="auto"/>
            </w:tcBorders>
            <w:vAlign w:val="center"/>
          </w:tcPr>
          <w:p w14:paraId="0FAD8946"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18" w:space="0" w:color="auto"/>
              <w:right w:val="single" w:sz="4" w:space="0" w:color="auto"/>
            </w:tcBorders>
            <w:vAlign w:val="center"/>
          </w:tcPr>
          <w:p w14:paraId="0F7801AC"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223" w:type="dxa"/>
            <w:tcBorders>
              <w:top w:val="single" w:sz="4" w:space="0" w:color="auto"/>
              <w:left w:val="single" w:sz="4" w:space="0" w:color="auto"/>
              <w:bottom w:val="single" w:sz="18" w:space="0" w:color="auto"/>
              <w:right w:val="single" w:sz="4" w:space="0" w:color="auto"/>
            </w:tcBorders>
            <w:vAlign w:val="center"/>
          </w:tcPr>
          <w:p w14:paraId="09E4E2A7"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5/9</w:t>
            </w:r>
          </w:p>
          <w:p w14:paraId="2CD7D8DE"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(56%)</w:t>
            </w:r>
          </w:p>
        </w:tc>
        <w:tc>
          <w:tcPr>
            <w:tcW w:w="1329" w:type="dxa"/>
            <w:tcBorders>
              <w:top w:val="single" w:sz="4" w:space="0" w:color="auto"/>
              <w:left w:val="single" w:sz="4" w:space="0" w:color="auto"/>
              <w:bottom w:val="single" w:sz="18" w:space="0" w:color="auto"/>
              <w:right w:val="single" w:sz="4" w:space="0" w:color="auto"/>
            </w:tcBorders>
            <w:vAlign w:val="center"/>
          </w:tcPr>
          <w:p w14:paraId="6FA778F7"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1/9 </w:t>
            </w:r>
          </w:p>
          <w:p w14:paraId="06D87E0A"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(11%)</w:t>
            </w:r>
          </w:p>
        </w:tc>
        <w:tc>
          <w:tcPr>
            <w:tcW w:w="1166" w:type="dxa"/>
            <w:tcBorders>
              <w:top w:val="single" w:sz="4" w:space="0" w:color="auto"/>
              <w:left w:val="single" w:sz="4" w:space="0" w:color="auto"/>
              <w:bottom w:val="single" w:sz="18" w:space="0" w:color="auto"/>
              <w:right w:val="single" w:sz="4" w:space="0" w:color="auto"/>
            </w:tcBorders>
            <w:vAlign w:val="center"/>
          </w:tcPr>
          <w:p w14:paraId="3A680519"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1/9</w:t>
            </w:r>
          </w:p>
          <w:p w14:paraId="43986427"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(11%)</w:t>
            </w:r>
          </w:p>
        </w:tc>
        <w:tc>
          <w:tcPr>
            <w:tcW w:w="1417" w:type="dxa"/>
            <w:tcBorders>
              <w:top w:val="single" w:sz="4" w:space="0" w:color="auto"/>
              <w:left w:val="single" w:sz="4" w:space="0" w:color="auto"/>
              <w:bottom w:val="single" w:sz="18" w:space="0" w:color="auto"/>
              <w:right w:val="single" w:sz="4" w:space="0" w:color="auto"/>
            </w:tcBorders>
            <w:vAlign w:val="center"/>
          </w:tcPr>
          <w:p w14:paraId="4846FE5D"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2/9</w:t>
            </w:r>
          </w:p>
          <w:p w14:paraId="66991996"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(22%)</w:t>
            </w:r>
          </w:p>
        </w:tc>
        <w:tc>
          <w:tcPr>
            <w:tcW w:w="965" w:type="dxa"/>
            <w:tcBorders>
              <w:top w:val="single" w:sz="4" w:space="0" w:color="auto"/>
              <w:left w:val="single" w:sz="4" w:space="0" w:color="auto"/>
              <w:bottom w:val="single" w:sz="18" w:space="0" w:color="auto"/>
              <w:right w:val="single" w:sz="18" w:space="0" w:color="auto"/>
            </w:tcBorders>
          </w:tcPr>
          <w:p w14:paraId="1A778D99"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9</w:t>
            </w:r>
          </w:p>
        </w:tc>
      </w:tr>
      <w:tr w:rsidR="006953FF" w:rsidRPr="00FB42C1" w14:paraId="0D49C8E1" w14:textId="77777777" w:rsidTr="00C6415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06" w:type="dxa"/>
            <w:vMerge w:val="restart"/>
            <w:tcBorders>
              <w:top w:val="single" w:sz="18" w:space="0" w:color="auto"/>
              <w:left w:val="single" w:sz="12" w:space="0" w:color="auto"/>
              <w:bottom w:val="single" w:sz="4" w:space="0" w:color="auto"/>
              <w:right w:val="single" w:sz="4" w:space="0" w:color="auto"/>
            </w:tcBorders>
            <w:vAlign w:val="center"/>
          </w:tcPr>
          <w:p w14:paraId="02E534B2" w14:textId="77777777" w:rsidR="006953FF" w:rsidRPr="00FB42C1" w:rsidRDefault="006953FF" w:rsidP="00674B5B">
            <w:pPr>
              <w:spacing w:after="0" w:line="240" w:lineRule="auto"/>
              <w:rPr>
                <w:rFonts w:ascii="Arial" w:hAnsi="Arial" w:cs="Arial"/>
                <w:b w:val="0"/>
                <w:sz w:val="16"/>
                <w:szCs w:val="16"/>
              </w:rPr>
            </w:pPr>
            <w:r w:rsidRPr="00FB42C1">
              <w:rPr>
                <w:rFonts w:ascii="Arial" w:hAnsi="Arial" w:cs="Arial"/>
                <w:b w:val="0"/>
                <w:sz w:val="16"/>
                <w:szCs w:val="16"/>
              </w:rPr>
              <w:t>45-64</w:t>
            </w:r>
          </w:p>
        </w:tc>
        <w:tc>
          <w:tcPr>
            <w:tcW w:w="905" w:type="dxa"/>
            <w:tcBorders>
              <w:top w:val="single" w:sz="18" w:space="0" w:color="auto"/>
              <w:left w:val="single" w:sz="4" w:space="0" w:color="auto"/>
              <w:bottom w:val="single" w:sz="4" w:space="0" w:color="auto"/>
              <w:right w:val="single" w:sz="4" w:space="0" w:color="auto"/>
            </w:tcBorders>
            <w:vAlign w:val="center"/>
          </w:tcPr>
          <w:p w14:paraId="2E23547A"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223" w:type="dxa"/>
            <w:tcBorders>
              <w:top w:val="single" w:sz="18" w:space="0" w:color="auto"/>
              <w:left w:val="single" w:sz="4" w:space="0" w:color="auto"/>
              <w:bottom w:val="single" w:sz="4" w:space="0" w:color="auto"/>
              <w:right w:val="single" w:sz="4" w:space="0" w:color="auto"/>
            </w:tcBorders>
            <w:vAlign w:val="center"/>
          </w:tcPr>
          <w:p w14:paraId="1C6C8E90"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182/288</w:t>
            </w:r>
          </w:p>
          <w:p w14:paraId="0BA5E44F"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(63%)</w:t>
            </w:r>
          </w:p>
        </w:tc>
        <w:tc>
          <w:tcPr>
            <w:tcW w:w="1329" w:type="dxa"/>
            <w:tcBorders>
              <w:top w:val="single" w:sz="18" w:space="0" w:color="auto"/>
              <w:left w:val="single" w:sz="4" w:space="0" w:color="auto"/>
              <w:bottom w:val="single" w:sz="4" w:space="0" w:color="auto"/>
              <w:right w:val="single" w:sz="4" w:space="0" w:color="auto"/>
            </w:tcBorders>
            <w:vAlign w:val="center"/>
          </w:tcPr>
          <w:p w14:paraId="763474CD"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72/288</w:t>
            </w:r>
          </w:p>
          <w:p w14:paraId="5571CEF6"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(25%)</w:t>
            </w:r>
          </w:p>
        </w:tc>
        <w:tc>
          <w:tcPr>
            <w:tcW w:w="1166" w:type="dxa"/>
            <w:tcBorders>
              <w:top w:val="single" w:sz="18" w:space="0" w:color="auto"/>
              <w:left w:val="single" w:sz="4" w:space="0" w:color="auto"/>
              <w:bottom w:val="single" w:sz="4" w:space="0" w:color="auto"/>
              <w:right w:val="single" w:sz="4" w:space="0" w:color="auto"/>
            </w:tcBorders>
            <w:vAlign w:val="center"/>
          </w:tcPr>
          <w:p w14:paraId="0A1DA231"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19/288</w:t>
            </w:r>
          </w:p>
          <w:p w14:paraId="2DE3D7B7"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(7%)</w:t>
            </w:r>
          </w:p>
        </w:tc>
        <w:tc>
          <w:tcPr>
            <w:tcW w:w="1417" w:type="dxa"/>
            <w:tcBorders>
              <w:top w:val="single" w:sz="18" w:space="0" w:color="auto"/>
              <w:left w:val="single" w:sz="4" w:space="0" w:color="auto"/>
              <w:bottom w:val="single" w:sz="4" w:space="0" w:color="auto"/>
              <w:right w:val="single" w:sz="4" w:space="0" w:color="auto"/>
            </w:tcBorders>
            <w:vAlign w:val="center"/>
          </w:tcPr>
          <w:p w14:paraId="18D75DE0"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15/288</w:t>
            </w:r>
          </w:p>
          <w:p w14:paraId="19391E6A"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(5%)</w:t>
            </w:r>
          </w:p>
        </w:tc>
        <w:tc>
          <w:tcPr>
            <w:tcW w:w="965" w:type="dxa"/>
            <w:tcBorders>
              <w:top w:val="single" w:sz="18" w:space="0" w:color="auto"/>
              <w:left w:val="single" w:sz="4" w:space="0" w:color="auto"/>
              <w:bottom w:val="single" w:sz="4" w:space="0" w:color="auto"/>
              <w:right w:val="single" w:sz="12" w:space="0" w:color="auto"/>
            </w:tcBorders>
          </w:tcPr>
          <w:p w14:paraId="3F507949"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288</w:t>
            </w:r>
          </w:p>
        </w:tc>
      </w:tr>
      <w:tr w:rsidR="006953FF" w:rsidRPr="00FB42C1" w14:paraId="4D22239F"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2" w:space="0" w:color="auto"/>
              <w:bottom w:val="single" w:sz="4" w:space="0" w:color="auto"/>
              <w:right w:val="single" w:sz="4" w:space="0" w:color="auto"/>
            </w:tcBorders>
            <w:vAlign w:val="center"/>
          </w:tcPr>
          <w:p w14:paraId="62AC0DAB"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7D954038"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223" w:type="dxa"/>
            <w:tcBorders>
              <w:top w:val="single" w:sz="4" w:space="0" w:color="auto"/>
              <w:left w:val="single" w:sz="4" w:space="0" w:color="auto"/>
              <w:bottom w:val="single" w:sz="4" w:space="0" w:color="auto"/>
              <w:right w:val="single" w:sz="4" w:space="0" w:color="auto"/>
            </w:tcBorders>
            <w:vAlign w:val="center"/>
          </w:tcPr>
          <w:p w14:paraId="61CDA226"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11/23</w:t>
            </w:r>
          </w:p>
          <w:p w14:paraId="28D264BF"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(48%)</w:t>
            </w:r>
          </w:p>
        </w:tc>
        <w:tc>
          <w:tcPr>
            <w:tcW w:w="1329" w:type="dxa"/>
            <w:tcBorders>
              <w:top w:val="single" w:sz="4" w:space="0" w:color="auto"/>
              <w:left w:val="single" w:sz="4" w:space="0" w:color="auto"/>
              <w:bottom w:val="single" w:sz="4" w:space="0" w:color="auto"/>
              <w:right w:val="single" w:sz="4" w:space="0" w:color="auto"/>
            </w:tcBorders>
            <w:vAlign w:val="center"/>
          </w:tcPr>
          <w:p w14:paraId="2A6FBE2B"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8/23</w:t>
            </w:r>
          </w:p>
          <w:p w14:paraId="1BDF35BD"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(35%)</w:t>
            </w:r>
          </w:p>
        </w:tc>
        <w:tc>
          <w:tcPr>
            <w:tcW w:w="1166" w:type="dxa"/>
            <w:tcBorders>
              <w:top w:val="single" w:sz="4" w:space="0" w:color="auto"/>
              <w:left w:val="single" w:sz="4" w:space="0" w:color="auto"/>
              <w:bottom w:val="single" w:sz="4" w:space="0" w:color="auto"/>
              <w:right w:val="single" w:sz="4" w:space="0" w:color="auto"/>
            </w:tcBorders>
            <w:vAlign w:val="center"/>
          </w:tcPr>
          <w:p w14:paraId="5D1D5D63"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2/23</w:t>
            </w:r>
          </w:p>
          <w:p w14:paraId="4A9494FA"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(9%)</w:t>
            </w:r>
          </w:p>
        </w:tc>
        <w:tc>
          <w:tcPr>
            <w:tcW w:w="1417" w:type="dxa"/>
            <w:tcBorders>
              <w:top w:val="single" w:sz="4" w:space="0" w:color="auto"/>
              <w:left w:val="single" w:sz="4" w:space="0" w:color="auto"/>
              <w:bottom w:val="single" w:sz="4" w:space="0" w:color="auto"/>
              <w:right w:val="single" w:sz="4" w:space="0" w:color="auto"/>
            </w:tcBorders>
            <w:vAlign w:val="center"/>
          </w:tcPr>
          <w:p w14:paraId="412417E2"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2/23 </w:t>
            </w:r>
          </w:p>
          <w:p w14:paraId="20B50382"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(9%)</w:t>
            </w:r>
          </w:p>
        </w:tc>
        <w:tc>
          <w:tcPr>
            <w:tcW w:w="965" w:type="dxa"/>
            <w:tcBorders>
              <w:top w:val="single" w:sz="4" w:space="0" w:color="auto"/>
              <w:left w:val="single" w:sz="4" w:space="0" w:color="auto"/>
              <w:bottom w:val="single" w:sz="4" w:space="0" w:color="auto"/>
              <w:right w:val="single" w:sz="12" w:space="0" w:color="auto"/>
            </w:tcBorders>
          </w:tcPr>
          <w:p w14:paraId="5B5453DD"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23</w:t>
            </w:r>
          </w:p>
        </w:tc>
      </w:tr>
      <w:tr w:rsidR="006953FF" w:rsidRPr="00FB42C1" w14:paraId="209C3C43"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2" w:space="0" w:color="auto"/>
              <w:bottom w:val="single" w:sz="4" w:space="0" w:color="auto"/>
              <w:right w:val="single" w:sz="4" w:space="0" w:color="auto"/>
            </w:tcBorders>
            <w:vAlign w:val="center"/>
          </w:tcPr>
          <w:p w14:paraId="31BD588A"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47FA6E70"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223" w:type="dxa"/>
            <w:tcBorders>
              <w:top w:val="single" w:sz="4" w:space="0" w:color="auto"/>
              <w:left w:val="single" w:sz="4" w:space="0" w:color="auto"/>
              <w:bottom w:val="single" w:sz="4" w:space="0" w:color="auto"/>
              <w:right w:val="single" w:sz="4" w:space="0" w:color="auto"/>
            </w:tcBorders>
            <w:vAlign w:val="center"/>
          </w:tcPr>
          <w:p w14:paraId="6D6BA364"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10/20</w:t>
            </w:r>
          </w:p>
          <w:p w14:paraId="556811F6"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(50%)</w:t>
            </w:r>
          </w:p>
        </w:tc>
        <w:tc>
          <w:tcPr>
            <w:tcW w:w="1329" w:type="dxa"/>
            <w:tcBorders>
              <w:top w:val="single" w:sz="4" w:space="0" w:color="auto"/>
              <w:left w:val="single" w:sz="4" w:space="0" w:color="auto"/>
              <w:bottom w:val="single" w:sz="4" w:space="0" w:color="auto"/>
              <w:right w:val="single" w:sz="4" w:space="0" w:color="auto"/>
            </w:tcBorders>
            <w:vAlign w:val="center"/>
          </w:tcPr>
          <w:p w14:paraId="1485F418"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3/20</w:t>
            </w:r>
          </w:p>
          <w:p w14:paraId="71F1FB82"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(15%)</w:t>
            </w:r>
          </w:p>
        </w:tc>
        <w:tc>
          <w:tcPr>
            <w:tcW w:w="1166" w:type="dxa"/>
            <w:tcBorders>
              <w:top w:val="single" w:sz="4" w:space="0" w:color="auto"/>
              <w:left w:val="single" w:sz="4" w:space="0" w:color="auto"/>
              <w:bottom w:val="single" w:sz="4" w:space="0" w:color="auto"/>
              <w:right w:val="single" w:sz="4" w:space="0" w:color="auto"/>
            </w:tcBorders>
            <w:vAlign w:val="center"/>
          </w:tcPr>
          <w:p w14:paraId="6B4A8C4E"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tcPr>
          <w:p w14:paraId="25F583B3"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7/20 </w:t>
            </w:r>
          </w:p>
          <w:p w14:paraId="56CA2B24"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(35%)</w:t>
            </w:r>
          </w:p>
        </w:tc>
        <w:tc>
          <w:tcPr>
            <w:tcW w:w="965" w:type="dxa"/>
            <w:tcBorders>
              <w:top w:val="single" w:sz="4" w:space="0" w:color="auto"/>
              <w:left w:val="single" w:sz="4" w:space="0" w:color="auto"/>
              <w:bottom w:val="single" w:sz="4" w:space="0" w:color="auto"/>
              <w:right w:val="single" w:sz="12" w:space="0" w:color="auto"/>
            </w:tcBorders>
          </w:tcPr>
          <w:p w14:paraId="24E5D800"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20</w:t>
            </w:r>
          </w:p>
        </w:tc>
      </w:tr>
      <w:tr w:rsidR="006953FF" w:rsidRPr="00FB42C1" w14:paraId="16B38EBC"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2" w:space="0" w:color="auto"/>
              <w:bottom w:val="single" w:sz="4" w:space="0" w:color="auto"/>
              <w:right w:val="single" w:sz="4" w:space="0" w:color="auto"/>
            </w:tcBorders>
            <w:vAlign w:val="center"/>
          </w:tcPr>
          <w:p w14:paraId="24C09C06"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0C2E692D"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223" w:type="dxa"/>
            <w:tcBorders>
              <w:top w:val="single" w:sz="4" w:space="0" w:color="auto"/>
              <w:left w:val="single" w:sz="4" w:space="0" w:color="auto"/>
              <w:bottom w:val="single" w:sz="4" w:space="0" w:color="auto"/>
              <w:right w:val="single" w:sz="4" w:space="0" w:color="auto"/>
            </w:tcBorders>
            <w:vAlign w:val="center"/>
          </w:tcPr>
          <w:p w14:paraId="6B859266"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23/41</w:t>
            </w:r>
          </w:p>
          <w:p w14:paraId="7E4E55F3"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(56%)</w:t>
            </w:r>
          </w:p>
        </w:tc>
        <w:tc>
          <w:tcPr>
            <w:tcW w:w="1329" w:type="dxa"/>
            <w:tcBorders>
              <w:top w:val="single" w:sz="4" w:space="0" w:color="auto"/>
              <w:left w:val="single" w:sz="4" w:space="0" w:color="auto"/>
              <w:bottom w:val="single" w:sz="4" w:space="0" w:color="auto"/>
              <w:right w:val="single" w:sz="4" w:space="0" w:color="auto"/>
            </w:tcBorders>
            <w:vAlign w:val="center"/>
          </w:tcPr>
          <w:p w14:paraId="1E445812"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10/41 </w:t>
            </w:r>
          </w:p>
          <w:p w14:paraId="3EF369B4"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(24%)</w:t>
            </w:r>
          </w:p>
        </w:tc>
        <w:tc>
          <w:tcPr>
            <w:tcW w:w="1166" w:type="dxa"/>
            <w:tcBorders>
              <w:top w:val="single" w:sz="4" w:space="0" w:color="auto"/>
              <w:left w:val="single" w:sz="4" w:space="0" w:color="auto"/>
              <w:bottom w:val="single" w:sz="4" w:space="0" w:color="auto"/>
              <w:right w:val="single" w:sz="4" w:space="0" w:color="auto"/>
            </w:tcBorders>
            <w:vAlign w:val="center"/>
          </w:tcPr>
          <w:p w14:paraId="1B2AFCF4"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3/41 </w:t>
            </w:r>
          </w:p>
          <w:p w14:paraId="5B36D8F5"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(7%)</w:t>
            </w:r>
          </w:p>
        </w:tc>
        <w:tc>
          <w:tcPr>
            <w:tcW w:w="1417" w:type="dxa"/>
            <w:tcBorders>
              <w:top w:val="single" w:sz="4" w:space="0" w:color="auto"/>
              <w:left w:val="single" w:sz="4" w:space="0" w:color="auto"/>
              <w:bottom w:val="single" w:sz="4" w:space="0" w:color="auto"/>
              <w:right w:val="single" w:sz="4" w:space="0" w:color="auto"/>
            </w:tcBorders>
            <w:vAlign w:val="center"/>
          </w:tcPr>
          <w:p w14:paraId="622E114F"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5/41 </w:t>
            </w:r>
          </w:p>
          <w:p w14:paraId="1C5AE987"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(12%)</w:t>
            </w:r>
          </w:p>
        </w:tc>
        <w:tc>
          <w:tcPr>
            <w:tcW w:w="965" w:type="dxa"/>
            <w:tcBorders>
              <w:top w:val="single" w:sz="4" w:space="0" w:color="auto"/>
              <w:left w:val="single" w:sz="4" w:space="0" w:color="auto"/>
              <w:bottom w:val="single" w:sz="4" w:space="0" w:color="auto"/>
              <w:right w:val="single" w:sz="12" w:space="0" w:color="auto"/>
            </w:tcBorders>
          </w:tcPr>
          <w:p w14:paraId="66BDB41C"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41</w:t>
            </w:r>
          </w:p>
        </w:tc>
      </w:tr>
      <w:tr w:rsidR="006953FF" w:rsidRPr="00FB42C1" w14:paraId="018D505B"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2" w:space="0" w:color="auto"/>
              <w:bottom w:val="single" w:sz="12" w:space="0" w:color="auto"/>
              <w:right w:val="single" w:sz="4" w:space="0" w:color="auto"/>
            </w:tcBorders>
            <w:vAlign w:val="center"/>
          </w:tcPr>
          <w:p w14:paraId="01777FBE"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12" w:space="0" w:color="auto"/>
              <w:right w:val="single" w:sz="4" w:space="0" w:color="auto"/>
            </w:tcBorders>
            <w:vAlign w:val="center"/>
          </w:tcPr>
          <w:p w14:paraId="606C4D66"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223" w:type="dxa"/>
            <w:tcBorders>
              <w:top w:val="single" w:sz="4" w:space="0" w:color="auto"/>
              <w:left w:val="single" w:sz="4" w:space="0" w:color="auto"/>
              <w:bottom w:val="single" w:sz="12" w:space="0" w:color="auto"/>
              <w:right w:val="single" w:sz="4" w:space="0" w:color="auto"/>
            </w:tcBorders>
            <w:vAlign w:val="center"/>
          </w:tcPr>
          <w:p w14:paraId="35E236CC"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10/15</w:t>
            </w:r>
          </w:p>
          <w:p w14:paraId="425CEEE6"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(67%)</w:t>
            </w:r>
          </w:p>
        </w:tc>
        <w:tc>
          <w:tcPr>
            <w:tcW w:w="1329" w:type="dxa"/>
            <w:tcBorders>
              <w:top w:val="single" w:sz="4" w:space="0" w:color="auto"/>
              <w:left w:val="single" w:sz="4" w:space="0" w:color="auto"/>
              <w:bottom w:val="single" w:sz="12" w:space="0" w:color="auto"/>
              <w:right w:val="single" w:sz="4" w:space="0" w:color="auto"/>
            </w:tcBorders>
            <w:vAlign w:val="center"/>
          </w:tcPr>
          <w:p w14:paraId="0245CFA4"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3/15</w:t>
            </w:r>
          </w:p>
          <w:p w14:paraId="4B3B7123"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(20%)</w:t>
            </w:r>
          </w:p>
        </w:tc>
        <w:tc>
          <w:tcPr>
            <w:tcW w:w="1166" w:type="dxa"/>
            <w:tcBorders>
              <w:top w:val="single" w:sz="4" w:space="0" w:color="auto"/>
              <w:left w:val="single" w:sz="4" w:space="0" w:color="auto"/>
              <w:bottom w:val="single" w:sz="12" w:space="0" w:color="auto"/>
              <w:right w:val="single" w:sz="4" w:space="0" w:color="auto"/>
            </w:tcBorders>
            <w:vAlign w:val="center"/>
          </w:tcPr>
          <w:p w14:paraId="42702C26"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tc>
        <w:tc>
          <w:tcPr>
            <w:tcW w:w="1417" w:type="dxa"/>
            <w:tcBorders>
              <w:top w:val="single" w:sz="4" w:space="0" w:color="auto"/>
              <w:left w:val="single" w:sz="4" w:space="0" w:color="auto"/>
              <w:bottom w:val="single" w:sz="12" w:space="0" w:color="auto"/>
              <w:right w:val="single" w:sz="4" w:space="0" w:color="auto"/>
            </w:tcBorders>
            <w:vAlign w:val="center"/>
          </w:tcPr>
          <w:p w14:paraId="645A95E1"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2/15</w:t>
            </w:r>
          </w:p>
          <w:p w14:paraId="0234BE0C"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(13%)</w:t>
            </w:r>
          </w:p>
        </w:tc>
        <w:tc>
          <w:tcPr>
            <w:tcW w:w="965" w:type="dxa"/>
            <w:tcBorders>
              <w:top w:val="single" w:sz="4" w:space="0" w:color="auto"/>
              <w:left w:val="single" w:sz="4" w:space="0" w:color="auto"/>
              <w:bottom w:val="single" w:sz="12" w:space="0" w:color="auto"/>
              <w:right w:val="single" w:sz="12" w:space="0" w:color="auto"/>
            </w:tcBorders>
          </w:tcPr>
          <w:p w14:paraId="3C6B75A7"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15</w:t>
            </w:r>
          </w:p>
        </w:tc>
      </w:tr>
      <w:tr w:rsidR="006953FF" w:rsidRPr="00FB42C1" w14:paraId="09FC761C" w14:textId="77777777" w:rsidTr="00C6415A">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06" w:type="dxa"/>
            <w:vMerge w:val="restart"/>
            <w:tcBorders>
              <w:top w:val="single" w:sz="12" w:space="0" w:color="auto"/>
              <w:left w:val="single" w:sz="18" w:space="0" w:color="auto"/>
              <w:bottom w:val="single" w:sz="4" w:space="0" w:color="auto"/>
              <w:right w:val="single" w:sz="4" w:space="0" w:color="auto"/>
            </w:tcBorders>
            <w:vAlign w:val="center"/>
          </w:tcPr>
          <w:p w14:paraId="25505E85" w14:textId="77777777" w:rsidR="006953FF" w:rsidRPr="00FB42C1" w:rsidRDefault="006953FF" w:rsidP="00674B5B">
            <w:pPr>
              <w:spacing w:after="0" w:line="240" w:lineRule="auto"/>
              <w:rPr>
                <w:rFonts w:ascii="Arial" w:hAnsi="Arial" w:cs="Arial"/>
                <w:b w:val="0"/>
                <w:sz w:val="16"/>
                <w:szCs w:val="16"/>
              </w:rPr>
            </w:pPr>
            <w:r w:rsidRPr="00FB42C1">
              <w:rPr>
                <w:rFonts w:ascii="Arial" w:hAnsi="Arial" w:cs="Arial"/>
                <w:b w:val="0"/>
                <w:sz w:val="16"/>
                <w:szCs w:val="16"/>
              </w:rPr>
              <w:t>65+</w:t>
            </w:r>
          </w:p>
          <w:p w14:paraId="1746D549" w14:textId="77777777" w:rsidR="006953FF" w:rsidRPr="00FB42C1" w:rsidRDefault="006953FF" w:rsidP="00674B5B">
            <w:pPr>
              <w:spacing w:after="0" w:line="240" w:lineRule="auto"/>
              <w:rPr>
                <w:rFonts w:ascii="Arial" w:hAnsi="Arial" w:cs="Arial"/>
                <w:b w:val="0"/>
                <w:sz w:val="16"/>
                <w:szCs w:val="16"/>
              </w:rPr>
            </w:pPr>
          </w:p>
          <w:p w14:paraId="1370FCA5" w14:textId="77777777" w:rsidR="006953FF" w:rsidRPr="00FB42C1" w:rsidRDefault="006953FF" w:rsidP="00674B5B">
            <w:pPr>
              <w:spacing w:after="0" w:line="240" w:lineRule="auto"/>
              <w:rPr>
                <w:rFonts w:ascii="Arial" w:hAnsi="Arial" w:cs="Arial"/>
                <w:b w:val="0"/>
                <w:sz w:val="16"/>
                <w:szCs w:val="16"/>
              </w:rPr>
            </w:pPr>
          </w:p>
          <w:p w14:paraId="7098FABA"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12" w:space="0" w:color="auto"/>
              <w:left w:val="single" w:sz="4" w:space="0" w:color="auto"/>
              <w:bottom w:val="single" w:sz="4" w:space="0" w:color="auto"/>
              <w:right w:val="single" w:sz="4" w:space="0" w:color="auto"/>
            </w:tcBorders>
            <w:vAlign w:val="center"/>
          </w:tcPr>
          <w:p w14:paraId="37D79D48"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223" w:type="dxa"/>
            <w:tcBorders>
              <w:top w:val="single" w:sz="12" w:space="0" w:color="auto"/>
              <w:left w:val="single" w:sz="4" w:space="0" w:color="auto"/>
              <w:bottom w:val="single" w:sz="4" w:space="0" w:color="auto"/>
              <w:right w:val="single" w:sz="4" w:space="0" w:color="auto"/>
            </w:tcBorders>
            <w:vAlign w:val="center"/>
          </w:tcPr>
          <w:p w14:paraId="65B99E02"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70/152</w:t>
            </w:r>
          </w:p>
          <w:p w14:paraId="1CEF9E2D"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(46%)</w:t>
            </w:r>
          </w:p>
        </w:tc>
        <w:tc>
          <w:tcPr>
            <w:tcW w:w="1329" w:type="dxa"/>
            <w:tcBorders>
              <w:top w:val="single" w:sz="12" w:space="0" w:color="auto"/>
              <w:left w:val="single" w:sz="4" w:space="0" w:color="auto"/>
              <w:bottom w:val="single" w:sz="4" w:space="0" w:color="auto"/>
              <w:right w:val="single" w:sz="4" w:space="0" w:color="auto"/>
            </w:tcBorders>
            <w:vAlign w:val="center"/>
          </w:tcPr>
          <w:p w14:paraId="2F93E9F5"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45/152</w:t>
            </w:r>
          </w:p>
          <w:p w14:paraId="58832C07"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(30%)</w:t>
            </w:r>
          </w:p>
        </w:tc>
        <w:tc>
          <w:tcPr>
            <w:tcW w:w="1166" w:type="dxa"/>
            <w:tcBorders>
              <w:top w:val="single" w:sz="12" w:space="0" w:color="auto"/>
              <w:left w:val="single" w:sz="4" w:space="0" w:color="auto"/>
              <w:bottom w:val="single" w:sz="4" w:space="0" w:color="auto"/>
              <w:right w:val="single" w:sz="4" w:space="0" w:color="auto"/>
            </w:tcBorders>
            <w:vAlign w:val="center"/>
          </w:tcPr>
          <w:p w14:paraId="3B3CE215"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15/152</w:t>
            </w:r>
          </w:p>
          <w:p w14:paraId="29BA1BCB"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(10%)</w:t>
            </w:r>
          </w:p>
        </w:tc>
        <w:tc>
          <w:tcPr>
            <w:tcW w:w="1417" w:type="dxa"/>
            <w:tcBorders>
              <w:top w:val="single" w:sz="12" w:space="0" w:color="auto"/>
              <w:left w:val="single" w:sz="4" w:space="0" w:color="auto"/>
              <w:bottom w:val="single" w:sz="4" w:space="0" w:color="auto"/>
              <w:right w:val="single" w:sz="4" w:space="0" w:color="auto"/>
            </w:tcBorders>
            <w:vAlign w:val="center"/>
          </w:tcPr>
          <w:p w14:paraId="63C8FE41"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22/152</w:t>
            </w:r>
          </w:p>
          <w:p w14:paraId="30CEF6B4"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(14%)</w:t>
            </w:r>
          </w:p>
        </w:tc>
        <w:tc>
          <w:tcPr>
            <w:tcW w:w="965" w:type="dxa"/>
            <w:tcBorders>
              <w:top w:val="single" w:sz="12" w:space="0" w:color="auto"/>
              <w:left w:val="single" w:sz="4" w:space="0" w:color="auto"/>
              <w:bottom w:val="single" w:sz="4" w:space="0" w:color="auto"/>
              <w:right w:val="single" w:sz="18" w:space="0" w:color="auto"/>
            </w:tcBorders>
          </w:tcPr>
          <w:p w14:paraId="0EDB313C"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152</w:t>
            </w:r>
          </w:p>
        </w:tc>
      </w:tr>
      <w:tr w:rsidR="006953FF" w:rsidRPr="00FB42C1" w14:paraId="1D9204AA"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354BC333"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368C49C1"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223" w:type="dxa"/>
            <w:tcBorders>
              <w:top w:val="single" w:sz="4" w:space="0" w:color="auto"/>
              <w:left w:val="single" w:sz="4" w:space="0" w:color="auto"/>
              <w:bottom w:val="single" w:sz="4" w:space="0" w:color="auto"/>
              <w:right w:val="single" w:sz="4" w:space="0" w:color="auto"/>
            </w:tcBorders>
            <w:vAlign w:val="center"/>
          </w:tcPr>
          <w:p w14:paraId="3EF63CDE"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2/9</w:t>
            </w:r>
          </w:p>
          <w:p w14:paraId="0789DCA1"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(22%)</w:t>
            </w:r>
          </w:p>
        </w:tc>
        <w:tc>
          <w:tcPr>
            <w:tcW w:w="1329" w:type="dxa"/>
            <w:tcBorders>
              <w:top w:val="single" w:sz="4" w:space="0" w:color="auto"/>
              <w:left w:val="single" w:sz="4" w:space="0" w:color="auto"/>
              <w:bottom w:val="single" w:sz="4" w:space="0" w:color="auto"/>
              <w:right w:val="single" w:sz="4" w:space="0" w:color="auto"/>
            </w:tcBorders>
            <w:vAlign w:val="center"/>
          </w:tcPr>
          <w:p w14:paraId="4EE1C702"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4/9</w:t>
            </w:r>
          </w:p>
          <w:p w14:paraId="469C6C3F"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(44%)</w:t>
            </w:r>
          </w:p>
        </w:tc>
        <w:tc>
          <w:tcPr>
            <w:tcW w:w="1166" w:type="dxa"/>
            <w:tcBorders>
              <w:top w:val="single" w:sz="4" w:space="0" w:color="auto"/>
              <w:left w:val="single" w:sz="4" w:space="0" w:color="auto"/>
              <w:bottom w:val="single" w:sz="4" w:space="0" w:color="auto"/>
              <w:right w:val="single" w:sz="4" w:space="0" w:color="auto"/>
            </w:tcBorders>
            <w:vAlign w:val="center"/>
          </w:tcPr>
          <w:p w14:paraId="79F18287"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1/9</w:t>
            </w:r>
          </w:p>
          <w:p w14:paraId="4129667C"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(11%)</w:t>
            </w:r>
          </w:p>
        </w:tc>
        <w:tc>
          <w:tcPr>
            <w:tcW w:w="1417" w:type="dxa"/>
            <w:tcBorders>
              <w:top w:val="single" w:sz="4" w:space="0" w:color="auto"/>
              <w:left w:val="single" w:sz="4" w:space="0" w:color="auto"/>
              <w:bottom w:val="single" w:sz="4" w:space="0" w:color="auto"/>
              <w:right w:val="single" w:sz="4" w:space="0" w:color="auto"/>
            </w:tcBorders>
            <w:vAlign w:val="center"/>
          </w:tcPr>
          <w:p w14:paraId="6C4D7D2F"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2/9</w:t>
            </w:r>
          </w:p>
          <w:p w14:paraId="73C8619E"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(22%)</w:t>
            </w:r>
          </w:p>
        </w:tc>
        <w:tc>
          <w:tcPr>
            <w:tcW w:w="965" w:type="dxa"/>
            <w:tcBorders>
              <w:top w:val="single" w:sz="4" w:space="0" w:color="auto"/>
              <w:left w:val="single" w:sz="4" w:space="0" w:color="auto"/>
              <w:bottom w:val="single" w:sz="4" w:space="0" w:color="auto"/>
              <w:right w:val="single" w:sz="18" w:space="0" w:color="auto"/>
            </w:tcBorders>
          </w:tcPr>
          <w:p w14:paraId="6955D9D1"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9</w:t>
            </w:r>
          </w:p>
        </w:tc>
      </w:tr>
      <w:tr w:rsidR="006953FF" w:rsidRPr="00FB42C1" w14:paraId="3D159484"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05C9AA27"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24915D15"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223" w:type="dxa"/>
            <w:tcBorders>
              <w:top w:val="single" w:sz="4" w:space="0" w:color="auto"/>
              <w:left w:val="single" w:sz="4" w:space="0" w:color="auto"/>
              <w:bottom w:val="single" w:sz="4" w:space="0" w:color="auto"/>
              <w:right w:val="single" w:sz="4" w:space="0" w:color="auto"/>
            </w:tcBorders>
            <w:vAlign w:val="center"/>
          </w:tcPr>
          <w:p w14:paraId="77ACA9F8"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5/25</w:t>
            </w:r>
          </w:p>
          <w:p w14:paraId="360189E7"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(20%)</w:t>
            </w:r>
          </w:p>
        </w:tc>
        <w:tc>
          <w:tcPr>
            <w:tcW w:w="1329" w:type="dxa"/>
            <w:tcBorders>
              <w:top w:val="single" w:sz="4" w:space="0" w:color="auto"/>
              <w:left w:val="single" w:sz="4" w:space="0" w:color="auto"/>
              <w:bottom w:val="single" w:sz="4" w:space="0" w:color="auto"/>
              <w:right w:val="single" w:sz="4" w:space="0" w:color="auto"/>
            </w:tcBorders>
            <w:vAlign w:val="center"/>
          </w:tcPr>
          <w:p w14:paraId="741431AA"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8/25</w:t>
            </w:r>
          </w:p>
          <w:p w14:paraId="45C2434A"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(32%)</w:t>
            </w:r>
          </w:p>
        </w:tc>
        <w:tc>
          <w:tcPr>
            <w:tcW w:w="1166" w:type="dxa"/>
            <w:tcBorders>
              <w:top w:val="single" w:sz="4" w:space="0" w:color="auto"/>
              <w:left w:val="single" w:sz="4" w:space="0" w:color="auto"/>
              <w:bottom w:val="single" w:sz="4" w:space="0" w:color="auto"/>
              <w:right w:val="single" w:sz="4" w:space="0" w:color="auto"/>
            </w:tcBorders>
            <w:vAlign w:val="center"/>
          </w:tcPr>
          <w:p w14:paraId="489C4387"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2/25 </w:t>
            </w:r>
          </w:p>
          <w:p w14:paraId="2DD75D1F"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(8%)</w:t>
            </w:r>
          </w:p>
        </w:tc>
        <w:tc>
          <w:tcPr>
            <w:tcW w:w="1417" w:type="dxa"/>
            <w:tcBorders>
              <w:top w:val="single" w:sz="4" w:space="0" w:color="auto"/>
              <w:left w:val="single" w:sz="4" w:space="0" w:color="auto"/>
              <w:bottom w:val="single" w:sz="4" w:space="0" w:color="auto"/>
              <w:right w:val="single" w:sz="4" w:space="0" w:color="auto"/>
            </w:tcBorders>
            <w:vAlign w:val="center"/>
          </w:tcPr>
          <w:p w14:paraId="3A1C4840"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10/25</w:t>
            </w:r>
          </w:p>
          <w:p w14:paraId="6A0C9EDB"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(40%)</w:t>
            </w:r>
          </w:p>
        </w:tc>
        <w:tc>
          <w:tcPr>
            <w:tcW w:w="965" w:type="dxa"/>
            <w:tcBorders>
              <w:top w:val="single" w:sz="4" w:space="0" w:color="auto"/>
              <w:left w:val="single" w:sz="4" w:space="0" w:color="auto"/>
              <w:bottom w:val="single" w:sz="4" w:space="0" w:color="auto"/>
              <w:right w:val="single" w:sz="18" w:space="0" w:color="auto"/>
            </w:tcBorders>
          </w:tcPr>
          <w:p w14:paraId="01372F13"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25</w:t>
            </w:r>
          </w:p>
        </w:tc>
      </w:tr>
      <w:tr w:rsidR="006953FF" w:rsidRPr="00FB42C1" w14:paraId="39E5D5A3" w14:textId="77777777" w:rsidTr="00C6415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4" w:space="0" w:color="auto"/>
              <w:right w:val="single" w:sz="4" w:space="0" w:color="auto"/>
            </w:tcBorders>
            <w:vAlign w:val="center"/>
          </w:tcPr>
          <w:p w14:paraId="7FEF50A9"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1AF65E5B"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223" w:type="dxa"/>
            <w:tcBorders>
              <w:top w:val="single" w:sz="4" w:space="0" w:color="auto"/>
              <w:left w:val="single" w:sz="4" w:space="0" w:color="auto"/>
              <w:bottom w:val="single" w:sz="4" w:space="0" w:color="auto"/>
              <w:right w:val="single" w:sz="4" w:space="0" w:color="auto"/>
            </w:tcBorders>
            <w:vAlign w:val="center"/>
          </w:tcPr>
          <w:p w14:paraId="788E7F61"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19/94</w:t>
            </w:r>
          </w:p>
          <w:p w14:paraId="0DB9A088"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(20%)</w:t>
            </w:r>
          </w:p>
        </w:tc>
        <w:tc>
          <w:tcPr>
            <w:tcW w:w="1329" w:type="dxa"/>
            <w:tcBorders>
              <w:top w:val="single" w:sz="4" w:space="0" w:color="auto"/>
              <w:left w:val="single" w:sz="4" w:space="0" w:color="auto"/>
              <w:bottom w:val="single" w:sz="4" w:space="0" w:color="auto"/>
              <w:right w:val="single" w:sz="4" w:space="0" w:color="auto"/>
            </w:tcBorders>
            <w:vAlign w:val="center"/>
          </w:tcPr>
          <w:p w14:paraId="2550314A"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36/94 </w:t>
            </w:r>
          </w:p>
          <w:p w14:paraId="107F99FC"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(38%)</w:t>
            </w:r>
          </w:p>
        </w:tc>
        <w:tc>
          <w:tcPr>
            <w:tcW w:w="1166" w:type="dxa"/>
            <w:tcBorders>
              <w:top w:val="single" w:sz="4" w:space="0" w:color="auto"/>
              <w:left w:val="single" w:sz="4" w:space="0" w:color="auto"/>
              <w:bottom w:val="single" w:sz="4" w:space="0" w:color="auto"/>
              <w:right w:val="single" w:sz="4" w:space="0" w:color="auto"/>
            </w:tcBorders>
            <w:vAlign w:val="center"/>
          </w:tcPr>
          <w:p w14:paraId="0A431192"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6/94 </w:t>
            </w:r>
          </w:p>
          <w:p w14:paraId="4A05CA48"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(6%)</w:t>
            </w:r>
          </w:p>
        </w:tc>
        <w:tc>
          <w:tcPr>
            <w:tcW w:w="1417" w:type="dxa"/>
            <w:tcBorders>
              <w:top w:val="single" w:sz="4" w:space="0" w:color="auto"/>
              <w:left w:val="single" w:sz="4" w:space="0" w:color="auto"/>
              <w:bottom w:val="single" w:sz="4" w:space="0" w:color="auto"/>
              <w:right w:val="single" w:sz="4" w:space="0" w:color="auto"/>
            </w:tcBorders>
            <w:vAlign w:val="center"/>
          </w:tcPr>
          <w:p w14:paraId="5B2E077E" w14:textId="77777777" w:rsidR="006953FF"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33/94</w:t>
            </w:r>
          </w:p>
          <w:p w14:paraId="0FE256BA"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(35%)</w:t>
            </w:r>
          </w:p>
        </w:tc>
        <w:tc>
          <w:tcPr>
            <w:tcW w:w="965" w:type="dxa"/>
            <w:tcBorders>
              <w:top w:val="single" w:sz="4" w:space="0" w:color="auto"/>
              <w:left w:val="single" w:sz="4" w:space="0" w:color="auto"/>
              <w:bottom w:val="single" w:sz="4" w:space="0" w:color="auto"/>
              <w:right w:val="single" w:sz="18" w:space="0" w:color="auto"/>
            </w:tcBorders>
          </w:tcPr>
          <w:p w14:paraId="7925CAE6" w14:textId="77777777" w:rsidR="006953FF" w:rsidRPr="00FB42C1" w:rsidRDefault="006953FF" w:rsidP="00674B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94</w:t>
            </w:r>
          </w:p>
        </w:tc>
      </w:tr>
      <w:tr w:rsidR="006953FF" w:rsidRPr="00FB42C1" w14:paraId="5DCC08AD" w14:textId="77777777" w:rsidTr="00C6415A">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6" w:type="dxa"/>
            <w:vMerge/>
            <w:tcBorders>
              <w:top w:val="single" w:sz="4" w:space="0" w:color="auto"/>
              <w:left w:val="single" w:sz="18" w:space="0" w:color="auto"/>
              <w:bottom w:val="single" w:sz="18" w:space="0" w:color="auto"/>
              <w:right w:val="single" w:sz="4" w:space="0" w:color="auto"/>
            </w:tcBorders>
            <w:vAlign w:val="center"/>
          </w:tcPr>
          <w:p w14:paraId="4141A043" w14:textId="77777777" w:rsidR="006953FF" w:rsidRPr="00FB42C1" w:rsidRDefault="006953FF" w:rsidP="00674B5B">
            <w:pPr>
              <w:spacing w:after="0" w:line="240" w:lineRule="auto"/>
              <w:rPr>
                <w:rFonts w:ascii="Arial" w:hAnsi="Arial" w:cs="Arial"/>
                <w:b w:val="0"/>
                <w:sz w:val="16"/>
                <w:szCs w:val="16"/>
              </w:rPr>
            </w:pPr>
          </w:p>
        </w:tc>
        <w:tc>
          <w:tcPr>
            <w:tcW w:w="905" w:type="dxa"/>
            <w:tcBorders>
              <w:top w:val="single" w:sz="4" w:space="0" w:color="auto"/>
              <w:left w:val="single" w:sz="4" w:space="0" w:color="auto"/>
              <w:bottom w:val="single" w:sz="18" w:space="0" w:color="auto"/>
              <w:right w:val="single" w:sz="4" w:space="0" w:color="auto"/>
            </w:tcBorders>
            <w:vAlign w:val="center"/>
          </w:tcPr>
          <w:p w14:paraId="0DAE0036"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223" w:type="dxa"/>
            <w:tcBorders>
              <w:top w:val="single" w:sz="4" w:space="0" w:color="auto"/>
              <w:left w:val="single" w:sz="4" w:space="0" w:color="auto"/>
              <w:bottom w:val="single" w:sz="18" w:space="0" w:color="auto"/>
              <w:right w:val="single" w:sz="4" w:space="0" w:color="auto"/>
            </w:tcBorders>
            <w:vAlign w:val="center"/>
          </w:tcPr>
          <w:p w14:paraId="674AD13C"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¼</w:t>
            </w:r>
          </w:p>
          <w:p w14:paraId="3C49DEC9"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(25%)</w:t>
            </w:r>
          </w:p>
        </w:tc>
        <w:tc>
          <w:tcPr>
            <w:tcW w:w="1329" w:type="dxa"/>
            <w:tcBorders>
              <w:top w:val="single" w:sz="4" w:space="0" w:color="auto"/>
              <w:left w:val="single" w:sz="4" w:space="0" w:color="auto"/>
              <w:bottom w:val="single" w:sz="18" w:space="0" w:color="auto"/>
              <w:right w:val="single" w:sz="4" w:space="0" w:color="auto"/>
            </w:tcBorders>
            <w:vAlign w:val="center"/>
          </w:tcPr>
          <w:p w14:paraId="78F4A5C0"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2/4</w:t>
            </w:r>
          </w:p>
          <w:p w14:paraId="5C87A3B2"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(50%)</w:t>
            </w:r>
          </w:p>
        </w:tc>
        <w:tc>
          <w:tcPr>
            <w:tcW w:w="1166" w:type="dxa"/>
            <w:tcBorders>
              <w:top w:val="single" w:sz="4" w:space="0" w:color="auto"/>
              <w:left w:val="single" w:sz="4" w:space="0" w:color="auto"/>
              <w:bottom w:val="single" w:sz="18" w:space="0" w:color="auto"/>
              <w:right w:val="single" w:sz="4" w:space="0" w:color="auto"/>
            </w:tcBorders>
            <w:vAlign w:val="center"/>
          </w:tcPr>
          <w:p w14:paraId="5A9FC1B3"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tc>
        <w:tc>
          <w:tcPr>
            <w:tcW w:w="1417" w:type="dxa"/>
            <w:tcBorders>
              <w:top w:val="single" w:sz="4" w:space="0" w:color="auto"/>
              <w:left w:val="single" w:sz="4" w:space="0" w:color="auto"/>
              <w:bottom w:val="single" w:sz="18" w:space="0" w:color="auto"/>
              <w:right w:val="single" w:sz="4" w:space="0" w:color="auto"/>
            </w:tcBorders>
            <w:vAlign w:val="center"/>
          </w:tcPr>
          <w:p w14:paraId="3DD6C84B" w14:textId="77777777" w:rsidR="006953FF"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1/4 </w:t>
            </w:r>
          </w:p>
          <w:p w14:paraId="73CEBE09"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(25%)</w:t>
            </w:r>
          </w:p>
        </w:tc>
        <w:tc>
          <w:tcPr>
            <w:tcW w:w="965" w:type="dxa"/>
            <w:tcBorders>
              <w:top w:val="single" w:sz="4" w:space="0" w:color="auto"/>
              <w:left w:val="single" w:sz="4" w:space="0" w:color="auto"/>
              <w:bottom w:val="single" w:sz="18" w:space="0" w:color="auto"/>
              <w:right w:val="single" w:sz="18" w:space="0" w:color="auto"/>
            </w:tcBorders>
          </w:tcPr>
          <w:p w14:paraId="5D5D4279" w14:textId="77777777" w:rsidR="006953FF" w:rsidRPr="00FB42C1" w:rsidRDefault="006953FF" w:rsidP="00674B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w:t>
            </w:r>
          </w:p>
        </w:tc>
      </w:tr>
    </w:tbl>
    <w:p w14:paraId="7775C430" w14:textId="77777777" w:rsidR="0038408E" w:rsidRPr="00FB42C1" w:rsidRDefault="0038408E" w:rsidP="0038408E">
      <w:pPr>
        <w:pStyle w:val="Caption"/>
        <w:keepNext/>
        <w:rPr>
          <w:rFonts w:cs="Arial"/>
          <w:color w:val="auto"/>
          <w:sz w:val="16"/>
          <w:szCs w:val="16"/>
        </w:rPr>
      </w:pPr>
    </w:p>
    <w:p w14:paraId="7BF4627D" w14:textId="77777777" w:rsidR="00F2217A" w:rsidRDefault="00F2217A">
      <w:pPr>
        <w:spacing w:after="200" w:line="276" w:lineRule="auto"/>
        <w:rPr>
          <w:rFonts w:cs="Arial"/>
          <w:b/>
          <w:sz w:val="20"/>
          <w:szCs w:val="16"/>
        </w:rPr>
      </w:pPr>
      <w:r>
        <w:rPr>
          <w:rFonts w:cs="Arial"/>
          <w:b/>
          <w:sz w:val="20"/>
          <w:szCs w:val="16"/>
        </w:rPr>
        <w:br w:type="page"/>
      </w:r>
    </w:p>
    <w:p w14:paraId="7321D7FA" w14:textId="2D0F8C94" w:rsidR="00637127" w:rsidRPr="00F27ECB" w:rsidRDefault="00BA6195" w:rsidP="00637127">
      <w:pPr>
        <w:rPr>
          <w:rFonts w:cs="Arial"/>
          <w:sz w:val="20"/>
          <w:szCs w:val="20"/>
        </w:rPr>
      </w:pPr>
      <w:r w:rsidRPr="00FB42C1">
        <w:rPr>
          <w:rFonts w:cs="Arial"/>
          <w:b/>
          <w:sz w:val="20"/>
          <w:szCs w:val="16"/>
        </w:rPr>
        <w:t xml:space="preserve">Table </w:t>
      </w:r>
      <w:r w:rsidR="0022615A" w:rsidRPr="00FB42C1">
        <w:rPr>
          <w:rFonts w:cs="Arial"/>
          <w:b/>
          <w:sz w:val="20"/>
          <w:szCs w:val="16"/>
        </w:rPr>
        <w:fldChar w:fldCharType="begin"/>
      </w:r>
      <w:r w:rsidRPr="00FB42C1">
        <w:rPr>
          <w:rFonts w:cs="Arial"/>
          <w:b/>
          <w:sz w:val="20"/>
          <w:szCs w:val="16"/>
        </w:rPr>
        <w:instrText xml:space="preserve"> SEQ Table \* ARABIC </w:instrText>
      </w:r>
      <w:r w:rsidR="0022615A" w:rsidRPr="00FB42C1">
        <w:rPr>
          <w:rFonts w:cs="Arial"/>
          <w:b/>
          <w:sz w:val="20"/>
          <w:szCs w:val="16"/>
        </w:rPr>
        <w:fldChar w:fldCharType="separate"/>
      </w:r>
      <w:r w:rsidRPr="00FB42C1">
        <w:rPr>
          <w:rFonts w:cs="Arial"/>
          <w:b/>
          <w:noProof/>
          <w:sz w:val="20"/>
          <w:szCs w:val="16"/>
        </w:rPr>
        <w:t>2</w:t>
      </w:r>
      <w:r w:rsidR="0022615A" w:rsidRPr="00FB42C1">
        <w:rPr>
          <w:rFonts w:cs="Arial"/>
          <w:b/>
          <w:noProof/>
          <w:sz w:val="20"/>
          <w:szCs w:val="16"/>
        </w:rPr>
        <w:fldChar w:fldCharType="end"/>
      </w:r>
      <w:r w:rsidRPr="00FB42C1">
        <w:rPr>
          <w:rFonts w:cs="Arial"/>
          <w:b/>
          <w:sz w:val="20"/>
          <w:szCs w:val="16"/>
        </w:rPr>
        <w:t>-</w:t>
      </w:r>
      <w:r w:rsidRPr="00FB42C1">
        <w:rPr>
          <w:rFonts w:cs="Arial"/>
          <w:sz w:val="20"/>
          <w:szCs w:val="16"/>
        </w:rPr>
        <w:t xml:space="preserve"> Factors associated with IMD confirmation</w:t>
      </w:r>
      <w:r w:rsidR="001A5866" w:rsidRPr="00FB42C1">
        <w:rPr>
          <w:rFonts w:cs="Arial"/>
          <w:sz w:val="20"/>
          <w:szCs w:val="16"/>
        </w:rPr>
        <w:t xml:space="preserve"> </w:t>
      </w:r>
      <w:r w:rsidRPr="00FB42C1">
        <w:rPr>
          <w:rFonts w:cs="Arial"/>
          <w:sz w:val="20"/>
          <w:szCs w:val="16"/>
        </w:rPr>
        <w:t>using any culture</w:t>
      </w:r>
      <w:r w:rsidR="00FA3C6F">
        <w:rPr>
          <w:rFonts w:cs="Arial"/>
          <w:sz w:val="20"/>
          <w:szCs w:val="16"/>
        </w:rPr>
        <w:t xml:space="preserve"> (n=2093)</w:t>
      </w:r>
      <w:r w:rsidR="00A46B8F">
        <w:rPr>
          <w:rFonts w:cs="Arial"/>
          <w:sz w:val="20"/>
          <w:szCs w:val="16"/>
        </w:rPr>
        <w:t>, as assessed using multivariate analysis</w:t>
      </w:r>
      <w:r w:rsidR="00637127">
        <w:rPr>
          <w:rFonts w:cs="Arial"/>
          <w:sz w:val="20"/>
          <w:szCs w:val="16"/>
        </w:rPr>
        <w:t>.</w:t>
      </w:r>
      <w:r w:rsidR="00637127" w:rsidRPr="00637127">
        <w:rPr>
          <w:sz w:val="20"/>
          <w:szCs w:val="20"/>
        </w:rPr>
        <w:t xml:space="preserve"> </w:t>
      </w:r>
      <w:r w:rsidR="00637127" w:rsidRPr="009A1C65">
        <w:rPr>
          <w:color w:val="FF0000"/>
          <w:sz w:val="20"/>
          <w:szCs w:val="20"/>
        </w:rPr>
        <w:t>The logistic regression model included variables for; age group, capsular group, clinical presentation, year and sex</w:t>
      </w:r>
    </w:p>
    <w:p w14:paraId="69735BC1" w14:textId="77777777" w:rsidR="00BA6195" w:rsidRPr="00FB42C1" w:rsidRDefault="00BA6195" w:rsidP="00BA6195">
      <w:pPr>
        <w:rPr>
          <w:rFonts w:cs="Arial"/>
          <w:sz w:val="20"/>
          <w:szCs w:val="16"/>
        </w:rPr>
      </w:pPr>
    </w:p>
    <w:tbl>
      <w:tblPr>
        <w:tblStyle w:val="MediumShading110"/>
        <w:tblW w:w="0" w:type="auto"/>
        <w:tblInd w:w="288" w:type="dxa"/>
        <w:tblLook w:val="04A0" w:firstRow="1" w:lastRow="0" w:firstColumn="1" w:lastColumn="0" w:noHBand="0" w:noVBand="1"/>
      </w:tblPr>
      <w:tblGrid>
        <w:gridCol w:w="1400"/>
        <w:gridCol w:w="1602"/>
        <w:gridCol w:w="1354"/>
        <w:gridCol w:w="1110"/>
        <w:gridCol w:w="1418"/>
        <w:gridCol w:w="1247"/>
      </w:tblGrid>
      <w:tr w:rsidR="00FA3C6F" w:rsidRPr="00FB42C1" w14:paraId="7942C439" w14:textId="77777777" w:rsidTr="00FA3C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2" w:type="dxa"/>
            <w:gridSpan w:val="2"/>
            <w:tcBorders>
              <w:bottom w:val="single" w:sz="4" w:space="0" w:color="auto"/>
            </w:tcBorders>
          </w:tcPr>
          <w:p w14:paraId="0993EF2E" w14:textId="77777777" w:rsidR="00FA3C6F" w:rsidRPr="00FB42C1" w:rsidRDefault="00FA3C6F" w:rsidP="00FB2C99">
            <w:pPr>
              <w:spacing w:after="0"/>
              <w:rPr>
                <w:rFonts w:ascii="Arial" w:hAnsi="Arial" w:cs="Arial"/>
                <w:sz w:val="16"/>
                <w:szCs w:val="16"/>
              </w:rPr>
            </w:pPr>
            <w:r w:rsidRPr="00FB42C1">
              <w:rPr>
                <w:rFonts w:ascii="Arial" w:hAnsi="Arial" w:cs="Arial"/>
                <w:sz w:val="16"/>
                <w:szCs w:val="16"/>
              </w:rPr>
              <w:t>Variable</w:t>
            </w:r>
          </w:p>
        </w:tc>
        <w:tc>
          <w:tcPr>
            <w:tcW w:w="1354" w:type="dxa"/>
            <w:tcBorders>
              <w:bottom w:val="single" w:sz="4" w:space="0" w:color="auto"/>
            </w:tcBorders>
          </w:tcPr>
          <w:p w14:paraId="0B4B790D" w14:textId="682FEC98" w:rsidR="00FA3C6F" w:rsidRPr="00FB42C1" w:rsidRDefault="0027748A" w:rsidP="00FB2C99">
            <w:pPr>
              <w:spacing w:after="0"/>
              <w:cnfStyle w:val="100000000000" w:firstRow="1"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Number of culture-</w:t>
            </w:r>
            <w:r w:rsidR="00FA3C6F">
              <w:rPr>
                <w:rFonts w:cs="Arial"/>
                <w:sz w:val="16"/>
                <w:szCs w:val="16"/>
              </w:rPr>
              <w:t>confirmed cases</w:t>
            </w:r>
          </w:p>
        </w:tc>
        <w:tc>
          <w:tcPr>
            <w:tcW w:w="1110" w:type="dxa"/>
            <w:tcBorders>
              <w:bottom w:val="single" w:sz="4" w:space="0" w:color="auto"/>
            </w:tcBorders>
          </w:tcPr>
          <w:p w14:paraId="696FAA2F" w14:textId="77777777" w:rsidR="00FA3C6F" w:rsidRPr="00FB42C1" w:rsidRDefault="00FA3C6F" w:rsidP="00FB2C99">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B42C1">
              <w:rPr>
                <w:rFonts w:ascii="Arial" w:hAnsi="Arial" w:cs="Arial"/>
                <w:sz w:val="16"/>
                <w:szCs w:val="16"/>
              </w:rPr>
              <w:t>Odds ratio</w:t>
            </w:r>
          </w:p>
        </w:tc>
        <w:tc>
          <w:tcPr>
            <w:tcW w:w="1418" w:type="dxa"/>
            <w:tcBorders>
              <w:bottom w:val="single" w:sz="4" w:space="0" w:color="auto"/>
            </w:tcBorders>
          </w:tcPr>
          <w:p w14:paraId="7BE0AB55" w14:textId="77777777" w:rsidR="00FA3C6F" w:rsidRPr="00FB42C1" w:rsidRDefault="00FA3C6F" w:rsidP="00FB2C99">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B42C1">
              <w:rPr>
                <w:rFonts w:ascii="Arial" w:hAnsi="Arial" w:cs="Arial"/>
                <w:sz w:val="16"/>
                <w:szCs w:val="16"/>
              </w:rPr>
              <w:t>95%CI</w:t>
            </w:r>
          </w:p>
        </w:tc>
        <w:tc>
          <w:tcPr>
            <w:tcW w:w="1247" w:type="dxa"/>
            <w:tcBorders>
              <w:bottom w:val="single" w:sz="4" w:space="0" w:color="auto"/>
            </w:tcBorders>
          </w:tcPr>
          <w:p w14:paraId="7519C90C" w14:textId="77777777" w:rsidR="00FA3C6F" w:rsidRPr="00FB42C1" w:rsidRDefault="00FA3C6F" w:rsidP="00FB2C99">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B42C1">
              <w:rPr>
                <w:rFonts w:ascii="Arial" w:hAnsi="Arial" w:cs="Arial"/>
                <w:sz w:val="16"/>
                <w:szCs w:val="16"/>
              </w:rPr>
              <w:t>P value</w:t>
            </w:r>
          </w:p>
        </w:tc>
      </w:tr>
      <w:tr w:rsidR="00FA3C6F" w:rsidRPr="00FB42C1" w14:paraId="55AB94F7" w14:textId="77777777" w:rsidTr="00FA3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dxa"/>
            <w:vMerge w:val="restart"/>
            <w:tcBorders>
              <w:top w:val="single" w:sz="4" w:space="0" w:color="auto"/>
              <w:left w:val="single" w:sz="4" w:space="0" w:color="auto"/>
              <w:right w:val="single" w:sz="4" w:space="0" w:color="auto"/>
            </w:tcBorders>
            <w:shd w:val="clear" w:color="auto" w:fill="D9D9D9" w:themeFill="background1" w:themeFillShade="D9"/>
          </w:tcPr>
          <w:p w14:paraId="116EAA15" w14:textId="77777777" w:rsidR="00FA3C6F" w:rsidRPr="00FB42C1" w:rsidRDefault="00FA3C6F" w:rsidP="00FB2C99">
            <w:pPr>
              <w:spacing w:after="0"/>
              <w:rPr>
                <w:rFonts w:ascii="Arial" w:hAnsi="Arial" w:cs="Arial"/>
                <w:sz w:val="16"/>
                <w:szCs w:val="16"/>
              </w:rPr>
            </w:pPr>
            <w:r w:rsidRPr="00FB42C1">
              <w:rPr>
                <w:rFonts w:ascii="Arial" w:hAnsi="Arial" w:cs="Arial"/>
                <w:sz w:val="16"/>
                <w:szCs w:val="16"/>
              </w:rPr>
              <w:t>Capsular group</w:t>
            </w:r>
          </w:p>
        </w:tc>
        <w:tc>
          <w:tcPr>
            <w:tcW w:w="1602" w:type="dxa"/>
            <w:tcBorders>
              <w:top w:val="single" w:sz="4" w:space="0" w:color="auto"/>
              <w:left w:val="single" w:sz="4" w:space="0" w:color="auto"/>
              <w:bottom w:val="single" w:sz="4" w:space="0" w:color="auto"/>
              <w:right w:val="single" w:sz="4" w:space="0" w:color="auto"/>
            </w:tcBorders>
          </w:tcPr>
          <w:p w14:paraId="5D7FA658"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354" w:type="dxa"/>
            <w:tcBorders>
              <w:top w:val="single" w:sz="4" w:space="0" w:color="auto"/>
              <w:left w:val="single" w:sz="4" w:space="0" w:color="auto"/>
              <w:bottom w:val="single" w:sz="4" w:space="0" w:color="auto"/>
              <w:right w:val="single" w:sz="4" w:space="0" w:color="auto"/>
            </w:tcBorders>
          </w:tcPr>
          <w:p w14:paraId="051D5916"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1749</w:t>
            </w:r>
          </w:p>
        </w:tc>
        <w:tc>
          <w:tcPr>
            <w:tcW w:w="1110" w:type="dxa"/>
            <w:tcBorders>
              <w:top w:val="single" w:sz="4" w:space="0" w:color="auto"/>
              <w:left w:val="single" w:sz="4" w:space="0" w:color="auto"/>
              <w:bottom w:val="single" w:sz="4" w:space="0" w:color="auto"/>
              <w:right w:val="single" w:sz="4" w:space="0" w:color="auto"/>
            </w:tcBorders>
          </w:tcPr>
          <w:p w14:paraId="51EF4FAC"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REF</w:t>
            </w:r>
          </w:p>
        </w:tc>
        <w:tc>
          <w:tcPr>
            <w:tcW w:w="1418" w:type="dxa"/>
            <w:tcBorders>
              <w:top w:val="single" w:sz="4" w:space="0" w:color="auto"/>
              <w:left w:val="single" w:sz="4" w:space="0" w:color="auto"/>
              <w:bottom w:val="single" w:sz="4" w:space="0" w:color="auto"/>
              <w:right w:val="single" w:sz="4" w:space="0" w:color="auto"/>
            </w:tcBorders>
          </w:tcPr>
          <w:p w14:paraId="64D0598A"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47" w:type="dxa"/>
            <w:tcBorders>
              <w:top w:val="single" w:sz="4" w:space="0" w:color="auto"/>
              <w:left w:val="single" w:sz="4" w:space="0" w:color="auto"/>
              <w:bottom w:val="single" w:sz="4" w:space="0" w:color="auto"/>
              <w:right w:val="single" w:sz="4" w:space="0" w:color="auto"/>
            </w:tcBorders>
          </w:tcPr>
          <w:p w14:paraId="2807FE18"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FA3C6F" w:rsidRPr="00FB42C1" w14:paraId="476497A9" w14:textId="77777777" w:rsidTr="00FA3C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dxa"/>
            <w:vMerge/>
            <w:tcBorders>
              <w:left w:val="single" w:sz="4" w:space="0" w:color="auto"/>
              <w:right w:val="single" w:sz="4" w:space="0" w:color="auto"/>
            </w:tcBorders>
            <w:shd w:val="clear" w:color="auto" w:fill="D9D9D9" w:themeFill="background1" w:themeFillShade="D9"/>
          </w:tcPr>
          <w:p w14:paraId="327EB50D" w14:textId="77777777" w:rsidR="00FA3C6F" w:rsidRPr="00FB42C1" w:rsidRDefault="00FA3C6F" w:rsidP="00FB2C99">
            <w:pPr>
              <w:spacing w:after="0"/>
              <w:rPr>
                <w:rFonts w:ascii="Arial" w:hAnsi="Arial" w:cs="Arial"/>
                <w:sz w:val="16"/>
                <w:szCs w:val="16"/>
              </w:rPr>
            </w:pPr>
          </w:p>
        </w:tc>
        <w:tc>
          <w:tcPr>
            <w:tcW w:w="1602" w:type="dxa"/>
            <w:tcBorders>
              <w:top w:val="single" w:sz="4" w:space="0" w:color="auto"/>
              <w:left w:val="single" w:sz="4" w:space="0" w:color="auto"/>
              <w:bottom w:val="single" w:sz="4" w:space="0" w:color="auto"/>
              <w:right w:val="single" w:sz="4" w:space="0" w:color="auto"/>
            </w:tcBorders>
          </w:tcPr>
          <w:p w14:paraId="41F48E16"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354" w:type="dxa"/>
            <w:tcBorders>
              <w:top w:val="single" w:sz="4" w:space="0" w:color="auto"/>
              <w:left w:val="single" w:sz="4" w:space="0" w:color="auto"/>
              <w:bottom w:val="single" w:sz="4" w:space="0" w:color="auto"/>
              <w:right w:val="single" w:sz="4" w:space="0" w:color="auto"/>
            </w:tcBorders>
          </w:tcPr>
          <w:p w14:paraId="5DFBBE14"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80</w:t>
            </w:r>
          </w:p>
        </w:tc>
        <w:tc>
          <w:tcPr>
            <w:tcW w:w="1110" w:type="dxa"/>
            <w:tcBorders>
              <w:top w:val="single" w:sz="4" w:space="0" w:color="auto"/>
              <w:left w:val="single" w:sz="4" w:space="0" w:color="auto"/>
              <w:bottom w:val="single" w:sz="4" w:space="0" w:color="auto"/>
              <w:right w:val="single" w:sz="4" w:space="0" w:color="auto"/>
            </w:tcBorders>
          </w:tcPr>
          <w:p w14:paraId="1DB7E82C"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3·51</w:t>
            </w:r>
          </w:p>
        </w:tc>
        <w:tc>
          <w:tcPr>
            <w:tcW w:w="1418" w:type="dxa"/>
            <w:tcBorders>
              <w:top w:val="single" w:sz="4" w:space="0" w:color="auto"/>
              <w:left w:val="single" w:sz="4" w:space="0" w:color="auto"/>
              <w:bottom w:val="single" w:sz="4" w:space="0" w:color="auto"/>
              <w:right w:val="single" w:sz="4" w:space="0" w:color="auto"/>
            </w:tcBorders>
          </w:tcPr>
          <w:p w14:paraId="3352B0D5"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2·21-5·60</w:t>
            </w:r>
          </w:p>
        </w:tc>
        <w:tc>
          <w:tcPr>
            <w:tcW w:w="1247" w:type="dxa"/>
            <w:tcBorders>
              <w:top w:val="single" w:sz="4" w:space="0" w:color="auto"/>
              <w:left w:val="single" w:sz="4" w:space="0" w:color="auto"/>
              <w:bottom w:val="single" w:sz="4" w:space="0" w:color="auto"/>
              <w:right w:val="single" w:sz="4" w:space="0" w:color="auto"/>
            </w:tcBorders>
          </w:tcPr>
          <w:p w14:paraId="0656B4D9"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&lt;0·001</w:t>
            </w:r>
          </w:p>
        </w:tc>
      </w:tr>
      <w:tr w:rsidR="00FA3C6F" w:rsidRPr="00FB42C1" w14:paraId="68C25705" w14:textId="77777777" w:rsidTr="00FA3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dxa"/>
            <w:vMerge/>
            <w:tcBorders>
              <w:left w:val="single" w:sz="4" w:space="0" w:color="auto"/>
              <w:right w:val="single" w:sz="4" w:space="0" w:color="auto"/>
            </w:tcBorders>
            <w:shd w:val="clear" w:color="auto" w:fill="D9D9D9" w:themeFill="background1" w:themeFillShade="D9"/>
          </w:tcPr>
          <w:p w14:paraId="791B1C63" w14:textId="77777777" w:rsidR="00FA3C6F" w:rsidRPr="00FB42C1" w:rsidRDefault="00FA3C6F" w:rsidP="00FB2C99">
            <w:pPr>
              <w:spacing w:after="0"/>
              <w:rPr>
                <w:rFonts w:ascii="Arial" w:hAnsi="Arial" w:cs="Arial"/>
                <w:sz w:val="16"/>
                <w:szCs w:val="16"/>
              </w:rPr>
            </w:pPr>
          </w:p>
        </w:tc>
        <w:tc>
          <w:tcPr>
            <w:tcW w:w="1602" w:type="dxa"/>
            <w:tcBorders>
              <w:top w:val="single" w:sz="4" w:space="0" w:color="auto"/>
              <w:left w:val="single" w:sz="4" w:space="0" w:color="auto"/>
              <w:bottom w:val="single" w:sz="4" w:space="0" w:color="auto"/>
              <w:right w:val="single" w:sz="4" w:space="0" w:color="auto"/>
            </w:tcBorders>
          </w:tcPr>
          <w:p w14:paraId="201CF4AF"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354" w:type="dxa"/>
            <w:tcBorders>
              <w:top w:val="single" w:sz="4" w:space="0" w:color="auto"/>
              <w:left w:val="single" w:sz="4" w:space="0" w:color="auto"/>
              <w:bottom w:val="single" w:sz="4" w:space="0" w:color="auto"/>
              <w:right w:val="single" w:sz="4" w:space="0" w:color="auto"/>
            </w:tcBorders>
          </w:tcPr>
          <w:p w14:paraId="11E394A6"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197</w:t>
            </w:r>
          </w:p>
        </w:tc>
        <w:tc>
          <w:tcPr>
            <w:tcW w:w="1110" w:type="dxa"/>
            <w:tcBorders>
              <w:top w:val="single" w:sz="4" w:space="0" w:color="auto"/>
              <w:left w:val="single" w:sz="4" w:space="0" w:color="auto"/>
              <w:bottom w:val="single" w:sz="4" w:space="0" w:color="auto"/>
              <w:right w:val="single" w:sz="4" w:space="0" w:color="auto"/>
            </w:tcBorders>
          </w:tcPr>
          <w:p w14:paraId="62CA6B2F"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4·29</w:t>
            </w:r>
          </w:p>
        </w:tc>
        <w:tc>
          <w:tcPr>
            <w:tcW w:w="1418" w:type="dxa"/>
            <w:tcBorders>
              <w:top w:val="single" w:sz="4" w:space="0" w:color="auto"/>
              <w:left w:val="single" w:sz="4" w:space="0" w:color="auto"/>
              <w:bottom w:val="single" w:sz="4" w:space="0" w:color="auto"/>
              <w:right w:val="single" w:sz="4" w:space="0" w:color="auto"/>
            </w:tcBorders>
          </w:tcPr>
          <w:p w14:paraId="0A7EE3D6"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3·04-6·07</w:t>
            </w:r>
          </w:p>
        </w:tc>
        <w:tc>
          <w:tcPr>
            <w:tcW w:w="1247" w:type="dxa"/>
            <w:tcBorders>
              <w:top w:val="single" w:sz="4" w:space="0" w:color="auto"/>
              <w:left w:val="single" w:sz="4" w:space="0" w:color="auto"/>
              <w:bottom w:val="single" w:sz="4" w:space="0" w:color="auto"/>
              <w:right w:val="single" w:sz="4" w:space="0" w:color="auto"/>
            </w:tcBorders>
          </w:tcPr>
          <w:p w14:paraId="40F74296"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&lt;0·001</w:t>
            </w:r>
          </w:p>
        </w:tc>
      </w:tr>
      <w:tr w:rsidR="00FA3C6F" w:rsidRPr="00FB42C1" w14:paraId="272B5EB6" w14:textId="77777777" w:rsidTr="00FA3C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dxa"/>
            <w:vMerge/>
            <w:tcBorders>
              <w:left w:val="single" w:sz="4" w:space="0" w:color="auto"/>
              <w:right w:val="single" w:sz="4" w:space="0" w:color="auto"/>
            </w:tcBorders>
            <w:shd w:val="clear" w:color="auto" w:fill="D9D9D9" w:themeFill="background1" w:themeFillShade="D9"/>
          </w:tcPr>
          <w:p w14:paraId="0291558E" w14:textId="77777777" w:rsidR="00FA3C6F" w:rsidRPr="00FB42C1" w:rsidRDefault="00FA3C6F" w:rsidP="00FB2C99">
            <w:pPr>
              <w:spacing w:after="0"/>
              <w:rPr>
                <w:rFonts w:ascii="Arial" w:hAnsi="Arial" w:cs="Arial"/>
                <w:sz w:val="16"/>
                <w:szCs w:val="16"/>
              </w:rPr>
            </w:pPr>
          </w:p>
        </w:tc>
        <w:tc>
          <w:tcPr>
            <w:tcW w:w="1602" w:type="dxa"/>
            <w:tcBorders>
              <w:top w:val="single" w:sz="4" w:space="0" w:color="auto"/>
              <w:left w:val="single" w:sz="4" w:space="0" w:color="auto"/>
              <w:bottom w:val="single" w:sz="4" w:space="0" w:color="auto"/>
              <w:right w:val="single" w:sz="4" w:space="0" w:color="auto"/>
            </w:tcBorders>
          </w:tcPr>
          <w:p w14:paraId="1C8BC9EE"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354" w:type="dxa"/>
            <w:tcBorders>
              <w:top w:val="single" w:sz="4" w:space="0" w:color="auto"/>
              <w:left w:val="single" w:sz="4" w:space="0" w:color="auto"/>
              <w:bottom w:val="single" w:sz="4" w:space="0" w:color="auto"/>
              <w:right w:val="single" w:sz="4" w:space="0" w:color="auto"/>
            </w:tcBorders>
          </w:tcPr>
          <w:p w14:paraId="39CE82C9"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18</w:t>
            </w:r>
          </w:p>
        </w:tc>
        <w:tc>
          <w:tcPr>
            <w:tcW w:w="1110" w:type="dxa"/>
            <w:tcBorders>
              <w:top w:val="single" w:sz="4" w:space="0" w:color="auto"/>
              <w:left w:val="single" w:sz="4" w:space="0" w:color="auto"/>
              <w:bottom w:val="single" w:sz="4" w:space="0" w:color="auto"/>
              <w:right w:val="single" w:sz="4" w:space="0" w:color="auto"/>
            </w:tcBorders>
          </w:tcPr>
          <w:p w14:paraId="427C22E6"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0·18</w:t>
            </w:r>
          </w:p>
        </w:tc>
        <w:tc>
          <w:tcPr>
            <w:tcW w:w="1418" w:type="dxa"/>
            <w:tcBorders>
              <w:top w:val="single" w:sz="4" w:space="0" w:color="auto"/>
              <w:left w:val="single" w:sz="4" w:space="0" w:color="auto"/>
              <w:bottom w:val="single" w:sz="4" w:space="0" w:color="auto"/>
              <w:right w:val="single" w:sz="4" w:space="0" w:color="auto"/>
            </w:tcBorders>
          </w:tcPr>
          <w:p w14:paraId="2F53AF24"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0·11-0·29</w:t>
            </w:r>
          </w:p>
        </w:tc>
        <w:tc>
          <w:tcPr>
            <w:tcW w:w="1247" w:type="dxa"/>
            <w:tcBorders>
              <w:top w:val="single" w:sz="4" w:space="0" w:color="auto"/>
              <w:left w:val="single" w:sz="4" w:space="0" w:color="auto"/>
              <w:bottom w:val="single" w:sz="4" w:space="0" w:color="auto"/>
              <w:right w:val="single" w:sz="4" w:space="0" w:color="auto"/>
            </w:tcBorders>
          </w:tcPr>
          <w:p w14:paraId="3872CCE6"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&lt;0·001</w:t>
            </w:r>
          </w:p>
        </w:tc>
      </w:tr>
      <w:tr w:rsidR="00FA3C6F" w:rsidRPr="00FB42C1" w14:paraId="5EC1ECC3" w14:textId="77777777" w:rsidTr="00FA3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dxa"/>
            <w:vMerge w:val="restart"/>
            <w:tcBorders>
              <w:top w:val="single" w:sz="4" w:space="0" w:color="auto"/>
              <w:left w:val="single" w:sz="4" w:space="0" w:color="auto"/>
              <w:right w:val="single" w:sz="4" w:space="0" w:color="auto"/>
            </w:tcBorders>
            <w:shd w:val="clear" w:color="auto" w:fill="D9D9D9" w:themeFill="background1" w:themeFillShade="D9"/>
          </w:tcPr>
          <w:p w14:paraId="45DD26B6" w14:textId="77777777" w:rsidR="00FA3C6F" w:rsidRPr="00FB42C1" w:rsidRDefault="00FA3C6F" w:rsidP="00FB2C99">
            <w:pPr>
              <w:spacing w:after="0"/>
              <w:rPr>
                <w:rFonts w:ascii="Arial" w:hAnsi="Arial" w:cs="Arial"/>
                <w:sz w:val="16"/>
                <w:szCs w:val="16"/>
              </w:rPr>
            </w:pPr>
            <w:r w:rsidRPr="00FB42C1">
              <w:rPr>
                <w:rFonts w:ascii="Arial" w:hAnsi="Arial" w:cs="Arial"/>
                <w:sz w:val="16"/>
                <w:szCs w:val="16"/>
              </w:rPr>
              <w:t>Age</w:t>
            </w:r>
          </w:p>
        </w:tc>
        <w:tc>
          <w:tcPr>
            <w:tcW w:w="1602" w:type="dxa"/>
            <w:tcBorders>
              <w:top w:val="single" w:sz="4" w:space="0" w:color="auto"/>
              <w:left w:val="single" w:sz="4" w:space="0" w:color="auto"/>
              <w:bottom w:val="single" w:sz="4" w:space="0" w:color="auto"/>
              <w:right w:val="single" w:sz="4" w:space="0" w:color="auto"/>
            </w:tcBorders>
          </w:tcPr>
          <w:p w14:paraId="5022EF9B" w14:textId="77777777" w:rsidR="00FA3C6F" w:rsidRPr="00FB42C1" w:rsidRDefault="00FA3C6F" w:rsidP="004A5E45">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&lt;1</w:t>
            </w:r>
            <w:r>
              <w:rPr>
                <w:rFonts w:ascii="Arial" w:hAnsi="Arial" w:cs="Arial"/>
                <w:sz w:val="16"/>
                <w:szCs w:val="16"/>
              </w:rPr>
              <w:t xml:space="preserve"> y</w:t>
            </w:r>
          </w:p>
        </w:tc>
        <w:tc>
          <w:tcPr>
            <w:tcW w:w="1354" w:type="dxa"/>
            <w:tcBorders>
              <w:top w:val="single" w:sz="4" w:space="0" w:color="auto"/>
              <w:left w:val="single" w:sz="4" w:space="0" w:color="auto"/>
              <w:bottom w:val="single" w:sz="4" w:space="0" w:color="auto"/>
              <w:right w:val="single" w:sz="4" w:space="0" w:color="auto"/>
            </w:tcBorders>
          </w:tcPr>
          <w:p w14:paraId="674EDED4"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576</w:t>
            </w:r>
          </w:p>
        </w:tc>
        <w:tc>
          <w:tcPr>
            <w:tcW w:w="1110" w:type="dxa"/>
            <w:tcBorders>
              <w:top w:val="single" w:sz="4" w:space="0" w:color="auto"/>
              <w:left w:val="single" w:sz="4" w:space="0" w:color="auto"/>
              <w:bottom w:val="single" w:sz="4" w:space="0" w:color="auto"/>
              <w:right w:val="single" w:sz="4" w:space="0" w:color="auto"/>
            </w:tcBorders>
          </w:tcPr>
          <w:p w14:paraId="57C75CD5"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REF</w:t>
            </w:r>
          </w:p>
        </w:tc>
        <w:tc>
          <w:tcPr>
            <w:tcW w:w="1418" w:type="dxa"/>
            <w:tcBorders>
              <w:top w:val="single" w:sz="4" w:space="0" w:color="auto"/>
              <w:left w:val="single" w:sz="4" w:space="0" w:color="auto"/>
              <w:bottom w:val="single" w:sz="4" w:space="0" w:color="auto"/>
              <w:right w:val="single" w:sz="4" w:space="0" w:color="auto"/>
            </w:tcBorders>
          </w:tcPr>
          <w:p w14:paraId="16412DD9"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47" w:type="dxa"/>
            <w:tcBorders>
              <w:top w:val="single" w:sz="4" w:space="0" w:color="auto"/>
              <w:left w:val="single" w:sz="4" w:space="0" w:color="auto"/>
              <w:bottom w:val="single" w:sz="4" w:space="0" w:color="auto"/>
              <w:right w:val="single" w:sz="4" w:space="0" w:color="auto"/>
            </w:tcBorders>
          </w:tcPr>
          <w:p w14:paraId="5D88A8D5"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FA3C6F" w:rsidRPr="00FB42C1" w14:paraId="72F1ABA0" w14:textId="77777777" w:rsidTr="00FA3C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dxa"/>
            <w:vMerge/>
            <w:tcBorders>
              <w:left w:val="single" w:sz="4" w:space="0" w:color="auto"/>
              <w:right w:val="single" w:sz="4" w:space="0" w:color="auto"/>
            </w:tcBorders>
            <w:shd w:val="clear" w:color="auto" w:fill="D9D9D9" w:themeFill="background1" w:themeFillShade="D9"/>
          </w:tcPr>
          <w:p w14:paraId="50A4D892" w14:textId="77777777" w:rsidR="00FA3C6F" w:rsidRPr="00FB42C1" w:rsidRDefault="00FA3C6F" w:rsidP="00FB2C99">
            <w:pPr>
              <w:spacing w:after="0"/>
              <w:rPr>
                <w:rFonts w:ascii="Arial" w:hAnsi="Arial" w:cs="Arial"/>
                <w:sz w:val="16"/>
                <w:szCs w:val="16"/>
              </w:rPr>
            </w:pPr>
          </w:p>
        </w:tc>
        <w:tc>
          <w:tcPr>
            <w:tcW w:w="1602" w:type="dxa"/>
            <w:tcBorders>
              <w:top w:val="single" w:sz="4" w:space="0" w:color="auto"/>
              <w:left w:val="single" w:sz="4" w:space="0" w:color="auto"/>
              <w:bottom w:val="single" w:sz="4" w:space="0" w:color="auto"/>
              <w:right w:val="single" w:sz="4" w:space="0" w:color="auto"/>
            </w:tcBorders>
          </w:tcPr>
          <w:p w14:paraId="5F1529CF" w14:textId="77777777" w:rsidR="00FA3C6F" w:rsidRPr="00FB42C1" w:rsidRDefault="00FA3C6F" w:rsidP="004A5E45">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1-4</w:t>
            </w:r>
            <w:r>
              <w:rPr>
                <w:rFonts w:ascii="Arial" w:hAnsi="Arial" w:cs="Arial"/>
                <w:sz w:val="16"/>
                <w:szCs w:val="16"/>
              </w:rPr>
              <w:t xml:space="preserve"> </w:t>
            </w:r>
            <w:r w:rsidRPr="00FB42C1">
              <w:rPr>
                <w:rFonts w:ascii="Arial" w:hAnsi="Arial" w:cs="Arial"/>
                <w:sz w:val="16"/>
                <w:szCs w:val="16"/>
              </w:rPr>
              <w:t>y</w:t>
            </w:r>
          </w:p>
        </w:tc>
        <w:tc>
          <w:tcPr>
            <w:tcW w:w="1354" w:type="dxa"/>
            <w:tcBorders>
              <w:top w:val="single" w:sz="4" w:space="0" w:color="auto"/>
              <w:left w:val="single" w:sz="4" w:space="0" w:color="auto"/>
              <w:bottom w:val="single" w:sz="4" w:space="0" w:color="auto"/>
              <w:right w:val="single" w:sz="4" w:space="0" w:color="auto"/>
            </w:tcBorders>
          </w:tcPr>
          <w:p w14:paraId="49F1E30F"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547</w:t>
            </w:r>
          </w:p>
        </w:tc>
        <w:tc>
          <w:tcPr>
            <w:tcW w:w="1110" w:type="dxa"/>
            <w:tcBorders>
              <w:top w:val="single" w:sz="4" w:space="0" w:color="auto"/>
              <w:left w:val="single" w:sz="4" w:space="0" w:color="auto"/>
              <w:bottom w:val="single" w:sz="4" w:space="0" w:color="auto"/>
              <w:right w:val="single" w:sz="4" w:space="0" w:color="auto"/>
            </w:tcBorders>
          </w:tcPr>
          <w:p w14:paraId="5FA08FC3"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0·60</w:t>
            </w:r>
          </w:p>
        </w:tc>
        <w:tc>
          <w:tcPr>
            <w:tcW w:w="1418" w:type="dxa"/>
            <w:tcBorders>
              <w:top w:val="single" w:sz="4" w:space="0" w:color="auto"/>
              <w:left w:val="single" w:sz="4" w:space="0" w:color="auto"/>
              <w:bottom w:val="single" w:sz="4" w:space="0" w:color="auto"/>
              <w:right w:val="single" w:sz="4" w:space="0" w:color="auto"/>
            </w:tcBorders>
          </w:tcPr>
          <w:p w14:paraId="2DB81976"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0·51-0·70</w:t>
            </w:r>
          </w:p>
        </w:tc>
        <w:tc>
          <w:tcPr>
            <w:tcW w:w="1247" w:type="dxa"/>
            <w:tcBorders>
              <w:top w:val="single" w:sz="4" w:space="0" w:color="auto"/>
              <w:left w:val="single" w:sz="4" w:space="0" w:color="auto"/>
              <w:bottom w:val="single" w:sz="4" w:space="0" w:color="auto"/>
              <w:right w:val="single" w:sz="4" w:space="0" w:color="auto"/>
            </w:tcBorders>
          </w:tcPr>
          <w:p w14:paraId="0AB593BF"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&lt;0·001</w:t>
            </w:r>
          </w:p>
        </w:tc>
      </w:tr>
      <w:tr w:rsidR="00FA3C6F" w:rsidRPr="00FB42C1" w14:paraId="7DFD4825" w14:textId="77777777" w:rsidTr="00FA3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dxa"/>
            <w:vMerge/>
            <w:tcBorders>
              <w:left w:val="single" w:sz="4" w:space="0" w:color="auto"/>
              <w:right w:val="single" w:sz="4" w:space="0" w:color="auto"/>
            </w:tcBorders>
            <w:shd w:val="clear" w:color="auto" w:fill="D9D9D9" w:themeFill="background1" w:themeFillShade="D9"/>
          </w:tcPr>
          <w:p w14:paraId="3C51FD88" w14:textId="77777777" w:rsidR="00FA3C6F" w:rsidRPr="00FB42C1" w:rsidRDefault="00FA3C6F" w:rsidP="00FB2C99">
            <w:pPr>
              <w:spacing w:after="0"/>
              <w:rPr>
                <w:rFonts w:ascii="Arial" w:hAnsi="Arial" w:cs="Arial"/>
                <w:sz w:val="16"/>
                <w:szCs w:val="16"/>
              </w:rPr>
            </w:pPr>
          </w:p>
        </w:tc>
        <w:tc>
          <w:tcPr>
            <w:tcW w:w="1602" w:type="dxa"/>
            <w:tcBorders>
              <w:top w:val="single" w:sz="4" w:space="0" w:color="auto"/>
              <w:left w:val="single" w:sz="4" w:space="0" w:color="auto"/>
              <w:bottom w:val="single" w:sz="4" w:space="0" w:color="auto"/>
              <w:right w:val="single" w:sz="4" w:space="0" w:color="auto"/>
            </w:tcBorders>
          </w:tcPr>
          <w:p w14:paraId="30780D2B" w14:textId="77777777" w:rsidR="00FA3C6F" w:rsidRPr="00FB42C1" w:rsidRDefault="00FA3C6F" w:rsidP="004A5E45">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5-14</w:t>
            </w:r>
            <w:r>
              <w:rPr>
                <w:rFonts w:ascii="Arial" w:hAnsi="Arial" w:cs="Arial"/>
                <w:sz w:val="16"/>
                <w:szCs w:val="16"/>
              </w:rPr>
              <w:t xml:space="preserve"> </w:t>
            </w:r>
            <w:r w:rsidRPr="00FB42C1">
              <w:rPr>
                <w:rFonts w:ascii="Arial" w:hAnsi="Arial" w:cs="Arial"/>
                <w:sz w:val="16"/>
                <w:szCs w:val="16"/>
              </w:rPr>
              <w:t>y</w:t>
            </w:r>
          </w:p>
        </w:tc>
        <w:tc>
          <w:tcPr>
            <w:tcW w:w="1354" w:type="dxa"/>
            <w:tcBorders>
              <w:top w:val="single" w:sz="4" w:space="0" w:color="auto"/>
              <w:left w:val="single" w:sz="4" w:space="0" w:color="auto"/>
              <w:bottom w:val="single" w:sz="4" w:space="0" w:color="auto"/>
              <w:right w:val="single" w:sz="4" w:space="0" w:color="auto"/>
            </w:tcBorders>
          </w:tcPr>
          <w:p w14:paraId="089DFE65"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177</w:t>
            </w:r>
          </w:p>
        </w:tc>
        <w:tc>
          <w:tcPr>
            <w:tcW w:w="1110" w:type="dxa"/>
            <w:tcBorders>
              <w:top w:val="single" w:sz="4" w:space="0" w:color="auto"/>
              <w:left w:val="single" w:sz="4" w:space="0" w:color="auto"/>
              <w:bottom w:val="single" w:sz="4" w:space="0" w:color="auto"/>
              <w:right w:val="single" w:sz="4" w:space="0" w:color="auto"/>
            </w:tcBorders>
          </w:tcPr>
          <w:p w14:paraId="30351F04"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0·51</w:t>
            </w:r>
          </w:p>
        </w:tc>
        <w:tc>
          <w:tcPr>
            <w:tcW w:w="1418" w:type="dxa"/>
            <w:tcBorders>
              <w:top w:val="single" w:sz="4" w:space="0" w:color="auto"/>
              <w:left w:val="single" w:sz="4" w:space="0" w:color="auto"/>
              <w:bottom w:val="single" w:sz="4" w:space="0" w:color="auto"/>
              <w:right w:val="single" w:sz="4" w:space="0" w:color="auto"/>
            </w:tcBorders>
          </w:tcPr>
          <w:p w14:paraId="00F3AA62"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0·41-0·63</w:t>
            </w:r>
          </w:p>
        </w:tc>
        <w:tc>
          <w:tcPr>
            <w:tcW w:w="1247" w:type="dxa"/>
            <w:tcBorders>
              <w:top w:val="single" w:sz="4" w:space="0" w:color="auto"/>
              <w:left w:val="single" w:sz="4" w:space="0" w:color="auto"/>
              <w:bottom w:val="single" w:sz="4" w:space="0" w:color="auto"/>
              <w:right w:val="single" w:sz="4" w:space="0" w:color="auto"/>
            </w:tcBorders>
          </w:tcPr>
          <w:p w14:paraId="1EDC217C"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&lt;0·001</w:t>
            </w:r>
          </w:p>
        </w:tc>
      </w:tr>
      <w:tr w:rsidR="00FA3C6F" w:rsidRPr="00FB42C1" w14:paraId="147B5326" w14:textId="77777777" w:rsidTr="00FA3C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dxa"/>
            <w:vMerge/>
            <w:tcBorders>
              <w:left w:val="single" w:sz="4" w:space="0" w:color="auto"/>
              <w:right w:val="single" w:sz="4" w:space="0" w:color="auto"/>
            </w:tcBorders>
            <w:shd w:val="clear" w:color="auto" w:fill="D9D9D9" w:themeFill="background1" w:themeFillShade="D9"/>
          </w:tcPr>
          <w:p w14:paraId="78C59E53" w14:textId="77777777" w:rsidR="00FA3C6F" w:rsidRPr="00FB42C1" w:rsidRDefault="00FA3C6F" w:rsidP="00FB2C99">
            <w:pPr>
              <w:spacing w:after="0"/>
              <w:rPr>
                <w:rFonts w:ascii="Arial" w:hAnsi="Arial" w:cs="Arial"/>
                <w:sz w:val="16"/>
                <w:szCs w:val="16"/>
              </w:rPr>
            </w:pPr>
          </w:p>
        </w:tc>
        <w:tc>
          <w:tcPr>
            <w:tcW w:w="1602" w:type="dxa"/>
            <w:tcBorders>
              <w:top w:val="single" w:sz="4" w:space="0" w:color="auto"/>
              <w:left w:val="single" w:sz="4" w:space="0" w:color="auto"/>
              <w:bottom w:val="single" w:sz="4" w:space="0" w:color="auto"/>
              <w:right w:val="single" w:sz="4" w:space="0" w:color="auto"/>
            </w:tcBorders>
          </w:tcPr>
          <w:p w14:paraId="5057C785" w14:textId="77777777" w:rsidR="00FA3C6F" w:rsidRPr="00FB42C1" w:rsidRDefault="00FA3C6F" w:rsidP="004A5E45">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15-24</w:t>
            </w:r>
            <w:r>
              <w:rPr>
                <w:rFonts w:ascii="Arial" w:hAnsi="Arial" w:cs="Arial"/>
                <w:sz w:val="16"/>
                <w:szCs w:val="16"/>
              </w:rPr>
              <w:t xml:space="preserve"> </w:t>
            </w:r>
            <w:r w:rsidRPr="00FB42C1">
              <w:rPr>
                <w:rFonts w:ascii="Arial" w:hAnsi="Arial" w:cs="Arial"/>
                <w:sz w:val="16"/>
                <w:szCs w:val="16"/>
              </w:rPr>
              <w:t>y</w:t>
            </w:r>
          </w:p>
        </w:tc>
        <w:tc>
          <w:tcPr>
            <w:tcW w:w="1354" w:type="dxa"/>
            <w:tcBorders>
              <w:top w:val="single" w:sz="4" w:space="0" w:color="auto"/>
              <w:left w:val="single" w:sz="4" w:space="0" w:color="auto"/>
              <w:bottom w:val="single" w:sz="4" w:space="0" w:color="auto"/>
              <w:right w:val="single" w:sz="4" w:space="0" w:color="auto"/>
            </w:tcBorders>
          </w:tcPr>
          <w:p w14:paraId="528E0C69"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259</w:t>
            </w:r>
          </w:p>
        </w:tc>
        <w:tc>
          <w:tcPr>
            <w:tcW w:w="1110" w:type="dxa"/>
            <w:tcBorders>
              <w:top w:val="single" w:sz="4" w:space="0" w:color="auto"/>
              <w:left w:val="single" w:sz="4" w:space="0" w:color="auto"/>
              <w:bottom w:val="single" w:sz="4" w:space="0" w:color="auto"/>
              <w:right w:val="single" w:sz="4" w:space="0" w:color="auto"/>
            </w:tcBorders>
          </w:tcPr>
          <w:p w14:paraId="2E7F02D8"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0·55</w:t>
            </w:r>
          </w:p>
        </w:tc>
        <w:tc>
          <w:tcPr>
            <w:tcW w:w="1418" w:type="dxa"/>
            <w:tcBorders>
              <w:top w:val="single" w:sz="4" w:space="0" w:color="auto"/>
              <w:left w:val="single" w:sz="4" w:space="0" w:color="auto"/>
              <w:bottom w:val="single" w:sz="4" w:space="0" w:color="auto"/>
              <w:right w:val="single" w:sz="4" w:space="0" w:color="auto"/>
            </w:tcBorders>
          </w:tcPr>
          <w:p w14:paraId="599CE51F"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0·46-0·67</w:t>
            </w:r>
          </w:p>
        </w:tc>
        <w:tc>
          <w:tcPr>
            <w:tcW w:w="1247" w:type="dxa"/>
            <w:tcBorders>
              <w:top w:val="single" w:sz="4" w:space="0" w:color="auto"/>
              <w:left w:val="single" w:sz="4" w:space="0" w:color="auto"/>
              <w:bottom w:val="single" w:sz="4" w:space="0" w:color="auto"/>
              <w:right w:val="single" w:sz="4" w:space="0" w:color="auto"/>
            </w:tcBorders>
          </w:tcPr>
          <w:p w14:paraId="730EA921"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&lt;0·001</w:t>
            </w:r>
          </w:p>
        </w:tc>
      </w:tr>
      <w:tr w:rsidR="00FA3C6F" w:rsidRPr="00FB42C1" w14:paraId="0BC98D84" w14:textId="77777777" w:rsidTr="00FA3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dxa"/>
            <w:vMerge/>
            <w:tcBorders>
              <w:left w:val="single" w:sz="4" w:space="0" w:color="auto"/>
              <w:right w:val="single" w:sz="4" w:space="0" w:color="auto"/>
            </w:tcBorders>
            <w:shd w:val="clear" w:color="auto" w:fill="D9D9D9" w:themeFill="background1" w:themeFillShade="D9"/>
          </w:tcPr>
          <w:p w14:paraId="5A318B88" w14:textId="77777777" w:rsidR="00FA3C6F" w:rsidRPr="00FB42C1" w:rsidRDefault="00FA3C6F" w:rsidP="00FB2C99">
            <w:pPr>
              <w:spacing w:after="0"/>
              <w:rPr>
                <w:rFonts w:ascii="Arial" w:hAnsi="Arial" w:cs="Arial"/>
                <w:sz w:val="16"/>
                <w:szCs w:val="16"/>
              </w:rPr>
            </w:pPr>
          </w:p>
        </w:tc>
        <w:tc>
          <w:tcPr>
            <w:tcW w:w="1602" w:type="dxa"/>
            <w:tcBorders>
              <w:top w:val="single" w:sz="4" w:space="0" w:color="auto"/>
              <w:left w:val="single" w:sz="4" w:space="0" w:color="auto"/>
              <w:bottom w:val="single" w:sz="4" w:space="0" w:color="auto"/>
              <w:right w:val="single" w:sz="4" w:space="0" w:color="auto"/>
            </w:tcBorders>
          </w:tcPr>
          <w:p w14:paraId="39C2B91F" w14:textId="77777777" w:rsidR="00FA3C6F" w:rsidRPr="00FB42C1" w:rsidRDefault="00FA3C6F" w:rsidP="004A5E45">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25-44</w:t>
            </w:r>
            <w:r>
              <w:rPr>
                <w:rFonts w:ascii="Arial" w:hAnsi="Arial" w:cs="Arial"/>
                <w:sz w:val="16"/>
                <w:szCs w:val="16"/>
              </w:rPr>
              <w:t xml:space="preserve"> </w:t>
            </w:r>
            <w:r w:rsidRPr="00FB42C1">
              <w:rPr>
                <w:rFonts w:ascii="Arial" w:hAnsi="Arial" w:cs="Arial"/>
                <w:sz w:val="16"/>
                <w:szCs w:val="16"/>
              </w:rPr>
              <w:t>y</w:t>
            </w:r>
          </w:p>
        </w:tc>
        <w:tc>
          <w:tcPr>
            <w:tcW w:w="1354" w:type="dxa"/>
            <w:tcBorders>
              <w:top w:val="single" w:sz="4" w:space="0" w:color="auto"/>
              <w:left w:val="single" w:sz="4" w:space="0" w:color="auto"/>
              <w:bottom w:val="single" w:sz="4" w:space="0" w:color="auto"/>
              <w:right w:val="single" w:sz="4" w:space="0" w:color="auto"/>
            </w:tcBorders>
          </w:tcPr>
          <w:p w14:paraId="7E44B67F"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109</w:t>
            </w:r>
          </w:p>
        </w:tc>
        <w:tc>
          <w:tcPr>
            <w:tcW w:w="1110" w:type="dxa"/>
            <w:tcBorders>
              <w:top w:val="single" w:sz="4" w:space="0" w:color="auto"/>
              <w:left w:val="single" w:sz="4" w:space="0" w:color="auto"/>
              <w:bottom w:val="single" w:sz="4" w:space="0" w:color="auto"/>
              <w:right w:val="single" w:sz="4" w:space="0" w:color="auto"/>
            </w:tcBorders>
          </w:tcPr>
          <w:p w14:paraId="2D1A16FB"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0·65</w:t>
            </w:r>
          </w:p>
        </w:tc>
        <w:tc>
          <w:tcPr>
            <w:tcW w:w="1418" w:type="dxa"/>
            <w:tcBorders>
              <w:top w:val="single" w:sz="4" w:space="0" w:color="auto"/>
              <w:left w:val="single" w:sz="4" w:space="0" w:color="auto"/>
              <w:bottom w:val="single" w:sz="4" w:space="0" w:color="auto"/>
              <w:right w:val="single" w:sz="4" w:space="0" w:color="auto"/>
            </w:tcBorders>
          </w:tcPr>
          <w:p w14:paraId="5CF063F0"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0·49-0·85</w:t>
            </w:r>
          </w:p>
        </w:tc>
        <w:tc>
          <w:tcPr>
            <w:tcW w:w="1247" w:type="dxa"/>
            <w:tcBorders>
              <w:top w:val="single" w:sz="4" w:space="0" w:color="auto"/>
              <w:left w:val="single" w:sz="4" w:space="0" w:color="auto"/>
              <w:bottom w:val="single" w:sz="4" w:space="0" w:color="auto"/>
              <w:right w:val="single" w:sz="4" w:space="0" w:color="auto"/>
            </w:tcBorders>
          </w:tcPr>
          <w:p w14:paraId="0D36D657"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0·002</w:t>
            </w:r>
          </w:p>
        </w:tc>
      </w:tr>
      <w:tr w:rsidR="00FA3C6F" w:rsidRPr="00FB42C1" w14:paraId="0702EC37" w14:textId="77777777" w:rsidTr="00FA3C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dxa"/>
            <w:vMerge/>
            <w:tcBorders>
              <w:left w:val="single" w:sz="4" w:space="0" w:color="auto"/>
              <w:bottom w:val="single" w:sz="4" w:space="0" w:color="auto"/>
              <w:right w:val="single" w:sz="4" w:space="0" w:color="auto"/>
            </w:tcBorders>
            <w:shd w:val="clear" w:color="auto" w:fill="D9D9D9" w:themeFill="background1" w:themeFillShade="D9"/>
          </w:tcPr>
          <w:p w14:paraId="4E46C67C" w14:textId="77777777" w:rsidR="00FA3C6F" w:rsidRPr="00FB42C1" w:rsidRDefault="00FA3C6F" w:rsidP="00FB2C99">
            <w:pPr>
              <w:spacing w:after="0"/>
              <w:rPr>
                <w:rFonts w:ascii="Arial" w:hAnsi="Arial" w:cs="Arial"/>
                <w:sz w:val="16"/>
                <w:szCs w:val="16"/>
              </w:rPr>
            </w:pPr>
          </w:p>
        </w:tc>
        <w:tc>
          <w:tcPr>
            <w:tcW w:w="1602" w:type="dxa"/>
            <w:tcBorders>
              <w:top w:val="single" w:sz="4" w:space="0" w:color="auto"/>
              <w:left w:val="single" w:sz="4" w:space="0" w:color="auto"/>
              <w:bottom w:val="single" w:sz="4" w:space="0" w:color="auto"/>
              <w:right w:val="single" w:sz="4" w:space="0" w:color="auto"/>
            </w:tcBorders>
          </w:tcPr>
          <w:p w14:paraId="0C397278" w14:textId="77777777" w:rsidR="00FA3C6F" w:rsidRPr="00FB42C1" w:rsidRDefault="00FA3C6F" w:rsidP="004A5E45">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65</w:t>
            </w:r>
            <w:r>
              <w:rPr>
                <w:rFonts w:ascii="Arial" w:hAnsi="Arial" w:cs="Arial"/>
                <w:sz w:val="16"/>
                <w:szCs w:val="16"/>
              </w:rPr>
              <w:t xml:space="preserve"> </w:t>
            </w:r>
            <w:r w:rsidRPr="00FB42C1">
              <w:rPr>
                <w:rFonts w:ascii="Arial" w:hAnsi="Arial" w:cs="Arial"/>
                <w:sz w:val="16"/>
                <w:szCs w:val="16"/>
              </w:rPr>
              <w:t>y</w:t>
            </w:r>
          </w:p>
        </w:tc>
        <w:tc>
          <w:tcPr>
            <w:tcW w:w="1354" w:type="dxa"/>
            <w:tcBorders>
              <w:top w:val="single" w:sz="4" w:space="0" w:color="auto"/>
              <w:left w:val="single" w:sz="4" w:space="0" w:color="auto"/>
              <w:bottom w:val="single" w:sz="4" w:space="0" w:color="auto"/>
              <w:right w:val="single" w:sz="4" w:space="0" w:color="auto"/>
            </w:tcBorders>
          </w:tcPr>
          <w:p w14:paraId="12E91CE5"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224</w:t>
            </w:r>
          </w:p>
        </w:tc>
        <w:tc>
          <w:tcPr>
            <w:tcW w:w="1110" w:type="dxa"/>
            <w:tcBorders>
              <w:top w:val="single" w:sz="4" w:space="0" w:color="auto"/>
              <w:left w:val="single" w:sz="4" w:space="0" w:color="auto"/>
              <w:bottom w:val="single" w:sz="4" w:space="0" w:color="auto"/>
              <w:right w:val="single" w:sz="4" w:space="0" w:color="auto"/>
            </w:tcBorders>
          </w:tcPr>
          <w:p w14:paraId="1406329E"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2·37</w:t>
            </w:r>
          </w:p>
        </w:tc>
        <w:tc>
          <w:tcPr>
            <w:tcW w:w="1418" w:type="dxa"/>
            <w:tcBorders>
              <w:top w:val="single" w:sz="4" w:space="0" w:color="auto"/>
              <w:left w:val="single" w:sz="4" w:space="0" w:color="auto"/>
              <w:bottom w:val="single" w:sz="4" w:space="0" w:color="auto"/>
              <w:right w:val="single" w:sz="4" w:space="0" w:color="auto"/>
            </w:tcBorders>
          </w:tcPr>
          <w:p w14:paraId="4CD09E6E"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1·72-3·25</w:t>
            </w:r>
          </w:p>
        </w:tc>
        <w:tc>
          <w:tcPr>
            <w:tcW w:w="1247" w:type="dxa"/>
            <w:tcBorders>
              <w:top w:val="single" w:sz="4" w:space="0" w:color="auto"/>
              <w:left w:val="single" w:sz="4" w:space="0" w:color="auto"/>
              <w:bottom w:val="single" w:sz="4" w:space="0" w:color="auto"/>
              <w:right w:val="single" w:sz="4" w:space="0" w:color="auto"/>
            </w:tcBorders>
          </w:tcPr>
          <w:p w14:paraId="7A5AC34A"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&lt;0·001</w:t>
            </w:r>
          </w:p>
        </w:tc>
      </w:tr>
      <w:tr w:rsidR="00FA3C6F" w:rsidRPr="00FB42C1" w14:paraId="07481C72" w14:textId="77777777" w:rsidTr="00FA3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dxa"/>
            <w:vMerge w:val="restart"/>
            <w:tcBorders>
              <w:top w:val="single" w:sz="4" w:space="0" w:color="auto"/>
              <w:left w:val="single" w:sz="4" w:space="0" w:color="auto"/>
              <w:right w:val="single" w:sz="4" w:space="0" w:color="auto"/>
            </w:tcBorders>
            <w:shd w:val="clear" w:color="auto" w:fill="D9D9D9" w:themeFill="background1" w:themeFillShade="D9"/>
          </w:tcPr>
          <w:p w14:paraId="162CB70D" w14:textId="77777777" w:rsidR="00FA3C6F" w:rsidRPr="00FB42C1" w:rsidRDefault="00FA3C6F" w:rsidP="00FB2C99">
            <w:pPr>
              <w:spacing w:after="0"/>
              <w:rPr>
                <w:rFonts w:ascii="Arial" w:hAnsi="Arial" w:cs="Arial"/>
                <w:sz w:val="16"/>
                <w:szCs w:val="16"/>
              </w:rPr>
            </w:pPr>
            <w:r w:rsidRPr="00FB42C1">
              <w:rPr>
                <w:rFonts w:ascii="Arial" w:hAnsi="Arial" w:cs="Arial"/>
                <w:sz w:val="16"/>
                <w:szCs w:val="16"/>
              </w:rPr>
              <w:t>Presentation</w:t>
            </w:r>
          </w:p>
        </w:tc>
        <w:tc>
          <w:tcPr>
            <w:tcW w:w="1602" w:type="dxa"/>
            <w:tcBorders>
              <w:top w:val="single" w:sz="4" w:space="0" w:color="auto"/>
              <w:left w:val="single" w:sz="4" w:space="0" w:color="auto"/>
              <w:bottom w:val="single" w:sz="4" w:space="0" w:color="auto"/>
              <w:right w:val="single" w:sz="4" w:space="0" w:color="auto"/>
            </w:tcBorders>
          </w:tcPr>
          <w:p w14:paraId="4C77229F"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Meningitis  only</w:t>
            </w:r>
          </w:p>
        </w:tc>
        <w:tc>
          <w:tcPr>
            <w:tcW w:w="1354" w:type="dxa"/>
            <w:tcBorders>
              <w:top w:val="single" w:sz="4" w:space="0" w:color="auto"/>
              <w:left w:val="single" w:sz="4" w:space="0" w:color="auto"/>
              <w:bottom w:val="single" w:sz="4" w:space="0" w:color="auto"/>
              <w:right w:val="single" w:sz="4" w:space="0" w:color="auto"/>
            </w:tcBorders>
          </w:tcPr>
          <w:p w14:paraId="117810BF"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860</w:t>
            </w:r>
          </w:p>
        </w:tc>
        <w:tc>
          <w:tcPr>
            <w:tcW w:w="1110" w:type="dxa"/>
            <w:tcBorders>
              <w:top w:val="single" w:sz="4" w:space="0" w:color="auto"/>
              <w:left w:val="single" w:sz="4" w:space="0" w:color="auto"/>
              <w:bottom w:val="single" w:sz="4" w:space="0" w:color="auto"/>
              <w:right w:val="single" w:sz="4" w:space="0" w:color="auto"/>
            </w:tcBorders>
          </w:tcPr>
          <w:p w14:paraId="462720D7"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REF</w:t>
            </w:r>
          </w:p>
        </w:tc>
        <w:tc>
          <w:tcPr>
            <w:tcW w:w="1418" w:type="dxa"/>
            <w:tcBorders>
              <w:top w:val="single" w:sz="4" w:space="0" w:color="auto"/>
              <w:left w:val="single" w:sz="4" w:space="0" w:color="auto"/>
              <w:bottom w:val="single" w:sz="4" w:space="0" w:color="auto"/>
              <w:right w:val="single" w:sz="4" w:space="0" w:color="auto"/>
            </w:tcBorders>
          </w:tcPr>
          <w:p w14:paraId="6623AD72"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47" w:type="dxa"/>
            <w:tcBorders>
              <w:top w:val="single" w:sz="4" w:space="0" w:color="auto"/>
              <w:left w:val="single" w:sz="4" w:space="0" w:color="auto"/>
              <w:bottom w:val="single" w:sz="4" w:space="0" w:color="auto"/>
              <w:right w:val="single" w:sz="4" w:space="0" w:color="auto"/>
            </w:tcBorders>
          </w:tcPr>
          <w:p w14:paraId="01C1EA59"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FA3C6F" w:rsidRPr="00FB42C1" w14:paraId="68F0CD34" w14:textId="77777777" w:rsidTr="00FA3C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dxa"/>
            <w:vMerge/>
            <w:tcBorders>
              <w:left w:val="single" w:sz="4" w:space="0" w:color="auto"/>
              <w:right w:val="single" w:sz="4" w:space="0" w:color="auto"/>
            </w:tcBorders>
            <w:shd w:val="clear" w:color="auto" w:fill="D9D9D9" w:themeFill="background1" w:themeFillShade="D9"/>
          </w:tcPr>
          <w:p w14:paraId="7477F929" w14:textId="77777777" w:rsidR="00FA3C6F" w:rsidRPr="00FB42C1" w:rsidRDefault="00FA3C6F" w:rsidP="00FB2C99">
            <w:pPr>
              <w:spacing w:after="0"/>
              <w:rPr>
                <w:rFonts w:ascii="Arial" w:hAnsi="Arial" w:cs="Arial"/>
                <w:sz w:val="16"/>
                <w:szCs w:val="16"/>
              </w:rPr>
            </w:pPr>
          </w:p>
        </w:tc>
        <w:tc>
          <w:tcPr>
            <w:tcW w:w="1602" w:type="dxa"/>
            <w:tcBorders>
              <w:top w:val="single" w:sz="4" w:space="0" w:color="auto"/>
              <w:left w:val="single" w:sz="4" w:space="0" w:color="auto"/>
              <w:bottom w:val="single" w:sz="4" w:space="0" w:color="auto"/>
              <w:right w:val="single" w:sz="4" w:space="0" w:color="auto"/>
            </w:tcBorders>
          </w:tcPr>
          <w:p w14:paraId="399E901F"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Septicaemia only</w:t>
            </w:r>
          </w:p>
        </w:tc>
        <w:tc>
          <w:tcPr>
            <w:tcW w:w="1354" w:type="dxa"/>
            <w:tcBorders>
              <w:top w:val="single" w:sz="4" w:space="0" w:color="auto"/>
              <w:left w:val="single" w:sz="4" w:space="0" w:color="auto"/>
              <w:bottom w:val="single" w:sz="4" w:space="0" w:color="auto"/>
              <w:right w:val="single" w:sz="4" w:space="0" w:color="auto"/>
            </w:tcBorders>
          </w:tcPr>
          <w:p w14:paraId="130BD818"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821</w:t>
            </w:r>
          </w:p>
        </w:tc>
        <w:tc>
          <w:tcPr>
            <w:tcW w:w="1110" w:type="dxa"/>
            <w:tcBorders>
              <w:top w:val="single" w:sz="4" w:space="0" w:color="auto"/>
              <w:left w:val="single" w:sz="4" w:space="0" w:color="auto"/>
              <w:bottom w:val="single" w:sz="4" w:space="0" w:color="auto"/>
              <w:right w:val="single" w:sz="4" w:space="0" w:color="auto"/>
            </w:tcBorders>
          </w:tcPr>
          <w:p w14:paraId="486DDA99"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1·32</w:t>
            </w:r>
          </w:p>
        </w:tc>
        <w:tc>
          <w:tcPr>
            <w:tcW w:w="1418" w:type="dxa"/>
            <w:tcBorders>
              <w:top w:val="single" w:sz="4" w:space="0" w:color="auto"/>
              <w:left w:val="single" w:sz="4" w:space="0" w:color="auto"/>
              <w:bottom w:val="single" w:sz="4" w:space="0" w:color="auto"/>
              <w:right w:val="single" w:sz="4" w:space="0" w:color="auto"/>
            </w:tcBorders>
          </w:tcPr>
          <w:p w14:paraId="3967FD2B"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1·15-1·50</w:t>
            </w:r>
          </w:p>
        </w:tc>
        <w:tc>
          <w:tcPr>
            <w:tcW w:w="1247" w:type="dxa"/>
            <w:tcBorders>
              <w:top w:val="single" w:sz="4" w:space="0" w:color="auto"/>
              <w:left w:val="single" w:sz="4" w:space="0" w:color="auto"/>
              <w:bottom w:val="single" w:sz="4" w:space="0" w:color="auto"/>
              <w:right w:val="single" w:sz="4" w:space="0" w:color="auto"/>
            </w:tcBorders>
          </w:tcPr>
          <w:p w14:paraId="65682F70" w14:textId="77777777" w:rsidR="00FA3C6F" w:rsidRPr="00FB42C1" w:rsidRDefault="00FA3C6F" w:rsidP="00FB2C99">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&lt;0·001</w:t>
            </w:r>
          </w:p>
        </w:tc>
      </w:tr>
      <w:tr w:rsidR="00FA3C6F" w:rsidRPr="00FB42C1" w14:paraId="4E30E56B" w14:textId="77777777" w:rsidTr="00FA3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dxa"/>
            <w:vMerge/>
            <w:tcBorders>
              <w:left w:val="single" w:sz="4" w:space="0" w:color="auto"/>
              <w:right w:val="single" w:sz="4" w:space="0" w:color="auto"/>
            </w:tcBorders>
            <w:shd w:val="clear" w:color="auto" w:fill="D9D9D9" w:themeFill="background1" w:themeFillShade="D9"/>
          </w:tcPr>
          <w:p w14:paraId="78FD24D8" w14:textId="77777777" w:rsidR="00FA3C6F" w:rsidRPr="00FB42C1" w:rsidRDefault="00FA3C6F" w:rsidP="00FB2C99">
            <w:pPr>
              <w:spacing w:after="0"/>
              <w:rPr>
                <w:rFonts w:ascii="Arial" w:hAnsi="Arial" w:cs="Arial"/>
                <w:sz w:val="16"/>
                <w:szCs w:val="16"/>
              </w:rPr>
            </w:pPr>
          </w:p>
        </w:tc>
        <w:tc>
          <w:tcPr>
            <w:tcW w:w="1602" w:type="dxa"/>
            <w:tcBorders>
              <w:top w:val="single" w:sz="4" w:space="0" w:color="auto"/>
              <w:left w:val="single" w:sz="4" w:space="0" w:color="auto"/>
              <w:bottom w:val="single" w:sz="4" w:space="0" w:color="auto"/>
              <w:right w:val="single" w:sz="4" w:space="0" w:color="auto"/>
            </w:tcBorders>
          </w:tcPr>
          <w:p w14:paraId="227B7452"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Meningitis and Septicaemia</w:t>
            </w:r>
          </w:p>
        </w:tc>
        <w:tc>
          <w:tcPr>
            <w:tcW w:w="1354" w:type="dxa"/>
            <w:tcBorders>
              <w:top w:val="single" w:sz="4" w:space="0" w:color="auto"/>
              <w:left w:val="single" w:sz="4" w:space="0" w:color="auto"/>
              <w:bottom w:val="single" w:sz="4" w:space="0" w:color="auto"/>
              <w:right w:val="single" w:sz="4" w:space="0" w:color="auto"/>
            </w:tcBorders>
          </w:tcPr>
          <w:p w14:paraId="752A3F62"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199</w:t>
            </w:r>
          </w:p>
        </w:tc>
        <w:tc>
          <w:tcPr>
            <w:tcW w:w="1110" w:type="dxa"/>
            <w:tcBorders>
              <w:top w:val="single" w:sz="4" w:space="0" w:color="auto"/>
              <w:left w:val="single" w:sz="4" w:space="0" w:color="auto"/>
              <w:bottom w:val="single" w:sz="4" w:space="0" w:color="auto"/>
              <w:right w:val="single" w:sz="4" w:space="0" w:color="auto"/>
            </w:tcBorders>
          </w:tcPr>
          <w:p w14:paraId="70CE8B62"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1·38</w:t>
            </w:r>
          </w:p>
        </w:tc>
        <w:tc>
          <w:tcPr>
            <w:tcW w:w="1418" w:type="dxa"/>
            <w:tcBorders>
              <w:top w:val="single" w:sz="4" w:space="0" w:color="auto"/>
              <w:left w:val="single" w:sz="4" w:space="0" w:color="auto"/>
              <w:bottom w:val="single" w:sz="4" w:space="0" w:color="auto"/>
              <w:right w:val="single" w:sz="4" w:space="0" w:color="auto"/>
            </w:tcBorders>
          </w:tcPr>
          <w:p w14:paraId="3EC62750"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1·10-1·72</w:t>
            </w:r>
          </w:p>
        </w:tc>
        <w:tc>
          <w:tcPr>
            <w:tcW w:w="1247" w:type="dxa"/>
            <w:tcBorders>
              <w:top w:val="single" w:sz="4" w:space="0" w:color="auto"/>
              <w:left w:val="single" w:sz="4" w:space="0" w:color="auto"/>
              <w:bottom w:val="single" w:sz="4" w:space="0" w:color="auto"/>
              <w:right w:val="single" w:sz="4" w:space="0" w:color="auto"/>
            </w:tcBorders>
          </w:tcPr>
          <w:p w14:paraId="52DEF384" w14:textId="77777777" w:rsidR="00FA3C6F" w:rsidRPr="00FB42C1" w:rsidRDefault="00FA3C6F" w:rsidP="00FB2C9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0·005</w:t>
            </w:r>
          </w:p>
        </w:tc>
      </w:tr>
    </w:tbl>
    <w:p w14:paraId="44DE2B3D" w14:textId="77777777" w:rsidR="001F13FB" w:rsidRPr="00FB42C1" w:rsidRDefault="001F13FB" w:rsidP="001F13FB">
      <w:pPr>
        <w:pStyle w:val="Caption"/>
        <w:keepNext/>
        <w:rPr>
          <w:rFonts w:cs="Arial"/>
          <w:color w:val="auto"/>
          <w:sz w:val="16"/>
          <w:szCs w:val="16"/>
        </w:rPr>
      </w:pPr>
      <w:bookmarkStart w:id="4" w:name="_Toc428968912"/>
    </w:p>
    <w:p w14:paraId="61E74670" w14:textId="77777777" w:rsidR="003D3D6E" w:rsidRPr="00FB42C1" w:rsidRDefault="003D3D6E" w:rsidP="003D3D6E">
      <w:pPr>
        <w:rPr>
          <w:rFonts w:cs="Arial"/>
          <w:sz w:val="16"/>
          <w:szCs w:val="16"/>
        </w:rPr>
      </w:pPr>
    </w:p>
    <w:p w14:paraId="00862DD4" w14:textId="77777777" w:rsidR="003D3D6E" w:rsidRPr="00FB42C1" w:rsidRDefault="003D3D6E" w:rsidP="003D3D6E">
      <w:pPr>
        <w:rPr>
          <w:rFonts w:cs="Arial"/>
          <w:sz w:val="16"/>
          <w:szCs w:val="16"/>
        </w:rPr>
      </w:pPr>
    </w:p>
    <w:p w14:paraId="3698CA26" w14:textId="77777777" w:rsidR="00F2217A" w:rsidRDefault="00F2217A">
      <w:pPr>
        <w:spacing w:after="200" w:line="276" w:lineRule="auto"/>
        <w:rPr>
          <w:rFonts w:cs="Arial"/>
          <w:b/>
          <w:sz w:val="20"/>
          <w:szCs w:val="16"/>
        </w:rPr>
      </w:pPr>
      <w:bookmarkStart w:id="5" w:name="_Toc428967827"/>
      <w:r>
        <w:rPr>
          <w:rFonts w:cs="Arial"/>
          <w:b/>
          <w:sz w:val="20"/>
          <w:szCs w:val="16"/>
        </w:rPr>
        <w:br w:type="page"/>
      </w:r>
    </w:p>
    <w:p w14:paraId="1E8FED1F" w14:textId="0D2F6F80" w:rsidR="004A2D79" w:rsidRDefault="002E608E" w:rsidP="006302FA">
      <w:pPr>
        <w:rPr>
          <w:rFonts w:cs="Arial"/>
          <w:sz w:val="20"/>
          <w:szCs w:val="16"/>
        </w:rPr>
      </w:pPr>
      <w:r w:rsidRPr="00FB42C1">
        <w:rPr>
          <w:rFonts w:cs="Arial"/>
          <w:b/>
          <w:sz w:val="20"/>
          <w:szCs w:val="16"/>
        </w:rPr>
        <w:t>Table 3:</w:t>
      </w:r>
      <w:r w:rsidRPr="00FB42C1">
        <w:rPr>
          <w:rFonts w:cs="Arial"/>
          <w:sz w:val="20"/>
          <w:szCs w:val="16"/>
        </w:rPr>
        <w:t xml:space="preserve"> Summary of univariate analysis</w:t>
      </w:r>
      <w:bookmarkEnd w:id="5"/>
      <w:r w:rsidR="00AF4BB9">
        <w:rPr>
          <w:rFonts w:cs="Arial"/>
          <w:sz w:val="20"/>
          <w:szCs w:val="16"/>
        </w:rPr>
        <w:t xml:space="preserve"> for </w:t>
      </w:r>
      <w:r w:rsidR="00037B30">
        <w:rPr>
          <w:rFonts w:cs="Arial"/>
          <w:sz w:val="20"/>
          <w:szCs w:val="16"/>
        </w:rPr>
        <w:t>risk factors associated with death due to meningococcal disease</w:t>
      </w:r>
      <w:r w:rsidR="00AF4BB9">
        <w:rPr>
          <w:rFonts w:cs="Arial"/>
          <w:sz w:val="20"/>
          <w:szCs w:val="16"/>
        </w:rPr>
        <w:t xml:space="preserve"> in England during 2007-2011</w:t>
      </w:r>
      <w:r w:rsidR="004E3C17">
        <w:rPr>
          <w:rFonts w:cs="Arial"/>
          <w:sz w:val="20"/>
          <w:szCs w:val="16"/>
        </w:rPr>
        <w:t xml:space="preserve">. </w:t>
      </w:r>
      <w:r w:rsidR="006302FA">
        <w:rPr>
          <w:rFonts w:cs="Arial"/>
          <w:sz w:val="20"/>
          <w:szCs w:val="16"/>
        </w:rPr>
        <w:t>The median age of fatal cases (</w:t>
      </w:r>
      <w:r w:rsidR="006302FA" w:rsidRPr="006302FA">
        <w:rPr>
          <w:rFonts w:cs="Arial"/>
          <w:sz w:val="20"/>
          <w:szCs w:val="16"/>
        </w:rPr>
        <w:t>17·99</w:t>
      </w:r>
      <w:r w:rsidR="006302FA">
        <w:rPr>
          <w:rFonts w:cs="Arial"/>
          <w:sz w:val="20"/>
          <w:szCs w:val="16"/>
        </w:rPr>
        <w:t>; IQR,</w:t>
      </w:r>
      <w:r w:rsidR="006302FA" w:rsidRPr="006302FA">
        <w:rPr>
          <w:rFonts w:cs="Arial"/>
          <w:sz w:val="20"/>
          <w:szCs w:val="16"/>
        </w:rPr>
        <w:t>1·77-63·76</w:t>
      </w:r>
      <w:r w:rsidR="006302FA">
        <w:rPr>
          <w:rFonts w:cs="Arial"/>
          <w:sz w:val="20"/>
          <w:szCs w:val="16"/>
        </w:rPr>
        <w:t xml:space="preserve"> years</w:t>
      </w:r>
      <w:r w:rsidR="006302FA" w:rsidRPr="006302FA">
        <w:rPr>
          <w:rFonts w:cs="Arial"/>
          <w:sz w:val="20"/>
          <w:szCs w:val="16"/>
        </w:rPr>
        <w:t>)</w:t>
      </w:r>
      <w:r w:rsidR="006302FA">
        <w:rPr>
          <w:rFonts w:cs="Arial"/>
          <w:sz w:val="20"/>
          <w:szCs w:val="16"/>
        </w:rPr>
        <w:t xml:space="preserve"> was significantly higher than that of survivors (</w:t>
      </w:r>
      <w:r w:rsidR="006302FA" w:rsidRPr="006302FA">
        <w:rPr>
          <w:rFonts w:cs="Arial"/>
          <w:sz w:val="20"/>
          <w:szCs w:val="16"/>
        </w:rPr>
        <w:t>3·74</w:t>
      </w:r>
      <w:r w:rsidR="006302FA">
        <w:rPr>
          <w:rFonts w:cs="Arial"/>
          <w:sz w:val="20"/>
          <w:szCs w:val="16"/>
        </w:rPr>
        <w:t xml:space="preserve">; IQR, </w:t>
      </w:r>
      <w:r w:rsidR="006302FA" w:rsidRPr="006302FA">
        <w:rPr>
          <w:rFonts w:cs="Arial"/>
          <w:sz w:val="20"/>
          <w:szCs w:val="16"/>
        </w:rPr>
        <w:t>1·03-19·47</w:t>
      </w:r>
      <w:r w:rsidR="006302FA">
        <w:rPr>
          <w:rFonts w:cs="Arial"/>
          <w:sz w:val="20"/>
          <w:szCs w:val="16"/>
        </w:rPr>
        <w:t xml:space="preserve"> years; P&lt;0.0001</w:t>
      </w:r>
      <w:r w:rsidR="006302FA" w:rsidRPr="006302FA">
        <w:rPr>
          <w:rFonts w:cs="Arial"/>
          <w:sz w:val="20"/>
          <w:szCs w:val="16"/>
        </w:rPr>
        <w:t>)</w:t>
      </w:r>
    </w:p>
    <w:tbl>
      <w:tblPr>
        <w:tblStyle w:val="MediumShading11"/>
        <w:tblpPr w:leftFromText="180" w:rightFromText="180" w:vertAnchor="text" w:horzAnchor="margin"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2313"/>
        <w:gridCol w:w="1083"/>
        <w:gridCol w:w="1418"/>
        <w:gridCol w:w="1134"/>
        <w:gridCol w:w="992"/>
      </w:tblGrid>
      <w:tr w:rsidR="00A6550E" w:rsidRPr="00FB42C1" w14:paraId="52DED5B9" w14:textId="77777777" w:rsidTr="00A65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0" w:type="dxa"/>
            <w:gridSpan w:val="2"/>
            <w:tcBorders>
              <w:top w:val="single" w:sz="4" w:space="0" w:color="auto"/>
              <w:left w:val="single" w:sz="4" w:space="0" w:color="auto"/>
              <w:bottom w:val="single" w:sz="4" w:space="0" w:color="auto"/>
              <w:right w:val="single" w:sz="4" w:space="0" w:color="auto"/>
            </w:tcBorders>
          </w:tcPr>
          <w:p w14:paraId="128890FC" w14:textId="77777777" w:rsidR="00A6550E" w:rsidRPr="00FB42C1" w:rsidRDefault="00A6550E" w:rsidP="00A6550E">
            <w:pPr>
              <w:spacing w:after="0" w:line="240" w:lineRule="auto"/>
              <w:jc w:val="center"/>
              <w:rPr>
                <w:rFonts w:ascii="Arial" w:hAnsi="Arial" w:cs="Arial"/>
                <w:b w:val="0"/>
                <w:i/>
                <w:sz w:val="16"/>
                <w:szCs w:val="16"/>
              </w:rPr>
            </w:pPr>
            <w:r>
              <w:rPr>
                <w:rFonts w:ascii="Arial" w:hAnsi="Arial" w:cs="Arial"/>
                <w:b w:val="0"/>
                <w:i/>
                <w:sz w:val="16"/>
                <w:szCs w:val="16"/>
              </w:rPr>
              <w:t xml:space="preserve">        </w:t>
            </w:r>
            <w:r w:rsidRPr="00FB42C1">
              <w:rPr>
                <w:rFonts w:ascii="Arial" w:hAnsi="Arial" w:cs="Arial"/>
                <w:b w:val="0"/>
                <w:i/>
                <w:sz w:val="16"/>
                <w:szCs w:val="16"/>
              </w:rPr>
              <w:t>Variable</w:t>
            </w:r>
          </w:p>
        </w:tc>
        <w:tc>
          <w:tcPr>
            <w:tcW w:w="1083" w:type="dxa"/>
            <w:tcBorders>
              <w:top w:val="single" w:sz="4" w:space="0" w:color="auto"/>
              <w:left w:val="single" w:sz="4" w:space="0" w:color="auto"/>
              <w:bottom w:val="single" w:sz="4" w:space="0" w:color="auto"/>
              <w:right w:val="single" w:sz="4" w:space="0" w:color="auto"/>
            </w:tcBorders>
          </w:tcPr>
          <w:p w14:paraId="1C2EDB68" w14:textId="77777777" w:rsidR="00A6550E" w:rsidRPr="00C15143" w:rsidRDefault="00A6550E" w:rsidP="00A6550E">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15143">
              <w:rPr>
                <w:rFonts w:ascii="Arial" w:hAnsi="Arial" w:cs="Arial"/>
                <w:sz w:val="16"/>
                <w:szCs w:val="16"/>
              </w:rPr>
              <w:t>Total cases</w:t>
            </w:r>
          </w:p>
        </w:tc>
        <w:tc>
          <w:tcPr>
            <w:tcW w:w="1418" w:type="dxa"/>
            <w:tcBorders>
              <w:top w:val="single" w:sz="4" w:space="0" w:color="auto"/>
              <w:left w:val="single" w:sz="4" w:space="0" w:color="auto"/>
              <w:bottom w:val="single" w:sz="4" w:space="0" w:color="auto"/>
              <w:right w:val="single" w:sz="4" w:space="0" w:color="auto"/>
            </w:tcBorders>
          </w:tcPr>
          <w:p w14:paraId="4CA3DFAD" w14:textId="77777777" w:rsidR="00A6550E" w:rsidRDefault="00A6550E" w:rsidP="00A6550E">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Pr>
                <w:rFonts w:ascii="Arial" w:hAnsi="Arial" w:cs="Arial"/>
                <w:b w:val="0"/>
                <w:sz w:val="16"/>
                <w:szCs w:val="16"/>
              </w:rPr>
              <w:t>Fatal cases</w:t>
            </w:r>
          </w:p>
          <w:p w14:paraId="45C8C0D8" w14:textId="77777777" w:rsidR="00B21BFF" w:rsidRPr="00FB42C1" w:rsidRDefault="00B21BFF" w:rsidP="00A6550E">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Pr>
                <w:rFonts w:ascii="Arial" w:hAnsi="Arial" w:cs="Arial"/>
                <w:b w:val="0"/>
                <w:sz w:val="16"/>
                <w:szCs w:val="16"/>
              </w:rPr>
              <w:t>N (CFR, %)</w:t>
            </w:r>
          </w:p>
        </w:tc>
        <w:tc>
          <w:tcPr>
            <w:tcW w:w="1134" w:type="dxa"/>
            <w:tcBorders>
              <w:top w:val="single" w:sz="4" w:space="0" w:color="auto"/>
              <w:left w:val="single" w:sz="4" w:space="0" w:color="auto"/>
              <w:bottom w:val="single" w:sz="4" w:space="0" w:color="auto"/>
              <w:right w:val="single" w:sz="4" w:space="0" w:color="auto"/>
            </w:tcBorders>
          </w:tcPr>
          <w:p w14:paraId="419B05DF" w14:textId="77777777" w:rsidR="00A6550E" w:rsidRDefault="00A6550E" w:rsidP="00A6550E">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Pr>
                <w:rFonts w:ascii="Arial" w:hAnsi="Arial" w:cs="Arial"/>
                <w:b w:val="0"/>
                <w:sz w:val="16"/>
                <w:szCs w:val="16"/>
              </w:rPr>
              <w:t>Survivors</w:t>
            </w:r>
          </w:p>
          <w:p w14:paraId="733D08F6" w14:textId="77777777" w:rsidR="00B21BFF" w:rsidRPr="00FB42C1" w:rsidRDefault="00B21BFF" w:rsidP="00A6550E">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Pr>
                <w:rFonts w:ascii="Arial" w:hAnsi="Arial" w:cs="Arial"/>
                <w:b w:val="0"/>
                <w:sz w:val="16"/>
                <w:szCs w:val="16"/>
              </w:rPr>
              <w:t>N</w:t>
            </w:r>
          </w:p>
        </w:tc>
        <w:tc>
          <w:tcPr>
            <w:tcW w:w="992" w:type="dxa"/>
            <w:tcBorders>
              <w:top w:val="single" w:sz="4" w:space="0" w:color="auto"/>
              <w:left w:val="single" w:sz="4" w:space="0" w:color="auto"/>
              <w:bottom w:val="single" w:sz="4" w:space="0" w:color="auto"/>
              <w:right w:val="single" w:sz="4" w:space="0" w:color="auto"/>
            </w:tcBorders>
          </w:tcPr>
          <w:p w14:paraId="078DB41D" w14:textId="77777777" w:rsidR="00A6550E" w:rsidRPr="00FB42C1" w:rsidRDefault="00A6550E" w:rsidP="00A6550E">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FB42C1">
              <w:rPr>
                <w:rFonts w:ascii="Arial" w:hAnsi="Arial" w:cs="Arial"/>
                <w:b w:val="0"/>
                <w:sz w:val="16"/>
                <w:szCs w:val="16"/>
              </w:rPr>
              <w:t>P value</w:t>
            </w:r>
            <w:r>
              <w:rPr>
                <w:rFonts w:ascii="Arial" w:hAnsi="Arial" w:cs="Arial"/>
                <w:b w:val="0"/>
                <w:sz w:val="16"/>
                <w:szCs w:val="16"/>
              </w:rPr>
              <w:t>*</w:t>
            </w:r>
          </w:p>
          <w:p w14:paraId="624381FE" w14:textId="77777777" w:rsidR="00A6550E" w:rsidRPr="00FB42C1" w:rsidRDefault="00A6550E" w:rsidP="00A6550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tc>
      </w:tr>
      <w:tr w:rsidR="00A6550E" w:rsidRPr="00FB42C1" w14:paraId="58EBA7D0" w14:textId="77777777" w:rsidTr="00A65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val="restart"/>
            <w:tcBorders>
              <w:top w:val="single" w:sz="4" w:space="0" w:color="auto"/>
              <w:left w:val="nil"/>
              <w:bottom w:val="nil"/>
              <w:right w:val="single" w:sz="4" w:space="0" w:color="auto"/>
            </w:tcBorders>
            <w:shd w:val="clear" w:color="auto" w:fill="D9D9D9" w:themeFill="background1" w:themeFillShade="D9"/>
          </w:tcPr>
          <w:p w14:paraId="49B9FBFD" w14:textId="77777777" w:rsidR="00A6550E" w:rsidRPr="00FB42C1" w:rsidRDefault="00A6550E" w:rsidP="00A6550E">
            <w:pPr>
              <w:spacing w:after="0" w:line="240" w:lineRule="auto"/>
              <w:rPr>
                <w:rFonts w:ascii="Arial" w:hAnsi="Arial" w:cs="Arial"/>
                <w:sz w:val="16"/>
                <w:szCs w:val="16"/>
              </w:rPr>
            </w:pPr>
            <w:r w:rsidRPr="00FB42C1">
              <w:rPr>
                <w:rFonts w:ascii="Arial" w:hAnsi="Arial" w:cs="Arial"/>
                <w:sz w:val="16"/>
                <w:szCs w:val="16"/>
              </w:rPr>
              <w:t>Age group</w:t>
            </w:r>
            <w:r>
              <w:rPr>
                <w:rFonts w:ascii="Arial" w:hAnsi="Arial" w:cs="Arial"/>
                <w:sz w:val="16"/>
                <w:szCs w:val="16"/>
              </w:rPr>
              <w:t xml:space="preserve"> (years)</w:t>
            </w:r>
          </w:p>
          <w:p w14:paraId="7F04F452" w14:textId="77777777" w:rsidR="00A6550E" w:rsidRPr="00FB42C1" w:rsidRDefault="00A6550E" w:rsidP="00A6550E">
            <w:pPr>
              <w:spacing w:after="0" w:line="240" w:lineRule="auto"/>
              <w:rPr>
                <w:rFonts w:ascii="Arial" w:hAnsi="Arial" w:cs="Arial"/>
                <w:sz w:val="16"/>
                <w:szCs w:val="16"/>
              </w:rPr>
            </w:pPr>
          </w:p>
        </w:tc>
        <w:tc>
          <w:tcPr>
            <w:tcW w:w="2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DDEB4"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&lt;1</w:t>
            </w:r>
          </w:p>
        </w:tc>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59568"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1115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16D8F"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37(3·3%)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4B1F6"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1078</w:t>
            </w:r>
          </w:p>
        </w:tc>
        <w:tc>
          <w:tcPr>
            <w:tcW w:w="992" w:type="dxa"/>
            <w:vMerge w:val="restart"/>
            <w:tcBorders>
              <w:top w:val="single" w:sz="4" w:space="0" w:color="auto"/>
              <w:left w:val="single" w:sz="4" w:space="0" w:color="auto"/>
              <w:bottom w:val="nil"/>
              <w:right w:val="nil"/>
            </w:tcBorders>
            <w:shd w:val="clear" w:color="auto" w:fill="D9D9D9" w:themeFill="background1" w:themeFillShade="D9"/>
          </w:tcPr>
          <w:p w14:paraId="37ABE7E2"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FB42C1">
              <w:rPr>
                <w:rFonts w:ascii="Arial" w:hAnsi="Arial" w:cs="Arial"/>
                <w:i/>
                <w:sz w:val="16"/>
                <w:szCs w:val="16"/>
              </w:rPr>
              <w:t>&lt;0·001</w:t>
            </w:r>
          </w:p>
        </w:tc>
      </w:tr>
      <w:tr w:rsidR="00A6550E" w:rsidRPr="00FB42C1" w14:paraId="16EA4199" w14:textId="77777777" w:rsidTr="00A6550E">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957" w:type="dxa"/>
            <w:vMerge/>
            <w:tcBorders>
              <w:top w:val="nil"/>
              <w:right w:val="single" w:sz="4" w:space="0" w:color="auto"/>
            </w:tcBorders>
          </w:tcPr>
          <w:p w14:paraId="6391B7D1" w14:textId="77777777" w:rsidR="00A6550E" w:rsidRPr="00FB42C1" w:rsidRDefault="00A6550E" w:rsidP="00A6550E">
            <w:pPr>
              <w:spacing w:after="0" w:line="240" w:lineRule="auto"/>
              <w:rPr>
                <w:rFonts w:ascii="Arial" w:hAnsi="Arial" w:cs="Arial"/>
                <w:sz w:val="16"/>
                <w:szCs w:val="16"/>
              </w:rPr>
            </w:pPr>
          </w:p>
        </w:tc>
        <w:tc>
          <w:tcPr>
            <w:tcW w:w="2313" w:type="dxa"/>
            <w:tcBorders>
              <w:top w:val="nil"/>
              <w:left w:val="single" w:sz="4" w:space="0" w:color="auto"/>
              <w:right w:val="single" w:sz="4" w:space="0" w:color="auto"/>
            </w:tcBorders>
            <w:shd w:val="clear" w:color="auto" w:fill="D9D9D9" w:themeFill="background1" w:themeFillShade="D9"/>
          </w:tcPr>
          <w:p w14:paraId="6845C449"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1-4 </w:t>
            </w:r>
          </w:p>
        </w:tc>
        <w:tc>
          <w:tcPr>
            <w:tcW w:w="1083" w:type="dxa"/>
            <w:tcBorders>
              <w:top w:val="nil"/>
              <w:left w:val="single" w:sz="4" w:space="0" w:color="auto"/>
              <w:right w:val="single" w:sz="4" w:space="0" w:color="auto"/>
            </w:tcBorders>
            <w:shd w:val="clear" w:color="auto" w:fill="D9D9D9" w:themeFill="background1" w:themeFillShade="D9"/>
          </w:tcPr>
          <w:p w14:paraId="57880BEB"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1392</w:t>
            </w:r>
          </w:p>
        </w:tc>
        <w:tc>
          <w:tcPr>
            <w:tcW w:w="1418" w:type="dxa"/>
            <w:tcBorders>
              <w:top w:val="nil"/>
              <w:left w:val="single" w:sz="4" w:space="0" w:color="auto"/>
              <w:right w:val="single" w:sz="4" w:space="0" w:color="auto"/>
            </w:tcBorders>
            <w:shd w:val="clear" w:color="auto" w:fill="D9D9D9" w:themeFill="background1" w:themeFillShade="D9"/>
          </w:tcPr>
          <w:p w14:paraId="193E29B0"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42(3·0%)</w:t>
            </w:r>
          </w:p>
        </w:tc>
        <w:tc>
          <w:tcPr>
            <w:tcW w:w="1134" w:type="dxa"/>
            <w:tcBorders>
              <w:top w:val="nil"/>
              <w:left w:val="single" w:sz="4" w:space="0" w:color="auto"/>
              <w:right w:val="single" w:sz="4" w:space="0" w:color="auto"/>
            </w:tcBorders>
            <w:shd w:val="clear" w:color="auto" w:fill="D9D9D9" w:themeFill="background1" w:themeFillShade="D9"/>
          </w:tcPr>
          <w:p w14:paraId="00D20D53"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1350</w:t>
            </w:r>
          </w:p>
        </w:tc>
        <w:tc>
          <w:tcPr>
            <w:tcW w:w="992" w:type="dxa"/>
            <w:vMerge/>
            <w:tcBorders>
              <w:top w:val="nil"/>
              <w:left w:val="single" w:sz="4" w:space="0" w:color="auto"/>
            </w:tcBorders>
          </w:tcPr>
          <w:p w14:paraId="1555C81A"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A6550E" w:rsidRPr="00FB42C1" w14:paraId="37B010B8" w14:textId="77777777" w:rsidTr="00A65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tcBorders>
              <w:right w:val="single" w:sz="4" w:space="0" w:color="auto"/>
            </w:tcBorders>
          </w:tcPr>
          <w:p w14:paraId="33E359BF"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D9D9D9" w:themeFill="background1" w:themeFillShade="D9"/>
          </w:tcPr>
          <w:p w14:paraId="33F6B756"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5-14</w:t>
            </w:r>
          </w:p>
        </w:tc>
        <w:tc>
          <w:tcPr>
            <w:tcW w:w="1083" w:type="dxa"/>
            <w:tcBorders>
              <w:left w:val="single" w:sz="4" w:space="0" w:color="auto"/>
              <w:right w:val="single" w:sz="4" w:space="0" w:color="auto"/>
            </w:tcBorders>
            <w:shd w:val="clear" w:color="auto" w:fill="D9D9D9" w:themeFill="background1" w:themeFillShade="D9"/>
          </w:tcPr>
          <w:p w14:paraId="1AE43041"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490</w:t>
            </w:r>
          </w:p>
        </w:tc>
        <w:tc>
          <w:tcPr>
            <w:tcW w:w="1418" w:type="dxa"/>
            <w:tcBorders>
              <w:left w:val="single" w:sz="4" w:space="0" w:color="auto"/>
              <w:right w:val="single" w:sz="4" w:space="0" w:color="auto"/>
            </w:tcBorders>
            <w:shd w:val="clear" w:color="auto" w:fill="D9D9D9" w:themeFill="background1" w:themeFillShade="D9"/>
          </w:tcPr>
          <w:p w14:paraId="3F1BECD1"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11(2·2%)</w:t>
            </w:r>
          </w:p>
        </w:tc>
        <w:tc>
          <w:tcPr>
            <w:tcW w:w="1134" w:type="dxa"/>
            <w:tcBorders>
              <w:left w:val="single" w:sz="4" w:space="0" w:color="auto"/>
              <w:right w:val="single" w:sz="4" w:space="0" w:color="auto"/>
            </w:tcBorders>
            <w:shd w:val="clear" w:color="auto" w:fill="D9D9D9" w:themeFill="background1" w:themeFillShade="D9"/>
          </w:tcPr>
          <w:p w14:paraId="2D58DCCA"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479</w:t>
            </w:r>
          </w:p>
        </w:tc>
        <w:tc>
          <w:tcPr>
            <w:tcW w:w="992" w:type="dxa"/>
            <w:vMerge/>
            <w:tcBorders>
              <w:left w:val="single" w:sz="4" w:space="0" w:color="auto"/>
            </w:tcBorders>
          </w:tcPr>
          <w:p w14:paraId="451AFEDC"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A6550E" w:rsidRPr="00FB42C1" w14:paraId="59891E4C" w14:textId="77777777" w:rsidTr="00A655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tcBorders>
              <w:right w:val="single" w:sz="4" w:space="0" w:color="auto"/>
            </w:tcBorders>
          </w:tcPr>
          <w:p w14:paraId="787E31AA"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D9D9D9" w:themeFill="background1" w:themeFillShade="D9"/>
          </w:tcPr>
          <w:p w14:paraId="1C444A42"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15-24</w:t>
            </w:r>
          </w:p>
        </w:tc>
        <w:tc>
          <w:tcPr>
            <w:tcW w:w="1083" w:type="dxa"/>
            <w:tcBorders>
              <w:left w:val="single" w:sz="4" w:space="0" w:color="auto"/>
              <w:right w:val="single" w:sz="4" w:space="0" w:color="auto"/>
            </w:tcBorders>
            <w:shd w:val="clear" w:color="auto" w:fill="D9D9D9" w:themeFill="background1" w:themeFillShade="D9"/>
          </w:tcPr>
          <w:p w14:paraId="02E1976D"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684</w:t>
            </w:r>
          </w:p>
        </w:tc>
        <w:tc>
          <w:tcPr>
            <w:tcW w:w="1418" w:type="dxa"/>
            <w:tcBorders>
              <w:left w:val="single" w:sz="4" w:space="0" w:color="auto"/>
              <w:right w:val="single" w:sz="4" w:space="0" w:color="auto"/>
            </w:tcBorders>
            <w:shd w:val="clear" w:color="auto" w:fill="D9D9D9" w:themeFill="background1" w:themeFillShade="D9"/>
          </w:tcPr>
          <w:p w14:paraId="237AF516"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37(5·4%)</w:t>
            </w:r>
          </w:p>
        </w:tc>
        <w:tc>
          <w:tcPr>
            <w:tcW w:w="1134" w:type="dxa"/>
            <w:tcBorders>
              <w:left w:val="single" w:sz="4" w:space="0" w:color="auto"/>
              <w:right w:val="single" w:sz="4" w:space="0" w:color="auto"/>
            </w:tcBorders>
            <w:shd w:val="clear" w:color="auto" w:fill="D9D9D9" w:themeFill="background1" w:themeFillShade="D9"/>
          </w:tcPr>
          <w:p w14:paraId="3F190138"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647</w:t>
            </w:r>
          </w:p>
        </w:tc>
        <w:tc>
          <w:tcPr>
            <w:tcW w:w="992" w:type="dxa"/>
            <w:vMerge/>
            <w:tcBorders>
              <w:left w:val="single" w:sz="4" w:space="0" w:color="auto"/>
            </w:tcBorders>
          </w:tcPr>
          <w:p w14:paraId="3D50A2FA"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A6550E" w:rsidRPr="00FB42C1" w14:paraId="0E0CB02A" w14:textId="77777777" w:rsidTr="00A65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tcBorders>
              <w:right w:val="single" w:sz="4" w:space="0" w:color="auto"/>
            </w:tcBorders>
          </w:tcPr>
          <w:p w14:paraId="7C5C1C67"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D9D9D9" w:themeFill="background1" w:themeFillShade="D9"/>
          </w:tcPr>
          <w:p w14:paraId="74BA909A"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25-44</w:t>
            </w:r>
          </w:p>
        </w:tc>
        <w:tc>
          <w:tcPr>
            <w:tcW w:w="1083" w:type="dxa"/>
            <w:tcBorders>
              <w:left w:val="single" w:sz="4" w:space="0" w:color="auto"/>
              <w:right w:val="single" w:sz="4" w:space="0" w:color="auto"/>
            </w:tcBorders>
            <w:shd w:val="clear" w:color="auto" w:fill="D9D9D9" w:themeFill="background1" w:themeFillShade="D9"/>
          </w:tcPr>
          <w:p w14:paraId="344A6772"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267</w:t>
            </w:r>
          </w:p>
        </w:tc>
        <w:tc>
          <w:tcPr>
            <w:tcW w:w="1418" w:type="dxa"/>
            <w:tcBorders>
              <w:left w:val="single" w:sz="4" w:space="0" w:color="auto"/>
              <w:right w:val="single" w:sz="4" w:space="0" w:color="auto"/>
            </w:tcBorders>
            <w:shd w:val="clear" w:color="auto" w:fill="D9D9D9" w:themeFill="background1" w:themeFillShade="D9"/>
          </w:tcPr>
          <w:p w14:paraId="256F51DD"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10(3·7%)</w:t>
            </w:r>
          </w:p>
        </w:tc>
        <w:tc>
          <w:tcPr>
            <w:tcW w:w="1134" w:type="dxa"/>
            <w:tcBorders>
              <w:left w:val="single" w:sz="4" w:space="0" w:color="auto"/>
              <w:right w:val="single" w:sz="4" w:space="0" w:color="auto"/>
            </w:tcBorders>
            <w:shd w:val="clear" w:color="auto" w:fill="D9D9D9" w:themeFill="background1" w:themeFillShade="D9"/>
          </w:tcPr>
          <w:p w14:paraId="3AA44FC5"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257</w:t>
            </w:r>
          </w:p>
        </w:tc>
        <w:tc>
          <w:tcPr>
            <w:tcW w:w="992" w:type="dxa"/>
            <w:vMerge/>
            <w:tcBorders>
              <w:left w:val="single" w:sz="4" w:space="0" w:color="auto"/>
            </w:tcBorders>
          </w:tcPr>
          <w:p w14:paraId="4C951327"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A6550E" w:rsidRPr="00FB42C1" w14:paraId="54686203" w14:textId="77777777" w:rsidTr="00A655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tcBorders>
              <w:right w:val="single" w:sz="4" w:space="0" w:color="auto"/>
            </w:tcBorders>
          </w:tcPr>
          <w:p w14:paraId="17CEEB71"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D9D9D9" w:themeFill="background1" w:themeFillShade="D9"/>
          </w:tcPr>
          <w:p w14:paraId="782AF9A8"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45-64</w:t>
            </w:r>
          </w:p>
        </w:tc>
        <w:tc>
          <w:tcPr>
            <w:tcW w:w="1083" w:type="dxa"/>
            <w:tcBorders>
              <w:left w:val="single" w:sz="4" w:space="0" w:color="auto"/>
              <w:right w:val="single" w:sz="4" w:space="0" w:color="auto"/>
            </w:tcBorders>
            <w:shd w:val="clear" w:color="auto" w:fill="D9D9D9" w:themeFill="background1" w:themeFillShade="D9"/>
          </w:tcPr>
          <w:p w14:paraId="23B8974C"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387</w:t>
            </w:r>
          </w:p>
        </w:tc>
        <w:tc>
          <w:tcPr>
            <w:tcW w:w="1418" w:type="dxa"/>
            <w:tcBorders>
              <w:left w:val="single" w:sz="4" w:space="0" w:color="auto"/>
              <w:right w:val="single" w:sz="4" w:space="0" w:color="auto"/>
            </w:tcBorders>
            <w:shd w:val="clear" w:color="auto" w:fill="D9D9D9" w:themeFill="background1" w:themeFillShade="D9"/>
          </w:tcPr>
          <w:p w14:paraId="7B90FC6C"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18(4·7%)</w:t>
            </w:r>
          </w:p>
        </w:tc>
        <w:tc>
          <w:tcPr>
            <w:tcW w:w="1134" w:type="dxa"/>
            <w:tcBorders>
              <w:left w:val="single" w:sz="4" w:space="0" w:color="auto"/>
              <w:right w:val="single" w:sz="4" w:space="0" w:color="auto"/>
            </w:tcBorders>
            <w:shd w:val="clear" w:color="auto" w:fill="D9D9D9" w:themeFill="background1" w:themeFillShade="D9"/>
          </w:tcPr>
          <w:p w14:paraId="0430B5D2"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369</w:t>
            </w:r>
          </w:p>
        </w:tc>
        <w:tc>
          <w:tcPr>
            <w:tcW w:w="992" w:type="dxa"/>
            <w:vMerge/>
            <w:tcBorders>
              <w:left w:val="single" w:sz="4" w:space="0" w:color="auto"/>
            </w:tcBorders>
          </w:tcPr>
          <w:p w14:paraId="5BBBF30F"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A6550E" w:rsidRPr="00FB42C1" w14:paraId="399F72B5" w14:textId="77777777" w:rsidTr="00A6550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957" w:type="dxa"/>
            <w:vMerge/>
            <w:tcBorders>
              <w:right w:val="single" w:sz="4" w:space="0" w:color="auto"/>
            </w:tcBorders>
          </w:tcPr>
          <w:p w14:paraId="4384E595"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D9D9D9" w:themeFill="background1" w:themeFillShade="D9"/>
          </w:tcPr>
          <w:p w14:paraId="5C684C76"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65+</w:t>
            </w:r>
          </w:p>
        </w:tc>
        <w:tc>
          <w:tcPr>
            <w:tcW w:w="1083" w:type="dxa"/>
            <w:tcBorders>
              <w:left w:val="single" w:sz="4" w:space="0" w:color="auto"/>
              <w:right w:val="single" w:sz="4" w:space="0" w:color="auto"/>
            </w:tcBorders>
            <w:shd w:val="clear" w:color="auto" w:fill="D9D9D9" w:themeFill="background1" w:themeFillShade="D9"/>
          </w:tcPr>
          <w:p w14:paraId="284A21B6"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284</w:t>
            </w:r>
          </w:p>
        </w:tc>
        <w:tc>
          <w:tcPr>
            <w:tcW w:w="1418" w:type="dxa"/>
            <w:tcBorders>
              <w:left w:val="single" w:sz="4" w:space="0" w:color="auto"/>
              <w:right w:val="single" w:sz="4" w:space="0" w:color="auto"/>
            </w:tcBorders>
            <w:shd w:val="clear" w:color="auto" w:fill="D9D9D9" w:themeFill="background1" w:themeFillShade="D9"/>
          </w:tcPr>
          <w:p w14:paraId="3EFC0A99"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51 (18·0%)</w:t>
            </w:r>
          </w:p>
        </w:tc>
        <w:tc>
          <w:tcPr>
            <w:tcW w:w="1134" w:type="dxa"/>
            <w:tcBorders>
              <w:left w:val="single" w:sz="4" w:space="0" w:color="auto"/>
              <w:right w:val="single" w:sz="4" w:space="0" w:color="auto"/>
            </w:tcBorders>
            <w:shd w:val="clear" w:color="auto" w:fill="D9D9D9" w:themeFill="background1" w:themeFillShade="D9"/>
          </w:tcPr>
          <w:p w14:paraId="662F745C"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233</w:t>
            </w:r>
          </w:p>
        </w:tc>
        <w:tc>
          <w:tcPr>
            <w:tcW w:w="992" w:type="dxa"/>
            <w:vMerge/>
            <w:tcBorders>
              <w:left w:val="single" w:sz="4" w:space="0" w:color="auto"/>
            </w:tcBorders>
          </w:tcPr>
          <w:p w14:paraId="458FD306"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A6550E" w:rsidRPr="00FB42C1" w14:paraId="74E55566" w14:textId="77777777" w:rsidTr="00A655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val="restart"/>
            <w:tcBorders>
              <w:right w:val="single" w:sz="4" w:space="0" w:color="auto"/>
            </w:tcBorders>
            <w:shd w:val="clear" w:color="auto" w:fill="D9D9D9" w:themeFill="background1" w:themeFillShade="D9"/>
          </w:tcPr>
          <w:p w14:paraId="3077973D" w14:textId="77777777" w:rsidR="00A6550E" w:rsidRPr="00FB42C1" w:rsidRDefault="00A6550E" w:rsidP="00A6550E">
            <w:pPr>
              <w:spacing w:after="0" w:line="240" w:lineRule="auto"/>
              <w:rPr>
                <w:rFonts w:ascii="Arial" w:hAnsi="Arial" w:cs="Arial"/>
                <w:sz w:val="16"/>
                <w:szCs w:val="16"/>
              </w:rPr>
            </w:pPr>
            <w:r w:rsidRPr="00FB42C1">
              <w:rPr>
                <w:rFonts w:ascii="Arial" w:hAnsi="Arial" w:cs="Arial"/>
                <w:sz w:val="16"/>
                <w:szCs w:val="16"/>
              </w:rPr>
              <w:t>Capsular group</w:t>
            </w:r>
          </w:p>
          <w:p w14:paraId="76F1DB52"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D9D9D9" w:themeFill="background1" w:themeFillShade="D9"/>
          </w:tcPr>
          <w:p w14:paraId="3777C2AA"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083" w:type="dxa"/>
            <w:tcBorders>
              <w:left w:val="single" w:sz="4" w:space="0" w:color="auto"/>
              <w:right w:val="single" w:sz="4" w:space="0" w:color="auto"/>
            </w:tcBorders>
            <w:shd w:val="clear" w:color="auto" w:fill="D9D9D9" w:themeFill="background1" w:themeFillShade="D9"/>
          </w:tcPr>
          <w:p w14:paraId="0873C090"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4034</w:t>
            </w:r>
          </w:p>
        </w:tc>
        <w:tc>
          <w:tcPr>
            <w:tcW w:w="1418" w:type="dxa"/>
            <w:tcBorders>
              <w:left w:val="single" w:sz="4" w:space="0" w:color="auto"/>
              <w:right w:val="single" w:sz="4" w:space="0" w:color="auto"/>
            </w:tcBorders>
            <w:shd w:val="clear" w:color="auto" w:fill="D9D9D9" w:themeFill="background1" w:themeFillShade="D9"/>
          </w:tcPr>
          <w:p w14:paraId="5BAF0EC1"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168(4·2%)</w:t>
            </w:r>
          </w:p>
        </w:tc>
        <w:tc>
          <w:tcPr>
            <w:tcW w:w="1134" w:type="dxa"/>
            <w:tcBorders>
              <w:left w:val="single" w:sz="4" w:space="0" w:color="auto"/>
              <w:right w:val="single" w:sz="4" w:space="0" w:color="auto"/>
            </w:tcBorders>
            <w:shd w:val="clear" w:color="auto" w:fill="D9D9D9" w:themeFill="background1" w:themeFillShade="D9"/>
          </w:tcPr>
          <w:p w14:paraId="65D5F606"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3866</w:t>
            </w:r>
          </w:p>
        </w:tc>
        <w:tc>
          <w:tcPr>
            <w:tcW w:w="992" w:type="dxa"/>
            <w:vMerge w:val="restart"/>
            <w:tcBorders>
              <w:left w:val="single" w:sz="4" w:space="0" w:color="auto"/>
            </w:tcBorders>
            <w:shd w:val="clear" w:color="auto" w:fill="D9D9D9" w:themeFill="background1" w:themeFillShade="D9"/>
          </w:tcPr>
          <w:p w14:paraId="5C4C444E"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i/>
                <w:sz w:val="16"/>
                <w:szCs w:val="16"/>
              </w:rPr>
            </w:pPr>
            <w:r w:rsidRPr="00FB42C1">
              <w:rPr>
                <w:rFonts w:ascii="Arial" w:hAnsi="Arial" w:cs="Arial"/>
                <w:i/>
                <w:sz w:val="16"/>
                <w:szCs w:val="16"/>
              </w:rPr>
              <w:t>&lt;0·001</w:t>
            </w:r>
          </w:p>
        </w:tc>
      </w:tr>
      <w:tr w:rsidR="00A6550E" w:rsidRPr="00FB42C1" w14:paraId="5F699042" w14:textId="77777777" w:rsidTr="00A65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tcBorders>
              <w:right w:val="single" w:sz="4" w:space="0" w:color="auto"/>
            </w:tcBorders>
          </w:tcPr>
          <w:p w14:paraId="1D0A2DEE"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D9D9D9" w:themeFill="background1" w:themeFillShade="D9"/>
          </w:tcPr>
          <w:p w14:paraId="2A90D150"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083" w:type="dxa"/>
            <w:tcBorders>
              <w:left w:val="single" w:sz="4" w:space="0" w:color="auto"/>
              <w:right w:val="single" w:sz="4" w:space="0" w:color="auto"/>
            </w:tcBorders>
            <w:shd w:val="clear" w:color="auto" w:fill="D9D9D9" w:themeFill="background1" w:themeFillShade="D9"/>
          </w:tcPr>
          <w:p w14:paraId="10BAB957"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87</w:t>
            </w:r>
          </w:p>
        </w:tc>
        <w:tc>
          <w:tcPr>
            <w:tcW w:w="1418" w:type="dxa"/>
            <w:tcBorders>
              <w:left w:val="single" w:sz="4" w:space="0" w:color="auto"/>
              <w:right w:val="single" w:sz="4" w:space="0" w:color="auto"/>
            </w:tcBorders>
            <w:shd w:val="clear" w:color="auto" w:fill="D9D9D9" w:themeFill="background1" w:themeFillShade="D9"/>
          </w:tcPr>
          <w:p w14:paraId="6664F8D3"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3(3·4%)</w:t>
            </w:r>
          </w:p>
        </w:tc>
        <w:tc>
          <w:tcPr>
            <w:tcW w:w="1134" w:type="dxa"/>
            <w:tcBorders>
              <w:left w:val="single" w:sz="4" w:space="0" w:color="auto"/>
              <w:right w:val="single" w:sz="4" w:space="0" w:color="auto"/>
            </w:tcBorders>
            <w:shd w:val="clear" w:color="auto" w:fill="D9D9D9" w:themeFill="background1" w:themeFillShade="D9"/>
          </w:tcPr>
          <w:p w14:paraId="4AAA95A9"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84</w:t>
            </w:r>
          </w:p>
        </w:tc>
        <w:tc>
          <w:tcPr>
            <w:tcW w:w="992" w:type="dxa"/>
            <w:vMerge/>
            <w:tcBorders>
              <w:left w:val="single" w:sz="4" w:space="0" w:color="auto"/>
            </w:tcBorders>
          </w:tcPr>
          <w:p w14:paraId="0D3C5A86"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A6550E" w:rsidRPr="00FB42C1" w14:paraId="11E6A2C9" w14:textId="77777777" w:rsidTr="00A655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tcBorders>
              <w:right w:val="single" w:sz="4" w:space="0" w:color="auto"/>
            </w:tcBorders>
          </w:tcPr>
          <w:p w14:paraId="6FD01C0D"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D9D9D9" w:themeFill="background1" w:themeFillShade="D9"/>
          </w:tcPr>
          <w:p w14:paraId="1DD10407"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083" w:type="dxa"/>
            <w:tcBorders>
              <w:left w:val="single" w:sz="4" w:space="0" w:color="auto"/>
              <w:right w:val="single" w:sz="4" w:space="0" w:color="auto"/>
            </w:tcBorders>
            <w:shd w:val="clear" w:color="auto" w:fill="D9D9D9" w:themeFill="background1" w:themeFillShade="D9"/>
          </w:tcPr>
          <w:p w14:paraId="76944A32"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105</w:t>
            </w:r>
          </w:p>
        </w:tc>
        <w:tc>
          <w:tcPr>
            <w:tcW w:w="1418" w:type="dxa"/>
            <w:tcBorders>
              <w:left w:val="single" w:sz="4" w:space="0" w:color="auto"/>
              <w:right w:val="single" w:sz="4" w:space="0" w:color="auto"/>
            </w:tcBorders>
            <w:shd w:val="clear" w:color="auto" w:fill="D9D9D9" w:themeFill="background1" w:themeFillShade="D9"/>
          </w:tcPr>
          <w:p w14:paraId="31EF4F36"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10(9·5%)</w:t>
            </w:r>
          </w:p>
        </w:tc>
        <w:tc>
          <w:tcPr>
            <w:tcW w:w="1134" w:type="dxa"/>
            <w:tcBorders>
              <w:left w:val="single" w:sz="4" w:space="0" w:color="auto"/>
              <w:right w:val="single" w:sz="4" w:space="0" w:color="auto"/>
            </w:tcBorders>
            <w:shd w:val="clear" w:color="auto" w:fill="D9D9D9" w:themeFill="background1" w:themeFillShade="D9"/>
          </w:tcPr>
          <w:p w14:paraId="44BE8596"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95</w:t>
            </w:r>
          </w:p>
        </w:tc>
        <w:tc>
          <w:tcPr>
            <w:tcW w:w="992" w:type="dxa"/>
            <w:vMerge/>
            <w:tcBorders>
              <w:left w:val="single" w:sz="4" w:space="0" w:color="auto"/>
            </w:tcBorders>
          </w:tcPr>
          <w:p w14:paraId="5C17A375"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A6550E" w:rsidRPr="00FB42C1" w14:paraId="1F2A6FD4" w14:textId="77777777" w:rsidTr="00A65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tcBorders>
              <w:right w:val="single" w:sz="4" w:space="0" w:color="auto"/>
            </w:tcBorders>
          </w:tcPr>
          <w:p w14:paraId="57FFC658"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D9D9D9" w:themeFill="background1" w:themeFillShade="D9"/>
          </w:tcPr>
          <w:p w14:paraId="0A690932"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083" w:type="dxa"/>
            <w:tcBorders>
              <w:left w:val="single" w:sz="4" w:space="0" w:color="auto"/>
              <w:right w:val="single" w:sz="4" w:space="0" w:color="auto"/>
            </w:tcBorders>
            <w:shd w:val="clear" w:color="auto" w:fill="D9D9D9" w:themeFill="background1" w:themeFillShade="D9"/>
          </w:tcPr>
          <w:p w14:paraId="7A9273DD"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242</w:t>
            </w:r>
          </w:p>
        </w:tc>
        <w:tc>
          <w:tcPr>
            <w:tcW w:w="1418" w:type="dxa"/>
            <w:tcBorders>
              <w:left w:val="single" w:sz="4" w:space="0" w:color="auto"/>
              <w:right w:val="single" w:sz="4" w:space="0" w:color="auto"/>
            </w:tcBorders>
            <w:shd w:val="clear" w:color="auto" w:fill="D9D9D9" w:themeFill="background1" w:themeFillShade="D9"/>
          </w:tcPr>
          <w:p w14:paraId="5F73E809"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24(9·9%)</w:t>
            </w:r>
          </w:p>
        </w:tc>
        <w:tc>
          <w:tcPr>
            <w:tcW w:w="1134" w:type="dxa"/>
            <w:tcBorders>
              <w:left w:val="single" w:sz="4" w:space="0" w:color="auto"/>
              <w:right w:val="single" w:sz="4" w:space="0" w:color="auto"/>
            </w:tcBorders>
            <w:shd w:val="clear" w:color="auto" w:fill="D9D9D9" w:themeFill="background1" w:themeFillShade="D9"/>
          </w:tcPr>
          <w:p w14:paraId="7C9979C2"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218</w:t>
            </w:r>
          </w:p>
        </w:tc>
        <w:tc>
          <w:tcPr>
            <w:tcW w:w="992" w:type="dxa"/>
            <w:vMerge/>
            <w:tcBorders>
              <w:left w:val="single" w:sz="4" w:space="0" w:color="auto"/>
            </w:tcBorders>
          </w:tcPr>
          <w:p w14:paraId="26E0F52C"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A6550E" w:rsidRPr="00FB42C1" w14:paraId="7BE7B0C9" w14:textId="77777777" w:rsidTr="00A655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tcBorders>
              <w:right w:val="single" w:sz="4" w:space="0" w:color="auto"/>
            </w:tcBorders>
          </w:tcPr>
          <w:p w14:paraId="3A10DF7F"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D9D9D9" w:themeFill="background1" w:themeFillShade="D9"/>
          </w:tcPr>
          <w:p w14:paraId="345AEFEB"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083" w:type="dxa"/>
            <w:tcBorders>
              <w:left w:val="single" w:sz="4" w:space="0" w:color="auto"/>
              <w:right w:val="single" w:sz="4" w:space="0" w:color="auto"/>
            </w:tcBorders>
            <w:shd w:val="clear" w:color="auto" w:fill="D9D9D9" w:themeFill="background1" w:themeFillShade="D9"/>
          </w:tcPr>
          <w:p w14:paraId="1FB2C99D"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151</w:t>
            </w:r>
          </w:p>
        </w:tc>
        <w:tc>
          <w:tcPr>
            <w:tcW w:w="1418" w:type="dxa"/>
            <w:tcBorders>
              <w:left w:val="single" w:sz="4" w:space="0" w:color="auto"/>
              <w:right w:val="single" w:sz="4" w:space="0" w:color="auto"/>
            </w:tcBorders>
            <w:shd w:val="clear" w:color="auto" w:fill="D9D9D9" w:themeFill="background1" w:themeFillShade="D9"/>
          </w:tcPr>
          <w:p w14:paraId="28ED4B34"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1(0·7%)</w:t>
            </w:r>
          </w:p>
        </w:tc>
        <w:tc>
          <w:tcPr>
            <w:tcW w:w="1134" w:type="dxa"/>
            <w:tcBorders>
              <w:left w:val="single" w:sz="4" w:space="0" w:color="auto"/>
              <w:right w:val="single" w:sz="4" w:space="0" w:color="auto"/>
            </w:tcBorders>
            <w:shd w:val="clear" w:color="auto" w:fill="D9D9D9" w:themeFill="background1" w:themeFillShade="D9"/>
          </w:tcPr>
          <w:p w14:paraId="326AC217"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150</w:t>
            </w:r>
          </w:p>
        </w:tc>
        <w:tc>
          <w:tcPr>
            <w:tcW w:w="992" w:type="dxa"/>
            <w:vMerge/>
            <w:tcBorders>
              <w:left w:val="single" w:sz="4" w:space="0" w:color="auto"/>
            </w:tcBorders>
          </w:tcPr>
          <w:p w14:paraId="44A4A8AC"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A6550E" w:rsidRPr="00FB42C1" w14:paraId="5A746CF2" w14:textId="77777777" w:rsidTr="00A65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val="restart"/>
            <w:tcBorders>
              <w:right w:val="single" w:sz="4" w:space="0" w:color="auto"/>
            </w:tcBorders>
            <w:shd w:val="clear" w:color="auto" w:fill="FFFFFF" w:themeFill="background1"/>
          </w:tcPr>
          <w:p w14:paraId="02761B37" w14:textId="77777777" w:rsidR="00A6550E" w:rsidRPr="00FB42C1" w:rsidRDefault="00A6550E" w:rsidP="00A6550E">
            <w:pPr>
              <w:spacing w:after="0" w:line="240" w:lineRule="auto"/>
              <w:rPr>
                <w:rFonts w:ascii="Arial" w:hAnsi="Arial" w:cs="Arial"/>
                <w:sz w:val="16"/>
                <w:szCs w:val="16"/>
              </w:rPr>
            </w:pPr>
            <w:r w:rsidRPr="00FB42C1">
              <w:rPr>
                <w:rFonts w:ascii="Arial" w:hAnsi="Arial" w:cs="Arial"/>
                <w:sz w:val="16"/>
                <w:szCs w:val="16"/>
              </w:rPr>
              <w:t>Diagnostic confirmation method</w:t>
            </w:r>
          </w:p>
        </w:tc>
        <w:tc>
          <w:tcPr>
            <w:tcW w:w="2313" w:type="dxa"/>
            <w:tcBorders>
              <w:left w:val="single" w:sz="4" w:space="0" w:color="auto"/>
              <w:right w:val="single" w:sz="4" w:space="0" w:color="auto"/>
            </w:tcBorders>
            <w:shd w:val="clear" w:color="auto" w:fill="FFFFFF" w:themeFill="background1"/>
          </w:tcPr>
          <w:p w14:paraId="07FEBAC4"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Culture &amp; PCR</w:t>
            </w:r>
          </w:p>
        </w:tc>
        <w:tc>
          <w:tcPr>
            <w:tcW w:w="1083" w:type="dxa"/>
            <w:tcBorders>
              <w:left w:val="single" w:sz="4" w:space="0" w:color="auto"/>
              <w:right w:val="single" w:sz="4" w:space="0" w:color="auto"/>
            </w:tcBorders>
            <w:shd w:val="clear" w:color="auto" w:fill="FFFFFF" w:themeFill="background1"/>
          </w:tcPr>
          <w:p w14:paraId="524FA402"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1035</w:t>
            </w:r>
          </w:p>
        </w:tc>
        <w:tc>
          <w:tcPr>
            <w:tcW w:w="1418" w:type="dxa"/>
            <w:tcBorders>
              <w:left w:val="single" w:sz="4" w:space="0" w:color="auto"/>
              <w:right w:val="single" w:sz="4" w:space="0" w:color="auto"/>
            </w:tcBorders>
            <w:shd w:val="clear" w:color="auto" w:fill="FFFFFF" w:themeFill="background1"/>
          </w:tcPr>
          <w:p w14:paraId="5453B10A"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52(5·0%)</w:t>
            </w:r>
          </w:p>
        </w:tc>
        <w:tc>
          <w:tcPr>
            <w:tcW w:w="1134" w:type="dxa"/>
            <w:tcBorders>
              <w:left w:val="single" w:sz="4" w:space="0" w:color="auto"/>
              <w:right w:val="single" w:sz="4" w:space="0" w:color="auto"/>
            </w:tcBorders>
            <w:shd w:val="clear" w:color="auto" w:fill="FFFFFF" w:themeFill="background1"/>
          </w:tcPr>
          <w:p w14:paraId="29BBB2C3"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983</w:t>
            </w:r>
          </w:p>
        </w:tc>
        <w:tc>
          <w:tcPr>
            <w:tcW w:w="992" w:type="dxa"/>
            <w:vMerge w:val="restart"/>
            <w:tcBorders>
              <w:left w:val="single" w:sz="4" w:space="0" w:color="auto"/>
            </w:tcBorders>
            <w:shd w:val="clear" w:color="auto" w:fill="FFFFFF" w:themeFill="background1"/>
          </w:tcPr>
          <w:p w14:paraId="20C5AC6C"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FB42C1">
              <w:rPr>
                <w:rFonts w:ascii="Arial" w:hAnsi="Arial" w:cs="Arial"/>
                <w:i/>
                <w:sz w:val="16"/>
                <w:szCs w:val="16"/>
              </w:rPr>
              <w:t>&lt;0·001</w:t>
            </w:r>
          </w:p>
        </w:tc>
      </w:tr>
      <w:tr w:rsidR="00A6550E" w:rsidRPr="00FB42C1" w14:paraId="655873B9" w14:textId="77777777" w:rsidTr="00A655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tcBorders>
              <w:right w:val="single" w:sz="4" w:space="0" w:color="auto"/>
            </w:tcBorders>
            <w:shd w:val="clear" w:color="auto" w:fill="FFFFFF" w:themeFill="background1"/>
          </w:tcPr>
          <w:p w14:paraId="3F846538"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FFFFFF" w:themeFill="background1"/>
          </w:tcPr>
          <w:p w14:paraId="552BDEFF"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Culture only</w:t>
            </w:r>
          </w:p>
        </w:tc>
        <w:tc>
          <w:tcPr>
            <w:tcW w:w="1083" w:type="dxa"/>
            <w:tcBorders>
              <w:left w:val="single" w:sz="4" w:space="0" w:color="auto"/>
              <w:right w:val="single" w:sz="4" w:space="0" w:color="auto"/>
            </w:tcBorders>
            <w:shd w:val="clear" w:color="auto" w:fill="FFFFFF" w:themeFill="background1"/>
          </w:tcPr>
          <w:p w14:paraId="0F16CBAF"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1058</w:t>
            </w:r>
          </w:p>
        </w:tc>
        <w:tc>
          <w:tcPr>
            <w:tcW w:w="1418" w:type="dxa"/>
            <w:tcBorders>
              <w:left w:val="single" w:sz="4" w:space="0" w:color="auto"/>
              <w:right w:val="single" w:sz="4" w:space="0" w:color="auto"/>
            </w:tcBorders>
            <w:shd w:val="clear" w:color="auto" w:fill="FFFFFF" w:themeFill="background1"/>
          </w:tcPr>
          <w:p w14:paraId="7890B364"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73(6·9%)</w:t>
            </w:r>
          </w:p>
        </w:tc>
        <w:tc>
          <w:tcPr>
            <w:tcW w:w="1134" w:type="dxa"/>
            <w:tcBorders>
              <w:left w:val="single" w:sz="4" w:space="0" w:color="auto"/>
              <w:right w:val="single" w:sz="4" w:space="0" w:color="auto"/>
            </w:tcBorders>
            <w:shd w:val="clear" w:color="auto" w:fill="FFFFFF" w:themeFill="background1"/>
          </w:tcPr>
          <w:p w14:paraId="623EF3B8"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985</w:t>
            </w:r>
          </w:p>
        </w:tc>
        <w:tc>
          <w:tcPr>
            <w:tcW w:w="992" w:type="dxa"/>
            <w:vMerge/>
            <w:tcBorders>
              <w:left w:val="single" w:sz="4" w:space="0" w:color="auto"/>
            </w:tcBorders>
            <w:shd w:val="clear" w:color="auto" w:fill="FFFFFF" w:themeFill="background1"/>
          </w:tcPr>
          <w:p w14:paraId="2418C55E"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i/>
                <w:sz w:val="16"/>
                <w:szCs w:val="16"/>
              </w:rPr>
            </w:pPr>
          </w:p>
        </w:tc>
      </w:tr>
      <w:tr w:rsidR="00A6550E" w:rsidRPr="00FB42C1" w14:paraId="17AA45C6" w14:textId="77777777" w:rsidTr="00A65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tcBorders>
              <w:right w:val="single" w:sz="4" w:space="0" w:color="auto"/>
            </w:tcBorders>
            <w:shd w:val="clear" w:color="auto" w:fill="FFFFFF" w:themeFill="background1"/>
          </w:tcPr>
          <w:p w14:paraId="0D5C727A"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FFFFFF" w:themeFill="background1"/>
          </w:tcPr>
          <w:p w14:paraId="2EA065DF"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PCR only</w:t>
            </w:r>
          </w:p>
        </w:tc>
        <w:tc>
          <w:tcPr>
            <w:tcW w:w="1083" w:type="dxa"/>
            <w:tcBorders>
              <w:left w:val="single" w:sz="4" w:space="0" w:color="auto"/>
              <w:right w:val="single" w:sz="4" w:space="0" w:color="auto"/>
            </w:tcBorders>
            <w:shd w:val="clear" w:color="auto" w:fill="FFFFFF" w:themeFill="background1"/>
          </w:tcPr>
          <w:p w14:paraId="5A70F4A7"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2526</w:t>
            </w:r>
          </w:p>
        </w:tc>
        <w:tc>
          <w:tcPr>
            <w:tcW w:w="1418" w:type="dxa"/>
            <w:tcBorders>
              <w:left w:val="single" w:sz="4" w:space="0" w:color="auto"/>
              <w:right w:val="single" w:sz="4" w:space="0" w:color="auto"/>
            </w:tcBorders>
            <w:shd w:val="clear" w:color="auto" w:fill="FFFFFF" w:themeFill="background1"/>
          </w:tcPr>
          <w:p w14:paraId="3A667FF0"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81(3·2%)</w:t>
            </w:r>
          </w:p>
        </w:tc>
        <w:tc>
          <w:tcPr>
            <w:tcW w:w="1134" w:type="dxa"/>
            <w:tcBorders>
              <w:left w:val="single" w:sz="4" w:space="0" w:color="auto"/>
              <w:right w:val="single" w:sz="4" w:space="0" w:color="auto"/>
            </w:tcBorders>
            <w:shd w:val="clear" w:color="auto" w:fill="FFFFFF" w:themeFill="background1"/>
          </w:tcPr>
          <w:p w14:paraId="0946E8CA"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2445</w:t>
            </w:r>
          </w:p>
        </w:tc>
        <w:tc>
          <w:tcPr>
            <w:tcW w:w="992" w:type="dxa"/>
            <w:vMerge/>
            <w:tcBorders>
              <w:left w:val="single" w:sz="4" w:space="0" w:color="auto"/>
            </w:tcBorders>
            <w:shd w:val="clear" w:color="auto" w:fill="FFFFFF" w:themeFill="background1"/>
          </w:tcPr>
          <w:p w14:paraId="005D559E"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p>
        </w:tc>
      </w:tr>
      <w:tr w:rsidR="00A6550E" w:rsidRPr="00FB42C1" w14:paraId="53C70F12" w14:textId="77777777" w:rsidTr="00A655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tcBorders>
              <w:right w:val="single" w:sz="4" w:space="0" w:color="auto"/>
            </w:tcBorders>
            <w:shd w:val="clear" w:color="auto" w:fill="FFFFFF" w:themeFill="background1"/>
          </w:tcPr>
          <w:p w14:paraId="7A437952"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FFFFFF" w:themeFill="background1"/>
          </w:tcPr>
          <w:p w14:paraId="0992366F"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Any culture vs </w:t>
            </w:r>
          </w:p>
          <w:p w14:paraId="493EFEBD"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no culture</w:t>
            </w:r>
          </w:p>
        </w:tc>
        <w:tc>
          <w:tcPr>
            <w:tcW w:w="1083" w:type="dxa"/>
            <w:tcBorders>
              <w:left w:val="single" w:sz="4" w:space="0" w:color="auto"/>
              <w:right w:val="single" w:sz="4" w:space="0" w:color="auto"/>
            </w:tcBorders>
            <w:shd w:val="clear" w:color="auto" w:fill="FFFFFF" w:themeFill="background1"/>
          </w:tcPr>
          <w:p w14:paraId="10BF7E44" w14:textId="77777777" w:rsidR="00A6550E"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2093</w:t>
            </w:r>
          </w:p>
          <w:p w14:paraId="1D5BB5DF"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2526</w:t>
            </w:r>
          </w:p>
        </w:tc>
        <w:tc>
          <w:tcPr>
            <w:tcW w:w="1418" w:type="dxa"/>
            <w:tcBorders>
              <w:left w:val="single" w:sz="4" w:space="0" w:color="auto"/>
              <w:right w:val="single" w:sz="4" w:space="0" w:color="auto"/>
            </w:tcBorders>
            <w:shd w:val="clear" w:color="auto" w:fill="FFFFFF" w:themeFill="background1"/>
          </w:tcPr>
          <w:p w14:paraId="625CE435"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125(6·0%), 81(3.2%)</w:t>
            </w:r>
          </w:p>
        </w:tc>
        <w:tc>
          <w:tcPr>
            <w:tcW w:w="1134" w:type="dxa"/>
            <w:tcBorders>
              <w:left w:val="single" w:sz="4" w:space="0" w:color="auto"/>
              <w:right w:val="single" w:sz="4" w:space="0" w:color="auto"/>
            </w:tcBorders>
            <w:shd w:val="clear" w:color="auto" w:fill="FFFFFF" w:themeFill="background1"/>
          </w:tcPr>
          <w:p w14:paraId="20ABA7F0"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1968</w:t>
            </w:r>
          </w:p>
          <w:p w14:paraId="74565E21"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2445</w:t>
            </w:r>
          </w:p>
        </w:tc>
        <w:tc>
          <w:tcPr>
            <w:tcW w:w="992" w:type="dxa"/>
            <w:tcBorders>
              <w:left w:val="single" w:sz="4" w:space="0" w:color="auto"/>
            </w:tcBorders>
            <w:shd w:val="clear" w:color="auto" w:fill="FFFFFF" w:themeFill="background1"/>
          </w:tcPr>
          <w:p w14:paraId="3065FDD1"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i/>
                <w:sz w:val="16"/>
                <w:szCs w:val="16"/>
              </w:rPr>
            </w:pPr>
            <w:r w:rsidRPr="00FB42C1">
              <w:rPr>
                <w:rFonts w:ascii="Arial" w:hAnsi="Arial" w:cs="Arial"/>
                <w:i/>
                <w:sz w:val="16"/>
                <w:szCs w:val="16"/>
              </w:rPr>
              <w:t>&lt;0·001</w:t>
            </w:r>
          </w:p>
        </w:tc>
      </w:tr>
      <w:tr w:rsidR="00A6550E" w:rsidRPr="00FB42C1" w14:paraId="761B5F00" w14:textId="77777777" w:rsidTr="00A65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tcBorders>
              <w:right w:val="single" w:sz="4" w:space="0" w:color="auto"/>
            </w:tcBorders>
            <w:shd w:val="clear" w:color="auto" w:fill="FFFFFF" w:themeFill="background1"/>
          </w:tcPr>
          <w:p w14:paraId="1699FEB5"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FFFFFF" w:themeFill="background1"/>
          </w:tcPr>
          <w:p w14:paraId="2CCD1F13"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Any PCR vs </w:t>
            </w:r>
          </w:p>
          <w:p w14:paraId="542DF404"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no PCR</w:t>
            </w:r>
          </w:p>
        </w:tc>
        <w:tc>
          <w:tcPr>
            <w:tcW w:w="1083" w:type="dxa"/>
            <w:tcBorders>
              <w:left w:val="single" w:sz="4" w:space="0" w:color="auto"/>
              <w:right w:val="single" w:sz="4" w:space="0" w:color="auto"/>
            </w:tcBorders>
            <w:shd w:val="clear" w:color="auto" w:fill="FFFFFF" w:themeFill="background1"/>
          </w:tcPr>
          <w:p w14:paraId="01F72EAD" w14:textId="77777777" w:rsidR="00A6550E"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2561</w:t>
            </w:r>
          </w:p>
          <w:p w14:paraId="02C64193"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1058</w:t>
            </w:r>
          </w:p>
        </w:tc>
        <w:tc>
          <w:tcPr>
            <w:tcW w:w="1418" w:type="dxa"/>
            <w:tcBorders>
              <w:left w:val="single" w:sz="4" w:space="0" w:color="auto"/>
              <w:right w:val="single" w:sz="4" w:space="0" w:color="auto"/>
            </w:tcBorders>
            <w:shd w:val="clear" w:color="auto" w:fill="FFFFFF" w:themeFill="background1"/>
          </w:tcPr>
          <w:p w14:paraId="0ACE43A7"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133(3·7%)</w:t>
            </w:r>
          </w:p>
          <w:p w14:paraId="26061E54"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73(6·9%)</w:t>
            </w:r>
          </w:p>
        </w:tc>
        <w:tc>
          <w:tcPr>
            <w:tcW w:w="1134" w:type="dxa"/>
            <w:tcBorders>
              <w:left w:val="single" w:sz="4" w:space="0" w:color="auto"/>
              <w:right w:val="single" w:sz="4" w:space="0" w:color="auto"/>
            </w:tcBorders>
            <w:shd w:val="clear" w:color="auto" w:fill="FFFFFF" w:themeFill="background1"/>
          </w:tcPr>
          <w:p w14:paraId="53C6455D"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3428</w:t>
            </w:r>
          </w:p>
          <w:p w14:paraId="785FE809"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985</w:t>
            </w:r>
          </w:p>
        </w:tc>
        <w:tc>
          <w:tcPr>
            <w:tcW w:w="992" w:type="dxa"/>
            <w:tcBorders>
              <w:left w:val="single" w:sz="4" w:space="0" w:color="auto"/>
            </w:tcBorders>
            <w:shd w:val="clear" w:color="auto" w:fill="FFFFFF" w:themeFill="background1"/>
          </w:tcPr>
          <w:p w14:paraId="125586A7"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FB42C1">
              <w:rPr>
                <w:rFonts w:ascii="Arial" w:hAnsi="Arial" w:cs="Arial"/>
                <w:i/>
                <w:sz w:val="16"/>
                <w:szCs w:val="16"/>
              </w:rPr>
              <w:t>&lt;0·001</w:t>
            </w:r>
          </w:p>
        </w:tc>
      </w:tr>
      <w:tr w:rsidR="00A6550E" w:rsidRPr="00FB42C1" w14:paraId="5E602D0A" w14:textId="77777777" w:rsidTr="00A655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val="restart"/>
            <w:tcBorders>
              <w:right w:val="single" w:sz="4" w:space="0" w:color="auto"/>
            </w:tcBorders>
            <w:shd w:val="clear" w:color="auto" w:fill="D9D9D9" w:themeFill="background1" w:themeFillShade="D9"/>
          </w:tcPr>
          <w:p w14:paraId="131874E5" w14:textId="77777777" w:rsidR="00A6550E" w:rsidRPr="00FB42C1" w:rsidRDefault="00A6550E" w:rsidP="00A6550E">
            <w:pPr>
              <w:spacing w:after="0" w:line="240" w:lineRule="auto"/>
              <w:rPr>
                <w:rFonts w:ascii="Arial" w:hAnsi="Arial" w:cs="Arial"/>
                <w:sz w:val="16"/>
                <w:szCs w:val="16"/>
              </w:rPr>
            </w:pPr>
            <w:r w:rsidRPr="00FB42C1">
              <w:rPr>
                <w:rFonts w:ascii="Arial" w:hAnsi="Arial" w:cs="Arial"/>
                <w:sz w:val="16"/>
                <w:szCs w:val="16"/>
              </w:rPr>
              <w:t>Clinical presentation</w:t>
            </w:r>
          </w:p>
          <w:p w14:paraId="2C492C44"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D9D9D9" w:themeFill="background1" w:themeFillShade="D9"/>
          </w:tcPr>
          <w:p w14:paraId="0E33F397"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Meningitis only</w:t>
            </w:r>
          </w:p>
        </w:tc>
        <w:tc>
          <w:tcPr>
            <w:tcW w:w="1083" w:type="dxa"/>
            <w:tcBorders>
              <w:left w:val="single" w:sz="4" w:space="0" w:color="auto"/>
              <w:right w:val="single" w:sz="4" w:space="0" w:color="auto"/>
            </w:tcBorders>
            <w:shd w:val="clear" w:color="auto" w:fill="D9D9D9" w:themeFill="background1" w:themeFillShade="D9"/>
          </w:tcPr>
          <w:p w14:paraId="7A1494E2"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2057</w:t>
            </w:r>
          </w:p>
        </w:tc>
        <w:tc>
          <w:tcPr>
            <w:tcW w:w="1418" w:type="dxa"/>
            <w:tcBorders>
              <w:left w:val="single" w:sz="4" w:space="0" w:color="auto"/>
              <w:right w:val="single" w:sz="4" w:space="0" w:color="auto"/>
            </w:tcBorders>
            <w:shd w:val="clear" w:color="auto" w:fill="D9D9D9" w:themeFill="background1" w:themeFillShade="D9"/>
          </w:tcPr>
          <w:p w14:paraId="02A0A8AD"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45(2·2%)</w:t>
            </w:r>
          </w:p>
        </w:tc>
        <w:tc>
          <w:tcPr>
            <w:tcW w:w="1134" w:type="dxa"/>
            <w:tcBorders>
              <w:left w:val="single" w:sz="4" w:space="0" w:color="auto"/>
              <w:right w:val="single" w:sz="4" w:space="0" w:color="auto"/>
            </w:tcBorders>
            <w:shd w:val="clear" w:color="auto" w:fill="D9D9D9" w:themeFill="background1" w:themeFillShade="D9"/>
          </w:tcPr>
          <w:p w14:paraId="6873B103"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2012</w:t>
            </w:r>
          </w:p>
        </w:tc>
        <w:tc>
          <w:tcPr>
            <w:tcW w:w="992" w:type="dxa"/>
            <w:vMerge w:val="restart"/>
            <w:tcBorders>
              <w:left w:val="single" w:sz="4" w:space="0" w:color="auto"/>
            </w:tcBorders>
            <w:shd w:val="clear" w:color="auto" w:fill="D9D9D9" w:themeFill="background1" w:themeFillShade="D9"/>
          </w:tcPr>
          <w:p w14:paraId="395ABAD3"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i/>
                <w:sz w:val="16"/>
                <w:szCs w:val="16"/>
              </w:rPr>
            </w:pPr>
            <w:r w:rsidRPr="00FB42C1">
              <w:rPr>
                <w:rFonts w:ascii="Arial" w:hAnsi="Arial" w:cs="Arial"/>
                <w:i/>
                <w:sz w:val="16"/>
                <w:szCs w:val="16"/>
              </w:rPr>
              <w:t>&lt;0·001</w:t>
            </w:r>
          </w:p>
          <w:p w14:paraId="68BE0F5C"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i/>
                <w:sz w:val="16"/>
                <w:szCs w:val="16"/>
              </w:rPr>
            </w:pPr>
            <w:r w:rsidRPr="00FB42C1">
              <w:rPr>
                <w:rFonts w:ascii="Arial" w:hAnsi="Arial" w:cs="Arial"/>
                <w:i/>
                <w:sz w:val="16"/>
                <w:szCs w:val="16"/>
              </w:rPr>
              <w:t xml:space="preserve"> </w:t>
            </w:r>
          </w:p>
        </w:tc>
      </w:tr>
      <w:tr w:rsidR="00A6550E" w:rsidRPr="00FB42C1" w14:paraId="3DCE0687" w14:textId="77777777" w:rsidTr="00A65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tcBorders>
              <w:right w:val="single" w:sz="4" w:space="0" w:color="auto"/>
            </w:tcBorders>
            <w:shd w:val="clear" w:color="auto" w:fill="D9D9D9" w:themeFill="background1" w:themeFillShade="D9"/>
          </w:tcPr>
          <w:p w14:paraId="2AACB2B3"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D9D9D9" w:themeFill="background1" w:themeFillShade="D9"/>
          </w:tcPr>
          <w:p w14:paraId="3E503D3E"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Septicaemia only</w:t>
            </w:r>
          </w:p>
        </w:tc>
        <w:tc>
          <w:tcPr>
            <w:tcW w:w="1083" w:type="dxa"/>
            <w:tcBorders>
              <w:left w:val="single" w:sz="4" w:space="0" w:color="auto"/>
              <w:right w:val="single" w:sz="4" w:space="0" w:color="auto"/>
            </w:tcBorders>
            <w:shd w:val="clear" w:color="auto" w:fill="D9D9D9" w:themeFill="background1" w:themeFillShade="D9"/>
          </w:tcPr>
          <w:p w14:paraId="274A408D"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1725</w:t>
            </w:r>
          </w:p>
        </w:tc>
        <w:tc>
          <w:tcPr>
            <w:tcW w:w="1418" w:type="dxa"/>
            <w:tcBorders>
              <w:left w:val="single" w:sz="4" w:space="0" w:color="auto"/>
              <w:right w:val="single" w:sz="4" w:space="0" w:color="auto"/>
            </w:tcBorders>
            <w:shd w:val="clear" w:color="auto" w:fill="D9D9D9" w:themeFill="background1" w:themeFillShade="D9"/>
          </w:tcPr>
          <w:p w14:paraId="669B3092"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114(6·6%)</w:t>
            </w:r>
          </w:p>
        </w:tc>
        <w:tc>
          <w:tcPr>
            <w:tcW w:w="1134" w:type="dxa"/>
            <w:tcBorders>
              <w:left w:val="single" w:sz="4" w:space="0" w:color="auto"/>
              <w:right w:val="single" w:sz="4" w:space="0" w:color="auto"/>
            </w:tcBorders>
            <w:shd w:val="clear" w:color="auto" w:fill="D9D9D9" w:themeFill="background1" w:themeFillShade="D9"/>
          </w:tcPr>
          <w:p w14:paraId="6AA33896"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1611</w:t>
            </w:r>
          </w:p>
        </w:tc>
        <w:tc>
          <w:tcPr>
            <w:tcW w:w="992" w:type="dxa"/>
            <w:vMerge/>
            <w:tcBorders>
              <w:left w:val="single" w:sz="4" w:space="0" w:color="auto"/>
            </w:tcBorders>
            <w:shd w:val="clear" w:color="auto" w:fill="D9D9D9" w:themeFill="background1" w:themeFillShade="D9"/>
          </w:tcPr>
          <w:p w14:paraId="12BED3BF"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A6550E" w:rsidRPr="00FB42C1" w14:paraId="4E5CC1A2" w14:textId="77777777" w:rsidTr="00A655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tcBorders>
              <w:right w:val="single" w:sz="4" w:space="0" w:color="auto"/>
            </w:tcBorders>
            <w:shd w:val="clear" w:color="auto" w:fill="D9D9D9" w:themeFill="background1" w:themeFillShade="D9"/>
          </w:tcPr>
          <w:p w14:paraId="23DD2F1A"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D9D9D9" w:themeFill="background1" w:themeFillShade="D9"/>
          </w:tcPr>
          <w:p w14:paraId="7764CBEA"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Meningitis and septicaemia</w:t>
            </w:r>
          </w:p>
        </w:tc>
        <w:tc>
          <w:tcPr>
            <w:tcW w:w="1083" w:type="dxa"/>
            <w:tcBorders>
              <w:left w:val="single" w:sz="4" w:space="0" w:color="auto"/>
              <w:right w:val="single" w:sz="4" w:space="0" w:color="auto"/>
            </w:tcBorders>
            <w:shd w:val="clear" w:color="auto" w:fill="D9D9D9" w:themeFill="background1" w:themeFillShade="D9"/>
          </w:tcPr>
          <w:p w14:paraId="70EFB72E"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389</w:t>
            </w:r>
          </w:p>
        </w:tc>
        <w:tc>
          <w:tcPr>
            <w:tcW w:w="1418" w:type="dxa"/>
            <w:tcBorders>
              <w:left w:val="single" w:sz="4" w:space="0" w:color="auto"/>
              <w:right w:val="single" w:sz="4" w:space="0" w:color="auto"/>
            </w:tcBorders>
            <w:shd w:val="clear" w:color="auto" w:fill="D9D9D9" w:themeFill="background1" w:themeFillShade="D9"/>
          </w:tcPr>
          <w:p w14:paraId="3753648F"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39(10·0%)</w:t>
            </w:r>
          </w:p>
        </w:tc>
        <w:tc>
          <w:tcPr>
            <w:tcW w:w="1134" w:type="dxa"/>
            <w:tcBorders>
              <w:left w:val="single" w:sz="4" w:space="0" w:color="auto"/>
              <w:right w:val="single" w:sz="4" w:space="0" w:color="auto"/>
            </w:tcBorders>
            <w:shd w:val="clear" w:color="auto" w:fill="D9D9D9" w:themeFill="background1" w:themeFillShade="D9"/>
          </w:tcPr>
          <w:p w14:paraId="15459DBD"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350</w:t>
            </w:r>
          </w:p>
        </w:tc>
        <w:tc>
          <w:tcPr>
            <w:tcW w:w="992" w:type="dxa"/>
            <w:vMerge/>
            <w:tcBorders>
              <w:left w:val="single" w:sz="4" w:space="0" w:color="auto"/>
            </w:tcBorders>
            <w:shd w:val="clear" w:color="auto" w:fill="D9D9D9" w:themeFill="background1" w:themeFillShade="D9"/>
          </w:tcPr>
          <w:p w14:paraId="2AC122B2" w14:textId="77777777" w:rsidR="00A6550E" w:rsidRPr="00FB42C1" w:rsidRDefault="00A6550E" w:rsidP="00A6550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A6550E" w:rsidRPr="00FB42C1" w14:paraId="0D1C1ABF" w14:textId="77777777" w:rsidTr="00A65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vMerge/>
            <w:tcBorders>
              <w:right w:val="single" w:sz="4" w:space="0" w:color="auto"/>
            </w:tcBorders>
            <w:shd w:val="clear" w:color="auto" w:fill="D9D9D9" w:themeFill="background1" w:themeFillShade="D9"/>
          </w:tcPr>
          <w:p w14:paraId="577D3BD1" w14:textId="77777777" w:rsidR="00A6550E" w:rsidRPr="00FB42C1" w:rsidRDefault="00A6550E" w:rsidP="00A6550E">
            <w:pPr>
              <w:spacing w:after="0" w:line="240" w:lineRule="auto"/>
              <w:rPr>
                <w:rFonts w:ascii="Arial" w:hAnsi="Arial" w:cs="Arial"/>
                <w:sz w:val="16"/>
                <w:szCs w:val="16"/>
              </w:rPr>
            </w:pPr>
          </w:p>
        </w:tc>
        <w:tc>
          <w:tcPr>
            <w:tcW w:w="2313" w:type="dxa"/>
            <w:tcBorders>
              <w:left w:val="single" w:sz="4" w:space="0" w:color="auto"/>
              <w:right w:val="single" w:sz="4" w:space="0" w:color="auto"/>
            </w:tcBorders>
            <w:shd w:val="clear" w:color="auto" w:fill="D9D9D9" w:themeFill="background1" w:themeFillShade="D9"/>
          </w:tcPr>
          <w:p w14:paraId="7A6CA434"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Other IMD</w:t>
            </w:r>
          </w:p>
        </w:tc>
        <w:tc>
          <w:tcPr>
            <w:tcW w:w="1083" w:type="dxa"/>
            <w:tcBorders>
              <w:left w:val="single" w:sz="4" w:space="0" w:color="auto"/>
              <w:right w:val="single" w:sz="4" w:space="0" w:color="auto"/>
            </w:tcBorders>
            <w:shd w:val="clear" w:color="auto" w:fill="D9D9D9" w:themeFill="background1" w:themeFillShade="D9"/>
          </w:tcPr>
          <w:p w14:paraId="34E45295"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448</w:t>
            </w:r>
          </w:p>
        </w:tc>
        <w:tc>
          <w:tcPr>
            <w:tcW w:w="1418" w:type="dxa"/>
            <w:tcBorders>
              <w:left w:val="single" w:sz="4" w:space="0" w:color="auto"/>
              <w:right w:val="single" w:sz="4" w:space="0" w:color="auto"/>
            </w:tcBorders>
            <w:shd w:val="clear" w:color="auto" w:fill="D9D9D9" w:themeFill="background1" w:themeFillShade="D9"/>
          </w:tcPr>
          <w:p w14:paraId="3640E2FD"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8(1·8%)</w:t>
            </w:r>
          </w:p>
        </w:tc>
        <w:tc>
          <w:tcPr>
            <w:tcW w:w="1134" w:type="dxa"/>
            <w:tcBorders>
              <w:left w:val="single" w:sz="4" w:space="0" w:color="auto"/>
              <w:right w:val="single" w:sz="4" w:space="0" w:color="auto"/>
            </w:tcBorders>
            <w:shd w:val="clear" w:color="auto" w:fill="D9D9D9" w:themeFill="background1" w:themeFillShade="D9"/>
          </w:tcPr>
          <w:p w14:paraId="7250DAF9"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440</w:t>
            </w:r>
          </w:p>
        </w:tc>
        <w:tc>
          <w:tcPr>
            <w:tcW w:w="992" w:type="dxa"/>
            <w:vMerge/>
            <w:tcBorders>
              <w:left w:val="single" w:sz="4" w:space="0" w:color="auto"/>
            </w:tcBorders>
            <w:shd w:val="clear" w:color="auto" w:fill="D9D9D9" w:themeFill="background1" w:themeFillShade="D9"/>
          </w:tcPr>
          <w:p w14:paraId="22ED8536" w14:textId="77777777" w:rsidR="00A6550E" w:rsidRPr="00FB42C1" w:rsidRDefault="00A6550E" w:rsidP="00A6550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0A3AD8B9" w14:textId="77777777" w:rsidR="00A6550E" w:rsidRDefault="00A6550E" w:rsidP="00883A16">
      <w:pPr>
        <w:rPr>
          <w:rFonts w:cs="Arial"/>
          <w:sz w:val="20"/>
          <w:szCs w:val="16"/>
        </w:rPr>
      </w:pPr>
    </w:p>
    <w:p w14:paraId="0E98E1B0" w14:textId="77777777" w:rsidR="004E3C17" w:rsidRDefault="004E3C17" w:rsidP="004E3C17">
      <w:pPr>
        <w:spacing w:after="0"/>
        <w:rPr>
          <w:rFonts w:cs="Arial"/>
          <w:sz w:val="20"/>
          <w:szCs w:val="16"/>
        </w:rPr>
      </w:pPr>
      <w:r>
        <w:rPr>
          <w:rFonts w:cs="Arial"/>
          <w:sz w:val="20"/>
          <w:szCs w:val="16"/>
        </w:rPr>
        <w:t>CFR, case fatality rate</w:t>
      </w:r>
    </w:p>
    <w:p w14:paraId="1A16E46C" w14:textId="42CBB5A0" w:rsidR="00A6550E" w:rsidRPr="000743AE" w:rsidRDefault="00A6550E" w:rsidP="00A6550E">
      <w:pPr>
        <w:pStyle w:val="Caption"/>
        <w:keepNext/>
        <w:rPr>
          <w:rFonts w:cs="Arial"/>
          <w:b w:val="0"/>
          <w:color w:val="auto"/>
          <w:sz w:val="20"/>
          <w:szCs w:val="16"/>
        </w:rPr>
      </w:pPr>
      <w:r>
        <w:rPr>
          <w:rFonts w:cs="Arial"/>
          <w:b w:val="0"/>
          <w:i/>
          <w:color w:val="auto"/>
        </w:rPr>
        <w:t>*</w:t>
      </w:r>
      <w:r w:rsidR="006302FA">
        <w:rPr>
          <w:rFonts w:cs="Arial"/>
          <w:b w:val="0"/>
          <w:i/>
          <w:color w:val="auto"/>
        </w:rPr>
        <w:t xml:space="preserve"> C</w:t>
      </w:r>
      <w:r w:rsidRPr="000743AE">
        <w:rPr>
          <w:rFonts w:cs="Arial"/>
          <w:b w:val="0"/>
          <w:i/>
          <w:color w:val="auto"/>
        </w:rPr>
        <w:t>ategorical data was compared using Pearson’s X</w:t>
      </w:r>
      <w:r w:rsidRPr="000743AE">
        <w:rPr>
          <w:rFonts w:cs="Arial"/>
          <w:b w:val="0"/>
          <w:i/>
          <w:color w:val="auto"/>
          <w:vertAlign w:val="superscript"/>
        </w:rPr>
        <w:t>2</w:t>
      </w:r>
      <w:r w:rsidRPr="000743AE">
        <w:rPr>
          <w:rFonts w:cs="Arial"/>
          <w:b w:val="0"/>
          <w:i/>
          <w:color w:val="auto"/>
        </w:rPr>
        <w:t xml:space="preserve"> test statistic</w:t>
      </w:r>
    </w:p>
    <w:p w14:paraId="7B45C1A5" w14:textId="77777777" w:rsidR="00A6550E" w:rsidRPr="00FB42C1" w:rsidRDefault="00A6550E" w:rsidP="00883A16">
      <w:pPr>
        <w:rPr>
          <w:rFonts w:cs="Arial"/>
          <w:sz w:val="20"/>
          <w:szCs w:val="16"/>
        </w:rPr>
      </w:pPr>
    </w:p>
    <w:p w14:paraId="3E22E2E8" w14:textId="77777777" w:rsidR="00FB42C1" w:rsidRDefault="00FB42C1" w:rsidP="001F13FB">
      <w:pPr>
        <w:pStyle w:val="Caption"/>
        <w:keepNext/>
        <w:rPr>
          <w:rFonts w:cs="Arial"/>
          <w:color w:val="auto"/>
          <w:sz w:val="20"/>
          <w:szCs w:val="16"/>
        </w:rPr>
      </w:pPr>
    </w:p>
    <w:p w14:paraId="5B67C3CF" w14:textId="77777777" w:rsidR="00FB42C1" w:rsidRDefault="00FB42C1" w:rsidP="001F13FB">
      <w:pPr>
        <w:pStyle w:val="Caption"/>
        <w:keepNext/>
        <w:rPr>
          <w:rFonts w:cs="Arial"/>
          <w:color w:val="auto"/>
          <w:sz w:val="20"/>
          <w:szCs w:val="16"/>
        </w:rPr>
      </w:pPr>
    </w:p>
    <w:p w14:paraId="36CFBAC2" w14:textId="77777777" w:rsidR="00FB42C1" w:rsidRDefault="00FB42C1" w:rsidP="001F13FB">
      <w:pPr>
        <w:pStyle w:val="Caption"/>
        <w:keepNext/>
        <w:rPr>
          <w:rFonts w:cs="Arial"/>
          <w:color w:val="auto"/>
          <w:sz w:val="20"/>
          <w:szCs w:val="16"/>
        </w:rPr>
      </w:pPr>
    </w:p>
    <w:p w14:paraId="5A3C8728" w14:textId="77777777" w:rsidR="00FB42C1" w:rsidRDefault="00FB42C1" w:rsidP="001F13FB">
      <w:pPr>
        <w:pStyle w:val="Caption"/>
        <w:keepNext/>
        <w:rPr>
          <w:rFonts w:cs="Arial"/>
          <w:color w:val="auto"/>
          <w:sz w:val="20"/>
          <w:szCs w:val="16"/>
        </w:rPr>
      </w:pPr>
    </w:p>
    <w:p w14:paraId="5F19EBD6" w14:textId="77777777" w:rsidR="00F2217A" w:rsidRDefault="00F2217A" w:rsidP="001F13FB">
      <w:pPr>
        <w:pStyle w:val="Caption"/>
        <w:keepNext/>
        <w:rPr>
          <w:rFonts w:cs="Arial"/>
          <w:color w:val="auto"/>
          <w:sz w:val="20"/>
          <w:szCs w:val="16"/>
        </w:rPr>
      </w:pPr>
    </w:p>
    <w:p w14:paraId="00795693" w14:textId="77777777" w:rsidR="00F2217A" w:rsidRDefault="00F2217A" w:rsidP="001F13FB">
      <w:pPr>
        <w:pStyle w:val="Caption"/>
        <w:keepNext/>
        <w:rPr>
          <w:rFonts w:cs="Arial"/>
          <w:color w:val="auto"/>
          <w:sz w:val="20"/>
          <w:szCs w:val="16"/>
        </w:rPr>
      </w:pPr>
    </w:p>
    <w:p w14:paraId="49FAF31C" w14:textId="77777777" w:rsidR="00F2217A" w:rsidRDefault="00F2217A" w:rsidP="001F13FB">
      <w:pPr>
        <w:pStyle w:val="Caption"/>
        <w:keepNext/>
        <w:rPr>
          <w:rFonts w:cs="Arial"/>
          <w:color w:val="auto"/>
          <w:sz w:val="20"/>
          <w:szCs w:val="16"/>
        </w:rPr>
      </w:pPr>
    </w:p>
    <w:p w14:paraId="3B4D4B5F" w14:textId="77777777" w:rsidR="00F2217A" w:rsidRDefault="00F2217A" w:rsidP="001F13FB">
      <w:pPr>
        <w:pStyle w:val="Caption"/>
        <w:keepNext/>
        <w:rPr>
          <w:rFonts w:cs="Arial"/>
          <w:color w:val="auto"/>
          <w:sz w:val="20"/>
          <w:szCs w:val="16"/>
        </w:rPr>
      </w:pPr>
    </w:p>
    <w:p w14:paraId="1F51446B" w14:textId="77777777" w:rsidR="00F2217A" w:rsidRDefault="00F2217A" w:rsidP="001F13FB">
      <w:pPr>
        <w:pStyle w:val="Caption"/>
        <w:keepNext/>
        <w:rPr>
          <w:rFonts w:cs="Arial"/>
          <w:color w:val="auto"/>
          <w:sz w:val="20"/>
          <w:szCs w:val="16"/>
        </w:rPr>
      </w:pPr>
    </w:p>
    <w:p w14:paraId="0BBA8C99" w14:textId="77777777" w:rsidR="00F2217A" w:rsidRDefault="00F2217A" w:rsidP="001F13FB">
      <w:pPr>
        <w:pStyle w:val="Caption"/>
        <w:keepNext/>
        <w:rPr>
          <w:rFonts w:cs="Arial"/>
          <w:color w:val="auto"/>
          <w:sz w:val="20"/>
          <w:szCs w:val="16"/>
        </w:rPr>
      </w:pPr>
    </w:p>
    <w:p w14:paraId="0EB08740" w14:textId="77777777" w:rsidR="00F2217A" w:rsidRDefault="00F2217A" w:rsidP="001F13FB">
      <w:pPr>
        <w:pStyle w:val="Caption"/>
        <w:keepNext/>
        <w:rPr>
          <w:rFonts w:cs="Arial"/>
          <w:color w:val="auto"/>
          <w:sz w:val="20"/>
          <w:szCs w:val="16"/>
        </w:rPr>
      </w:pPr>
    </w:p>
    <w:p w14:paraId="25416889" w14:textId="77777777" w:rsidR="00F2217A" w:rsidRDefault="00F2217A">
      <w:pPr>
        <w:spacing w:after="200" w:line="276" w:lineRule="auto"/>
        <w:rPr>
          <w:rFonts w:cs="Arial"/>
          <w:b/>
          <w:bCs/>
          <w:sz w:val="20"/>
          <w:szCs w:val="16"/>
        </w:rPr>
      </w:pPr>
      <w:r>
        <w:rPr>
          <w:rFonts w:cs="Arial"/>
          <w:sz w:val="20"/>
          <w:szCs w:val="16"/>
        </w:rPr>
        <w:br w:type="page"/>
      </w:r>
    </w:p>
    <w:p w14:paraId="73ED5826" w14:textId="0F39352E" w:rsidR="009A1C65" w:rsidRPr="009A1C65" w:rsidRDefault="001F13FB" w:rsidP="009A1C65">
      <w:pPr>
        <w:pStyle w:val="Caption"/>
        <w:keepNext/>
        <w:spacing w:line="360" w:lineRule="auto"/>
        <w:rPr>
          <w:rFonts w:cs="Arial"/>
          <w:b w:val="0"/>
          <w:color w:val="FF0000"/>
          <w:sz w:val="20"/>
          <w:szCs w:val="16"/>
        </w:rPr>
      </w:pPr>
      <w:r w:rsidRPr="00FB42C1">
        <w:rPr>
          <w:rFonts w:cs="Arial"/>
          <w:color w:val="auto"/>
          <w:sz w:val="20"/>
          <w:szCs w:val="16"/>
        </w:rPr>
        <w:t>Table 4</w:t>
      </w:r>
      <w:r w:rsidR="007A62F0">
        <w:rPr>
          <w:rFonts w:cs="Arial"/>
          <w:color w:val="auto"/>
          <w:sz w:val="20"/>
          <w:szCs w:val="16"/>
        </w:rPr>
        <w:t>.</w:t>
      </w:r>
      <w:r w:rsidRPr="00FB42C1">
        <w:rPr>
          <w:rFonts w:cs="Arial"/>
          <w:color w:val="auto"/>
          <w:sz w:val="20"/>
          <w:szCs w:val="16"/>
        </w:rPr>
        <w:t xml:space="preserve"> </w:t>
      </w:r>
      <w:r w:rsidRPr="00FB42C1">
        <w:rPr>
          <w:rFonts w:cs="Arial"/>
          <w:b w:val="0"/>
          <w:color w:val="000000" w:themeColor="text1"/>
          <w:sz w:val="20"/>
          <w:szCs w:val="16"/>
        </w:rPr>
        <w:t>Factors significantly associated with death (p&lt;0</w:t>
      </w:r>
      <w:r w:rsidR="001A7C08" w:rsidRPr="00FB42C1">
        <w:rPr>
          <w:rFonts w:cs="Arial"/>
          <w:b w:val="0"/>
          <w:color w:val="000000" w:themeColor="text1"/>
          <w:sz w:val="20"/>
          <w:szCs w:val="16"/>
        </w:rPr>
        <w:t>·</w:t>
      </w:r>
      <w:r w:rsidRPr="00FB42C1">
        <w:rPr>
          <w:rFonts w:cs="Arial"/>
          <w:b w:val="0"/>
          <w:color w:val="000000" w:themeColor="text1"/>
          <w:sz w:val="20"/>
          <w:szCs w:val="16"/>
        </w:rPr>
        <w:t xml:space="preserve">05) </w:t>
      </w:r>
      <w:r w:rsidR="00037B30">
        <w:rPr>
          <w:rFonts w:cs="Arial"/>
          <w:b w:val="0"/>
          <w:color w:val="000000" w:themeColor="text1"/>
          <w:sz w:val="20"/>
          <w:szCs w:val="16"/>
        </w:rPr>
        <w:t xml:space="preserve">among </w:t>
      </w:r>
      <w:r w:rsidR="007A62F0">
        <w:rPr>
          <w:rFonts w:cs="Arial"/>
          <w:b w:val="0"/>
          <w:color w:val="000000" w:themeColor="text1"/>
          <w:sz w:val="20"/>
          <w:szCs w:val="16"/>
        </w:rPr>
        <w:t>(</w:t>
      </w:r>
      <w:r w:rsidR="007A62F0" w:rsidRPr="00883A16">
        <w:rPr>
          <w:rFonts w:cs="Arial"/>
          <w:color w:val="000000" w:themeColor="text1"/>
          <w:sz w:val="20"/>
          <w:szCs w:val="16"/>
        </w:rPr>
        <w:t>a</w:t>
      </w:r>
      <w:r w:rsidR="007A62F0">
        <w:rPr>
          <w:rFonts w:cs="Arial"/>
          <w:b w:val="0"/>
          <w:color w:val="000000" w:themeColor="text1"/>
          <w:sz w:val="20"/>
          <w:szCs w:val="16"/>
        </w:rPr>
        <w:t xml:space="preserve">) </w:t>
      </w:r>
      <w:r w:rsidRPr="00883A16">
        <w:rPr>
          <w:rFonts w:cs="Arial"/>
          <w:color w:val="000000" w:themeColor="text1"/>
          <w:sz w:val="20"/>
          <w:szCs w:val="16"/>
        </w:rPr>
        <w:t>MenB</w:t>
      </w:r>
      <w:r w:rsidRPr="00FB42C1">
        <w:rPr>
          <w:rFonts w:cs="Arial"/>
          <w:b w:val="0"/>
          <w:color w:val="000000" w:themeColor="text1"/>
          <w:sz w:val="20"/>
          <w:szCs w:val="16"/>
        </w:rPr>
        <w:t xml:space="preserve"> </w:t>
      </w:r>
      <w:bookmarkEnd w:id="4"/>
      <w:r w:rsidR="002E608E" w:rsidRPr="00FB42C1">
        <w:rPr>
          <w:rFonts w:cs="Arial"/>
          <w:b w:val="0"/>
          <w:color w:val="000000" w:themeColor="text1"/>
          <w:sz w:val="20"/>
          <w:szCs w:val="16"/>
        </w:rPr>
        <w:t>hospitalised, laboratory-confirmed cases</w:t>
      </w:r>
      <w:r w:rsidR="007A62F0">
        <w:rPr>
          <w:rFonts w:cs="Arial"/>
          <w:b w:val="0"/>
          <w:color w:val="000000" w:themeColor="text1"/>
          <w:sz w:val="20"/>
          <w:szCs w:val="16"/>
        </w:rPr>
        <w:t xml:space="preserve">, </w:t>
      </w:r>
      <w:r w:rsidR="007A62F0">
        <w:rPr>
          <w:rFonts w:cs="Arial"/>
          <w:color w:val="auto"/>
          <w:sz w:val="20"/>
          <w:szCs w:val="16"/>
        </w:rPr>
        <w:t xml:space="preserve">(b) </w:t>
      </w:r>
      <w:r w:rsidR="00F2217A" w:rsidRPr="00883A16">
        <w:rPr>
          <w:rFonts w:cs="Arial"/>
          <w:color w:val="000000" w:themeColor="text1"/>
          <w:sz w:val="20"/>
          <w:szCs w:val="16"/>
        </w:rPr>
        <w:t>MenACWY</w:t>
      </w:r>
      <w:r w:rsidR="00F2217A" w:rsidRPr="00FB42C1">
        <w:rPr>
          <w:rFonts w:cs="Arial"/>
          <w:b w:val="0"/>
          <w:color w:val="000000" w:themeColor="text1"/>
          <w:sz w:val="20"/>
          <w:szCs w:val="16"/>
        </w:rPr>
        <w:t xml:space="preserve"> hospitalised, laboratory-confirmed cases</w:t>
      </w:r>
      <w:r w:rsidR="007A62F0">
        <w:rPr>
          <w:rFonts w:cs="Arial"/>
          <w:b w:val="0"/>
          <w:color w:val="000000" w:themeColor="text1"/>
          <w:sz w:val="20"/>
          <w:szCs w:val="16"/>
        </w:rPr>
        <w:t>, and (</w:t>
      </w:r>
      <w:r w:rsidR="007A62F0" w:rsidRPr="00883A16">
        <w:rPr>
          <w:rFonts w:cs="Arial"/>
          <w:color w:val="000000" w:themeColor="text1"/>
          <w:sz w:val="20"/>
          <w:szCs w:val="16"/>
        </w:rPr>
        <w:t>c</w:t>
      </w:r>
      <w:r w:rsidR="007A62F0">
        <w:rPr>
          <w:rFonts w:cs="Arial"/>
          <w:b w:val="0"/>
          <w:color w:val="000000" w:themeColor="text1"/>
          <w:sz w:val="20"/>
          <w:szCs w:val="16"/>
        </w:rPr>
        <w:t xml:space="preserve">) </w:t>
      </w:r>
      <w:r w:rsidR="007A62F0">
        <w:rPr>
          <w:rFonts w:cs="Arial"/>
          <w:color w:val="auto"/>
          <w:sz w:val="20"/>
          <w:szCs w:val="16"/>
        </w:rPr>
        <w:t xml:space="preserve">childhood, </w:t>
      </w:r>
      <w:r w:rsidR="007A62F0" w:rsidRPr="00FB42C1">
        <w:rPr>
          <w:rFonts w:cs="Arial"/>
          <w:b w:val="0"/>
          <w:color w:val="000000" w:themeColor="text1"/>
          <w:sz w:val="20"/>
          <w:szCs w:val="16"/>
        </w:rPr>
        <w:t xml:space="preserve">hospitalised, laboratory-confirmed cases </w:t>
      </w:r>
      <w:r w:rsidR="007A62F0">
        <w:rPr>
          <w:rFonts w:cs="Arial"/>
          <w:b w:val="0"/>
          <w:color w:val="000000" w:themeColor="text1"/>
          <w:sz w:val="20"/>
          <w:szCs w:val="16"/>
        </w:rPr>
        <w:t>(</w:t>
      </w:r>
      <w:r w:rsidR="007A62F0" w:rsidRPr="00FB42C1">
        <w:rPr>
          <w:rFonts w:cs="Arial"/>
          <w:b w:val="0"/>
          <w:color w:val="000000" w:themeColor="text1"/>
          <w:sz w:val="20"/>
          <w:szCs w:val="16"/>
        </w:rPr>
        <w:t>&lt;15y</w:t>
      </w:r>
      <w:r w:rsidR="007A62F0">
        <w:rPr>
          <w:rFonts w:cs="Arial"/>
          <w:b w:val="0"/>
          <w:color w:val="000000" w:themeColor="text1"/>
          <w:sz w:val="20"/>
          <w:szCs w:val="16"/>
        </w:rPr>
        <w:t>ea</w:t>
      </w:r>
      <w:r w:rsidR="007A62F0" w:rsidRPr="00FB42C1">
        <w:rPr>
          <w:rFonts w:cs="Arial"/>
          <w:b w:val="0"/>
          <w:color w:val="000000" w:themeColor="text1"/>
          <w:sz w:val="20"/>
          <w:szCs w:val="16"/>
        </w:rPr>
        <w:t>r</w:t>
      </w:r>
      <w:r w:rsidR="007A62F0">
        <w:rPr>
          <w:rFonts w:cs="Arial"/>
          <w:b w:val="0"/>
          <w:color w:val="000000" w:themeColor="text1"/>
          <w:sz w:val="20"/>
          <w:szCs w:val="16"/>
        </w:rPr>
        <w:t>-old</w:t>
      </w:r>
      <w:r w:rsidR="007A62F0" w:rsidRPr="00FB42C1">
        <w:rPr>
          <w:rFonts w:cs="Arial"/>
          <w:b w:val="0"/>
          <w:color w:val="000000" w:themeColor="text1"/>
          <w:sz w:val="20"/>
          <w:szCs w:val="16"/>
        </w:rPr>
        <w:t>s</w:t>
      </w:r>
      <w:r w:rsidR="007A62F0">
        <w:rPr>
          <w:rFonts w:cs="Arial"/>
          <w:b w:val="0"/>
          <w:color w:val="000000" w:themeColor="text1"/>
          <w:sz w:val="20"/>
          <w:szCs w:val="16"/>
        </w:rPr>
        <w:t>)</w:t>
      </w:r>
      <w:r w:rsidR="00037B30">
        <w:rPr>
          <w:rFonts w:cs="Arial"/>
          <w:b w:val="0"/>
          <w:color w:val="000000" w:themeColor="text1"/>
          <w:sz w:val="20"/>
          <w:szCs w:val="16"/>
        </w:rPr>
        <w:t xml:space="preserve"> in England during 2007-11</w:t>
      </w:r>
      <w:r w:rsidR="009A1C65">
        <w:rPr>
          <w:rFonts w:cs="Arial"/>
          <w:b w:val="0"/>
          <w:color w:val="000000" w:themeColor="text1"/>
          <w:sz w:val="20"/>
          <w:szCs w:val="16"/>
        </w:rPr>
        <w:t xml:space="preserve">. </w:t>
      </w:r>
      <w:r w:rsidR="009A1C65" w:rsidRPr="009A1C65">
        <w:rPr>
          <w:b w:val="0"/>
          <w:color w:val="FF0000"/>
          <w:sz w:val="20"/>
          <w:szCs w:val="20"/>
        </w:rPr>
        <w:t>The logistic regression models included variables for: age group, capsular group, diagnostic methods, clinical presentation, year and sex</w:t>
      </w:r>
    </w:p>
    <w:p w14:paraId="7BF4A866" w14:textId="77777777" w:rsidR="009A1C65" w:rsidRPr="009A1C65" w:rsidRDefault="009A1C65" w:rsidP="009A1C65"/>
    <w:p w14:paraId="093B0079" w14:textId="77777777" w:rsidR="00F2217A" w:rsidRPr="00FB42C1" w:rsidRDefault="00F2217A" w:rsidP="00F2217A">
      <w:pPr>
        <w:pStyle w:val="Caption"/>
        <w:keepNext/>
        <w:rPr>
          <w:rFonts w:cs="Arial"/>
          <w:b w:val="0"/>
          <w:sz w:val="20"/>
          <w:szCs w:val="16"/>
        </w:rPr>
      </w:pPr>
    </w:p>
    <w:tbl>
      <w:tblPr>
        <w:tblStyle w:val="MediumShading11"/>
        <w:tblW w:w="0" w:type="auto"/>
        <w:tblInd w:w="108" w:type="dxa"/>
        <w:tblLayout w:type="fixed"/>
        <w:tblLook w:val="04A0" w:firstRow="1" w:lastRow="0" w:firstColumn="1" w:lastColumn="0" w:noHBand="0" w:noVBand="1"/>
      </w:tblPr>
      <w:tblGrid>
        <w:gridCol w:w="1560"/>
        <w:gridCol w:w="2976"/>
        <w:gridCol w:w="1418"/>
        <w:gridCol w:w="1276"/>
        <w:gridCol w:w="866"/>
      </w:tblGrid>
      <w:tr w:rsidR="001F13FB" w:rsidRPr="00FB42C1" w14:paraId="511F275D" w14:textId="77777777" w:rsidTr="00883A16">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4536" w:type="dxa"/>
            <w:gridSpan w:val="2"/>
            <w:hideMark/>
          </w:tcPr>
          <w:p w14:paraId="378DDB21" w14:textId="77777777" w:rsidR="001F13FB" w:rsidRPr="00FB42C1" w:rsidRDefault="007A62F0" w:rsidP="00A912D5">
            <w:pPr>
              <w:spacing w:after="0"/>
              <w:rPr>
                <w:rFonts w:ascii="Arial" w:hAnsi="Arial" w:cs="Arial"/>
                <w:sz w:val="16"/>
                <w:szCs w:val="16"/>
              </w:rPr>
            </w:pPr>
            <w:r>
              <w:rPr>
                <w:rFonts w:ascii="Arial" w:hAnsi="Arial" w:cs="Arial"/>
                <w:sz w:val="16"/>
                <w:szCs w:val="16"/>
              </w:rPr>
              <w:t>(a) Logistic Regression for MenB deaths</w:t>
            </w:r>
          </w:p>
        </w:tc>
        <w:tc>
          <w:tcPr>
            <w:tcW w:w="1418" w:type="dxa"/>
            <w:hideMark/>
          </w:tcPr>
          <w:p w14:paraId="581C4B2B" w14:textId="77777777" w:rsidR="001F13FB" w:rsidRPr="00FB42C1" w:rsidRDefault="001F13FB" w:rsidP="00A912D5">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B42C1">
              <w:rPr>
                <w:rFonts w:ascii="Arial" w:hAnsi="Arial" w:cs="Arial"/>
                <w:sz w:val="16"/>
                <w:szCs w:val="16"/>
              </w:rPr>
              <w:t>Odds ratio</w:t>
            </w:r>
          </w:p>
        </w:tc>
        <w:tc>
          <w:tcPr>
            <w:tcW w:w="1276" w:type="dxa"/>
            <w:hideMark/>
          </w:tcPr>
          <w:p w14:paraId="507C83B7" w14:textId="77777777" w:rsidR="001F13FB" w:rsidRPr="00FB42C1" w:rsidRDefault="001F13FB" w:rsidP="00A912D5">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B42C1">
              <w:rPr>
                <w:rFonts w:ascii="Arial" w:hAnsi="Arial" w:cs="Arial"/>
                <w:sz w:val="16"/>
                <w:szCs w:val="16"/>
              </w:rPr>
              <w:t>95%CI</w:t>
            </w:r>
          </w:p>
        </w:tc>
        <w:tc>
          <w:tcPr>
            <w:tcW w:w="866" w:type="dxa"/>
            <w:hideMark/>
          </w:tcPr>
          <w:p w14:paraId="53D5EE2D" w14:textId="77777777" w:rsidR="001F13FB" w:rsidRPr="00FB42C1" w:rsidRDefault="001F13FB" w:rsidP="00A912D5">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B42C1">
              <w:rPr>
                <w:rFonts w:ascii="Arial" w:hAnsi="Arial" w:cs="Arial"/>
                <w:sz w:val="16"/>
                <w:szCs w:val="16"/>
              </w:rPr>
              <w:t>P value</w:t>
            </w:r>
          </w:p>
        </w:tc>
      </w:tr>
      <w:tr w:rsidR="001F13FB" w:rsidRPr="00FB42C1" w14:paraId="7D917EB3" w14:textId="77777777" w:rsidTr="00883A16">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404040" w:themeColor="text1" w:themeTint="BF"/>
              <w:left w:val="single" w:sz="8" w:space="0" w:color="404040" w:themeColor="text1" w:themeTint="BF"/>
              <w:bottom w:val="single" w:sz="8" w:space="0" w:color="404040" w:themeColor="text1" w:themeTint="BF"/>
              <w:right w:val="single" w:sz="4" w:space="0" w:color="404040" w:themeColor="text1" w:themeTint="BF"/>
            </w:tcBorders>
            <w:shd w:val="clear" w:color="auto" w:fill="000000" w:themeFill="text1"/>
            <w:hideMark/>
          </w:tcPr>
          <w:p w14:paraId="3335EDA8" w14:textId="77777777" w:rsidR="001F13FB" w:rsidRPr="00FB42C1" w:rsidRDefault="001F13FB" w:rsidP="00A912D5">
            <w:pPr>
              <w:spacing w:after="0"/>
              <w:rPr>
                <w:rFonts w:ascii="Arial" w:hAnsi="Arial" w:cs="Arial"/>
                <w:color w:val="FFFFFF" w:themeColor="background1"/>
                <w:sz w:val="16"/>
                <w:szCs w:val="16"/>
              </w:rPr>
            </w:pPr>
            <w:r w:rsidRPr="00FB42C1">
              <w:rPr>
                <w:rFonts w:ascii="Arial" w:hAnsi="Arial" w:cs="Arial"/>
                <w:color w:val="FFFFFF" w:themeColor="background1"/>
                <w:sz w:val="16"/>
                <w:szCs w:val="16"/>
              </w:rPr>
              <w:t>Clinical presentation</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B1BD3" w14:textId="77777777" w:rsidR="001F13FB" w:rsidRPr="00FB42C1" w:rsidRDefault="00FF27C5" w:rsidP="00A912D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Meningitis only </w:t>
            </w:r>
          </w:p>
        </w:tc>
        <w:tc>
          <w:tcPr>
            <w:tcW w:w="1418" w:type="dxa"/>
            <w:tcBorders>
              <w:top w:val="single" w:sz="4" w:space="0" w:color="auto"/>
              <w:left w:val="single" w:sz="4" w:space="0" w:color="auto"/>
              <w:bottom w:val="single" w:sz="4" w:space="0" w:color="auto"/>
              <w:right w:val="single" w:sz="4" w:space="0" w:color="auto"/>
            </w:tcBorders>
          </w:tcPr>
          <w:p w14:paraId="749746AA" w14:textId="77777777" w:rsidR="001F13FB" w:rsidRPr="00FB42C1" w:rsidRDefault="00FF27C5" w:rsidP="00A912D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REF</w:t>
            </w:r>
          </w:p>
        </w:tc>
        <w:tc>
          <w:tcPr>
            <w:tcW w:w="1276" w:type="dxa"/>
            <w:tcBorders>
              <w:top w:val="single" w:sz="4" w:space="0" w:color="auto"/>
              <w:left w:val="single" w:sz="4" w:space="0" w:color="auto"/>
              <w:bottom w:val="single" w:sz="4" w:space="0" w:color="auto"/>
              <w:right w:val="single" w:sz="4" w:space="0" w:color="auto"/>
            </w:tcBorders>
          </w:tcPr>
          <w:p w14:paraId="6A7EDFDE" w14:textId="77777777" w:rsidR="001F13FB" w:rsidRPr="00FB42C1" w:rsidRDefault="001F13FB" w:rsidP="00A912D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66" w:type="dxa"/>
            <w:tcBorders>
              <w:top w:val="single" w:sz="4" w:space="0" w:color="auto"/>
              <w:left w:val="single" w:sz="4" w:space="0" w:color="auto"/>
              <w:bottom w:val="single" w:sz="4" w:space="0" w:color="auto"/>
              <w:right w:val="single" w:sz="4" w:space="0" w:color="auto"/>
            </w:tcBorders>
          </w:tcPr>
          <w:p w14:paraId="205F2815" w14:textId="77777777" w:rsidR="001F13FB" w:rsidRPr="00FB42C1" w:rsidRDefault="001F13FB" w:rsidP="00A912D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FF27C5" w:rsidRPr="00FB42C1" w14:paraId="7497C842" w14:textId="77777777" w:rsidTr="00883A16">
        <w:trPr>
          <w:cnfStyle w:val="000000010000" w:firstRow="0" w:lastRow="0" w:firstColumn="0" w:lastColumn="0" w:oddVBand="0" w:evenVBand="0" w:oddHBand="0" w:evenHBand="1"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04040" w:themeColor="text1" w:themeTint="BF"/>
              <w:left w:val="single" w:sz="8" w:space="0" w:color="404040" w:themeColor="text1" w:themeTint="BF"/>
              <w:bottom w:val="single" w:sz="8" w:space="0" w:color="404040" w:themeColor="text1" w:themeTint="BF"/>
              <w:right w:val="single" w:sz="4" w:space="0" w:color="404040" w:themeColor="text1" w:themeTint="BF"/>
            </w:tcBorders>
            <w:vAlign w:val="center"/>
          </w:tcPr>
          <w:p w14:paraId="51B68765" w14:textId="77777777" w:rsidR="00FF27C5" w:rsidRPr="00FB42C1" w:rsidRDefault="00FF27C5" w:rsidP="00A912D5">
            <w:pPr>
              <w:spacing w:after="0" w:line="240" w:lineRule="auto"/>
              <w:rPr>
                <w:rFonts w:ascii="Arial" w:hAnsi="Arial" w:cs="Arial"/>
                <w:color w:val="FFFFFF" w:themeColor="background1"/>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51CF5" w14:textId="77777777" w:rsidR="00FF27C5" w:rsidRPr="00FB42C1" w:rsidRDefault="00FF27C5" w:rsidP="00A912D5">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Septicaemia only</w:t>
            </w:r>
          </w:p>
        </w:tc>
        <w:tc>
          <w:tcPr>
            <w:tcW w:w="1418" w:type="dxa"/>
            <w:tcBorders>
              <w:top w:val="single" w:sz="4" w:space="0" w:color="auto"/>
              <w:left w:val="single" w:sz="4" w:space="0" w:color="auto"/>
              <w:bottom w:val="single" w:sz="4" w:space="0" w:color="auto"/>
              <w:right w:val="single" w:sz="4" w:space="0" w:color="auto"/>
            </w:tcBorders>
          </w:tcPr>
          <w:p w14:paraId="41E4D917" w14:textId="77777777" w:rsidR="00FF27C5" w:rsidRPr="00FB42C1" w:rsidRDefault="00E805B1" w:rsidP="00A912D5">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w:t>
            </w:r>
            <w:r w:rsidR="001A7C08" w:rsidRPr="00FB42C1">
              <w:rPr>
                <w:rFonts w:ascii="Arial" w:hAnsi="Arial" w:cs="Arial"/>
                <w:sz w:val="16"/>
                <w:szCs w:val="16"/>
              </w:rPr>
              <w:t>·</w:t>
            </w:r>
            <w:r w:rsidRPr="00FB42C1">
              <w:rPr>
                <w:rFonts w:ascii="Arial" w:hAnsi="Arial" w:cs="Arial"/>
                <w:sz w:val="16"/>
                <w:szCs w:val="16"/>
              </w:rPr>
              <w:t>44</w:t>
            </w:r>
          </w:p>
        </w:tc>
        <w:tc>
          <w:tcPr>
            <w:tcW w:w="1276" w:type="dxa"/>
            <w:tcBorders>
              <w:top w:val="single" w:sz="4" w:space="0" w:color="auto"/>
              <w:left w:val="single" w:sz="4" w:space="0" w:color="auto"/>
              <w:bottom w:val="single" w:sz="4" w:space="0" w:color="auto"/>
              <w:right w:val="single" w:sz="4" w:space="0" w:color="auto"/>
            </w:tcBorders>
          </w:tcPr>
          <w:p w14:paraId="03692B64" w14:textId="77777777" w:rsidR="00FF27C5" w:rsidRPr="00FB42C1" w:rsidRDefault="00E805B1" w:rsidP="00A912D5">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w:t>
            </w:r>
            <w:r w:rsidR="001A7C08" w:rsidRPr="00FB42C1">
              <w:rPr>
                <w:rFonts w:ascii="Arial" w:hAnsi="Arial" w:cs="Arial"/>
                <w:sz w:val="16"/>
                <w:szCs w:val="16"/>
              </w:rPr>
              <w:t>·</w:t>
            </w:r>
            <w:r w:rsidRPr="00FB42C1">
              <w:rPr>
                <w:rFonts w:ascii="Arial" w:hAnsi="Arial" w:cs="Arial"/>
                <w:sz w:val="16"/>
                <w:szCs w:val="16"/>
              </w:rPr>
              <w:t>01-6</w:t>
            </w:r>
            <w:r w:rsidR="001A7C08" w:rsidRPr="00FB42C1">
              <w:rPr>
                <w:rFonts w:ascii="Arial" w:hAnsi="Arial" w:cs="Arial"/>
                <w:sz w:val="16"/>
                <w:szCs w:val="16"/>
              </w:rPr>
              <w:t>·</w:t>
            </w:r>
            <w:r w:rsidRPr="00FB42C1">
              <w:rPr>
                <w:rFonts w:ascii="Arial" w:hAnsi="Arial" w:cs="Arial"/>
                <w:sz w:val="16"/>
                <w:szCs w:val="16"/>
              </w:rPr>
              <w:t>53</w:t>
            </w:r>
          </w:p>
        </w:tc>
        <w:tc>
          <w:tcPr>
            <w:tcW w:w="866" w:type="dxa"/>
            <w:tcBorders>
              <w:top w:val="single" w:sz="4" w:space="0" w:color="auto"/>
              <w:left w:val="single" w:sz="4" w:space="0" w:color="auto"/>
              <w:bottom w:val="single" w:sz="4" w:space="0" w:color="auto"/>
              <w:right w:val="single" w:sz="4" w:space="0" w:color="auto"/>
            </w:tcBorders>
          </w:tcPr>
          <w:p w14:paraId="74B23B3F" w14:textId="77777777" w:rsidR="00FF27C5" w:rsidRPr="00FB42C1" w:rsidRDefault="00E805B1" w:rsidP="00A912D5">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&lt;0</w:t>
            </w:r>
            <w:r w:rsidR="001A7C08" w:rsidRPr="00FB42C1">
              <w:rPr>
                <w:rFonts w:ascii="Arial" w:hAnsi="Arial" w:cs="Arial"/>
                <w:sz w:val="16"/>
                <w:szCs w:val="16"/>
              </w:rPr>
              <w:t>·</w:t>
            </w:r>
            <w:r w:rsidRPr="00FB42C1">
              <w:rPr>
                <w:rFonts w:ascii="Arial" w:hAnsi="Arial" w:cs="Arial"/>
                <w:sz w:val="16"/>
                <w:szCs w:val="16"/>
              </w:rPr>
              <w:t>001</w:t>
            </w:r>
          </w:p>
        </w:tc>
      </w:tr>
      <w:tr w:rsidR="00FF27C5" w:rsidRPr="00FB42C1" w14:paraId="233A53DB" w14:textId="77777777" w:rsidTr="00883A16">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04040" w:themeColor="text1" w:themeTint="BF"/>
              <w:left w:val="single" w:sz="8" w:space="0" w:color="404040" w:themeColor="text1" w:themeTint="BF"/>
              <w:bottom w:val="single" w:sz="8" w:space="0" w:color="404040" w:themeColor="text1" w:themeTint="BF"/>
              <w:right w:val="single" w:sz="4" w:space="0" w:color="404040" w:themeColor="text1" w:themeTint="BF"/>
            </w:tcBorders>
            <w:vAlign w:val="center"/>
            <w:hideMark/>
          </w:tcPr>
          <w:p w14:paraId="7DEA8D39" w14:textId="77777777" w:rsidR="00FF27C5" w:rsidRPr="00FB42C1" w:rsidRDefault="00FF27C5" w:rsidP="00A912D5">
            <w:pPr>
              <w:spacing w:after="0" w:line="240" w:lineRule="auto"/>
              <w:rPr>
                <w:rFonts w:ascii="Arial" w:hAnsi="Arial" w:cs="Arial"/>
                <w:color w:val="FFFFFF" w:themeColor="background1"/>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8D0A6" w14:textId="77777777" w:rsidR="00FF27C5" w:rsidRPr="00FB42C1" w:rsidRDefault="00FF27C5" w:rsidP="00A912D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Meningitis and septicaemia</w:t>
            </w:r>
          </w:p>
        </w:tc>
        <w:tc>
          <w:tcPr>
            <w:tcW w:w="1418" w:type="dxa"/>
            <w:tcBorders>
              <w:top w:val="single" w:sz="4" w:space="0" w:color="auto"/>
              <w:left w:val="single" w:sz="4" w:space="0" w:color="auto"/>
              <w:bottom w:val="single" w:sz="4" w:space="0" w:color="auto"/>
              <w:right w:val="single" w:sz="4" w:space="0" w:color="auto"/>
            </w:tcBorders>
          </w:tcPr>
          <w:p w14:paraId="60A93D67" w14:textId="77777777" w:rsidR="00FF27C5" w:rsidRPr="00FB42C1" w:rsidRDefault="00E805B1" w:rsidP="00A912D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w:t>
            </w:r>
            <w:r w:rsidR="001A7C08" w:rsidRPr="00FB42C1">
              <w:rPr>
                <w:rFonts w:ascii="Arial" w:hAnsi="Arial" w:cs="Arial"/>
                <w:sz w:val="16"/>
                <w:szCs w:val="16"/>
              </w:rPr>
              <w:t>·</w:t>
            </w:r>
            <w:r w:rsidRPr="00FB42C1">
              <w:rPr>
                <w:rFonts w:ascii="Arial" w:hAnsi="Arial" w:cs="Arial"/>
                <w:sz w:val="16"/>
                <w:szCs w:val="16"/>
              </w:rPr>
              <w:t>29</w:t>
            </w:r>
          </w:p>
        </w:tc>
        <w:tc>
          <w:tcPr>
            <w:tcW w:w="1276" w:type="dxa"/>
            <w:tcBorders>
              <w:top w:val="single" w:sz="4" w:space="0" w:color="auto"/>
              <w:left w:val="single" w:sz="4" w:space="0" w:color="auto"/>
              <w:bottom w:val="single" w:sz="4" w:space="0" w:color="auto"/>
              <w:right w:val="single" w:sz="4" w:space="0" w:color="auto"/>
            </w:tcBorders>
          </w:tcPr>
          <w:p w14:paraId="57A59519" w14:textId="77777777" w:rsidR="00FF27C5" w:rsidRPr="00FB42C1" w:rsidRDefault="00E805B1" w:rsidP="00A912D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w:t>
            </w:r>
            <w:r w:rsidR="001A7C08" w:rsidRPr="00FB42C1">
              <w:rPr>
                <w:rFonts w:ascii="Arial" w:hAnsi="Arial" w:cs="Arial"/>
                <w:sz w:val="16"/>
                <w:szCs w:val="16"/>
              </w:rPr>
              <w:t>·</w:t>
            </w:r>
            <w:r w:rsidRPr="00FB42C1">
              <w:rPr>
                <w:rFonts w:ascii="Arial" w:hAnsi="Arial" w:cs="Arial"/>
                <w:sz w:val="16"/>
                <w:szCs w:val="16"/>
              </w:rPr>
              <w:t>18-8</w:t>
            </w:r>
            <w:r w:rsidR="001A7C08" w:rsidRPr="00FB42C1">
              <w:rPr>
                <w:rFonts w:ascii="Arial" w:hAnsi="Arial" w:cs="Arial"/>
                <w:sz w:val="16"/>
                <w:szCs w:val="16"/>
              </w:rPr>
              <w:t>·</w:t>
            </w:r>
            <w:r w:rsidRPr="00FB42C1">
              <w:rPr>
                <w:rFonts w:ascii="Arial" w:hAnsi="Arial" w:cs="Arial"/>
                <w:sz w:val="16"/>
                <w:szCs w:val="16"/>
              </w:rPr>
              <w:t>80</w:t>
            </w:r>
          </w:p>
        </w:tc>
        <w:tc>
          <w:tcPr>
            <w:tcW w:w="866" w:type="dxa"/>
            <w:tcBorders>
              <w:top w:val="single" w:sz="4" w:space="0" w:color="auto"/>
              <w:left w:val="single" w:sz="4" w:space="0" w:color="auto"/>
              <w:bottom w:val="single" w:sz="4" w:space="0" w:color="auto"/>
              <w:right w:val="single" w:sz="4" w:space="0" w:color="auto"/>
            </w:tcBorders>
          </w:tcPr>
          <w:p w14:paraId="0655C384" w14:textId="77777777" w:rsidR="00FF27C5" w:rsidRPr="00FB42C1" w:rsidRDefault="00E805B1" w:rsidP="00A912D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&lt;0</w:t>
            </w:r>
            <w:r w:rsidR="001A7C08" w:rsidRPr="00FB42C1">
              <w:rPr>
                <w:rFonts w:ascii="Arial" w:hAnsi="Arial" w:cs="Arial"/>
                <w:sz w:val="16"/>
                <w:szCs w:val="16"/>
              </w:rPr>
              <w:t>·</w:t>
            </w:r>
            <w:r w:rsidRPr="00FB42C1">
              <w:rPr>
                <w:rFonts w:ascii="Arial" w:hAnsi="Arial" w:cs="Arial"/>
                <w:sz w:val="16"/>
                <w:szCs w:val="16"/>
              </w:rPr>
              <w:t>001</w:t>
            </w:r>
          </w:p>
        </w:tc>
      </w:tr>
      <w:tr w:rsidR="00FF27C5" w:rsidRPr="00FB42C1" w14:paraId="1D3477AB" w14:textId="77777777" w:rsidTr="00883A16">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404040" w:themeColor="text1" w:themeTint="BF"/>
              <w:left w:val="single" w:sz="8" w:space="0" w:color="404040" w:themeColor="text1" w:themeTint="BF"/>
              <w:bottom w:val="single" w:sz="8" w:space="0" w:color="404040" w:themeColor="text1" w:themeTint="BF"/>
              <w:right w:val="single" w:sz="4" w:space="0" w:color="404040" w:themeColor="text1" w:themeTint="BF"/>
            </w:tcBorders>
            <w:shd w:val="clear" w:color="auto" w:fill="000000" w:themeFill="text1"/>
            <w:hideMark/>
          </w:tcPr>
          <w:p w14:paraId="0FAFB52E" w14:textId="77777777" w:rsidR="00FF27C5" w:rsidRPr="00FB42C1" w:rsidRDefault="00FF27C5" w:rsidP="00A912D5">
            <w:pPr>
              <w:spacing w:after="0"/>
              <w:rPr>
                <w:rFonts w:ascii="Arial" w:hAnsi="Arial" w:cs="Arial"/>
                <w:color w:val="FFFFFF" w:themeColor="background1"/>
                <w:sz w:val="16"/>
                <w:szCs w:val="16"/>
              </w:rPr>
            </w:pPr>
            <w:r w:rsidRPr="00FB42C1">
              <w:rPr>
                <w:rFonts w:ascii="Arial" w:hAnsi="Arial" w:cs="Arial"/>
                <w:color w:val="FFFFFF" w:themeColor="background1"/>
                <w:sz w:val="16"/>
                <w:szCs w:val="16"/>
              </w:rPr>
              <w:t>Age group</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65729" w14:textId="77777777" w:rsidR="00FF27C5" w:rsidRPr="00FB42C1" w:rsidRDefault="00FF27C5" w:rsidP="00A912D5">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&lt;1yrs</w:t>
            </w:r>
          </w:p>
        </w:tc>
        <w:tc>
          <w:tcPr>
            <w:tcW w:w="1418" w:type="dxa"/>
            <w:tcBorders>
              <w:top w:val="single" w:sz="4" w:space="0" w:color="auto"/>
              <w:left w:val="single" w:sz="4" w:space="0" w:color="auto"/>
              <w:bottom w:val="single" w:sz="4" w:space="0" w:color="auto"/>
              <w:right w:val="single" w:sz="4" w:space="0" w:color="auto"/>
            </w:tcBorders>
          </w:tcPr>
          <w:p w14:paraId="6E0ABB99" w14:textId="77777777" w:rsidR="00FF27C5" w:rsidRPr="00FB42C1" w:rsidRDefault="00FF27C5" w:rsidP="00A912D5">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REF</w:t>
            </w:r>
          </w:p>
        </w:tc>
        <w:tc>
          <w:tcPr>
            <w:tcW w:w="1276" w:type="dxa"/>
            <w:tcBorders>
              <w:top w:val="single" w:sz="4" w:space="0" w:color="auto"/>
              <w:left w:val="single" w:sz="4" w:space="0" w:color="auto"/>
              <w:bottom w:val="single" w:sz="4" w:space="0" w:color="auto"/>
              <w:right w:val="single" w:sz="4" w:space="0" w:color="auto"/>
            </w:tcBorders>
          </w:tcPr>
          <w:p w14:paraId="2CCBD884" w14:textId="77777777" w:rsidR="00FF27C5" w:rsidRPr="00FB42C1" w:rsidRDefault="00FF27C5" w:rsidP="00A912D5">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866" w:type="dxa"/>
            <w:tcBorders>
              <w:top w:val="single" w:sz="4" w:space="0" w:color="auto"/>
              <w:left w:val="single" w:sz="4" w:space="0" w:color="auto"/>
              <w:bottom w:val="single" w:sz="4" w:space="0" w:color="auto"/>
              <w:right w:val="single" w:sz="4" w:space="0" w:color="auto"/>
            </w:tcBorders>
          </w:tcPr>
          <w:p w14:paraId="233E0437" w14:textId="77777777" w:rsidR="00FF27C5" w:rsidRPr="00FB42C1" w:rsidRDefault="00FF27C5" w:rsidP="00A912D5">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FF27C5" w:rsidRPr="00FB42C1" w14:paraId="7E13E475" w14:textId="77777777" w:rsidTr="00883A16">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04040" w:themeColor="text1" w:themeTint="BF"/>
              <w:left w:val="single" w:sz="8" w:space="0" w:color="404040" w:themeColor="text1" w:themeTint="BF"/>
              <w:bottom w:val="single" w:sz="8" w:space="0" w:color="404040" w:themeColor="text1" w:themeTint="BF"/>
              <w:right w:val="single" w:sz="4" w:space="0" w:color="404040" w:themeColor="text1" w:themeTint="BF"/>
            </w:tcBorders>
            <w:shd w:val="clear" w:color="auto" w:fill="000000" w:themeFill="text1"/>
          </w:tcPr>
          <w:p w14:paraId="00DF8BC1" w14:textId="77777777" w:rsidR="00FF27C5" w:rsidRPr="00FB42C1" w:rsidRDefault="00FF27C5" w:rsidP="00A912D5">
            <w:pPr>
              <w:spacing w:after="0"/>
              <w:rPr>
                <w:rFonts w:ascii="Arial" w:hAnsi="Arial" w:cs="Arial"/>
                <w:color w:val="FFFFFF" w:themeColor="background1"/>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1A2C" w14:textId="77777777" w:rsidR="00FF27C5" w:rsidRPr="00FB42C1" w:rsidRDefault="00E805B1" w:rsidP="00A912D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15-24yrs</w:t>
            </w:r>
          </w:p>
        </w:tc>
        <w:tc>
          <w:tcPr>
            <w:tcW w:w="1418" w:type="dxa"/>
            <w:tcBorders>
              <w:top w:val="single" w:sz="4" w:space="0" w:color="auto"/>
              <w:left w:val="single" w:sz="4" w:space="0" w:color="auto"/>
              <w:bottom w:val="single" w:sz="4" w:space="0" w:color="auto"/>
              <w:right w:val="single" w:sz="4" w:space="0" w:color="auto"/>
            </w:tcBorders>
          </w:tcPr>
          <w:p w14:paraId="1455C029" w14:textId="77777777" w:rsidR="00FF27C5" w:rsidRPr="00FB42C1" w:rsidRDefault="00E805B1" w:rsidP="00A912D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w:t>
            </w:r>
            <w:r w:rsidR="001A7C08" w:rsidRPr="00FB42C1">
              <w:rPr>
                <w:rFonts w:ascii="Arial" w:hAnsi="Arial" w:cs="Arial"/>
                <w:sz w:val="16"/>
                <w:szCs w:val="16"/>
              </w:rPr>
              <w:t>·</w:t>
            </w:r>
            <w:r w:rsidRPr="00FB42C1">
              <w:rPr>
                <w:rFonts w:ascii="Arial" w:hAnsi="Arial" w:cs="Arial"/>
                <w:sz w:val="16"/>
                <w:szCs w:val="16"/>
              </w:rPr>
              <w:t>49</w:t>
            </w:r>
          </w:p>
        </w:tc>
        <w:tc>
          <w:tcPr>
            <w:tcW w:w="1276" w:type="dxa"/>
            <w:tcBorders>
              <w:top w:val="single" w:sz="4" w:space="0" w:color="auto"/>
              <w:left w:val="single" w:sz="4" w:space="0" w:color="auto"/>
              <w:bottom w:val="single" w:sz="4" w:space="0" w:color="auto"/>
              <w:right w:val="single" w:sz="4" w:space="0" w:color="auto"/>
            </w:tcBorders>
          </w:tcPr>
          <w:p w14:paraId="38B9B063" w14:textId="77777777" w:rsidR="00FF27C5" w:rsidRPr="00FB42C1" w:rsidRDefault="00E805B1" w:rsidP="00A912D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w:t>
            </w:r>
            <w:r w:rsidR="001A7C08" w:rsidRPr="00FB42C1">
              <w:rPr>
                <w:rFonts w:ascii="Arial" w:hAnsi="Arial" w:cs="Arial"/>
                <w:sz w:val="16"/>
                <w:szCs w:val="16"/>
              </w:rPr>
              <w:t>·</w:t>
            </w:r>
            <w:r w:rsidRPr="00FB42C1">
              <w:rPr>
                <w:rFonts w:ascii="Arial" w:hAnsi="Arial" w:cs="Arial"/>
                <w:sz w:val="16"/>
                <w:szCs w:val="16"/>
              </w:rPr>
              <w:t>60-3</w:t>
            </w:r>
            <w:r w:rsidR="001A7C08" w:rsidRPr="00FB42C1">
              <w:rPr>
                <w:rFonts w:ascii="Arial" w:hAnsi="Arial" w:cs="Arial"/>
                <w:sz w:val="16"/>
                <w:szCs w:val="16"/>
              </w:rPr>
              <w:t>·</w:t>
            </w:r>
            <w:r w:rsidRPr="00FB42C1">
              <w:rPr>
                <w:rFonts w:ascii="Arial" w:hAnsi="Arial" w:cs="Arial"/>
                <w:sz w:val="16"/>
                <w:szCs w:val="16"/>
              </w:rPr>
              <w:t>88</w:t>
            </w:r>
          </w:p>
        </w:tc>
        <w:tc>
          <w:tcPr>
            <w:tcW w:w="866" w:type="dxa"/>
            <w:tcBorders>
              <w:top w:val="single" w:sz="4" w:space="0" w:color="auto"/>
              <w:left w:val="single" w:sz="4" w:space="0" w:color="auto"/>
              <w:bottom w:val="single" w:sz="4" w:space="0" w:color="auto"/>
              <w:right w:val="single" w:sz="4" w:space="0" w:color="auto"/>
            </w:tcBorders>
          </w:tcPr>
          <w:p w14:paraId="46B08CBC" w14:textId="77777777" w:rsidR="00FF27C5" w:rsidRPr="00FB42C1" w:rsidRDefault="00E805B1" w:rsidP="00A912D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&lt;0</w:t>
            </w:r>
            <w:r w:rsidR="001A7C08" w:rsidRPr="00FB42C1">
              <w:rPr>
                <w:rFonts w:ascii="Arial" w:hAnsi="Arial" w:cs="Arial"/>
                <w:sz w:val="16"/>
                <w:szCs w:val="16"/>
              </w:rPr>
              <w:t>·</w:t>
            </w:r>
            <w:r w:rsidRPr="00FB42C1">
              <w:rPr>
                <w:rFonts w:ascii="Arial" w:hAnsi="Arial" w:cs="Arial"/>
                <w:sz w:val="16"/>
                <w:szCs w:val="16"/>
              </w:rPr>
              <w:t>001</w:t>
            </w:r>
          </w:p>
        </w:tc>
      </w:tr>
      <w:tr w:rsidR="00FF27C5" w:rsidRPr="00FB42C1" w14:paraId="71D3A9D1" w14:textId="77777777" w:rsidTr="00883A16">
        <w:trPr>
          <w:cnfStyle w:val="000000010000" w:firstRow="0" w:lastRow="0" w:firstColumn="0" w:lastColumn="0" w:oddVBand="0" w:evenVBand="0" w:oddHBand="0" w:evenHBand="1"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04040" w:themeColor="text1" w:themeTint="BF"/>
              <w:left w:val="single" w:sz="8" w:space="0" w:color="404040" w:themeColor="text1" w:themeTint="BF"/>
              <w:bottom w:val="single" w:sz="8" w:space="0" w:color="404040" w:themeColor="text1" w:themeTint="BF"/>
              <w:right w:val="single" w:sz="4" w:space="0" w:color="404040" w:themeColor="text1" w:themeTint="BF"/>
            </w:tcBorders>
            <w:vAlign w:val="center"/>
            <w:hideMark/>
          </w:tcPr>
          <w:p w14:paraId="5C304660" w14:textId="77777777" w:rsidR="00FF27C5" w:rsidRPr="00FB42C1" w:rsidRDefault="00FF27C5" w:rsidP="00A912D5">
            <w:pPr>
              <w:spacing w:after="0" w:line="240" w:lineRule="auto"/>
              <w:rPr>
                <w:rFonts w:ascii="Arial" w:hAnsi="Arial" w:cs="Arial"/>
                <w:color w:val="FFFFFF" w:themeColor="background1"/>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08C40A" w14:textId="77777777" w:rsidR="00FF27C5" w:rsidRPr="00FB42C1" w:rsidRDefault="00E805B1" w:rsidP="00A912D5">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45-64yrs</w:t>
            </w:r>
          </w:p>
        </w:tc>
        <w:tc>
          <w:tcPr>
            <w:tcW w:w="1418" w:type="dxa"/>
            <w:tcBorders>
              <w:top w:val="single" w:sz="4" w:space="0" w:color="auto"/>
              <w:left w:val="single" w:sz="4" w:space="0" w:color="auto"/>
              <w:bottom w:val="single" w:sz="4" w:space="0" w:color="auto"/>
              <w:right w:val="single" w:sz="4" w:space="0" w:color="auto"/>
            </w:tcBorders>
          </w:tcPr>
          <w:p w14:paraId="42559471" w14:textId="77777777" w:rsidR="00FF27C5" w:rsidRPr="00FB42C1" w:rsidRDefault="00E805B1" w:rsidP="00A912D5">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w:t>
            </w:r>
            <w:r w:rsidR="001A7C08" w:rsidRPr="00FB42C1">
              <w:rPr>
                <w:rFonts w:ascii="Arial" w:hAnsi="Arial" w:cs="Arial"/>
                <w:sz w:val="16"/>
                <w:szCs w:val="16"/>
              </w:rPr>
              <w:t>·</w:t>
            </w:r>
            <w:r w:rsidRPr="00FB42C1">
              <w:rPr>
                <w:rFonts w:ascii="Arial" w:hAnsi="Arial" w:cs="Arial"/>
                <w:sz w:val="16"/>
                <w:szCs w:val="16"/>
              </w:rPr>
              <w:t>33</w:t>
            </w:r>
          </w:p>
        </w:tc>
        <w:tc>
          <w:tcPr>
            <w:tcW w:w="1276" w:type="dxa"/>
            <w:tcBorders>
              <w:top w:val="single" w:sz="4" w:space="0" w:color="auto"/>
              <w:left w:val="single" w:sz="4" w:space="0" w:color="auto"/>
              <w:bottom w:val="single" w:sz="4" w:space="0" w:color="auto"/>
              <w:right w:val="single" w:sz="4" w:space="0" w:color="auto"/>
            </w:tcBorders>
          </w:tcPr>
          <w:p w14:paraId="682C8099" w14:textId="77777777" w:rsidR="00FF27C5" w:rsidRPr="00FB42C1" w:rsidRDefault="00E805B1" w:rsidP="00A912D5">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w:t>
            </w:r>
            <w:r w:rsidR="001A7C08" w:rsidRPr="00FB42C1">
              <w:rPr>
                <w:rFonts w:ascii="Arial" w:hAnsi="Arial" w:cs="Arial"/>
                <w:sz w:val="16"/>
                <w:szCs w:val="16"/>
              </w:rPr>
              <w:t>·</w:t>
            </w:r>
            <w:r w:rsidRPr="00FB42C1">
              <w:rPr>
                <w:rFonts w:ascii="Arial" w:hAnsi="Arial" w:cs="Arial"/>
                <w:sz w:val="16"/>
                <w:szCs w:val="16"/>
              </w:rPr>
              <w:t>32-4</w:t>
            </w:r>
            <w:r w:rsidR="001A7C08" w:rsidRPr="00FB42C1">
              <w:rPr>
                <w:rFonts w:ascii="Arial" w:hAnsi="Arial" w:cs="Arial"/>
                <w:sz w:val="16"/>
                <w:szCs w:val="16"/>
              </w:rPr>
              <w:t>·</w:t>
            </w:r>
            <w:r w:rsidRPr="00FB42C1">
              <w:rPr>
                <w:rFonts w:ascii="Arial" w:hAnsi="Arial" w:cs="Arial"/>
                <w:sz w:val="16"/>
                <w:szCs w:val="16"/>
              </w:rPr>
              <w:t>13</w:t>
            </w:r>
          </w:p>
        </w:tc>
        <w:tc>
          <w:tcPr>
            <w:tcW w:w="866" w:type="dxa"/>
            <w:tcBorders>
              <w:top w:val="single" w:sz="4" w:space="0" w:color="auto"/>
              <w:left w:val="single" w:sz="4" w:space="0" w:color="auto"/>
              <w:bottom w:val="single" w:sz="4" w:space="0" w:color="auto"/>
              <w:right w:val="single" w:sz="4" w:space="0" w:color="auto"/>
            </w:tcBorders>
          </w:tcPr>
          <w:p w14:paraId="0E4E6DB6" w14:textId="77777777" w:rsidR="00FF27C5" w:rsidRPr="00FB42C1" w:rsidRDefault="00E805B1" w:rsidP="00A912D5">
            <w:pPr>
              <w:spacing w:after="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r w:rsidR="001A7C08" w:rsidRPr="00FB42C1">
              <w:rPr>
                <w:rFonts w:ascii="Arial" w:hAnsi="Arial" w:cs="Arial"/>
                <w:sz w:val="16"/>
                <w:szCs w:val="16"/>
              </w:rPr>
              <w:t>·</w:t>
            </w:r>
            <w:r w:rsidRPr="00FB42C1">
              <w:rPr>
                <w:rFonts w:ascii="Arial" w:hAnsi="Arial" w:cs="Arial"/>
                <w:sz w:val="16"/>
                <w:szCs w:val="16"/>
              </w:rPr>
              <w:t>004</w:t>
            </w:r>
          </w:p>
        </w:tc>
      </w:tr>
      <w:tr w:rsidR="00E805B1" w:rsidRPr="00FB42C1" w14:paraId="04B088FA" w14:textId="77777777" w:rsidTr="00883A16">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04040" w:themeColor="text1" w:themeTint="BF"/>
              <w:left w:val="single" w:sz="8" w:space="0" w:color="404040" w:themeColor="text1" w:themeTint="BF"/>
              <w:bottom w:val="single" w:sz="8" w:space="0" w:color="404040" w:themeColor="text1" w:themeTint="BF"/>
              <w:right w:val="single" w:sz="4" w:space="0" w:color="404040" w:themeColor="text1" w:themeTint="BF"/>
            </w:tcBorders>
            <w:vAlign w:val="center"/>
            <w:hideMark/>
          </w:tcPr>
          <w:p w14:paraId="6026BACC" w14:textId="77777777" w:rsidR="00E805B1" w:rsidRPr="00FB42C1" w:rsidRDefault="00E805B1" w:rsidP="00A912D5">
            <w:pPr>
              <w:spacing w:after="0" w:line="240" w:lineRule="auto"/>
              <w:rPr>
                <w:rFonts w:ascii="Arial" w:hAnsi="Arial" w:cs="Arial"/>
                <w:color w:val="FFFFFF" w:themeColor="background1"/>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D91853" w14:textId="77777777" w:rsidR="00E805B1" w:rsidRPr="00FB42C1" w:rsidRDefault="00E805B1" w:rsidP="00A912D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65+yrs</w:t>
            </w:r>
          </w:p>
        </w:tc>
        <w:tc>
          <w:tcPr>
            <w:tcW w:w="1418" w:type="dxa"/>
            <w:tcBorders>
              <w:top w:val="single" w:sz="4" w:space="0" w:color="auto"/>
              <w:left w:val="single" w:sz="4" w:space="0" w:color="auto"/>
              <w:bottom w:val="single" w:sz="4" w:space="0" w:color="auto"/>
              <w:right w:val="single" w:sz="4" w:space="0" w:color="auto"/>
            </w:tcBorders>
          </w:tcPr>
          <w:p w14:paraId="4B86F76D" w14:textId="77777777" w:rsidR="00E805B1" w:rsidRPr="00FB42C1" w:rsidRDefault="00E805B1" w:rsidP="00A912D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9</w:t>
            </w:r>
            <w:r w:rsidR="001A7C08" w:rsidRPr="00FB42C1">
              <w:rPr>
                <w:rFonts w:ascii="Arial" w:hAnsi="Arial" w:cs="Arial"/>
                <w:sz w:val="16"/>
                <w:szCs w:val="16"/>
              </w:rPr>
              <w:t>·</w:t>
            </w:r>
            <w:r w:rsidRPr="00FB42C1">
              <w:rPr>
                <w:rFonts w:ascii="Arial" w:hAnsi="Arial" w:cs="Arial"/>
                <w:sz w:val="16"/>
                <w:szCs w:val="16"/>
              </w:rPr>
              <w:t>51</w:t>
            </w:r>
          </w:p>
        </w:tc>
        <w:tc>
          <w:tcPr>
            <w:tcW w:w="1276" w:type="dxa"/>
            <w:tcBorders>
              <w:top w:val="single" w:sz="4" w:space="0" w:color="auto"/>
              <w:left w:val="single" w:sz="4" w:space="0" w:color="auto"/>
              <w:bottom w:val="single" w:sz="4" w:space="0" w:color="auto"/>
              <w:right w:val="single" w:sz="4" w:space="0" w:color="auto"/>
            </w:tcBorders>
          </w:tcPr>
          <w:p w14:paraId="13CEF12F" w14:textId="77777777" w:rsidR="00E805B1" w:rsidRPr="00FB42C1" w:rsidRDefault="00E805B1" w:rsidP="00A912D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w:t>
            </w:r>
            <w:r w:rsidR="001A7C08" w:rsidRPr="00FB42C1">
              <w:rPr>
                <w:rFonts w:ascii="Arial" w:hAnsi="Arial" w:cs="Arial"/>
                <w:sz w:val="16"/>
                <w:szCs w:val="16"/>
              </w:rPr>
              <w:t>·</w:t>
            </w:r>
            <w:r w:rsidRPr="00FB42C1">
              <w:rPr>
                <w:rFonts w:ascii="Arial" w:hAnsi="Arial" w:cs="Arial"/>
                <w:sz w:val="16"/>
                <w:szCs w:val="16"/>
              </w:rPr>
              <w:t>90-15</w:t>
            </w:r>
            <w:r w:rsidR="001A7C08" w:rsidRPr="00FB42C1">
              <w:rPr>
                <w:rFonts w:ascii="Arial" w:hAnsi="Arial" w:cs="Arial"/>
                <w:sz w:val="16"/>
                <w:szCs w:val="16"/>
              </w:rPr>
              <w:t>·</w:t>
            </w:r>
            <w:r w:rsidRPr="00FB42C1">
              <w:rPr>
                <w:rFonts w:ascii="Arial" w:hAnsi="Arial" w:cs="Arial"/>
                <w:sz w:val="16"/>
                <w:szCs w:val="16"/>
              </w:rPr>
              <w:t>33</w:t>
            </w:r>
          </w:p>
        </w:tc>
        <w:tc>
          <w:tcPr>
            <w:tcW w:w="866" w:type="dxa"/>
            <w:tcBorders>
              <w:top w:val="single" w:sz="4" w:space="0" w:color="auto"/>
              <w:left w:val="single" w:sz="4" w:space="0" w:color="auto"/>
              <w:bottom w:val="single" w:sz="4" w:space="0" w:color="auto"/>
              <w:right w:val="single" w:sz="4" w:space="0" w:color="auto"/>
            </w:tcBorders>
          </w:tcPr>
          <w:p w14:paraId="050750B9" w14:textId="77777777" w:rsidR="00E805B1" w:rsidRPr="00FB42C1" w:rsidRDefault="00E805B1" w:rsidP="00A912D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&lt;0</w:t>
            </w:r>
            <w:r w:rsidR="001A7C08" w:rsidRPr="00FB42C1">
              <w:rPr>
                <w:rFonts w:ascii="Arial" w:hAnsi="Arial" w:cs="Arial"/>
                <w:sz w:val="16"/>
                <w:szCs w:val="16"/>
              </w:rPr>
              <w:t>·</w:t>
            </w:r>
            <w:r w:rsidRPr="00FB42C1">
              <w:rPr>
                <w:rFonts w:ascii="Arial" w:hAnsi="Arial" w:cs="Arial"/>
                <w:sz w:val="16"/>
                <w:szCs w:val="16"/>
              </w:rPr>
              <w:t>001</w:t>
            </w:r>
          </w:p>
        </w:tc>
      </w:tr>
    </w:tbl>
    <w:tbl>
      <w:tblPr>
        <w:tblStyle w:val="MediumShading11"/>
        <w:tblpPr w:leftFromText="180" w:rightFromText="180" w:vertAnchor="text" w:horzAnchor="margin" w:tblpX="108" w:tblpY="32"/>
        <w:tblW w:w="0" w:type="auto"/>
        <w:tblLayout w:type="fixed"/>
        <w:tblLook w:val="04A0" w:firstRow="1" w:lastRow="0" w:firstColumn="1" w:lastColumn="0" w:noHBand="0" w:noVBand="1"/>
      </w:tblPr>
      <w:tblGrid>
        <w:gridCol w:w="1526"/>
        <w:gridCol w:w="2977"/>
        <w:gridCol w:w="1343"/>
        <w:gridCol w:w="1276"/>
        <w:gridCol w:w="1066"/>
      </w:tblGrid>
      <w:tr w:rsidR="007A62F0" w:rsidRPr="00FB42C1" w14:paraId="5FC4C3AC" w14:textId="77777777" w:rsidTr="007A62F0">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4503" w:type="dxa"/>
            <w:gridSpan w:val="2"/>
            <w:hideMark/>
          </w:tcPr>
          <w:p w14:paraId="0383820A" w14:textId="77777777" w:rsidR="007A62F0" w:rsidRPr="00FB42C1" w:rsidRDefault="007A62F0" w:rsidP="007A62F0">
            <w:pPr>
              <w:spacing w:after="0" w:line="240" w:lineRule="auto"/>
              <w:rPr>
                <w:rFonts w:ascii="Arial" w:hAnsi="Arial" w:cs="Arial"/>
                <w:sz w:val="16"/>
                <w:szCs w:val="16"/>
              </w:rPr>
            </w:pPr>
            <w:r>
              <w:rPr>
                <w:rFonts w:ascii="Arial" w:hAnsi="Arial" w:cs="Arial"/>
                <w:sz w:val="16"/>
                <w:szCs w:val="16"/>
              </w:rPr>
              <w:t>(b) Logistic Regression for MenACWY deaths</w:t>
            </w:r>
          </w:p>
        </w:tc>
        <w:tc>
          <w:tcPr>
            <w:tcW w:w="1343" w:type="dxa"/>
            <w:hideMark/>
          </w:tcPr>
          <w:p w14:paraId="67207B58" w14:textId="77777777" w:rsidR="007A62F0" w:rsidRPr="00FB42C1" w:rsidRDefault="007A62F0" w:rsidP="007A62F0">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B42C1">
              <w:rPr>
                <w:rFonts w:ascii="Arial" w:hAnsi="Arial" w:cs="Arial"/>
                <w:sz w:val="16"/>
                <w:szCs w:val="16"/>
              </w:rPr>
              <w:t>Odds ratio</w:t>
            </w:r>
          </w:p>
        </w:tc>
        <w:tc>
          <w:tcPr>
            <w:tcW w:w="1276" w:type="dxa"/>
            <w:hideMark/>
          </w:tcPr>
          <w:p w14:paraId="6428C445" w14:textId="77777777" w:rsidR="007A62F0" w:rsidRPr="00FB42C1" w:rsidRDefault="007A62F0" w:rsidP="007A62F0">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B42C1">
              <w:rPr>
                <w:rFonts w:ascii="Arial" w:hAnsi="Arial" w:cs="Arial"/>
                <w:sz w:val="16"/>
                <w:szCs w:val="16"/>
              </w:rPr>
              <w:t>95%CI</w:t>
            </w:r>
          </w:p>
        </w:tc>
        <w:tc>
          <w:tcPr>
            <w:tcW w:w="1066" w:type="dxa"/>
            <w:hideMark/>
          </w:tcPr>
          <w:p w14:paraId="0AFE7B16" w14:textId="77777777" w:rsidR="007A62F0" w:rsidRPr="00FB42C1" w:rsidRDefault="007A62F0" w:rsidP="007A62F0">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B42C1">
              <w:rPr>
                <w:rFonts w:ascii="Arial" w:hAnsi="Arial" w:cs="Arial"/>
                <w:sz w:val="16"/>
                <w:szCs w:val="16"/>
              </w:rPr>
              <w:t>P value</w:t>
            </w:r>
          </w:p>
        </w:tc>
      </w:tr>
      <w:tr w:rsidR="007A62F0" w:rsidRPr="00FB42C1" w14:paraId="2817BD6B" w14:textId="77777777" w:rsidTr="00883A16">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526" w:type="dxa"/>
            <w:vMerge w:val="restart"/>
            <w:tcBorders>
              <w:top w:val="single" w:sz="8" w:space="0" w:color="404040" w:themeColor="text1" w:themeTint="BF"/>
              <w:left w:val="single" w:sz="8" w:space="0" w:color="404040" w:themeColor="text1" w:themeTint="BF"/>
              <w:right w:val="single" w:sz="4" w:space="0" w:color="404040" w:themeColor="text1" w:themeTint="BF"/>
            </w:tcBorders>
            <w:shd w:val="clear" w:color="auto" w:fill="000000" w:themeFill="text1"/>
          </w:tcPr>
          <w:p w14:paraId="1A937EAB" w14:textId="77777777" w:rsidR="007A62F0" w:rsidRPr="00FB42C1" w:rsidRDefault="007A62F0" w:rsidP="007A62F0">
            <w:pPr>
              <w:spacing w:after="0" w:line="240" w:lineRule="auto"/>
              <w:rPr>
                <w:rFonts w:ascii="Arial" w:hAnsi="Arial" w:cs="Arial"/>
                <w:color w:val="FFFFFF" w:themeColor="background1"/>
                <w:sz w:val="16"/>
                <w:szCs w:val="16"/>
              </w:rPr>
            </w:pPr>
            <w:r w:rsidRPr="00FB42C1">
              <w:rPr>
                <w:rFonts w:ascii="Arial" w:hAnsi="Arial" w:cs="Arial"/>
                <w:color w:val="FFFFFF" w:themeColor="background1"/>
                <w:sz w:val="16"/>
                <w:szCs w:val="16"/>
              </w:rPr>
              <w:t>Clinical presentation</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F3027" w14:textId="77777777" w:rsidR="007A62F0" w:rsidRPr="00FB42C1" w:rsidRDefault="007A62F0" w:rsidP="007A62F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Meningitis only </w:t>
            </w:r>
          </w:p>
        </w:tc>
        <w:tc>
          <w:tcPr>
            <w:tcW w:w="1343" w:type="dxa"/>
            <w:tcBorders>
              <w:top w:val="single" w:sz="4" w:space="0" w:color="auto"/>
              <w:left w:val="single" w:sz="4" w:space="0" w:color="auto"/>
              <w:bottom w:val="single" w:sz="4" w:space="0" w:color="auto"/>
              <w:right w:val="single" w:sz="4" w:space="0" w:color="auto"/>
            </w:tcBorders>
          </w:tcPr>
          <w:p w14:paraId="6F970D53" w14:textId="77777777" w:rsidR="007A62F0" w:rsidRPr="00FB42C1" w:rsidRDefault="007A62F0" w:rsidP="007A62F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REF</w:t>
            </w:r>
          </w:p>
        </w:tc>
        <w:tc>
          <w:tcPr>
            <w:tcW w:w="1276" w:type="dxa"/>
            <w:tcBorders>
              <w:top w:val="single" w:sz="4" w:space="0" w:color="auto"/>
              <w:left w:val="single" w:sz="4" w:space="0" w:color="auto"/>
              <w:bottom w:val="single" w:sz="4" w:space="0" w:color="auto"/>
              <w:right w:val="single" w:sz="4" w:space="0" w:color="auto"/>
            </w:tcBorders>
          </w:tcPr>
          <w:p w14:paraId="10E71C18" w14:textId="77777777" w:rsidR="007A62F0" w:rsidRPr="00FB42C1" w:rsidRDefault="007A62F0" w:rsidP="007A62F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66" w:type="dxa"/>
            <w:tcBorders>
              <w:top w:val="single" w:sz="4" w:space="0" w:color="auto"/>
              <w:left w:val="single" w:sz="4" w:space="0" w:color="auto"/>
              <w:bottom w:val="single" w:sz="4" w:space="0" w:color="auto"/>
              <w:right w:val="single" w:sz="4" w:space="0" w:color="auto"/>
            </w:tcBorders>
          </w:tcPr>
          <w:p w14:paraId="0D2D90C6" w14:textId="77777777" w:rsidR="007A62F0" w:rsidRPr="00FB42C1" w:rsidRDefault="007A62F0" w:rsidP="007A62F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7A62F0" w:rsidRPr="00FB42C1" w14:paraId="3DDDC607" w14:textId="77777777" w:rsidTr="00883A16">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526" w:type="dxa"/>
            <w:vMerge/>
            <w:tcBorders>
              <w:left w:val="single" w:sz="8" w:space="0" w:color="404040" w:themeColor="text1" w:themeTint="BF"/>
              <w:right w:val="single" w:sz="4" w:space="0" w:color="404040" w:themeColor="text1" w:themeTint="BF"/>
            </w:tcBorders>
            <w:shd w:val="clear" w:color="auto" w:fill="000000" w:themeFill="text1"/>
            <w:hideMark/>
          </w:tcPr>
          <w:p w14:paraId="31CA8245" w14:textId="77777777" w:rsidR="007A62F0" w:rsidRPr="00FB42C1" w:rsidRDefault="007A62F0" w:rsidP="007A62F0">
            <w:pPr>
              <w:spacing w:after="0" w:line="240" w:lineRule="auto"/>
              <w:rPr>
                <w:rFonts w:ascii="Arial" w:hAnsi="Arial" w:cs="Arial"/>
                <w:color w:val="FFFFFF" w:themeColor="background1"/>
                <w:sz w:val="16"/>
                <w:szCs w:val="16"/>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F46716" w14:textId="77777777" w:rsidR="007A62F0" w:rsidRPr="00FB42C1" w:rsidRDefault="007A62F0" w:rsidP="007A62F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Meningitis and septicaemia</w:t>
            </w:r>
          </w:p>
        </w:tc>
        <w:tc>
          <w:tcPr>
            <w:tcW w:w="1343" w:type="dxa"/>
            <w:tcBorders>
              <w:top w:val="single" w:sz="4" w:space="0" w:color="auto"/>
              <w:left w:val="single" w:sz="4" w:space="0" w:color="auto"/>
              <w:bottom w:val="single" w:sz="4" w:space="0" w:color="auto"/>
              <w:right w:val="single" w:sz="4" w:space="0" w:color="auto"/>
            </w:tcBorders>
          </w:tcPr>
          <w:p w14:paraId="7B237E8C" w14:textId="77777777" w:rsidR="007A62F0" w:rsidRPr="00FB42C1" w:rsidRDefault="007A62F0" w:rsidP="007A62F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6·06</w:t>
            </w:r>
          </w:p>
        </w:tc>
        <w:tc>
          <w:tcPr>
            <w:tcW w:w="1276" w:type="dxa"/>
            <w:tcBorders>
              <w:top w:val="single" w:sz="4" w:space="0" w:color="auto"/>
              <w:left w:val="single" w:sz="4" w:space="0" w:color="auto"/>
              <w:bottom w:val="single" w:sz="4" w:space="0" w:color="auto"/>
              <w:right w:val="single" w:sz="4" w:space="0" w:color="auto"/>
            </w:tcBorders>
          </w:tcPr>
          <w:p w14:paraId="1BBAAC9C" w14:textId="77777777" w:rsidR="007A62F0" w:rsidRPr="00FB42C1" w:rsidRDefault="007A62F0" w:rsidP="007A62F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2·44-15·02</w:t>
            </w:r>
          </w:p>
        </w:tc>
        <w:tc>
          <w:tcPr>
            <w:tcW w:w="1066" w:type="dxa"/>
            <w:tcBorders>
              <w:top w:val="single" w:sz="4" w:space="0" w:color="auto"/>
              <w:left w:val="single" w:sz="4" w:space="0" w:color="auto"/>
              <w:bottom w:val="single" w:sz="4" w:space="0" w:color="auto"/>
              <w:right w:val="single" w:sz="4" w:space="0" w:color="auto"/>
            </w:tcBorders>
          </w:tcPr>
          <w:p w14:paraId="637C97F0" w14:textId="77777777" w:rsidR="007A62F0" w:rsidRPr="00FB42C1" w:rsidRDefault="007A62F0" w:rsidP="007A62F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&lt;0·001</w:t>
            </w:r>
          </w:p>
        </w:tc>
      </w:tr>
      <w:tr w:rsidR="007A62F0" w:rsidRPr="00FB42C1" w14:paraId="1918415F" w14:textId="77777777" w:rsidTr="00883A16">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526" w:type="dxa"/>
            <w:vMerge/>
            <w:tcBorders>
              <w:left w:val="single" w:sz="8" w:space="0" w:color="404040" w:themeColor="text1" w:themeTint="BF"/>
              <w:bottom w:val="single" w:sz="8" w:space="0" w:color="404040" w:themeColor="text1" w:themeTint="BF"/>
              <w:right w:val="single" w:sz="4" w:space="0" w:color="404040" w:themeColor="text1" w:themeTint="BF"/>
            </w:tcBorders>
            <w:vAlign w:val="center"/>
            <w:hideMark/>
          </w:tcPr>
          <w:p w14:paraId="0002CD58" w14:textId="77777777" w:rsidR="007A62F0" w:rsidRPr="00FB42C1" w:rsidRDefault="007A62F0" w:rsidP="007A62F0">
            <w:pPr>
              <w:spacing w:after="0" w:line="240" w:lineRule="auto"/>
              <w:rPr>
                <w:rFonts w:ascii="Arial" w:hAnsi="Arial" w:cs="Arial"/>
                <w:color w:val="FFFFFF" w:themeColor="background1"/>
                <w:sz w:val="16"/>
                <w:szCs w:val="16"/>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8C516F" w14:textId="77777777" w:rsidR="007A62F0" w:rsidRPr="00FB42C1" w:rsidRDefault="007A62F0" w:rsidP="007A62F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Other</w:t>
            </w:r>
          </w:p>
          <w:p w14:paraId="501CC619" w14:textId="77777777" w:rsidR="007A62F0" w:rsidRPr="00FB42C1" w:rsidRDefault="007A62F0" w:rsidP="007A62F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43" w:type="dxa"/>
            <w:tcBorders>
              <w:top w:val="single" w:sz="4" w:space="0" w:color="auto"/>
              <w:left w:val="single" w:sz="4" w:space="0" w:color="auto"/>
              <w:bottom w:val="single" w:sz="4" w:space="0" w:color="auto"/>
              <w:right w:val="single" w:sz="4" w:space="0" w:color="auto"/>
            </w:tcBorders>
          </w:tcPr>
          <w:p w14:paraId="7AE88C49" w14:textId="77777777" w:rsidR="007A62F0" w:rsidRPr="00FB42C1" w:rsidRDefault="007A62F0" w:rsidP="007A62F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0·26</w:t>
            </w:r>
          </w:p>
        </w:tc>
        <w:tc>
          <w:tcPr>
            <w:tcW w:w="1276" w:type="dxa"/>
            <w:tcBorders>
              <w:top w:val="single" w:sz="4" w:space="0" w:color="auto"/>
              <w:left w:val="single" w:sz="4" w:space="0" w:color="auto"/>
              <w:bottom w:val="single" w:sz="4" w:space="0" w:color="auto"/>
              <w:right w:val="single" w:sz="4" w:space="0" w:color="auto"/>
            </w:tcBorders>
          </w:tcPr>
          <w:p w14:paraId="465AC022" w14:textId="77777777" w:rsidR="007A62F0" w:rsidRPr="00FB42C1" w:rsidRDefault="007A62F0" w:rsidP="007A62F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0·07-0·91</w:t>
            </w:r>
          </w:p>
        </w:tc>
        <w:tc>
          <w:tcPr>
            <w:tcW w:w="1066" w:type="dxa"/>
            <w:tcBorders>
              <w:top w:val="single" w:sz="4" w:space="0" w:color="auto"/>
              <w:left w:val="single" w:sz="4" w:space="0" w:color="auto"/>
              <w:bottom w:val="single" w:sz="4" w:space="0" w:color="auto"/>
              <w:right w:val="single" w:sz="4" w:space="0" w:color="auto"/>
            </w:tcBorders>
          </w:tcPr>
          <w:p w14:paraId="2289BCAF" w14:textId="77777777" w:rsidR="007A62F0" w:rsidRPr="00FB42C1" w:rsidRDefault="007A62F0" w:rsidP="007A62F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0·036</w:t>
            </w:r>
          </w:p>
        </w:tc>
      </w:tr>
      <w:tr w:rsidR="007A62F0" w:rsidRPr="00FB42C1" w14:paraId="2B4B7BA9" w14:textId="77777777" w:rsidTr="00883A16">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526" w:type="dxa"/>
            <w:vMerge w:val="restart"/>
            <w:tcBorders>
              <w:top w:val="single" w:sz="8" w:space="0" w:color="404040" w:themeColor="text1" w:themeTint="BF"/>
              <w:left w:val="single" w:sz="8" w:space="0" w:color="404040" w:themeColor="text1" w:themeTint="BF"/>
              <w:right w:val="single" w:sz="4" w:space="0" w:color="404040" w:themeColor="text1" w:themeTint="BF"/>
            </w:tcBorders>
            <w:shd w:val="clear" w:color="auto" w:fill="000000" w:themeFill="text1"/>
          </w:tcPr>
          <w:p w14:paraId="52908B0A" w14:textId="77777777" w:rsidR="007A62F0" w:rsidRPr="00FB42C1" w:rsidRDefault="007A62F0" w:rsidP="007A62F0">
            <w:pPr>
              <w:spacing w:after="0" w:line="240" w:lineRule="auto"/>
              <w:rPr>
                <w:rFonts w:ascii="Arial" w:hAnsi="Arial" w:cs="Arial"/>
                <w:color w:val="FFFFFF" w:themeColor="background1"/>
                <w:sz w:val="16"/>
                <w:szCs w:val="16"/>
              </w:rPr>
            </w:pPr>
            <w:r w:rsidRPr="00FB42C1">
              <w:rPr>
                <w:rFonts w:ascii="Arial" w:hAnsi="Arial" w:cs="Arial"/>
                <w:color w:val="FFFFFF" w:themeColor="background1"/>
                <w:sz w:val="16"/>
                <w:szCs w:val="16"/>
              </w:rPr>
              <w:t>Age group</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32DAF3" w14:textId="77777777" w:rsidR="007A62F0" w:rsidRPr="00FB42C1" w:rsidRDefault="007A62F0" w:rsidP="007A62F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&lt;1yrs</w:t>
            </w:r>
          </w:p>
        </w:tc>
        <w:tc>
          <w:tcPr>
            <w:tcW w:w="1343" w:type="dxa"/>
            <w:tcBorders>
              <w:top w:val="single" w:sz="4" w:space="0" w:color="auto"/>
              <w:left w:val="single" w:sz="4" w:space="0" w:color="auto"/>
              <w:bottom w:val="single" w:sz="4" w:space="0" w:color="auto"/>
              <w:right w:val="single" w:sz="4" w:space="0" w:color="auto"/>
            </w:tcBorders>
          </w:tcPr>
          <w:p w14:paraId="5006475C" w14:textId="77777777" w:rsidR="007A62F0" w:rsidRPr="00FB42C1" w:rsidRDefault="007A62F0" w:rsidP="007A62F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REF</w:t>
            </w:r>
          </w:p>
        </w:tc>
        <w:tc>
          <w:tcPr>
            <w:tcW w:w="1276" w:type="dxa"/>
            <w:tcBorders>
              <w:top w:val="single" w:sz="4" w:space="0" w:color="auto"/>
              <w:left w:val="single" w:sz="4" w:space="0" w:color="auto"/>
              <w:bottom w:val="single" w:sz="4" w:space="0" w:color="auto"/>
              <w:right w:val="single" w:sz="4" w:space="0" w:color="auto"/>
            </w:tcBorders>
          </w:tcPr>
          <w:p w14:paraId="1BEC7F46" w14:textId="77777777" w:rsidR="007A62F0" w:rsidRPr="00FB42C1" w:rsidRDefault="007A62F0" w:rsidP="007A62F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1066" w:type="dxa"/>
            <w:tcBorders>
              <w:top w:val="single" w:sz="4" w:space="0" w:color="auto"/>
              <w:left w:val="single" w:sz="4" w:space="0" w:color="auto"/>
              <w:bottom w:val="single" w:sz="4" w:space="0" w:color="auto"/>
              <w:right w:val="single" w:sz="4" w:space="0" w:color="auto"/>
            </w:tcBorders>
          </w:tcPr>
          <w:p w14:paraId="5ADB54A7" w14:textId="77777777" w:rsidR="007A62F0" w:rsidRPr="00FB42C1" w:rsidRDefault="007A62F0" w:rsidP="007A62F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7A62F0" w:rsidRPr="00FB42C1" w14:paraId="076F68AC" w14:textId="77777777" w:rsidTr="00883A16">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526" w:type="dxa"/>
            <w:vMerge/>
            <w:tcBorders>
              <w:left w:val="single" w:sz="8" w:space="0" w:color="404040" w:themeColor="text1" w:themeTint="BF"/>
              <w:right w:val="single" w:sz="4" w:space="0" w:color="404040" w:themeColor="text1" w:themeTint="BF"/>
            </w:tcBorders>
            <w:shd w:val="clear" w:color="auto" w:fill="000000" w:themeFill="text1"/>
            <w:hideMark/>
          </w:tcPr>
          <w:p w14:paraId="09D3D8F1" w14:textId="77777777" w:rsidR="007A62F0" w:rsidRPr="00FB42C1" w:rsidRDefault="007A62F0" w:rsidP="007A62F0">
            <w:pPr>
              <w:spacing w:after="0" w:line="240" w:lineRule="auto"/>
              <w:rPr>
                <w:rFonts w:ascii="Arial" w:hAnsi="Arial" w:cs="Arial"/>
                <w:color w:val="FFFFFF" w:themeColor="background1"/>
                <w:sz w:val="16"/>
                <w:szCs w:val="16"/>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64129" w14:textId="77777777" w:rsidR="007A62F0" w:rsidRPr="00FB42C1" w:rsidRDefault="007A62F0" w:rsidP="007A62F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15-24yrs</w:t>
            </w:r>
          </w:p>
        </w:tc>
        <w:tc>
          <w:tcPr>
            <w:tcW w:w="1343" w:type="dxa"/>
            <w:tcBorders>
              <w:top w:val="single" w:sz="4" w:space="0" w:color="auto"/>
              <w:left w:val="single" w:sz="4" w:space="0" w:color="auto"/>
              <w:bottom w:val="single" w:sz="4" w:space="0" w:color="auto"/>
              <w:right w:val="single" w:sz="4" w:space="0" w:color="auto"/>
            </w:tcBorders>
          </w:tcPr>
          <w:p w14:paraId="7F6E90CA" w14:textId="77777777" w:rsidR="007A62F0" w:rsidRPr="00FB42C1" w:rsidRDefault="007A62F0" w:rsidP="007A62F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4·22</w:t>
            </w:r>
          </w:p>
        </w:tc>
        <w:tc>
          <w:tcPr>
            <w:tcW w:w="1276" w:type="dxa"/>
            <w:tcBorders>
              <w:top w:val="single" w:sz="4" w:space="0" w:color="auto"/>
              <w:left w:val="single" w:sz="4" w:space="0" w:color="auto"/>
              <w:bottom w:val="single" w:sz="4" w:space="0" w:color="auto"/>
              <w:right w:val="single" w:sz="4" w:space="0" w:color="auto"/>
            </w:tcBorders>
          </w:tcPr>
          <w:p w14:paraId="4FB59FDA" w14:textId="77777777" w:rsidR="007A62F0" w:rsidRPr="00FB42C1" w:rsidRDefault="007A62F0" w:rsidP="007A62F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1·45-12·26</w:t>
            </w:r>
          </w:p>
        </w:tc>
        <w:tc>
          <w:tcPr>
            <w:tcW w:w="1066" w:type="dxa"/>
            <w:tcBorders>
              <w:top w:val="single" w:sz="4" w:space="0" w:color="auto"/>
              <w:left w:val="single" w:sz="4" w:space="0" w:color="auto"/>
              <w:bottom w:val="single" w:sz="4" w:space="0" w:color="auto"/>
              <w:right w:val="single" w:sz="4" w:space="0" w:color="auto"/>
            </w:tcBorders>
          </w:tcPr>
          <w:p w14:paraId="05C23B73" w14:textId="77777777" w:rsidR="007A62F0" w:rsidRPr="00FB42C1" w:rsidRDefault="007A62F0" w:rsidP="007A62F0">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0·008</w:t>
            </w:r>
          </w:p>
        </w:tc>
      </w:tr>
      <w:tr w:rsidR="007A62F0" w:rsidRPr="00FB42C1" w14:paraId="229E5459" w14:textId="77777777" w:rsidTr="00883A16">
        <w:trPr>
          <w:cnfStyle w:val="000000010000" w:firstRow="0" w:lastRow="0" w:firstColumn="0" w:lastColumn="0" w:oddVBand="0" w:evenVBand="0" w:oddHBand="0" w:evenHBand="1"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526" w:type="dxa"/>
            <w:vMerge/>
            <w:tcBorders>
              <w:left w:val="single" w:sz="8" w:space="0" w:color="404040" w:themeColor="text1" w:themeTint="BF"/>
              <w:right w:val="single" w:sz="4" w:space="0" w:color="404040" w:themeColor="text1" w:themeTint="BF"/>
            </w:tcBorders>
            <w:vAlign w:val="center"/>
            <w:hideMark/>
          </w:tcPr>
          <w:p w14:paraId="580F434F" w14:textId="77777777" w:rsidR="007A62F0" w:rsidRPr="00FB42C1" w:rsidRDefault="007A62F0" w:rsidP="007A62F0">
            <w:pPr>
              <w:spacing w:after="0" w:line="240" w:lineRule="auto"/>
              <w:rPr>
                <w:rFonts w:ascii="Arial" w:hAnsi="Arial" w:cs="Arial"/>
                <w:color w:val="FFFFFF" w:themeColor="background1"/>
                <w:sz w:val="16"/>
                <w:szCs w:val="16"/>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609B6" w14:textId="77777777" w:rsidR="007A62F0" w:rsidRPr="00FB42C1" w:rsidRDefault="007A62F0" w:rsidP="007A62F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65+yrs</w:t>
            </w:r>
          </w:p>
          <w:p w14:paraId="02FF670F" w14:textId="77777777" w:rsidR="007A62F0" w:rsidRPr="00FB42C1" w:rsidRDefault="007A62F0" w:rsidP="007A62F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1343" w:type="dxa"/>
            <w:tcBorders>
              <w:top w:val="single" w:sz="4" w:space="0" w:color="auto"/>
              <w:left w:val="single" w:sz="4" w:space="0" w:color="auto"/>
              <w:bottom w:val="single" w:sz="4" w:space="0" w:color="auto"/>
              <w:right w:val="single" w:sz="4" w:space="0" w:color="auto"/>
            </w:tcBorders>
          </w:tcPr>
          <w:p w14:paraId="1B21590F" w14:textId="77777777" w:rsidR="007A62F0" w:rsidRPr="00FB42C1" w:rsidRDefault="007A62F0" w:rsidP="007A62F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9·09</w:t>
            </w:r>
          </w:p>
        </w:tc>
        <w:tc>
          <w:tcPr>
            <w:tcW w:w="1276" w:type="dxa"/>
            <w:tcBorders>
              <w:top w:val="single" w:sz="4" w:space="0" w:color="auto"/>
              <w:left w:val="single" w:sz="4" w:space="0" w:color="auto"/>
              <w:bottom w:val="single" w:sz="4" w:space="0" w:color="auto"/>
              <w:right w:val="single" w:sz="4" w:space="0" w:color="auto"/>
            </w:tcBorders>
          </w:tcPr>
          <w:p w14:paraId="6962472D" w14:textId="77777777" w:rsidR="007A62F0" w:rsidRPr="00FB42C1" w:rsidRDefault="007A62F0" w:rsidP="007A62F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3·60-22·95</w:t>
            </w:r>
          </w:p>
        </w:tc>
        <w:tc>
          <w:tcPr>
            <w:tcW w:w="1066" w:type="dxa"/>
            <w:tcBorders>
              <w:top w:val="single" w:sz="4" w:space="0" w:color="auto"/>
              <w:left w:val="single" w:sz="4" w:space="0" w:color="auto"/>
              <w:bottom w:val="single" w:sz="4" w:space="0" w:color="auto"/>
              <w:right w:val="single" w:sz="4" w:space="0" w:color="auto"/>
            </w:tcBorders>
          </w:tcPr>
          <w:p w14:paraId="7A517910" w14:textId="77777777" w:rsidR="007A62F0" w:rsidRPr="00FB42C1" w:rsidRDefault="007A62F0" w:rsidP="007A62F0">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&lt;0·001</w:t>
            </w:r>
          </w:p>
        </w:tc>
      </w:tr>
    </w:tbl>
    <w:p w14:paraId="2F16A5C9" w14:textId="77777777" w:rsidR="002E608E" w:rsidRPr="00FB42C1" w:rsidRDefault="002E608E" w:rsidP="002E608E">
      <w:pPr>
        <w:pStyle w:val="Caption"/>
        <w:keepNext/>
        <w:rPr>
          <w:rFonts w:cs="Arial"/>
          <w:b w:val="0"/>
          <w:sz w:val="20"/>
          <w:szCs w:val="16"/>
        </w:rPr>
      </w:pPr>
    </w:p>
    <w:p w14:paraId="12E2E67D" w14:textId="77777777" w:rsidR="00C007F3" w:rsidRPr="00FB42C1" w:rsidRDefault="00C007F3" w:rsidP="00C007F3">
      <w:pPr>
        <w:rPr>
          <w:rFonts w:cs="Arial"/>
          <w:sz w:val="16"/>
          <w:szCs w:val="16"/>
        </w:rPr>
      </w:pPr>
    </w:p>
    <w:tbl>
      <w:tblPr>
        <w:tblStyle w:val="MediumShading11"/>
        <w:tblW w:w="0" w:type="auto"/>
        <w:tblInd w:w="108" w:type="dxa"/>
        <w:tblLayout w:type="fixed"/>
        <w:tblLook w:val="04A0" w:firstRow="1" w:lastRow="0" w:firstColumn="1" w:lastColumn="0" w:noHBand="0" w:noVBand="1"/>
      </w:tblPr>
      <w:tblGrid>
        <w:gridCol w:w="1560"/>
        <w:gridCol w:w="2976"/>
        <w:gridCol w:w="1418"/>
        <w:gridCol w:w="1276"/>
        <w:gridCol w:w="992"/>
      </w:tblGrid>
      <w:tr w:rsidR="00BA6195" w:rsidRPr="00FB42C1" w14:paraId="12BA430A" w14:textId="77777777" w:rsidTr="00883A16">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4536" w:type="dxa"/>
            <w:gridSpan w:val="2"/>
            <w:hideMark/>
          </w:tcPr>
          <w:p w14:paraId="25B1146A" w14:textId="77777777" w:rsidR="00BA6195" w:rsidRPr="00FB42C1" w:rsidRDefault="007A62F0" w:rsidP="004A5E45">
            <w:pPr>
              <w:spacing w:after="0" w:line="240" w:lineRule="auto"/>
              <w:rPr>
                <w:rFonts w:ascii="Arial" w:hAnsi="Arial" w:cs="Arial"/>
                <w:sz w:val="16"/>
                <w:szCs w:val="16"/>
              </w:rPr>
            </w:pPr>
            <w:r>
              <w:rPr>
                <w:rFonts w:ascii="Arial" w:hAnsi="Arial" w:cs="Arial"/>
                <w:sz w:val="16"/>
                <w:szCs w:val="16"/>
              </w:rPr>
              <w:t xml:space="preserve">(c) Logistic Regression for childhood deaths (&lt;15 years) </w:t>
            </w:r>
          </w:p>
        </w:tc>
        <w:tc>
          <w:tcPr>
            <w:tcW w:w="1418" w:type="dxa"/>
            <w:hideMark/>
          </w:tcPr>
          <w:p w14:paraId="1568F988" w14:textId="77777777" w:rsidR="00BA6195" w:rsidRPr="00FB42C1" w:rsidRDefault="00BA6195" w:rsidP="004814B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B42C1">
              <w:rPr>
                <w:rFonts w:ascii="Arial" w:hAnsi="Arial" w:cs="Arial"/>
                <w:sz w:val="16"/>
                <w:szCs w:val="16"/>
              </w:rPr>
              <w:t>Odds ratio</w:t>
            </w:r>
          </w:p>
        </w:tc>
        <w:tc>
          <w:tcPr>
            <w:tcW w:w="1276" w:type="dxa"/>
            <w:hideMark/>
          </w:tcPr>
          <w:p w14:paraId="773993C5" w14:textId="77777777" w:rsidR="00BA6195" w:rsidRPr="00FB42C1" w:rsidRDefault="00BA6195" w:rsidP="004814B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B42C1">
              <w:rPr>
                <w:rFonts w:ascii="Arial" w:hAnsi="Arial" w:cs="Arial"/>
                <w:sz w:val="16"/>
                <w:szCs w:val="16"/>
              </w:rPr>
              <w:t>95%CI</w:t>
            </w:r>
          </w:p>
        </w:tc>
        <w:tc>
          <w:tcPr>
            <w:tcW w:w="992" w:type="dxa"/>
            <w:hideMark/>
          </w:tcPr>
          <w:p w14:paraId="76E6E3B3" w14:textId="77777777" w:rsidR="00BA6195" w:rsidRPr="00FB42C1" w:rsidRDefault="00BA6195" w:rsidP="004814B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B42C1">
              <w:rPr>
                <w:rFonts w:ascii="Arial" w:hAnsi="Arial" w:cs="Arial"/>
                <w:sz w:val="16"/>
                <w:szCs w:val="16"/>
              </w:rPr>
              <w:t>P value</w:t>
            </w:r>
          </w:p>
        </w:tc>
      </w:tr>
      <w:tr w:rsidR="00BA6195" w:rsidRPr="00FB42C1" w14:paraId="11996C17" w14:textId="77777777" w:rsidTr="00883A16">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404040" w:themeColor="text1" w:themeTint="BF"/>
              <w:left w:val="single" w:sz="8" w:space="0" w:color="404040" w:themeColor="text1" w:themeTint="BF"/>
              <w:right w:val="single" w:sz="4" w:space="0" w:color="404040" w:themeColor="text1" w:themeTint="BF"/>
            </w:tcBorders>
            <w:shd w:val="clear" w:color="auto" w:fill="000000" w:themeFill="text1"/>
          </w:tcPr>
          <w:p w14:paraId="0EAA9799" w14:textId="77777777" w:rsidR="00BA6195" w:rsidRPr="00FB42C1" w:rsidRDefault="00BA6195" w:rsidP="004814B6">
            <w:pPr>
              <w:spacing w:after="0" w:line="240" w:lineRule="auto"/>
              <w:rPr>
                <w:rFonts w:ascii="Arial" w:hAnsi="Arial" w:cs="Arial"/>
                <w:color w:val="FFFFFF" w:themeColor="background1"/>
                <w:sz w:val="16"/>
                <w:szCs w:val="16"/>
              </w:rPr>
            </w:pPr>
            <w:r w:rsidRPr="00FB42C1">
              <w:rPr>
                <w:rFonts w:ascii="Arial" w:hAnsi="Arial" w:cs="Arial"/>
                <w:color w:val="FFFFFF" w:themeColor="background1"/>
                <w:sz w:val="16"/>
                <w:szCs w:val="16"/>
              </w:rPr>
              <w:t>Clinical presentation</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868E91" w14:textId="77777777" w:rsidR="00BA6195" w:rsidRPr="00FB42C1" w:rsidRDefault="00BA6195" w:rsidP="004814B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Meningitis only </w:t>
            </w:r>
          </w:p>
        </w:tc>
        <w:tc>
          <w:tcPr>
            <w:tcW w:w="1418" w:type="dxa"/>
            <w:tcBorders>
              <w:top w:val="single" w:sz="4" w:space="0" w:color="auto"/>
              <w:left w:val="single" w:sz="4" w:space="0" w:color="auto"/>
              <w:bottom w:val="single" w:sz="4" w:space="0" w:color="auto"/>
              <w:right w:val="single" w:sz="4" w:space="0" w:color="auto"/>
            </w:tcBorders>
          </w:tcPr>
          <w:p w14:paraId="62181D2D" w14:textId="77777777" w:rsidR="00BA6195" w:rsidRPr="00FB42C1" w:rsidRDefault="00BA6195" w:rsidP="004814B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REF</w:t>
            </w:r>
          </w:p>
        </w:tc>
        <w:tc>
          <w:tcPr>
            <w:tcW w:w="1276" w:type="dxa"/>
            <w:tcBorders>
              <w:top w:val="single" w:sz="4" w:space="0" w:color="auto"/>
              <w:left w:val="single" w:sz="4" w:space="0" w:color="auto"/>
              <w:bottom w:val="single" w:sz="4" w:space="0" w:color="auto"/>
              <w:right w:val="single" w:sz="4" w:space="0" w:color="auto"/>
            </w:tcBorders>
          </w:tcPr>
          <w:p w14:paraId="522432A5" w14:textId="77777777" w:rsidR="00BA6195" w:rsidRPr="00FB42C1" w:rsidRDefault="00BA6195" w:rsidP="004814B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51B7C1FA" w14:textId="77777777" w:rsidR="00BA6195" w:rsidRPr="00FB42C1" w:rsidRDefault="00BA6195" w:rsidP="004814B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BA6195" w:rsidRPr="00FB42C1" w14:paraId="0747B466" w14:textId="77777777" w:rsidTr="00883A16">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560" w:type="dxa"/>
            <w:vMerge/>
            <w:tcBorders>
              <w:left w:val="single" w:sz="8" w:space="0" w:color="404040" w:themeColor="text1" w:themeTint="BF"/>
              <w:right w:val="single" w:sz="4" w:space="0" w:color="404040" w:themeColor="text1" w:themeTint="BF"/>
            </w:tcBorders>
            <w:shd w:val="clear" w:color="auto" w:fill="000000" w:themeFill="text1"/>
            <w:hideMark/>
          </w:tcPr>
          <w:p w14:paraId="45D460C8" w14:textId="77777777" w:rsidR="00BA6195" w:rsidRPr="00FB42C1" w:rsidRDefault="00BA6195" w:rsidP="004814B6">
            <w:pPr>
              <w:spacing w:after="0" w:line="240" w:lineRule="auto"/>
              <w:rPr>
                <w:rFonts w:ascii="Arial" w:hAnsi="Arial" w:cs="Arial"/>
                <w:color w:val="FFFFFF" w:themeColor="background1"/>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1BBDC" w14:textId="77777777" w:rsidR="00BA6195" w:rsidRPr="00FB42C1" w:rsidRDefault="00BA6195" w:rsidP="004814B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Septicaemia only</w:t>
            </w:r>
          </w:p>
        </w:tc>
        <w:tc>
          <w:tcPr>
            <w:tcW w:w="1418" w:type="dxa"/>
            <w:tcBorders>
              <w:top w:val="single" w:sz="4" w:space="0" w:color="auto"/>
              <w:left w:val="single" w:sz="4" w:space="0" w:color="auto"/>
              <w:bottom w:val="single" w:sz="4" w:space="0" w:color="auto"/>
              <w:right w:val="single" w:sz="4" w:space="0" w:color="auto"/>
            </w:tcBorders>
          </w:tcPr>
          <w:p w14:paraId="14E0D3A5" w14:textId="77777777" w:rsidR="00BA6195" w:rsidRPr="00FB42C1" w:rsidRDefault="00BA6195" w:rsidP="004814B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9</w:t>
            </w:r>
            <w:r w:rsidR="001A7C08" w:rsidRPr="00FB42C1">
              <w:rPr>
                <w:rFonts w:ascii="Arial" w:hAnsi="Arial" w:cs="Arial"/>
                <w:sz w:val="16"/>
                <w:szCs w:val="16"/>
              </w:rPr>
              <w:t>·</w:t>
            </w:r>
            <w:r w:rsidRPr="00FB42C1">
              <w:rPr>
                <w:rFonts w:ascii="Arial" w:hAnsi="Arial" w:cs="Arial"/>
                <w:sz w:val="16"/>
                <w:szCs w:val="16"/>
              </w:rPr>
              <w:t>10</w:t>
            </w:r>
          </w:p>
        </w:tc>
        <w:tc>
          <w:tcPr>
            <w:tcW w:w="1276" w:type="dxa"/>
            <w:tcBorders>
              <w:top w:val="single" w:sz="4" w:space="0" w:color="auto"/>
              <w:left w:val="single" w:sz="4" w:space="0" w:color="auto"/>
              <w:bottom w:val="single" w:sz="4" w:space="0" w:color="auto"/>
              <w:right w:val="single" w:sz="4" w:space="0" w:color="auto"/>
            </w:tcBorders>
          </w:tcPr>
          <w:p w14:paraId="10242A00" w14:textId="77777777" w:rsidR="00BA6195" w:rsidRPr="00FB42C1" w:rsidRDefault="00BA6195" w:rsidP="004814B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w:t>
            </w:r>
            <w:r w:rsidR="001A7C08" w:rsidRPr="00FB42C1">
              <w:rPr>
                <w:rFonts w:ascii="Arial" w:hAnsi="Arial" w:cs="Arial"/>
                <w:sz w:val="16"/>
                <w:szCs w:val="16"/>
              </w:rPr>
              <w:t>·</w:t>
            </w:r>
            <w:r w:rsidRPr="00FB42C1">
              <w:rPr>
                <w:rFonts w:ascii="Arial" w:hAnsi="Arial" w:cs="Arial"/>
                <w:sz w:val="16"/>
                <w:szCs w:val="16"/>
              </w:rPr>
              <w:t>35-19</w:t>
            </w:r>
            <w:r w:rsidR="001A7C08" w:rsidRPr="00FB42C1">
              <w:rPr>
                <w:rFonts w:ascii="Arial" w:hAnsi="Arial" w:cs="Arial"/>
                <w:sz w:val="16"/>
                <w:szCs w:val="16"/>
              </w:rPr>
              <w:t>·</w:t>
            </w:r>
            <w:r w:rsidRPr="00FB42C1">
              <w:rPr>
                <w:rFonts w:ascii="Arial" w:hAnsi="Arial" w:cs="Arial"/>
                <w:sz w:val="16"/>
                <w:szCs w:val="16"/>
              </w:rPr>
              <w:t>02</w:t>
            </w:r>
          </w:p>
        </w:tc>
        <w:tc>
          <w:tcPr>
            <w:tcW w:w="992" w:type="dxa"/>
            <w:tcBorders>
              <w:top w:val="single" w:sz="4" w:space="0" w:color="auto"/>
              <w:left w:val="single" w:sz="4" w:space="0" w:color="auto"/>
              <w:bottom w:val="single" w:sz="4" w:space="0" w:color="auto"/>
              <w:right w:val="single" w:sz="4" w:space="0" w:color="auto"/>
            </w:tcBorders>
          </w:tcPr>
          <w:p w14:paraId="566BF94C" w14:textId="77777777" w:rsidR="00BA6195" w:rsidRPr="00FB42C1" w:rsidRDefault="00BA6195" w:rsidP="004814B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&lt;0</w:t>
            </w:r>
            <w:r w:rsidR="001A7C08" w:rsidRPr="00FB42C1">
              <w:rPr>
                <w:rFonts w:ascii="Arial" w:hAnsi="Arial" w:cs="Arial"/>
                <w:sz w:val="16"/>
                <w:szCs w:val="16"/>
              </w:rPr>
              <w:t>·</w:t>
            </w:r>
            <w:r w:rsidRPr="00FB42C1">
              <w:rPr>
                <w:rFonts w:ascii="Arial" w:hAnsi="Arial" w:cs="Arial"/>
                <w:sz w:val="16"/>
                <w:szCs w:val="16"/>
              </w:rPr>
              <w:t>001</w:t>
            </w:r>
          </w:p>
        </w:tc>
      </w:tr>
      <w:tr w:rsidR="00BA6195" w:rsidRPr="00FB42C1" w14:paraId="56FADDD7" w14:textId="77777777" w:rsidTr="00883A16">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560" w:type="dxa"/>
            <w:vMerge/>
            <w:tcBorders>
              <w:left w:val="single" w:sz="8" w:space="0" w:color="404040" w:themeColor="text1" w:themeTint="BF"/>
              <w:bottom w:val="single" w:sz="8" w:space="0" w:color="404040" w:themeColor="text1" w:themeTint="BF"/>
              <w:right w:val="single" w:sz="4" w:space="0" w:color="404040" w:themeColor="text1" w:themeTint="BF"/>
            </w:tcBorders>
            <w:vAlign w:val="center"/>
            <w:hideMark/>
          </w:tcPr>
          <w:p w14:paraId="64E07416" w14:textId="77777777" w:rsidR="00BA6195" w:rsidRPr="00FB42C1" w:rsidRDefault="00BA6195" w:rsidP="004814B6">
            <w:pPr>
              <w:spacing w:after="0" w:line="240" w:lineRule="auto"/>
              <w:rPr>
                <w:rFonts w:ascii="Arial" w:hAnsi="Arial" w:cs="Arial"/>
                <w:color w:val="FFFFFF" w:themeColor="background1"/>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D25154" w14:textId="77777777" w:rsidR="00BA6195" w:rsidRPr="00FB42C1" w:rsidRDefault="00BA6195" w:rsidP="004814B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Meningitis and septicaemia </w:t>
            </w:r>
          </w:p>
          <w:p w14:paraId="4C86B51E" w14:textId="77777777" w:rsidR="00BA6195" w:rsidRPr="00FB42C1" w:rsidRDefault="00BA6195" w:rsidP="004814B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6DF232D" w14:textId="77777777" w:rsidR="00BA6195" w:rsidRPr="00FB42C1" w:rsidRDefault="00BA6195" w:rsidP="004814B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9</w:t>
            </w:r>
            <w:r w:rsidR="001A7C08" w:rsidRPr="00FB42C1">
              <w:rPr>
                <w:rFonts w:ascii="Arial" w:hAnsi="Arial" w:cs="Arial"/>
                <w:sz w:val="16"/>
                <w:szCs w:val="16"/>
              </w:rPr>
              <w:t>·</w:t>
            </w:r>
            <w:r w:rsidRPr="00FB42C1">
              <w:rPr>
                <w:rFonts w:ascii="Arial" w:hAnsi="Arial" w:cs="Arial"/>
                <w:sz w:val="16"/>
                <w:szCs w:val="16"/>
              </w:rPr>
              <w:t>73</w:t>
            </w:r>
          </w:p>
        </w:tc>
        <w:tc>
          <w:tcPr>
            <w:tcW w:w="1276" w:type="dxa"/>
            <w:tcBorders>
              <w:top w:val="single" w:sz="4" w:space="0" w:color="auto"/>
              <w:left w:val="single" w:sz="4" w:space="0" w:color="auto"/>
              <w:bottom w:val="single" w:sz="4" w:space="0" w:color="auto"/>
              <w:right w:val="single" w:sz="4" w:space="0" w:color="auto"/>
            </w:tcBorders>
          </w:tcPr>
          <w:p w14:paraId="1955690A" w14:textId="77777777" w:rsidR="00BA6195" w:rsidRPr="00FB42C1" w:rsidRDefault="00BA6195" w:rsidP="004814B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w:t>
            </w:r>
            <w:r w:rsidR="001A7C08" w:rsidRPr="00FB42C1">
              <w:rPr>
                <w:rFonts w:ascii="Arial" w:hAnsi="Arial" w:cs="Arial"/>
                <w:sz w:val="16"/>
                <w:szCs w:val="16"/>
              </w:rPr>
              <w:t>·</w:t>
            </w:r>
            <w:r w:rsidRPr="00FB42C1">
              <w:rPr>
                <w:rFonts w:ascii="Arial" w:hAnsi="Arial" w:cs="Arial"/>
                <w:sz w:val="16"/>
                <w:szCs w:val="16"/>
              </w:rPr>
              <w:t>08-23</w:t>
            </w:r>
            <w:r w:rsidR="001A7C08" w:rsidRPr="00FB42C1">
              <w:rPr>
                <w:rFonts w:ascii="Arial" w:hAnsi="Arial" w:cs="Arial"/>
                <w:sz w:val="16"/>
                <w:szCs w:val="16"/>
              </w:rPr>
              <w:t>·</w:t>
            </w:r>
            <w:r w:rsidRPr="00FB42C1">
              <w:rPr>
                <w:rFonts w:ascii="Arial" w:hAnsi="Arial" w:cs="Arial"/>
                <w:sz w:val="16"/>
                <w:szCs w:val="16"/>
              </w:rPr>
              <w:t>19</w:t>
            </w:r>
          </w:p>
        </w:tc>
        <w:tc>
          <w:tcPr>
            <w:tcW w:w="992" w:type="dxa"/>
            <w:tcBorders>
              <w:top w:val="single" w:sz="4" w:space="0" w:color="auto"/>
              <w:left w:val="single" w:sz="4" w:space="0" w:color="auto"/>
              <w:bottom w:val="single" w:sz="4" w:space="0" w:color="auto"/>
              <w:right w:val="single" w:sz="4" w:space="0" w:color="auto"/>
            </w:tcBorders>
          </w:tcPr>
          <w:p w14:paraId="7CAB697D" w14:textId="77777777" w:rsidR="00BA6195" w:rsidRPr="00FB42C1" w:rsidRDefault="00BA6195" w:rsidP="004814B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&lt;0</w:t>
            </w:r>
            <w:r w:rsidR="001A7C08" w:rsidRPr="00FB42C1">
              <w:rPr>
                <w:rFonts w:ascii="Arial" w:hAnsi="Arial" w:cs="Arial"/>
                <w:sz w:val="16"/>
                <w:szCs w:val="16"/>
              </w:rPr>
              <w:t>·</w:t>
            </w:r>
            <w:r w:rsidRPr="00FB42C1">
              <w:rPr>
                <w:rFonts w:ascii="Arial" w:hAnsi="Arial" w:cs="Arial"/>
                <w:sz w:val="16"/>
                <w:szCs w:val="16"/>
              </w:rPr>
              <w:t>001</w:t>
            </w:r>
          </w:p>
        </w:tc>
      </w:tr>
      <w:tr w:rsidR="00BA6195" w:rsidRPr="00FB42C1" w14:paraId="1BC8E815" w14:textId="77777777" w:rsidTr="00883A16">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404040" w:themeColor="text1" w:themeTint="BF"/>
              <w:left w:val="single" w:sz="8" w:space="0" w:color="404040" w:themeColor="text1" w:themeTint="BF"/>
              <w:right w:val="single" w:sz="4" w:space="0" w:color="404040" w:themeColor="text1" w:themeTint="BF"/>
            </w:tcBorders>
            <w:shd w:val="clear" w:color="auto" w:fill="000000" w:themeFill="text1"/>
          </w:tcPr>
          <w:p w14:paraId="711D5DA4" w14:textId="77777777" w:rsidR="00BA6195" w:rsidRPr="00FB42C1" w:rsidRDefault="00BA6195" w:rsidP="004814B6">
            <w:pPr>
              <w:spacing w:after="0" w:line="240" w:lineRule="auto"/>
              <w:rPr>
                <w:rFonts w:ascii="Arial" w:hAnsi="Arial" w:cs="Arial"/>
                <w:color w:val="FFFFFF" w:themeColor="background1"/>
                <w:sz w:val="16"/>
                <w:szCs w:val="16"/>
              </w:rPr>
            </w:pPr>
            <w:r w:rsidRPr="00FB42C1">
              <w:rPr>
                <w:rFonts w:ascii="Arial" w:hAnsi="Arial" w:cs="Arial"/>
                <w:color w:val="FFFFFF" w:themeColor="background1"/>
                <w:sz w:val="16"/>
                <w:szCs w:val="16"/>
              </w:rPr>
              <w:t>Diagnostic method</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E42EF" w14:textId="77777777" w:rsidR="00BA6195" w:rsidRPr="00FB42C1" w:rsidRDefault="00BA6195" w:rsidP="004814B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PCR only</w:t>
            </w:r>
          </w:p>
        </w:tc>
        <w:tc>
          <w:tcPr>
            <w:tcW w:w="1418" w:type="dxa"/>
            <w:tcBorders>
              <w:top w:val="single" w:sz="4" w:space="0" w:color="auto"/>
              <w:left w:val="single" w:sz="4" w:space="0" w:color="auto"/>
              <w:bottom w:val="single" w:sz="4" w:space="0" w:color="auto"/>
              <w:right w:val="single" w:sz="4" w:space="0" w:color="auto"/>
            </w:tcBorders>
          </w:tcPr>
          <w:p w14:paraId="687A8318" w14:textId="77777777" w:rsidR="00BA6195" w:rsidRPr="00FB42C1" w:rsidRDefault="00BA6195" w:rsidP="004814B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REF</w:t>
            </w:r>
          </w:p>
        </w:tc>
        <w:tc>
          <w:tcPr>
            <w:tcW w:w="1276" w:type="dxa"/>
            <w:tcBorders>
              <w:top w:val="single" w:sz="4" w:space="0" w:color="auto"/>
              <w:left w:val="single" w:sz="4" w:space="0" w:color="auto"/>
              <w:bottom w:val="single" w:sz="4" w:space="0" w:color="auto"/>
              <w:right w:val="single" w:sz="4" w:space="0" w:color="auto"/>
            </w:tcBorders>
          </w:tcPr>
          <w:p w14:paraId="3F04195E" w14:textId="77777777" w:rsidR="00BA6195" w:rsidRPr="00FB42C1" w:rsidRDefault="00BA6195" w:rsidP="004814B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1B4E0956" w14:textId="77777777" w:rsidR="00BA6195" w:rsidRPr="00FB42C1" w:rsidRDefault="00BA6195" w:rsidP="004814B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BA6195" w:rsidRPr="00FB42C1" w14:paraId="2FEDD6C7" w14:textId="77777777" w:rsidTr="00883A16">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560" w:type="dxa"/>
            <w:vMerge/>
            <w:tcBorders>
              <w:left w:val="single" w:sz="8" w:space="0" w:color="404040" w:themeColor="text1" w:themeTint="BF"/>
              <w:right w:val="single" w:sz="4" w:space="0" w:color="404040" w:themeColor="text1" w:themeTint="BF"/>
            </w:tcBorders>
            <w:shd w:val="clear" w:color="auto" w:fill="000000" w:themeFill="text1"/>
            <w:hideMark/>
          </w:tcPr>
          <w:p w14:paraId="057C3E2E" w14:textId="77777777" w:rsidR="00BA6195" w:rsidRPr="00FB42C1" w:rsidRDefault="00BA6195" w:rsidP="004814B6">
            <w:pPr>
              <w:spacing w:after="0" w:line="240" w:lineRule="auto"/>
              <w:rPr>
                <w:rFonts w:ascii="Arial" w:hAnsi="Arial" w:cs="Arial"/>
                <w:color w:val="FFFFFF" w:themeColor="background1"/>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A284E" w14:textId="77777777" w:rsidR="00BA6195" w:rsidRPr="00FB42C1" w:rsidRDefault="00BA6195" w:rsidP="004814B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Any culture</w:t>
            </w:r>
          </w:p>
        </w:tc>
        <w:tc>
          <w:tcPr>
            <w:tcW w:w="1418" w:type="dxa"/>
            <w:tcBorders>
              <w:top w:val="single" w:sz="4" w:space="0" w:color="auto"/>
              <w:left w:val="single" w:sz="4" w:space="0" w:color="auto"/>
              <w:bottom w:val="single" w:sz="4" w:space="0" w:color="auto"/>
              <w:right w:val="single" w:sz="4" w:space="0" w:color="auto"/>
            </w:tcBorders>
          </w:tcPr>
          <w:p w14:paraId="2598F7A7" w14:textId="77777777" w:rsidR="00BA6195" w:rsidRPr="00FB42C1" w:rsidRDefault="00BA6195" w:rsidP="004814B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w:t>
            </w:r>
            <w:r w:rsidR="001A7C08" w:rsidRPr="00FB42C1">
              <w:rPr>
                <w:rFonts w:ascii="Arial" w:hAnsi="Arial" w:cs="Arial"/>
                <w:sz w:val="16"/>
                <w:szCs w:val="16"/>
              </w:rPr>
              <w:t>·</w:t>
            </w:r>
            <w:r w:rsidRPr="00FB42C1">
              <w:rPr>
                <w:rFonts w:ascii="Arial" w:hAnsi="Arial" w:cs="Arial"/>
                <w:sz w:val="16"/>
                <w:szCs w:val="16"/>
              </w:rPr>
              <w:t>56</w:t>
            </w:r>
          </w:p>
        </w:tc>
        <w:tc>
          <w:tcPr>
            <w:tcW w:w="1276" w:type="dxa"/>
            <w:tcBorders>
              <w:top w:val="single" w:sz="4" w:space="0" w:color="auto"/>
              <w:left w:val="single" w:sz="4" w:space="0" w:color="auto"/>
              <w:bottom w:val="single" w:sz="4" w:space="0" w:color="auto"/>
              <w:right w:val="single" w:sz="4" w:space="0" w:color="auto"/>
            </w:tcBorders>
          </w:tcPr>
          <w:p w14:paraId="786187CC" w14:textId="77777777" w:rsidR="00BA6195" w:rsidRPr="00FB42C1" w:rsidRDefault="00BA6195" w:rsidP="004814B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w:t>
            </w:r>
            <w:r w:rsidR="001A7C08" w:rsidRPr="00FB42C1">
              <w:rPr>
                <w:rFonts w:ascii="Arial" w:hAnsi="Arial" w:cs="Arial"/>
                <w:sz w:val="16"/>
                <w:szCs w:val="16"/>
              </w:rPr>
              <w:t>·</w:t>
            </w:r>
            <w:r w:rsidRPr="00FB42C1">
              <w:rPr>
                <w:rFonts w:ascii="Arial" w:hAnsi="Arial" w:cs="Arial"/>
                <w:sz w:val="16"/>
                <w:szCs w:val="16"/>
              </w:rPr>
              <w:t>02-2</w:t>
            </w:r>
            <w:r w:rsidR="001A7C08" w:rsidRPr="00FB42C1">
              <w:rPr>
                <w:rFonts w:ascii="Arial" w:hAnsi="Arial" w:cs="Arial"/>
                <w:sz w:val="16"/>
                <w:szCs w:val="16"/>
              </w:rPr>
              <w:t>·</w:t>
            </w:r>
            <w:r w:rsidRPr="00FB42C1">
              <w:rPr>
                <w:rFonts w:ascii="Arial" w:hAnsi="Arial" w:cs="Arial"/>
                <w:sz w:val="16"/>
                <w:szCs w:val="16"/>
              </w:rPr>
              <w:t>39</w:t>
            </w:r>
          </w:p>
        </w:tc>
        <w:tc>
          <w:tcPr>
            <w:tcW w:w="992" w:type="dxa"/>
            <w:tcBorders>
              <w:top w:val="single" w:sz="4" w:space="0" w:color="auto"/>
              <w:left w:val="single" w:sz="4" w:space="0" w:color="auto"/>
              <w:bottom w:val="single" w:sz="4" w:space="0" w:color="auto"/>
              <w:right w:val="single" w:sz="4" w:space="0" w:color="auto"/>
            </w:tcBorders>
          </w:tcPr>
          <w:p w14:paraId="50A39DE9" w14:textId="77777777" w:rsidR="00BA6195" w:rsidRPr="00FB42C1" w:rsidRDefault="00BA6195" w:rsidP="004814B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r w:rsidR="001A7C08" w:rsidRPr="00FB42C1">
              <w:rPr>
                <w:rFonts w:ascii="Arial" w:hAnsi="Arial" w:cs="Arial"/>
                <w:sz w:val="16"/>
                <w:szCs w:val="16"/>
              </w:rPr>
              <w:t>·</w:t>
            </w:r>
            <w:r w:rsidRPr="00FB42C1">
              <w:rPr>
                <w:rFonts w:ascii="Arial" w:hAnsi="Arial" w:cs="Arial"/>
                <w:sz w:val="16"/>
                <w:szCs w:val="16"/>
              </w:rPr>
              <w:t>040</w:t>
            </w:r>
          </w:p>
        </w:tc>
      </w:tr>
    </w:tbl>
    <w:p w14:paraId="52554FAE" w14:textId="77777777" w:rsidR="00F27ECB" w:rsidRDefault="00F27ECB" w:rsidP="00C007F3">
      <w:pPr>
        <w:rPr>
          <w:sz w:val="20"/>
          <w:szCs w:val="20"/>
        </w:rPr>
      </w:pPr>
    </w:p>
    <w:p w14:paraId="5485F82A" w14:textId="77777777" w:rsidR="00F2217A" w:rsidRDefault="00F2217A">
      <w:pPr>
        <w:spacing w:after="200" w:line="276" w:lineRule="auto"/>
        <w:rPr>
          <w:rFonts w:cs="Arial"/>
          <w:b/>
          <w:sz w:val="20"/>
          <w:szCs w:val="16"/>
        </w:rPr>
      </w:pPr>
      <w:r>
        <w:rPr>
          <w:rFonts w:cs="Arial"/>
          <w:b/>
          <w:sz w:val="20"/>
          <w:szCs w:val="16"/>
        </w:rPr>
        <w:br w:type="page"/>
      </w:r>
    </w:p>
    <w:p w14:paraId="328E46B0" w14:textId="77777777" w:rsidR="00132A35" w:rsidRDefault="00132A35" w:rsidP="00FD1381">
      <w:pPr>
        <w:rPr>
          <w:rFonts w:cs="Arial"/>
          <w:b/>
          <w:sz w:val="20"/>
          <w:szCs w:val="16"/>
        </w:rPr>
        <w:sectPr w:rsidR="00132A35" w:rsidSect="0079765A">
          <w:footerReference w:type="default" r:id="rId17"/>
          <w:pgSz w:w="11906" w:h="16838"/>
          <w:pgMar w:top="1440" w:right="1440" w:bottom="1440" w:left="1440" w:header="709" w:footer="709" w:gutter="0"/>
          <w:cols w:space="708"/>
          <w:docGrid w:linePitch="360"/>
        </w:sectPr>
      </w:pPr>
    </w:p>
    <w:p w14:paraId="173AA934" w14:textId="4667DE52" w:rsidR="00233E70" w:rsidRPr="00FB42C1" w:rsidRDefault="002E608E" w:rsidP="00FD1381">
      <w:pPr>
        <w:rPr>
          <w:rFonts w:cs="Arial"/>
          <w:sz w:val="16"/>
          <w:szCs w:val="16"/>
        </w:rPr>
      </w:pPr>
      <w:r w:rsidRPr="00FB42C1">
        <w:rPr>
          <w:rFonts w:cs="Arial"/>
          <w:b/>
          <w:sz w:val="20"/>
          <w:szCs w:val="16"/>
        </w:rPr>
        <w:t>Supplementary Table 1</w:t>
      </w:r>
      <w:r w:rsidR="001A7C08" w:rsidRPr="00FB42C1">
        <w:rPr>
          <w:rFonts w:cs="Arial"/>
          <w:sz w:val="20"/>
          <w:szCs w:val="16"/>
        </w:rPr>
        <w:t>·</w:t>
      </w:r>
      <w:r w:rsidRPr="00FB42C1">
        <w:rPr>
          <w:rFonts w:cs="Arial"/>
          <w:sz w:val="20"/>
          <w:szCs w:val="16"/>
        </w:rPr>
        <w:t xml:space="preserve"> </w:t>
      </w:r>
      <w:r w:rsidR="00090B5E">
        <w:rPr>
          <w:rFonts w:cs="Arial"/>
          <w:sz w:val="20"/>
          <w:szCs w:val="16"/>
        </w:rPr>
        <w:t>Cases</w:t>
      </w:r>
      <w:r w:rsidR="00037B30">
        <w:rPr>
          <w:rFonts w:cs="Arial"/>
          <w:sz w:val="20"/>
          <w:szCs w:val="16"/>
        </w:rPr>
        <w:t>,</w:t>
      </w:r>
      <w:r w:rsidR="00090B5E">
        <w:rPr>
          <w:rFonts w:cs="Arial"/>
          <w:sz w:val="20"/>
          <w:szCs w:val="16"/>
        </w:rPr>
        <w:t xml:space="preserve"> </w:t>
      </w:r>
      <w:r w:rsidR="00037B30">
        <w:rPr>
          <w:rFonts w:cs="Arial"/>
          <w:sz w:val="20"/>
          <w:szCs w:val="16"/>
        </w:rPr>
        <w:t>deaths and case fatality ratio (CFR) by age and capsular group</w:t>
      </w:r>
      <w:r w:rsidR="00032B06">
        <w:rPr>
          <w:rFonts w:cs="Arial"/>
          <w:sz w:val="20"/>
          <w:szCs w:val="16"/>
        </w:rPr>
        <w:t xml:space="preserve"> for hospitalised IMD cases in England during 2007-11</w:t>
      </w:r>
      <w:r w:rsidR="00AA72EC">
        <w:rPr>
          <w:rFonts w:cs="Arial"/>
          <w:sz w:val="20"/>
          <w:szCs w:val="16"/>
        </w:rPr>
        <w:t>. Absolute No refers to the number of deaths divided by the total number of cases in that group. CFR, case fatality rate. 95% CI, 95% confidence interval for the case fatality rat</w:t>
      </w:r>
    </w:p>
    <w:tbl>
      <w:tblPr>
        <w:tblStyle w:val="MediumShading11"/>
        <w:tblW w:w="11766" w:type="dxa"/>
        <w:tblInd w:w="108" w:type="dxa"/>
        <w:tblLayout w:type="fixed"/>
        <w:tblLook w:val="04A0" w:firstRow="1" w:lastRow="0" w:firstColumn="1" w:lastColumn="0" w:noHBand="0" w:noVBand="1"/>
      </w:tblPr>
      <w:tblGrid>
        <w:gridCol w:w="845"/>
        <w:gridCol w:w="941"/>
        <w:gridCol w:w="1049"/>
        <w:gridCol w:w="1701"/>
        <w:gridCol w:w="1843"/>
        <w:gridCol w:w="1559"/>
        <w:gridCol w:w="1985"/>
        <w:gridCol w:w="1843"/>
      </w:tblGrid>
      <w:tr w:rsidR="00E202B8" w:rsidRPr="00037B30" w14:paraId="79D21D5A" w14:textId="77777777" w:rsidTr="009262EE">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786" w:type="dxa"/>
            <w:gridSpan w:val="2"/>
            <w:vMerge w:val="restart"/>
            <w:vAlign w:val="center"/>
          </w:tcPr>
          <w:p w14:paraId="4079EC82" w14:textId="77777777" w:rsidR="00E202B8" w:rsidRDefault="00E202B8" w:rsidP="00037B30">
            <w:pPr>
              <w:spacing w:after="0" w:line="240" w:lineRule="auto"/>
              <w:rPr>
                <w:rFonts w:cs="Arial"/>
                <w:sz w:val="16"/>
                <w:szCs w:val="16"/>
              </w:rPr>
            </w:pPr>
          </w:p>
          <w:p w14:paraId="20730F0B" w14:textId="77777777" w:rsidR="00E202B8" w:rsidRPr="004A5E45" w:rsidRDefault="00E202B8" w:rsidP="004A5E45">
            <w:pPr>
              <w:spacing w:after="0" w:line="240" w:lineRule="auto"/>
              <w:rPr>
                <w:rFonts w:ascii="Arial" w:hAnsi="Arial" w:cs="Arial"/>
                <w:sz w:val="16"/>
                <w:szCs w:val="16"/>
              </w:rPr>
            </w:pPr>
            <w:r>
              <w:rPr>
                <w:rFonts w:cs="Arial"/>
                <w:sz w:val="16"/>
                <w:szCs w:val="16"/>
              </w:rPr>
              <w:t xml:space="preserve">Age and </w:t>
            </w:r>
            <w:r w:rsidRPr="00037B30">
              <w:rPr>
                <w:rFonts w:cs="Arial"/>
                <w:sz w:val="16"/>
                <w:szCs w:val="16"/>
              </w:rPr>
              <w:t>Capsular group</w:t>
            </w:r>
          </w:p>
        </w:tc>
        <w:tc>
          <w:tcPr>
            <w:tcW w:w="1049" w:type="dxa"/>
          </w:tcPr>
          <w:p w14:paraId="7914EE56" w14:textId="77777777" w:rsidR="00E202B8" w:rsidRPr="00037B30" w:rsidRDefault="00E202B8" w:rsidP="004A5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rPr>
            </w:pPr>
          </w:p>
        </w:tc>
        <w:tc>
          <w:tcPr>
            <w:tcW w:w="7088" w:type="dxa"/>
            <w:gridSpan w:val="4"/>
            <w:tcBorders>
              <w:top w:val="nil"/>
              <w:bottom w:val="nil"/>
            </w:tcBorders>
            <w:vAlign w:val="center"/>
          </w:tcPr>
          <w:p w14:paraId="3308552D" w14:textId="77777777" w:rsidR="00E202B8" w:rsidRPr="00883A16" w:rsidRDefault="00E202B8" w:rsidP="004A5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37B30">
              <w:rPr>
                <w:rFonts w:cs="Arial"/>
                <w:sz w:val="16"/>
                <w:szCs w:val="16"/>
              </w:rPr>
              <w:t xml:space="preserve">Case Fatality Ratio </w:t>
            </w:r>
            <w:r>
              <w:rPr>
                <w:rFonts w:cs="Arial"/>
                <w:sz w:val="16"/>
                <w:szCs w:val="16"/>
              </w:rPr>
              <w:t>(</w:t>
            </w:r>
            <w:r w:rsidRPr="00037B30">
              <w:rPr>
                <w:rFonts w:cs="Arial"/>
                <w:sz w:val="16"/>
                <w:szCs w:val="16"/>
              </w:rPr>
              <w:t>CFR)</w:t>
            </w:r>
          </w:p>
        </w:tc>
        <w:tc>
          <w:tcPr>
            <w:tcW w:w="1843" w:type="dxa"/>
            <w:vMerge w:val="restart"/>
            <w:tcBorders>
              <w:top w:val="nil"/>
            </w:tcBorders>
            <w:vAlign w:val="center"/>
          </w:tcPr>
          <w:p w14:paraId="61B8639B" w14:textId="77777777" w:rsidR="00E202B8" w:rsidRPr="00883A16" w:rsidRDefault="00E202B8" w:rsidP="004A5E45">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37B30">
              <w:rPr>
                <w:rFonts w:cs="Arial"/>
                <w:sz w:val="16"/>
                <w:szCs w:val="16"/>
              </w:rPr>
              <w:t>Overall CFR</w:t>
            </w:r>
          </w:p>
        </w:tc>
      </w:tr>
      <w:tr w:rsidR="00E202B8" w:rsidRPr="00FB42C1" w14:paraId="02211AAF"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786" w:type="dxa"/>
            <w:gridSpan w:val="2"/>
            <w:vMerge/>
            <w:shd w:val="clear" w:color="auto" w:fill="000000" w:themeFill="text1"/>
          </w:tcPr>
          <w:p w14:paraId="0CBD030E" w14:textId="77777777" w:rsidR="00E202B8" w:rsidRPr="00FB42C1" w:rsidRDefault="00E202B8" w:rsidP="00122826">
            <w:pPr>
              <w:spacing w:after="0" w:line="240" w:lineRule="auto"/>
              <w:rPr>
                <w:rFonts w:ascii="Arial" w:hAnsi="Arial" w:cs="Arial"/>
                <w:b w:val="0"/>
                <w:sz w:val="16"/>
                <w:szCs w:val="16"/>
              </w:rPr>
            </w:pPr>
          </w:p>
        </w:tc>
        <w:tc>
          <w:tcPr>
            <w:tcW w:w="1049" w:type="dxa"/>
            <w:shd w:val="clear" w:color="auto" w:fill="000000" w:themeFill="text1"/>
          </w:tcPr>
          <w:p w14:paraId="4A2ADF37" w14:textId="77777777" w:rsidR="00E202B8" w:rsidRPr="00FB42C1" w:rsidRDefault="00E202B8"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cs="Arial"/>
                <w:b/>
                <w:sz w:val="16"/>
                <w:szCs w:val="16"/>
              </w:rPr>
            </w:pPr>
          </w:p>
        </w:tc>
        <w:tc>
          <w:tcPr>
            <w:tcW w:w="1701" w:type="dxa"/>
            <w:tcBorders>
              <w:top w:val="nil"/>
              <w:bottom w:val="nil"/>
            </w:tcBorders>
            <w:shd w:val="clear" w:color="auto" w:fill="000000" w:themeFill="text1"/>
          </w:tcPr>
          <w:p w14:paraId="69C2247C" w14:textId="77777777" w:rsidR="00E202B8" w:rsidRPr="00FB42C1" w:rsidRDefault="00E202B8"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FB42C1">
              <w:rPr>
                <w:rFonts w:ascii="Arial" w:hAnsi="Arial" w:cs="Arial"/>
                <w:b/>
                <w:sz w:val="16"/>
                <w:szCs w:val="16"/>
              </w:rPr>
              <w:t>Meningitis only</w:t>
            </w:r>
          </w:p>
        </w:tc>
        <w:tc>
          <w:tcPr>
            <w:tcW w:w="1843" w:type="dxa"/>
            <w:tcBorders>
              <w:top w:val="nil"/>
              <w:bottom w:val="nil"/>
            </w:tcBorders>
            <w:shd w:val="clear" w:color="auto" w:fill="000000" w:themeFill="text1"/>
          </w:tcPr>
          <w:p w14:paraId="57FE8B47" w14:textId="77777777" w:rsidR="00E202B8" w:rsidRPr="00FB42C1" w:rsidRDefault="00E202B8"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FB42C1">
              <w:rPr>
                <w:rFonts w:ascii="Arial" w:hAnsi="Arial" w:cs="Arial"/>
                <w:b/>
                <w:sz w:val="16"/>
                <w:szCs w:val="16"/>
              </w:rPr>
              <w:t>Septicaemia only</w:t>
            </w:r>
          </w:p>
        </w:tc>
        <w:tc>
          <w:tcPr>
            <w:tcW w:w="1559" w:type="dxa"/>
            <w:tcBorders>
              <w:top w:val="nil"/>
              <w:bottom w:val="nil"/>
            </w:tcBorders>
            <w:shd w:val="clear" w:color="auto" w:fill="000000" w:themeFill="text1"/>
          </w:tcPr>
          <w:p w14:paraId="5B3201A7" w14:textId="77777777" w:rsidR="00E202B8" w:rsidRPr="00FB42C1" w:rsidRDefault="00E202B8"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FB42C1">
              <w:rPr>
                <w:rFonts w:ascii="Arial" w:hAnsi="Arial" w:cs="Arial"/>
                <w:b/>
                <w:sz w:val="16"/>
                <w:szCs w:val="16"/>
              </w:rPr>
              <w:t>Meningitis and septicaemia</w:t>
            </w:r>
          </w:p>
        </w:tc>
        <w:tc>
          <w:tcPr>
            <w:tcW w:w="1985" w:type="dxa"/>
            <w:tcBorders>
              <w:top w:val="nil"/>
              <w:bottom w:val="nil"/>
            </w:tcBorders>
            <w:shd w:val="clear" w:color="auto" w:fill="000000" w:themeFill="text1"/>
          </w:tcPr>
          <w:p w14:paraId="28763BDC" w14:textId="77777777" w:rsidR="00E202B8" w:rsidRPr="00FB42C1" w:rsidRDefault="00E202B8"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FB42C1">
              <w:rPr>
                <w:rFonts w:ascii="Arial" w:hAnsi="Arial" w:cs="Arial"/>
                <w:b/>
                <w:sz w:val="16"/>
                <w:szCs w:val="16"/>
              </w:rPr>
              <w:t>Other IMD</w:t>
            </w:r>
          </w:p>
          <w:p w14:paraId="5AE338BE" w14:textId="77777777" w:rsidR="00E202B8" w:rsidRPr="00FB42C1" w:rsidRDefault="00E202B8"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1843" w:type="dxa"/>
            <w:vMerge/>
            <w:tcBorders>
              <w:bottom w:val="nil"/>
            </w:tcBorders>
            <w:shd w:val="clear" w:color="auto" w:fill="000000" w:themeFill="text1"/>
          </w:tcPr>
          <w:p w14:paraId="5A04B859" w14:textId="77777777" w:rsidR="00E202B8" w:rsidRPr="00FB42C1" w:rsidRDefault="00E202B8"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r>
      <w:tr w:rsidR="00E202B8" w:rsidRPr="00FB42C1" w14:paraId="1C2AA3B4"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786" w:type="dxa"/>
            <w:gridSpan w:val="2"/>
            <w:tcBorders>
              <w:bottom w:val="single" w:sz="4" w:space="0" w:color="auto"/>
              <w:right w:val="single" w:sz="4" w:space="0" w:color="auto"/>
            </w:tcBorders>
            <w:shd w:val="clear" w:color="auto" w:fill="DBE5F1" w:themeFill="accent1" w:themeFillTint="33"/>
            <w:vAlign w:val="center"/>
          </w:tcPr>
          <w:p w14:paraId="4B0951B6" w14:textId="77777777" w:rsidR="00E202B8" w:rsidRPr="00FB42C1" w:rsidRDefault="00E202B8" w:rsidP="00122826">
            <w:pPr>
              <w:spacing w:after="0" w:line="240" w:lineRule="auto"/>
              <w:rPr>
                <w:rFonts w:ascii="Arial" w:hAnsi="Arial" w:cs="Arial"/>
                <w:sz w:val="16"/>
                <w:szCs w:val="16"/>
              </w:rPr>
            </w:pPr>
            <w:r w:rsidRPr="00FB42C1">
              <w:rPr>
                <w:rFonts w:ascii="Arial" w:hAnsi="Arial" w:cs="Arial"/>
                <w:sz w:val="16"/>
                <w:szCs w:val="16"/>
              </w:rPr>
              <w:t>All ages</w:t>
            </w:r>
          </w:p>
          <w:p w14:paraId="3F909E6B" w14:textId="77777777" w:rsidR="00E202B8" w:rsidRPr="00FB42C1" w:rsidRDefault="00E202B8" w:rsidP="00122826">
            <w:pPr>
              <w:spacing w:after="0" w:line="240" w:lineRule="auto"/>
              <w:rPr>
                <w:rFonts w:ascii="Arial" w:hAnsi="Arial" w:cs="Arial"/>
                <w:sz w:val="16"/>
                <w:szCs w:val="16"/>
              </w:rPr>
            </w:pPr>
            <w:r w:rsidRPr="00FB42C1">
              <w:rPr>
                <w:rFonts w:ascii="Arial" w:hAnsi="Arial" w:cs="Arial"/>
                <w:sz w:val="16"/>
                <w:szCs w:val="16"/>
              </w:rPr>
              <w:t>All caps</w:t>
            </w:r>
          </w:p>
        </w:tc>
        <w:tc>
          <w:tcPr>
            <w:tcW w:w="1049" w:type="dxa"/>
            <w:tcBorders>
              <w:bottom w:val="single" w:sz="4" w:space="0" w:color="auto"/>
              <w:right w:val="single" w:sz="4" w:space="0" w:color="auto"/>
            </w:tcBorders>
            <w:shd w:val="clear" w:color="auto" w:fill="DBE5F1" w:themeFill="accent1" w:themeFillTint="33"/>
          </w:tcPr>
          <w:p w14:paraId="2A1A3D8C" w14:textId="77777777" w:rsidR="00E202B8" w:rsidRDefault="00E202B8"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6AF46010" w14:textId="61E62B5E" w:rsidR="00E202B8" w:rsidRPr="00E202B8" w:rsidRDefault="00E202B8"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w:t>
            </w:r>
            <w:r w:rsidR="00AA72EC">
              <w:rPr>
                <w:rFonts w:cs="Arial"/>
                <w:sz w:val="16"/>
                <w:szCs w:val="16"/>
              </w:rPr>
              <w:t xml:space="preserve"> (</w:t>
            </w:r>
            <w:r>
              <w:rPr>
                <w:rFonts w:cs="Arial"/>
                <w:sz w:val="16"/>
                <w:szCs w:val="16"/>
              </w:rPr>
              <w:t>95% CI</w:t>
            </w:r>
            <w:r w:rsidR="00AA72EC">
              <w:rPr>
                <w:rFonts w:cs="Arial"/>
                <w:sz w:val="16"/>
                <w:szCs w:val="16"/>
              </w:rPr>
              <w:t>)</w:t>
            </w:r>
          </w:p>
        </w:tc>
        <w:tc>
          <w:tcPr>
            <w:tcW w:w="170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C1628F1" w14:textId="77777777" w:rsidR="00E202B8" w:rsidRDefault="00E202B8"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45/2057</w:t>
            </w:r>
          </w:p>
          <w:p w14:paraId="2348DC4F" w14:textId="561AAAC9" w:rsidR="00E202B8" w:rsidRPr="00FB42C1" w:rsidRDefault="00E202B8" w:rsidP="00BE55B8">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2·19 (1·60-2·92)</w:t>
            </w:r>
          </w:p>
        </w:tc>
        <w:tc>
          <w:tcPr>
            <w:tcW w:w="184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D3894E5" w14:textId="77777777" w:rsidR="00E202B8" w:rsidRDefault="00E202B8"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114/1725</w:t>
            </w:r>
          </w:p>
          <w:p w14:paraId="3FC12661" w14:textId="5816C19A" w:rsidR="00E202B8" w:rsidRPr="00FB42C1" w:rsidRDefault="00E202B8"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6·61 (5·48-7·89)</w:t>
            </w:r>
          </w:p>
        </w:tc>
        <w:tc>
          <w:tcPr>
            <w:tcW w:w="1559"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FEA259C" w14:textId="77777777" w:rsidR="00E202B8" w:rsidRDefault="00E202B8"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39/389</w:t>
            </w:r>
          </w:p>
          <w:p w14:paraId="34C79062" w14:textId="7C0E0FF3" w:rsidR="00E202B8" w:rsidRPr="00FB42C1" w:rsidRDefault="00E202B8" w:rsidP="00BE55B8">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10·03 (7·23-13·45)</w:t>
            </w:r>
          </w:p>
        </w:tc>
        <w:tc>
          <w:tcPr>
            <w:tcW w:w="1985"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6FAC1D6" w14:textId="77777777" w:rsidR="00E202B8" w:rsidRDefault="00E202B8"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8/448</w:t>
            </w:r>
          </w:p>
          <w:p w14:paraId="22FC680A" w14:textId="4CC2F438" w:rsidR="00E202B8" w:rsidRPr="00FB42C1" w:rsidRDefault="00E202B8" w:rsidP="00BE55B8">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1·79</w:t>
            </w:r>
            <w:r w:rsidR="00AA72EC">
              <w:rPr>
                <w:rFonts w:ascii="Arial" w:hAnsi="Arial" w:cs="Arial"/>
                <w:sz w:val="16"/>
                <w:szCs w:val="16"/>
              </w:rPr>
              <w:t xml:space="preserve"> </w:t>
            </w:r>
            <w:r w:rsidRPr="00FB42C1">
              <w:rPr>
                <w:rFonts w:ascii="Arial" w:hAnsi="Arial" w:cs="Arial"/>
                <w:sz w:val="16"/>
                <w:szCs w:val="16"/>
              </w:rPr>
              <w:t>(0·77-3·49)</w:t>
            </w:r>
          </w:p>
        </w:tc>
        <w:tc>
          <w:tcPr>
            <w:tcW w:w="1843" w:type="dxa"/>
            <w:tcBorders>
              <w:top w:val="nil"/>
              <w:left w:val="single" w:sz="4" w:space="0" w:color="auto"/>
              <w:bottom w:val="single" w:sz="4" w:space="0" w:color="auto"/>
              <w:right w:val="single" w:sz="4" w:space="0" w:color="auto"/>
            </w:tcBorders>
            <w:shd w:val="clear" w:color="auto" w:fill="DBE5F1" w:themeFill="accent1" w:themeFillTint="33"/>
          </w:tcPr>
          <w:p w14:paraId="483012F0" w14:textId="77777777" w:rsidR="00E202B8" w:rsidRDefault="00E202B8"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206/4619</w:t>
            </w:r>
          </w:p>
          <w:p w14:paraId="513FEB17" w14:textId="5B627225" w:rsidR="00E202B8" w:rsidRPr="00FB42C1" w:rsidRDefault="00E202B8" w:rsidP="00BE55B8">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4·46</w:t>
            </w:r>
            <w:r w:rsidR="00AA72EC">
              <w:rPr>
                <w:rFonts w:ascii="Arial" w:hAnsi="Arial" w:cs="Arial"/>
                <w:sz w:val="16"/>
                <w:szCs w:val="16"/>
              </w:rPr>
              <w:t xml:space="preserve"> </w:t>
            </w:r>
            <w:r w:rsidRPr="00FB42C1">
              <w:rPr>
                <w:rFonts w:ascii="Arial" w:hAnsi="Arial" w:cs="Arial"/>
                <w:sz w:val="16"/>
                <w:szCs w:val="16"/>
              </w:rPr>
              <w:t>(3·88-5·10)</w:t>
            </w:r>
          </w:p>
        </w:tc>
      </w:tr>
      <w:tr w:rsidR="009262EE" w:rsidRPr="00FB42C1" w14:paraId="18C868BF"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val="restart"/>
            <w:tcBorders>
              <w:top w:val="single" w:sz="4" w:space="0" w:color="auto"/>
              <w:left w:val="single" w:sz="4" w:space="0" w:color="auto"/>
              <w:bottom w:val="single" w:sz="4" w:space="0" w:color="auto"/>
              <w:right w:val="single" w:sz="4" w:space="0" w:color="auto"/>
            </w:tcBorders>
            <w:vAlign w:val="center"/>
          </w:tcPr>
          <w:p w14:paraId="2AD6FBC5" w14:textId="77777777" w:rsidR="009262EE" w:rsidRPr="00FB42C1" w:rsidRDefault="009262EE" w:rsidP="00122826">
            <w:pPr>
              <w:spacing w:after="0" w:line="240" w:lineRule="auto"/>
              <w:rPr>
                <w:rFonts w:ascii="Arial" w:hAnsi="Arial" w:cs="Arial"/>
                <w:b w:val="0"/>
                <w:sz w:val="16"/>
                <w:szCs w:val="16"/>
              </w:rPr>
            </w:pPr>
            <w:r w:rsidRPr="00FB42C1">
              <w:rPr>
                <w:rFonts w:ascii="Arial" w:hAnsi="Arial" w:cs="Arial"/>
                <w:b w:val="0"/>
                <w:sz w:val="16"/>
                <w:szCs w:val="16"/>
              </w:rPr>
              <w:t>All ages</w:t>
            </w:r>
          </w:p>
        </w:tc>
        <w:tc>
          <w:tcPr>
            <w:tcW w:w="941" w:type="dxa"/>
            <w:tcBorders>
              <w:top w:val="single" w:sz="4" w:space="0" w:color="auto"/>
              <w:left w:val="single" w:sz="4" w:space="0" w:color="auto"/>
              <w:bottom w:val="single" w:sz="4" w:space="0" w:color="auto"/>
              <w:right w:val="single" w:sz="4" w:space="0" w:color="auto"/>
            </w:tcBorders>
            <w:vAlign w:val="center"/>
          </w:tcPr>
          <w:p w14:paraId="14858411"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049" w:type="dxa"/>
            <w:tcBorders>
              <w:top w:val="single" w:sz="4" w:space="0" w:color="auto"/>
              <w:left w:val="single" w:sz="4" w:space="0" w:color="auto"/>
              <w:bottom w:val="single" w:sz="4" w:space="0" w:color="auto"/>
              <w:right w:val="single" w:sz="4" w:space="0" w:color="auto"/>
            </w:tcBorders>
          </w:tcPr>
          <w:p w14:paraId="61284F4C"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0C9F07A7" w14:textId="7245253D" w:rsidR="009262EE" w:rsidRPr="00E202B8"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w:t>
            </w:r>
            <w:r w:rsidR="00AA72EC">
              <w:rPr>
                <w:rFonts w:cs="Arial"/>
                <w:sz w:val="16"/>
                <w:szCs w:val="16"/>
              </w:rPr>
              <w:t xml:space="preserve"> (</w:t>
            </w:r>
            <w:r>
              <w:rPr>
                <w:rFonts w:cs="Arial"/>
                <w:sz w:val="16"/>
                <w:szCs w:val="16"/>
              </w:rPr>
              <w:t>95% CI</w:t>
            </w:r>
            <w:r w:rsidR="00AA72EC">
              <w:rPr>
                <w:rFonts w:cs="Arial"/>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14:paraId="4BF550AF"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37/1807</w:t>
            </w:r>
          </w:p>
          <w:p w14:paraId="336ADB16" w14:textId="61B291EA" w:rsidR="009262EE" w:rsidRPr="00AA72EC" w:rsidRDefault="009262EE" w:rsidP="00632B3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2·05 (1·46-2·81)</w:t>
            </w:r>
          </w:p>
        </w:tc>
        <w:tc>
          <w:tcPr>
            <w:tcW w:w="1843" w:type="dxa"/>
            <w:tcBorders>
              <w:top w:val="single" w:sz="4" w:space="0" w:color="auto"/>
              <w:left w:val="single" w:sz="4" w:space="0" w:color="auto"/>
              <w:bottom w:val="single" w:sz="4" w:space="0" w:color="auto"/>
              <w:right w:val="single" w:sz="4" w:space="0" w:color="auto"/>
            </w:tcBorders>
            <w:vAlign w:val="center"/>
          </w:tcPr>
          <w:p w14:paraId="2563BC8D"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98/1554</w:t>
            </w:r>
          </w:p>
          <w:p w14:paraId="3FDE63DA" w14:textId="541054CB"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6·31</w:t>
            </w:r>
            <w:r w:rsidR="00AA72EC">
              <w:rPr>
                <w:rFonts w:ascii="Arial" w:hAnsi="Arial" w:cs="Arial"/>
                <w:sz w:val="16"/>
                <w:szCs w:val="16"/>
              </w:rPr>
              <w:t xml:space="preserve"> </w:t>
            </w:r>
            <w:r w:rsidRPr="00FB42C1">
              <w:rPr>
                <w:rFonts w:ascii="Arial" w:hAnsi="Arial" w:cs="Arial"/>
                <w:sz w:val="16"/>
                <w:szCs w:val="16"/>
              </w:rPr>
              <w:t>(5·15-7·63)</w:t>
            </w:r>
          </w:p>
        </w:tc>
        <w:tc>
          <w:tcPr>
            <w:tcW w:w="1559" w:type="dxa"/>
            <w:tcBorders>
              <w:top w:val="single" w:sz="4" w:space="0" w:color="auto"/>
              <w:left w:val="single" w:sz="4" w:space="0" w:color="auto"/>
              <w:bottom w:val="single" w:sz="4" w:space="0" w:color="auto"/>
              <w:right w:val="single" w:sz="4" w:space="0" w:color="auto"/>
            </w:tcBorders>
            <w:vAlign w:val="center"/>
          </w:tcPr>
          <w:p w14:paraId="51A970A5"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28/344</w:t>
            </w:r>
          </w:p>
          <w:p w14:paraId="5261B58F" w14:textId="1191CEFC" w:rsidR="009262EE" w:rsidRPr="00AA72EC" w:rsidRDefault="009262EE" w:rsidP="00632B3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8·14  (5·48-11·55)</w:t>
            </w:r>
          </w:p>
        </w:tc>
        <w:tc>
          <w:tcPr>
            <w:tcW w:w="1985" w:type="dxa"/>
            <w:tcBorders>
              <w:top w:val="single" w:sz="4" w:space="0" w:color="auto"/>
              <w:left w:val="single" w:sz="4" w:space="0" w:color="auto"/>
              <w:bottom w:val="single" w:sz="4" w:space="0" w:color="auto"/>
              <w:right w:val="single" w:sz="4" w:space="0" w:color="auto"/>
            </w:tcBorders>
            <w:vAlign w:val="center"/>
          </w:tcPr>
          <w:p w14:paraId="097F1109"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3/329</w:t>
            </w:r>
          </w:p>
          <w:p w14:paraId="77071572" w14:textId="1BD759C7" w:rsidR="009262EE" w:rsidRPr="00FB42C1" w:rsidRDefault="009262EE" w:rsidP="00632B3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0·91</w:t>
            </w:r>
            <w:r w:rsidR="00AA72EC">
              <w:rPr>
                <w:rFonts w:ascii="Arial" w:hAnsi="Arial" w:cs="Arial"/>
                <w:color w:val="000000" w:themeColor="text1"/>
                <w:sz w:val="16"/>
                <w:szCs w:val="16"/>
              </w:rPr>
              <w:t xml:space="preserve"> </w:t>
            </w:r>
            <w:r w:rsidRPr="00FB42C1">
              <w:rPr>
                <w:rFonts w:ascii="Arial" w:hAnsi="Arial" w:cs="Arial"/>
                <w:color w:val="000000" w:themeColor="text1"/>
                <w:sz w:val="16"/>
                <w:szCs w:val="16"/>
              </w:rPr>
              <w:t>(0·19-2·64)</w:t>
            </w:r>
          </w:p>
        </w:tc>
        <w:tc>
          <w:tcPr>
            <w:tcW w:w="1843" w:type="dxa"/>
            <w:tcBorders>
              <w:top w:val="single" w:sz="4" w:space="0" w:color="auto"/>
              <w:left w:val="single" w:sz="4" w:space="0" w:color="auto"/>
              <w:bottom w:val="single" w:sz="4" w:space="0" w:color="auto"/>
              <w:right w:val="single" w:sz="4" w:space="0" w:color="auto"/>
            </w:tcBorders>
          </w:tcPr>
          <w:p w14:paraId="65CEADD9" w14:textId="77777777" w:rsidR="009262EE" w:rsidRDefault="009262EE" w:rsidP="00A133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168/4034</w:t>
            </w:r>
          </w:p>
          <w:p w14:paraId="51ADEF76" w14:textId="2F9BEA21" w:rsidR="009262EE" w:rsidRPr="00FB42C1" w:rsidRDefault="009262EE" w:rsidP="00A133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4·16 (3·57-4·83)</w:t>
            </w:r>
          </w:p>
        </w:tc>
      </w:tr>
      <w:tr w:rsidR="009262EE" w:rsidRPr="00FB42C1" w14:paraId="49DE9125"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5B6729EC"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1FC027F7"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049" w:type="dxa"/>
            <w:tcBorders>
              <w:top w:val="single" w:sz="4" w:space="0" w:color="auto"/>
              <w:left w:val="single" w:sz="4" w:space="0" w:color="auto"/>
              <w:bottom w:val="single" w:sz="4" w:space="0" w:color="auto"/>
              <w:right w:val="single" w:sz="4" w:space="0" w:color="auto"/>
            </w:tcBorders>
          </w:tcPr>
          <w:p w14:paraId="29C9F16B"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71B9414A" w14:textId="1617BD35" w:rsidR="009262EE" w:rsidRPr="00E202B8"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w:t>
            </w:r>
            <w:r w:rsidR="00AA72EC">
              <w:rPr>
                <w:rFonts w:cs="Arial"/>
                <w:sz w:val="16"/>
                <w:szCs w:val="16"/>
              </w:rPr>
              <w:t xml:space="preserve"> (</w:t>
            </w:r>
            <w:r>
              <w:rPr>
                <w:rFonts w:cs="Arial"/>
                <w:sz w:val="16"/>
                <w:szCs w:val="16"/>
              </w:rPr>
              <w:t>95% CI</w:t>
            </w:r>
            <w:r w:rsidR="00AA72EC">
              <w:rPr>
                <w:rFonts w:cs="Arial"/>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14:paraId="6B0AA7CB"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6D813A06" w14:textId="28148E23"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119BD88A"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2/35</w:t>
            </w:r>
          </w:p>
          <w:p w14:paraId="22CEF064"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5·71 </w:t>
            </w:r>
          </w:p>
          <w:p w14:paraId="77E8E007"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(0·70-19·16)</w:t>
            </w:r>
          </w:p>
        </w:tc>
        <w:tc>
          <w:tcPr>
            <w:tcW w:w="1559" w:type="dxa"/>
            <w:tcBorders>
              <w:top w:val="single" w:sz="4" w:space="0" w:color="auto"/>
              <w:left w:val="single" w:sz="4" w:space="0" w:color="auto"/>
              <w:bottom w:val="single" w:sz="4" w:space="0" w:color="auto"/>
              <w:right w:val="single" w:sz="4" w:space="0" w:color="auto"/>
            </w:tcBorders>
            <w:vAlign w:val="center"/>
          </w:tcPr>
          <w:p w14:paraId="3BE7531F"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1/8</w:t>
            </w:r>
          </w:p>
          <w:p w14:paraId="346C995D"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12·50 </w:t>
            </w:r>
          </w:p>
          <w:p w14:paraId="45445B1A"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(0·32-52·65)</w:t>
            </w:r>
          </w:p>
        </w:tc>
        <w:tc>
          <w:tcPr>
            <w:tcW w:w="1985" w:type="dxa"/>
            <w:tcBorders>
              <w:top w:val="single" w:sz="4" w:space="0" w:color="auto"/>
              <w:left w:val="single" w:sz="4" w:space="0" w:color="auto"/>
              <w:bottom w:val="single" w:sz="4" w:space="0" w:color="auto"/>
              <w:right w:val="single" w:sz="4" w:space="0" w:color="auto"/>
            </w:tcBorders>
            <w:vAlign w:val="center"/>
          </w:tcPr>
          <w:p w14:paraId="6A67D7DF"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2CD187A4"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7D4D5B31"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1BB064FC"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3/87</w:t>
            </w:r>
          </w:p>
          <w:p w14:paraId="591EC687"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3·45</w:t>
            </w:r>
          </w:p>
          <w:p w14:paraId="0CB2FE9D" w14:textId="77777777" w:rsidR="009262EE" w:rsidRPr="00FB42C1" w:rsidRDefault="009262EE" w:rsidP="00632B34">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(0·72-9·75)</w:t>
            </w:r>
          </w:p>
        </w:tc>
      </w:tr>
      <w:tr w:rsidR="009262EE" w:rsidRPr="00FB42C1" w14:paraId="68E75CEC"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7A73168C"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2C34FE75"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049" w:type="dxa"/>
            <w:tcBorders>
              <w:top w:val="single" w:sz="4" w:space="0" w:color="auto"/>
              <w:left w:val="single" w:sz="4" w:space="0" w:color="auto"/>
              <w:bottom w:val="single" w:sz="4" w:space="0" w:color="auto"/>
              <w:right w:val="single" w:sz="4" w:space="0" w:color="auto"/>
            </w:tcBorders>
          </w:tcPr>
          <w:p w14:paraId="0812A340"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79B79166" w14:textId="4B8696E0"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1251F789"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3/44</w:t>
            </w:r>
          </w:p>
          <w:p w14:paraId="6D91F173"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6·82 </w:t>
            </w:r>
          </w:p>
          <w:p w14:paraId="12E8A8D7" w14:textId="77777777" w:rsidR="009262EE" w:rsidRPr="00FB42C1" w:rsidRDefault="009262EE" w:rsidP="00632B3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(1·43-18·66)</w:t>
            </w:r>
          </w:p>
        </w:tc>
        <w:tc>
          <w:tcPr>
            <w:tcW w:w="1843" w:type="dxa"/>
            <w:tcBorders>
              <w:top w:val="single" w:sz="4" w:space="0" w:color="auto"/>
              <w:left w:val="single" w:sz="4" w:space="0" w:color="auto"/>
              <w:bottom w:val="single" w:sz="4" w:space="0" w:color="auto"/>
              <w:right w:val="single" w:sz="4" w:space="0" w:color="auto"/>
            </w:tcBorders>
            <w:vAlign w:val="center"/>
          </w:tcPr>
          <w:p w14:paraId="02A1EE7D"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4/28</w:t>
            </w:r>
          </w:p>
          <w:p w14:paraId="1946F599"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14·29 </w:t>
            </w:r>
          </w:p>
          <w:p w14:paraId="5248AD4C"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(4·03-32·67)</w:t>
            </w:r>
          </w:p>
        </w:tc>
        <w:tc>
          <w:tcPr>
            <w:tcW w:w="1559" w:type="dxa"/>
            <w:tcBorders>
              <w:top w:val="single" w:sz="4" w:space="0" w:color="auto"/>
              <w:left w:val="single" w:sz="4" w:space="0" w:color="auto"/>
              <w:bottom w:val="single" w:sz="4" w:space="0" w:color="auto"/>
              <w:right w:val="single" w:sz="4" w:space="0" w:color="auto"/>
            </w:tcBorders>
            <w:vAlign w:val="center"/>
          </w:tcPr>
          <w:p w14:paraId="492D2EBA"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2/6</w:t>
            </w:r>
          </w:p>
          <w:p w14:paraId="6566618C"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33·33 </w:t>
            </w:r>
          </w:p>
          <w:p w14:paraId="23B918BE"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(4·33-77·72)</w:t>
            </w:r>
          </w:p>
        </w:tc>
        <w:tc>
          <w:tcPr>
            <w:tcW w:w="1985" w:type="dxa"/>
            <w:tcBorders>
              <w:top w:val="single" w:sz="4" w:space="0" w:color="auto"/>
              <w:left w:val="single" w:sz="4" w:space="0" w:color="auto"/>
              <w:bottom w:val="single" w:sz="4" w:space="0" w:color="auto"/>
              <w:right w:val="single" w:sz="4" w:space="0" w:color="auto"/>
            </w:tcBorders>
            <w:vAlign w:val="center"/>
          </w:tcPr>
          <w:p w14:paraId="0EF7058C"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1/24 4·17 </w:t>
            </w:r>
          </w:p>
          <w:p w14:paraId="359C7B24"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(0·11-21·12)</w:t>
            </w:r>
          </w:p>
        </w:tc>
        <w:tc>
          <w:tcPr>
            <w:tcW w:w="1843" w:type="dxa"/>
            <w:tcBorders>
              <w:top w:val="single" w:sz="4" w:space="0" w:color="auto"/>
              <w:left w:val="single" w:sz="4" w:space="0" w:color="auto"/>
              <w:bottom w:val="single" w:sz="4" w:space="0" w:color="auto"/>
              <w:right w:val="single" w:sz="4" w:space="0" w:color="auto"/>
            </w:tcBorders>
          </w:tcPr>
          <w:p w14:paraId="4F2CDF28"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10/105 9·52</w:t>
            </w:r>
          </w:p>
          <w:p w14:paraId="0779DB86" w14:textId="77777777" w:rsidR="009262EE" w:rsidRPr="00FB42C1" w:rsidRDefault="009262EE" w:rsidP="00632B3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(4·66-16·82)</w:t>
            </w:r>
          </w:p>
        </w:tc>
      </w:tr>
      <w:tr w:rsidR="009262EE" w:rsidRPr="00FB42C1" w14:paraId="5CB9BD09"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0EE4C140"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78D65CDC"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MenY</w:t>
            </w:r>
          </w:p>
        </w:tc>
        <w:tc>
          <w:tcPr>
            <w:tcW w:w="1049" w:type="dxa"/>
            <w:tcBorders>
              <w:top w:val="single" w:sz="4" w:space="0" w:color="auto"/>
              <w:left w:val="single" w:sz="4" w:space="0" w:color="auto"/>
              <w:bottom w:val="single" w:sz="4" w:space="0" w:color="auto"/>
              <w:right w:val="single" w:sz="4" w:space="0" w:color="auto"/>
            </w:tcBorders>
          </w:tcPr>
          <w:p w14:paraId="52B54EFE"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0B7E04B5" w14:textId="704F4AE5"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7C8740EF"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5/91</w:t>
            </w:r>
          </w:p>
          <w:p w14:paraId="6BD2FEF7"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5·49 </w:t>
            </w:r>
          </w:p>
          <w:p w14:paraId="188C4A89" w14:textId="77777777" w:rsidR="009262EE" w:rsidRPr="00FB42C1" w:rsidRDefault="009262EE" w:rsidP="00632B34">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(1·81-12·36)</w:t>
            </w:r>
          </w:p>
        </w:tc>
        <w:tc>
          <w:tcPr>
            <w:tcW w:w="1843" w:type="dxa"/>
            <w:tcBorders>
              <w:top w:val="single" w:sz="4" w:space="0" w:color="auto"/>
              <w:left w:val="single" w:sz="4" w:space="0" w:color="auto"/>
              <w:bottom w:val="single" w:sz="4" w:space="0" w:color="auto"/>
              <w:right w:val="single" w:sz="4" w:space="0" w:color="auto"/>
            </w:tcBorders>
            <w:vAlign w:val="center"/>
          </w:tcPr>
          <w:p w14:paraId="59142689"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9/69 </w:t>
            </w:r>
          </w:p>
          <w:p w14:paraId="75173B85"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13·04</w:t>
            </w:r>
          </w:p>
          <w:p w14:paraId="175350C9"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(6·14-23·32)</w:t>
            </w:r>
          </w:p>
        </w:tc>
        <w:tc>
          <w:tcPr>
            <w:tcW w:w="1559" w:type="dxa"/>
            <w:tcBorders>
              <w:top w:val="single" w:sz="4" w:space="0" w:color="auto"/>
              <w:left w:val="single" w:sz="4" w:space="0" w:color="auto"/>
              <w:bottom w:val="single" w:sz="4" w:space="0" w:color="auto"/>
              <w:right w:val="single" w:sz="4" w:space="0" w:color="auto"/>
            </w:tcBorders>
            <w:vAlign w:val="center"/>
          </w:tcPr>
          <w:p w14:paraId="724EDF0C"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8/27 </w:t>
            </w:r>
          </w:p>
          <w:p w14:paraId="56CFB9C2"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29·63 </w:t>
            </w:r>
          </w:p>
          <w:p w14:paraId="7A161E9D" w14:textId="77777777" w:rsidR="009262EE" w:rsidRPr="00FB42C1" w:rsidRDefault="009262EE" w:rsidP="00632B34">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(13·75-50·18)</w:t>
            </w:r>
          </w:p>
        </w:tc>
        <w:tc>
          <w:tcPr>
            <w:tcW w:w="1985" w:type="dxa"/>
            <w:tcBorders>
              <w:top w:val="single" w:sz="4" w:space="0" w:color="auto"/>
              <w:left w:val="single" w:sz="4" w:space="0" w:color="auto"/>
              <w:bottom w:val="single" w:sz="4" w:space="0" w:color="auto"/>
              <w:right w:val="single" w:sz="4" w:space="0" w:color="auto"/>
            </w:tcBorders>
            <w:vAlign w:val="center"/>
          </w:tcPr>
          <w:p w14:paraId="3DA176C1"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2/55</w:t>
            </w:r>
          </w:p>
          <w:p w14:paraId="76559E8E"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3·64 </w:t>
            </w:r>
          </w:p>
          <w:p w14:paraId="4DB0A2A0"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(0·44-12·53)</w:t>
            </w:r>
          </w:p>
        </w:tc>
        <w:tc>
          <w:tcPr>
            <w:tcW w:w="1843" w:type="dxa"/>
            <w:tcBorders>
              <w:top w:val="single" w:sz="4" w:space="0" w:color="auto"/>
              <w:left w:val="single" w:sz="4" w:space="0" w:color="auto"/>
              <w:bottom w:val="single" w:sz="4" w:space="0" w:color="auto"/>
              <w:right w:val="single" w:sz="4" w:space="0" w:color="auto"/>
            </w:tcBorders>
          </w:tcPr>
          <w:p w14:paraId="0C5BA37A"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24/242</w:t>
            </w:r>
          </w:p>
          <w:p w14:paraId="329B4082"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9·92</w:t>
            </w:r>
          </w:p>
          <w:p w14:paraId="0906961E" w14:textId="77777777" w:rsidR="009262EE" w:rsidRPr="00FB42C1" w:rsidRDefault="009262EE" w:rsidP="00632B34">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r w:rsidRPr="00FB42C1">
              <w:rPr>
                <w:rFonts w:ascii="Arial" w:hAnsi="Arial" w:cs="Arial"/>
                <w:color w:val="000000" w:themeColor="text1"/>
                <w:sz w:val="16"/>
                <w:szCs w:val="16"/>
              </w:rPr>
              <w:t>(6·46-14·40)</w:t>
            </w:r>
          </w:p>
        </w:tc>
      </w:tr>
      <w:tr w:rsidR="009262EE" w:rsidRPr="00FB42C1" w14:paraId="6ECCCB26" w14:textId="77777777" w:rsidTr="005A2DDF">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5C95EEB0"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7EF2CFC4"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049" w:type="dxa"/>
            <w:tcBorders>
              <w:top w:val="single" w:sz="4" w:space="0" w:color="auto"/>
              <w:left w:val="single" w:sz="4" w:space="0" w:color="auto"/>
              <w:bottom w:val="single" w:sz="4" w:space="0" w:color="auto"/>
              <w:right w:val="single" w:sz="4" w:space="0" w:color="auto"/>
            </w:tcBorders>
          </w:tcPr>
          <w:p w14:paraId="44199FB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1F8FC8F1" w14:textId="6C21DEDF"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6A1C859D"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633EBD7C"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78F83C00" w14:textId="77777777" w:rsidR="009262EE" w:rsidRPr="00FB42C1"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6622B2CD"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1/39 </w:t>
            </w:r>
          </w:p>
          <w:p w14:paraId="5C324467"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2·56 </w:t>
            </w:r>
          </w:p>
          <w:p w14:paraId="0F770CC5"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(0·06-13·48)</w:t>
            </w:r>
          </w:p>
        </w:tc>
        <w:tc>
          <w:tcPr>
            <w:tcW w:w="1559" w:type="dxa"/>
            <w:tcBorders>
              <w:top w:val="single" w:sz="4" w:space="0" w:color="auto"/>
              <w:left w:val="single" w:sz="4" w:space="0" w:color="auto"/>
              <w:bottom w:val="single" w:sz="4" w:space="0" w:color="auto"/>
              <w:right w:val="single" w:sz="4" w:space="0" w:color="auto"/>
            </w:tcBorders>
          </w:tcPr>
          <w:p w14:paraId="6531A3E0"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3C68BF10"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197697DD" w14:textId="77777777" w:rsidR="009262EE" w:rsidRPr="00564D1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tcPr>
          <w:p w14:paraId="75ACC4F6"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00CFCBE"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0D48C3BE" w14:textId="77777777" w:rsidR="009262EE" w:rsidRPr="00564D11"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3B8A04C6"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1/151</w:t>
            </w:r>
          </w:p>
          <w:p w14:paraId="38E602A1"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0·66</w:t>
            </w:r>
          </w:p>
          <w:p w14:paraId="6AFFB4ED" w14:textId="77777777" w:rsidR="009262EE" w:rsidRPr="00FB42C1" w:rsidRDefault="009262EE" w:rsidP="00632B3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(0·02-3·63)</w:t>
            </w:r>
          </w:p>
        </w:tc>
      </w:tr>
      <w:tr w:rsidR="009262EE" w:rsidRPr="00FB42C1" w14:paraId="6C753E22"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419A761A"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5DB1A2AD"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ACWY</w:t>
            </w:r>
          </w:p>
        </w:tc>
        <w:tc>
          <w:tcPr>
            <w:tcW w:w="1049" w:type="dxa"/>
            <w:tcBorders>
              <w:top w:val="single" w:sz="4" w:space="0" w:color="auto"/>
              <w:left w:val="single" w:sz="4" w:space="0" w:color="auto"/>
              <w:bottom w:val="single" w:sz="4" w:space="0" w:color="auto"/>
              <w:right w:val="single" w:sz="4" w:space="0" w:color="auto"/>
            </w:tcBorders>
          </w:tcPr>
          <w:p w14:paraId="02BAC1E2"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6A27E4A0" w14:textId="6609B6E7"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177ABFDE"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8/172</w:t>
            </w:r>
          </w:p>
          <w:p w14:paraId="5B1F7725"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4·65 </w:t>
            </w:r>
          </w:p>
          <w:p w14:paraId="612ABBED" w14:textId="77777777" w:rsidR="009262EE" w:rsidRPr="00FB42C1" w:rsidRDefault="009262EE" w:rsidP="00632B34">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(2·03-8·99)</w:t>
            </w:r>
          </w:p>
        </w:tc>
        <w:tc>
          <w:tcPr>
            <w:tcW w:w="1843" w:type="dxa"/>
            <w:tcBorders>
              <w:top w:val="single" w:sz="4" w:space="0" w:color="auto"/>
              <w:left w:val="single" w:sz="4" w:space="0" w:color="auto"/>
              <w:bottom w:val="single" w:sz="4" w:space="0" w:color="auto"/>
              <w:right w:val="single" w:sz="4" w:space="0" w:color="auto"/>
            </w:tcBorders>
            <w:vAlign w:val="center"/>
          </w:tcPr>
          <w:p w14:paraId="3F786C1B"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15/133</w:t>
            </w:r>
          </w:p>
          <w:p w14:paraId="09D82F10"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11·28 </w:t>
            </w:r>
          </w:p>
          <w:p w14:paraId="459237D4" w14:textId="77777777" w:rsidR="009262EE" w:rsidRPr="00FB42C1" w:rsidRDefault="009262EE" w:rsidP="00A61467">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(6·45-17·92)</w:t>
            </w:r>
          </w:p>
        </w:tc>
        <w:tc>
          <w:tcPr>
            <w:tcW w:w="1559" w:type="dxa"/>
            <w:tcBorders>
              <w:top w:val="single" w:sz="4" w:space="0" w:color="auto"/>
              <w:left w:val="single" w:sz="4" w:space="0" w:color="auto"/>
              <w:bottom w:val="single" w:sz="4" w:space="0" w:color="auto"/>
              <w:right w:val="single" w:sz="4" w:space="0" w:color="auto"/>
            </w:tcBorders>
            <w:vAlign w:val="center"/>
          </w:tcPr>
          <w:p w14:paraId="157490A4"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11/41</w:t>
            </w:r>
          </w:p>
          <w:p w14:paraId="33DDA823"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26·83</w:t>
            </w:r>
          </w:p>
          <w:p w14:paraId="59882845" w14:textId="77777777" w:rsidR="009262EE" w:rsidRPr="00FB42C1" w:rsidRDefault="009262EE" w:rsidP="00A61467">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(14·22-42·94)</w:t>
            </w:r>
          </w:p>
        </w:tc>
        <w:tc>
          <w:tcPr>
            <w:tcW w:w="1985" w:type="dxa"/>
            <w:tcBorders>
              <w:top w:val="single" w:sz="4" w:space="0" w:color="auto"/>
              <w:left w:val="single" w:sz="4" w:space="0" w:color="auto"/>
              <w:bottom w:val="single" w:sz="4" w:space="0" w:color="auto"/>
              <w:right w:val="single" w:sz="4" w:space="0" w:color="auto"/>
            </w:tcBorders>
            <w:vAlign w:val="center"/>
          </w:tcPr>
          <w:p w14:paraId="577DCBF0"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3/91</w:t>
            </w:r>
          </w:p>
          <w:p w14:paraId="10058D1C"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3·30 </w:t>
            </w:r>
          </w:p>
          <w:p w14:paraId="40031342" w14:textId="77777777" w:rsidR="009262EE" w:rsidRPr="00FB42C1" w:rsidRDefault="009262EE" w:rsidP="00A61467">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(0·69-9·33)</w:t>
            </w:r>
          </w:p>
        </w:tc>
        <w:tc>
          <w:tcPr>
            <w:tcW w:w="1843" w:type="dxa"/>
            <w:tcBorders>
              <w:top w:val="single" w:sz="4" w:space="0" w:color="auto"/>
              <w:left w:val="single" w:sz="4" w:space="0" w:color="auto"/>
              <w:bottom w:val="single" w:sz="4" w:space="0" w:color="auto"/>
              <w:right w:val="single" w:sz="4" w:space="0" w:color="auto"/>
            </w:tcBorders>
          </w:tcPr>
          <w:p w14:paraId="5106ABA2"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37/437</w:t>
            </w:r>
          </w:p>
          <w:p w14:paraId="07F34BD5"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8·47</w:t>
            </w:r>
          </w:p>
          <w:p w14:paraId="1BB0E606" w14:textId="77777777" w:rsidR="009262EE" w:rsidRPr="00FB42C1" w:rsidRDefault="009262EE" w:rsidP="00A61467">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r w:rsidRPr="00FB42C1">
              <w:rPr>
                <w:rFonts w:ascii="Arial" w:hAnsi="Arial" w:cs="Arial"/>
                <w:color w:val="000000" w:themeColor="text1"/>
                <w:sz w:val="16"/>
                <w:szCs w:val="16"/>
              </w:rPr>
              <w:t>(6·03-11·48)</w:t>
            </w:r>
          </w:p>
        </w:tc>
      </w:tr>
      <w:tr w:rsidR="009262EE" w:rsidRPr="00FB42C1" w14:paraId="1FC655FA"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val="restart"/>
            <w:tcBorders>
              <w:top w:val="single" w:sz="4" w:space="0" w:color="auto"/>
              <w:left w:val="single" w:sz="4" w:space="0" w:color="auto"/>
              <w:bottom w:val="single" w:sz="4" w:space="0" w:color="auto"/>
              <w:right w:val="single" w:sz="4" w:space="0" w:color="auto"/>
            </w:tcBorders>
            <w:vAlign w:val="center"/>
          </w:tcPr>
          <w:p w14:paraId="68DD82E7" w14:textId="77777777" w:rsidR="009262EE" w:rsidRPr="00FB42C1" w:rsidRDefault="009262EE" w:rsidP="00122826">
            <w:pPr>
              <w:spacing w:after="0" w:line="240" w:lineRule="auto"/>
              <w:rPr>
                <w:rFonts w:ascii="Arial" w:hAnsi="Arial" w:cs="Arial"/>
                <w:b w:val="0"/>
                <w:sz w:val="16"/>
                <w:szCs w:val="16"/>
              </w:rPr>
            </w:pPr>
            <w:r w:rsidRPr="00FB42C1">
              <w:rPr>
                <w:rFonts w:ascii="Arial" w:hAnsi="Arial" w:cs="Arial"/>
                <w:b w:val="0"/>
                <w:sz w:val="16"/>
                <w:szCs w:val="16"/>
              </w:rPr>
              <w:t>&lt;1</w:t>
            </w:r>
            <w:r>
              <w:rPr>
                <w:rFonts w:ascii="Arial" w:hAnsi="Arial" w:cs="Arial"/>
                <w:b w:val="0"/>
                <w:sz w:val="16"/>
                <w:szCs w:val="16"/>
              </w:rPr>
              <w:t xml:space="preserve"> y</w:t>
            </w:r>
          </w:p>
        </w:tc>
        <w:tc>
          <w:tcPr>
            <w:tcW w:w="941" w:type="dxa"/>
            <w:tcBorders>
              <w:top w:val="single" w:sz="4" w:space="0" w:color="auto"/>
              <w:left w:val="single" w:sz="4" w:space="0" w:color="auto"/>
              <w:bottom w:val="single" w:sz="4" w:space="0" w:color="auto"/>
              <w:right w:val="single" w:sz="4" w:space="0" w:color="auto"/>
            </w:tcBorders>
            <w:vAlign w:val="center"/>
          </w:tcPr>
          <w:p w14:paraId="14F3CF22"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049" w:type="dxa"/>
            <w:tcBorders>
              <w:top w:val="single" w:sz="4" w:space="0" w:color="auto"/>
              <w:left w:val="single" w:sz="4" w:space="0" w:color="auto"/>
              <w:bottom w:val="single" w:sz="4" w:space="0" w:color="auto"/>
              <w:right w:val="single" w:sz="4" w:space="0" w:color="auto"/>
            </w:tcBorders>
          </w:tcPr>
          <w:p w14:paraId="685DFE73"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499013E0" w14:textId="1EA1F084"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375744BA"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9F470EF"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219D40BE" w14:textId="77777777" w:rsidR="009262EE" w:rsidRPr="00FB42C1"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28C96A2E"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31/370</w:t>
            </w:r>
          </w:p>
          <w:p w14:paraId="51FB202E"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8·38</w:t>
            </w:r>
          </w:p>
          <w:p w14:paraId="2A0E6AC4"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(5·76-11·68)</w:t>
            </w:r>
          </w:p>
        </w:tc>
        <w:tc>
          <w:tcPr>
            <w:tcW w:w="1559" w:type="dxa"/>
            <w:tcBorders>
              <w:top w:val="single" w:sz="4" w:space="0" w:color="auto"/>
              <w:left w:val="single" w:sz="4" w:space="0" w:color="auto"/>
              <w:bottom w:val="single" w:sz="4" w:space="0" w:color="auto"/>
              <w:right w:val="single" w:sz="4" w:space="0" w:color="auto"/>
            </w:tcBorders>
            <w:vAlign w:val="center"/>
          </w:tcPr>
          <w:p w14:paraId="0622A3D1"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5/107 </w:t>
            </w:r>
          </w:p>
          <w:p w14:paraId="79F34EC1"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4·67</w:t>
            </w:r>
          </w:p>
          <w:p w14:paraId="06214D69" w14:textId="77777777" w:rsidR="009262EE" w:rsidRPr="00FB42C1" w:rsidRDefault="009262EE" w:rsidP="00A6146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(1·53-10·57)</w:t>
            </w:r>
          </w:p>
        </w:tc>
        <w:tc>
          <w:tcPr>
            <w:tcW w:w="1985" w:type="dxa"/>
            <w:tcBorders>
              <w:top w:val="single" w:sz="4" w:space="0" w:color="auto"/>
              <w:left w:val="single" w:sz="4" w:space="0" w:color="auto"/>
              <w:bottom w:val="single" w:sz="4" w:space="0" w:color="auto"/>
              <w:right w:val="single" w:sz="4" w:space="0" w:color="auto"/>
            </w:tcBorders>
            <w:vAlign w:val="center"/>
          </w:tcPr>
          <w:p w14:paraId="46A35C08"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1/66 </w:t>
            </w:r>
          </w:p>
          <w:p w14:paraId="040E832A"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1·27</w:t>
            </w:r>
          </w:p>
          <w:p w14:paraId="3BCA9715"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(0·03-6·85)</w:t>
            </w:r>
          </w:p>
        </w:tc>
        <w:tc>
          <w:tcPr>
            <w:tcW w:w="1843" w:type="dxa"/>
            <w:tcBorders>
              <w:top w:val="single" w:sz="4" w:space="0" w:color="auto"/>
              <w:left w:val="single" w:sz="4" w:space="0" w:color="auto"/>
              <w:bottom w:val="single" w:sz="4" w:space="0" w:color="auto"/>
              <w:right w:val="single" w:sz="4" w:space="0" w:color="auto"/>
            </w:tcBorders>
          </w:tcPr>
          <w:p w14:paraId="6612DCA4"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37/1043 </w:t>
            </w:r>
          </w:p>
          <w:p w14:paraId="7CA75B83"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3·55</w:t>
            </w:r>
          </w:p>
          <w:p w14:paraId="3B6EABEC" w14:textId="77777777" w:rsidR="009262EE" w:rsidRPr="00FB42C1" w:rsidRDefault="009262EE" w:rsidP="00A6146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(2·51-4·86)</w:t>
            </w:r>
          </w:p>
        </w:tc>
      </w:tr>
      <w:tr w:rsidR="009262EE" w:rsidRPr="00FB42C1" w14:paraId="6CD65CB5"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16DD181D"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3AF2BE2B"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049" w:type="dxa"/>
            <w:tcBorders>
              <w:top w:val="single" w:sz="4" w:space="0" w:color="auto"/>
              <w:left w:val="single" w:sz="4" w:space="0" w:color="auto"/>
              <w:bottom w:val="single" w:sz="4" w:space="0" w:color="auto"/>
              <w:right w:val="single" w:sz="4" w:space="0" w:color="auto"/>
            </w:tcBorders>
          </w:tcPr>
          <w:p w14:paraId="0D7642DA"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5745F7D8" w14:textId="750B3AEA"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3241EB5E"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5EF3D15"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6607107D"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38107EA7"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6BD78E14"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4772850F"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0F676A97"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D70EA0A"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3FCF4A8A"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0E6B5FDC"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48493896"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3C0CBF24"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500D8A17"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32776F2B"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2AF0A428"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41F08EAE"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76AF8536"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46965364"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049" w:type="dxa"/>
            <w:tcBorders>
              <w:top w:val="single" w:sz="4" w:space="0" w:color="auto"/>
              <w:left w:val="single" w:sz="4" w:space="0" w:color="auto"/>
              <w:bottom w:val="single" w:sz="4" w:space="0" w:color="auto"/>
              <w:right w:val="single" w:sz="4" w:space="0" w:color="auto"/>
            </w:tcBorders>
          </w:tcPr>
          <w:p w14:paraId="1009F707"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351C279A" w14:textId="0F8370AE"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142814D1"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60B34F8B"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59FF7B7C"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393124C8"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D5CD33D"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5D20A90B"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4901FBB0"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6C216FF8"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59D15F8C"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504B71C6"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795892B1"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5600815E"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6C6FD0BB"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18A7911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6F76F70D"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2318245E"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449E84D9"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105B584B"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049" w:type="dxa"/>
            <w:tcBorders>
              <w:top w:val="single" w:sz="4" w:space="0" w:color="auto"/>
              <w:left w:val="single" w:sz="4" w:space="0" w:color="auto"/>
              <w:bottom w:val="single" w:sz="4" w:space="0" w:color="auto"/>
              <w:right w:val="single" w:sz="4" w:space="0" w:color="auto"/>
            </w:tcBorders>
          </w:tcPr>
          <w:p w14:paraId="1B56F876"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2BABB82B" w14:textId="03EE13CF"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75C519DE"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57E4818"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78A090AA"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42DAC2B1"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5D6BE0BB"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0E995D5F"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2C9FCD85"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99C3026"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47EFEA8F"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5A065819"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406EA35B"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6F7D9F97"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41605346"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767822B"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48F96803"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3F88EB22"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7037E57D"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2B6BE738"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049" w:type="dxa"/>
            <w:tcBorders>
              <w:top w:val="single" w:sz="4" w:space="0" w:color="auto"/>
              <w:left w:val="single" w:sz="4" w:space="0" w:color="auto"/>
              <w:bottom w:val="single" w:sz="4" w:space="0" w:color="auto"/>
              <w:right w:val="single" w:sz="4" w:space="0" w:color="auto"/>
            </w:tcBorders>
          </w:tcPr>
          <w:p w14:paraId="65921E17"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625A5DF5" w14:textId="7DAE68A1"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3FD36382"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B9D5476"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4DBDEB5D"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09FB26FB"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31316A5"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0E5878E8"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73232244"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5E66E36"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141EC97D"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7C2478E7"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1E3F3479"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79CCD7DA"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4281B47D"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4F607A4"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6D8FC517"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0323006D"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02B140DC"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6511F2AA"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ACWY</w:t>
            </w:r>
          </w:p>
        </w:tc>
        <w:tc>
          <w:tcPr>
            <w:tcW w:w="1049" w:type="dxa"/>
            <w:tcBorders>
              <w:top w:val="single" w:sz="4" w:space="0" w:color="auto"/>
              <w:left w:val="single" w:sz="4" w:space="0" w:color="auto"/>
              <w:bottom w:val="single" w:sz="4" w:space="0" w:color="auto"/>
              <w:right w:val="single" w:sz="4" w:space="0" w:color="auto"/>
            </w:tcBorders>
          </w:tcPr>
          <w:p w14:paraId="7C974D2E"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5FDD60A2" w14:textId="028346FB"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4AD0FE11"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4EAFBC80"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46DF4AAC"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7F408FF5"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6ADFA449"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20AE6F25"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5EEAA433"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6AAA167C"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1A2D8AB6"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602F1EAA"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AB84298"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59DF64BC"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6A285DE1"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9A67BEC"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72ECD7E2"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6AAE13AB"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val="restart"/>
            <w:tcBorders>
              <w:top w:val="single" w:sz="4" w:space="0" w:color="auto"/>
              <w:left w:val="single" w:sz="4" w:space="0" w:color="auto"/>
              <w:bottom w:val="single" w:sz="4" w:space="0" w:color="auto"/>
              <w:right w:val="single" w:sz="4" w:space="0" w:color="auto"/>
            </w:tcBorders>
            <w:vAlign w:val="center"/>
          </w:tcPr>
          <w:p w14:paraId="70D40ADE" w14:textId="77777777" w:rsidR="009262EE" w:rsidRPr="00FB42C1" w:rsidRDefault="009262EE" w:rsidP="00122826">
            <w:pPr>
              <w:spacing w:after="0" w:line="240" w:lineRule="auto"/>
              <w:rPr>
                <w:rFonts w:ascii="Arial" w:hAnsi="Arial" w:cs="Arial"/>
                <w:b w:val="0"/>
                <w:sz w:val="16"/>
                <w:szCs w:val="16"/>
              </w:rPr>
            </w:pPr>
            <w:r w:rsidRPr="00FB42C1">
              <w:rPr>
                <w:rFonts w:ascii="Arial" w:hAnsi="Arial" w:cs="Arial"/>
                <w:b w:val="0"/>
                <w:sz w:val="16"/>
                <w:szCs w:val="16"/>
              </w:rPr>
              <w:t>1-4</w:t>
            </w:r>
            <w:r>
              <w:rPr>
                <w:rFonts w:ascii="Arial" w:hAnsi="Arial" w:cs="Arial"/>
                <w:b w:val="0"/>
                <w:sz w:val="16"/>
                <w:szCs w:val="16"/>
              </w:rPr>
              <w:t xml:space="preserve"> y</w:t>
            </w:r>
          </w:p>
        </w:tc>
        <w:tc>
          <w:tcPr>
            <w:tcW w:w="941" w:type="dxa"/>
            <w:tcBorders>
              <w:top w:val="single" w:sz="4" w:space="0" w:color="auto"/>
              <w:left w:val="single" w:sz="4" w:space="0" w:color="auto"/>
              <w:bottom w:val="single" w:sz="4" w:space="0" w:color="auto"/>
              <w:right w:val="single" w:sz="4" w:space="0" w:color="auto"/>
            </w:tcBorders>
            <w:vAlign w:val="center"/>
          </w:tcPr>
          <w:p w14:paraId="11B1EC7A"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049" w:type="dxa"/>
            <w:tcBorders>
              <w:top w:val="single" w:sz="4" w:space="0" w:color="auto"/>
              <w:left w:val="single" w:sz="4" w:space="0" w:color="auto"/>
              <w:bottom w:val="single" w:sz="4" w:space="0" w:color="auto"/>
              <w:right w:val="single" w:sz="4" w:space="0" w:color="auto"/>
            </w:tcBorders>
          </w:tcPr>
          <w:p w14:paraId="71C9B83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4CC1F364" w14:textId="124F4819"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47A313CD"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2/366</w:t>
            </w:r>
          </w:p>
          <w:p w14:paraId="563B7C75"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0·55 </w:t>
            </w:r>
          </w:p>
          <w:p w14:paraId="43227E4E" w14:textId="77777777" w:rsidR="009262EE" w:rsidRPr="00FB42C1" w:rsidRDefault="009262EE" w:rsidP="00A6146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(0·07-1·96)</w:t>
            </w:r>
          </w:p>
        </w:tc>
        <w:tc>
          <w:tcPr>
            <w:tcW w:w="1843" w:type="dxa"/>
            <w:tcBorders>
              <w:top w:val="single" w:sz="4" w:space="0" w:color="auto"/>
              <w:left w:val="single" w:sz="4" w:space="0" w:color="auto"/>
              <w:bottom w:val="single" w:sz="4" w:space="0" w:color="auto"/>
              <w:right w:val="single" w:sz="4" w:space="0" w:color="auto"/>
            </w:tcBorders>
            <w:vAlign w:val="center"/>
          </w:tcPr>
          <w:p w14:paraId="1D543C19"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31/714 </w:t>
            </w:r>
          </w:p>
          <w:p w14:paraId="439242AE"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4·34 </w:t>
            </w:r>
          </w:p>
          <w:p w14:paraId="5D14DE82"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(2·67-6·11)</w:t>
            </w:r>
          </w:p>
        </w:tc>
        <w:tc>
          <w:tcPr>
            <w:tcW w:w="1559" w:type="dxa"/>
            <w:tcBorders>
              <w:top w:val="single" w:sz="4" w:space="0" w:color="auto"/>
              <w:left w:val="single" w:sz="4" w:space="0" w:color="auto"/>
              <w:bottom w:val="single" w:sz="4" w:space="0" w:color="auto"/>
              <w:right w:val="single" w:sz="4" w:space="0" w:color="auto"/>
            </w:tcBorders>
            <w:vAlign w:val="center"/>
          </w:tcPr>
          <w:p w14:paraId="04A8FE24"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sz w:val="16"/>
                <w:szCs w:val="16"/>
              </w:rPr>
              <w:t>7</w:t>
            </w:r>
            <w:r w:rsidRPr="00FB42C1">
              <w:rPr>
                <w:rFonts w:ascii="Arial" w:hAnsi="Arial" w:cs="Arial"/>
                <w:color w:val="000000" w:themeColor="text1"/>
                <w:sz w:val="16"/>
                <w:szCs w:val="16"/>
              </w:rPr>
              <w:t>/100</w:t>
            </w:r>
          </w:p>
          <w:p w14:paraId="622A678B"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7·00 </w:t>
            </w:r>
          </w:p>
          <w:p w14:paraId="0FD32FBE" w14:textId="77777777" w:rsidR="009262EE" w:rsidRPr="00FB42C1" w:rsidRDefault="009262EE" w:rsidP="00A6146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(2·86-13·89)</w:t>
            </w:r>
          </w:p>
        </w:tc>
        <w:tc>
          <w:tcPr>
            <w:tcW w:w="1985" w:type="dxa"/>
            <w:tcBorders>
              <w:top w:val="single" w:sz="4" w:space="0" w:color="auto"/>
              <w:left w:val="single" w:sz="4" w:space="0" w:color="auto"/>
              <w:bottom w:val="single" w:sz="4" w:space="0" w:color="auto"/>
              <w:right w:val="single" w:sz="4" w:space="0" w:color="auto"/>
            </w:tcBorders>
            <w:vAlign w:val="center"/>
          </w:tcPr>
          <w:p w14:paraId="33DB433F"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1/126</w:t>
            </w:r>
          </w:p>
          <w:p w14:paraId="7DAF9CB4"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0·79</w:t>
            </w:r>
          </w:p>
          <w:p w14:paraId="551B96E8"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(0·02-4·34)</w:t>
            </w:r>
          </w:p>
        </w:tc>
        <w:tc>
          <w:tcPr>
            <w:tcW w:w="1843" w:type="dxa"/>
            <w:tcBorders>
              <w:top w:val="single" w:sz="4" w:space="0" w:color="auto"/>
              <w:left w:val="single" w:sz="4" w:space="0" w:color="auto"/>
              <w:bottom w:val="single" w:sz="4" w:space="0" w:color="auto"/>
              <w:right w:val="single" w:sz="4" w:space="0" w:color="auto"/>
            </w:tcBorders>
          </w:tcPr>
          <w:p w14:paraId="1E792351"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41/1265 </w:t>
            </w:r>
          </w:p>
          <w:p w14:paraId="284C9685"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3·24</w:t>
            </w:r>
          </w:p>
          <w:p w14:paraId="1D3739B8" w14:textId="77777777" w:rsidR="009262EE" w:rsidRPr="00FB42C1" w:rsidRDefault="009262EE" w:rsidP="00A6146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(2·33-4·37)</w:t>
            </w:r>
          </w:p>
        </w:tc>
      </w:tr>
      <w:tr w:rsidR="009262EE" w:rsidRPr="00FB42C1" w14:paraId="7D6DF6EA"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3335806E"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268CD8B9"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049" w:type="dxa"/>
            <w:tcBorders>
              <w:top w:val="single" w:sz="4" w:space="0" w:color="auto"/>
              <w:left w:val="single" w:sz="4" w:space="0" w:color="auto"/>
              <w:bottom w:val="single" w:sz="4" w:space="0" w:color="auto"/>
              <w:right w:val="single" w:sz="4" w:space="0" w:color="auto"/>
            </w:tcBorders>
          </w:tcPr>
          <w:p w14:paraId="0463061B"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728CC882" w14:textId="021B7060"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1DF52574"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60AAA14A"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0CFA7F09"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00E82602"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1/6 </w:t>
            </w:r>
          </w:p>
          <w:p w14:paraId="6506D4DE"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16·67 </w:t>
            </w:r>
          </w:p>
          <w:p w14:paraId="5221470E"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(0·42-64·12)</w:t>
            </w:r>
          </w:p>
        </w:tc>
        <w:tc>
          <w:tcPr>
            <w:tcW w:w="1559" w:type="dxa"/>
            <w:tcBorders>
              <w:top w:val="single" w:sz="4" w:space="0" w:color="auto"/>
              <w:left w:val="single" w:sz="4" w:space="0" w:color="auto"/>
              <w:bottom w:val="single" w:sz="4" w:space="0" w:color="auto"/>
              <w:right w:val="single" w:sz="4" w:space="0" w:color="auto"/>
            </w:tcBorders>
            <w:vAlign w:val="center"/>
          </w:tcPr>
          <w:p w14:paraId="61AFB36F"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2C8390E0"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4E59BC43"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63983CD7"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6262F086"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08B23E84"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39150EC4"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1/12</w:t>
            </w:r>
          </w:p>
          <w:p w14:paraId="77E4539C"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8·33</w:t>
            </w:r>
          </w:p>
          <w:p w14:paraId="0D6882C8" w14:textId="77777777" w:rsidR="009262EE" w:rsidRPr="00FB42C1" w:rsidRDefault="009262EE" w:rsidP="00A61467">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(0·21-38·48</w:t>
            </w:r>
          </w:p>
        </w:tc>
      </w:tr>
      <w:tr w:rsidR="009262EE" w:rsidRPr="00FB42C1" w14:paraId="1F24395A"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7EA65B0D"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4EFFFF3A"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049" w:type="dxa"/>
            <w:tcBorders>
              <w:top w:val="single" w:sz="4" w:space="0" w:color="auto"/>
              <w:left w:val="single" w:sz="4" w:space="0" w:color="auto"/>
              <w:bottom w:val="single" w:sz="4" w:space="0" w:color="auto"/>
              <w:right w:val="single" w:sz="4" w:space="0" w:color="auto"/>
            </w:tcBorders>
          </w:tcPr>
          <w:p w14:paraId="4DEF3780"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0C908FD3" w14:textId="74E7E7F2"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20EA432F"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56201806"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28466FA1"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313537F9"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61B1260B"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640D64FC"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70E81473"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1265781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59BDBF95"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5F6BA92B"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4045C1F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4F301247"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023A01F1"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6692D5B"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0BFDB562"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3CE59B36"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4BB8E43A"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0F18504D"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049" w:type="dxa"/>
            <w:tcBorders>
              <w:top w:val="single" w:sz="4" w:space="0" w:color="auto"/>
              <w:left w:val="single" w:sz="4" w:space="0" w:color="auto"/>
              <w:bottom w:val="single" w:sz="4" w:space="0" w:color="auto"/>
              <w:right w:val="single" w:sz="4" w:space="0" w:color="auto"/>
            </w:tcBorders>
          </w:tcPr>
          <w:p w14:paraId="32CD5B89"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4EB7069C" w14:textId="26075421"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5E857CF7"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4217F7F5"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2C903EE2"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34C92584"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3B10263"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58B543BD"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3CF49735"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E59952A"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1DBC159F"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5396326D"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44196C3E"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1E5A6EE7"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0E5D485F"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BAE1DAF"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51B58CC1"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0510E844"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4F802AF3"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02FC9F4C"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049" w:type="dxa"/>
            <w:tcBorders>
              <w:top w:val="single" w:sz="4" w:space="0" w:color="auto"/>
              <w:left w:val="single" w:sz="4" w:space="0" w:color="auto"/>
              <w:bottom w:val="single" w:sz="4" w:space="0" w:color="auto"/>
              <w:right w:val="single" w:sz="4" w:space="0" w:color="auto"/>
            </w:tcBorders>
          </w:tcPr>
          <w:p w14:paraId="3077D31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74C6A551" w14:textId="01687949"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03C1038C"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1EB1D3B9"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27142D16"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4C126667"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78EF6D35"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143D8AC2"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1800FBBC"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78C62B2B"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65730296"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083718FA"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44C5D230"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741D4B15"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22D6680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1662ABA4"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625F8226"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086E9ED1"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74AB20DD"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6418A5E9"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ACWY</w:t>
            </w:r>
          </w:p>
        </w:tc>
        <w:tc>
          <w:tcPr>
            <w:tcW w:w="1049" w:type="dxa"/>
            <w:tcBorders>
              <w:top w:val="single" w:sz="4" w:space="0" w:color="auto"/>
              <w:left w:val="single" w:sz="4" w:space="0" w:color="auto"/>
              <w:bottom w:val="single" w:sz="4" w:space="0" w:color="auto"/>
              <w:right w:val="single" w:sz="4" w:space="0" w:color="auto"/>
            </w:tcBorders>
          </w:tcPr>
          <w:p w14:paraId="20A1BD94"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3101436D" w14:textId="7594371E"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18847D00"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2DBC18A8"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240AAC97"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488BE23D"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1/14 </w:t>
            </w:r>
          </w:p>
          <w:p w14:paraId="39731FA5"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7·14</w:t>
            </w:r>
          </w:p>
          <w:p w14:paraId="1091BC7C" w14:textId="77777777" w:rsidR="009262EE" w:rsidRPr="00FB42C1" w:rsidRDefault="009262EE" w:rsidP="00A61467">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(0·18-33·87)</w:t>
            </w:r>
          </w:p>
        </w:tc>
        <w:tc>
          <w:tcPr>
            <w:tcW w:w="1559" w:type="dxa"/>
            <w:tcBorders>
              <w:top w:val="single" w:sz="4" w:space="0" w:color="auto"/>
              <w:left w:val="single" w:sz="4" w:space="0" w:color="auto"/>
              <w:bottom w:val="single" w:sz="4" w:space="0" w:color="auto"/>
              <w:right w:val="single" w:sz="4" w:space="0" w:color="auto"/>
            </w:tcBorders>
            <w:vAlign w:val="center"/>
          </w:tcPr>
          <w:p w14:paraId="41F895B9"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7894A847"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7A08B655"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3B47D58A"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4DD7CFF2"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6B515552"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2A4325E6"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1/40</w:t>
            </w:r>
          </w:p>
          <w:p w14:paraId="6D11ACD0"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2·50</w:t>
            </w:r>
          </w:p>
          <w:p w14:paraId="5A1F939C" w14:textId="77777777" w:rsidR="009262EE" w:rsidRPr="00FB42C1" w:rsidRDefault="009262EE" w:rsidP="00A61467">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(0·06-13·16)</w:t>
            </w:r>
          </w:p>
        </w:tc>
      </w:tr>
      <w:tr w:rsidR="009262EE" w:rsidRPr="00FB42C1" w14:paraId="26F66BAF"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val="restart"/>
            <w:tcBorders>
              <w:top w:val="single" w:sz="4" w:space="0" w:color="auto"/>
              <w:left w:val="single" w:sz="4" w:space="0" w:color="auto"/>
              <w:bottom w:val="single" w:sz="4" w:space="0" w:color="auto"/>
              <w:right w:val="single" w:sz="4" w:space="0" w:color="auto"/>
            </w:tcBorders>
            <w:vAlign w:val="center"/>
          </w:tcPr>
          <w:p w14:paraId="16CF74EC" w14:textId="77777777" w:rsidR="009262EE" w:rsidRPr="00FB42C1" w:rsidRDefault="009262EE" w:rsidP="00122826">
            <w:pPr>
              <w:spacing w:after="0" w:line="240" w:lineRule="auto"/>
              <w:rPr>
                <w:rFonts w:ascii="Arial" w:hAnsi="Arial" w:cs="Arial"/>
                <w:b w:val="0"/>
                <w:sz w:val="16"/>
                <w:szCs w:val="16"/>
              </w:rPr>
            </w:pPr>
            <w:r w:rsidRPr="00FB42C1">
              <w:rPr>
                <w:rFonts w:ascii="Arial" w:hAnsi="Arial" w:cs="Arial"/>
                <w:b w:val="0"/>
                <w:sz w:val="16"/>
                <w:szCs w:val="16"/>
              </w:rPr>
              <w:t>5-14</w:t>
            </w:r>
            <w:r>
              <w:rPr>
                <w:rFonts w:ascii="Arial" w:hAnsi="Arial" w:cs="Arial"/>
                <w:b w:val="0"/>
                <w:sz w:val="16"/>
                <w:szCs w:val="16"/>
              </w:rPr>
              <w:t xml:space="preserve"> y</w:t>
            </w:r>
          </w:p>
        </w:tc>
        <w:tc>
          <w:tcPr>
            <w:tcW w:w="941" w:type="dxa"/>
            <w:tcBorders>
              <w:top w:val="single" w:sz="4" w:space="0" w:color="auto"/>
              <w:left w:val="single" w:sz="4" w:space="0" w:color="auto"/>
              <w:bottom w:val="single" w:sz="4" w:space="0" w:color="auto"/>
              <w:right w:val="single" w:sz="4" w:space="0" w:color="auto"/>
            </w:tcBorders>
            <w:vAlign w:val="center"/>
          </w:tcPr>
          <w:p w14:paraId="2FC52FAB"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049" w:type="dxa"/>
            <w:tcBorders>
              <w:top w:val="single" w:sz="4" w:space="0" w:color="auto"/>
              <w:left w:val="single" w:sz="4" w:space="0" w:color="auto"/>
              <w:bottom w:val="single" w:sz="4" w:space="0" w:color="auto"/>
              <w:right w:val="single" w:sz="4" w:space="0" w:color="auto"/>
            </w:tcBorders>
          </w:tcPr>
          <w:p w14:paraId="3AC273DC"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460C46A6" w14:textId="4E672E81"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5FFF387A"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3/132</w:t>
            </w:r>
          </w:p>
          <w:p w14:paraId="5D2688EB"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2·27 </w:t>
            </w:r>
          </w:p>
          <w:p w14:paraId="2A5F8F17" w14:textId="77777777" w:rsidR="009262EE" w:rsidRPr="00FB42C1" w:rsidRDefault="009262EE" w:rsidP="00A6146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(0·47-6·50)</w:t>
            </w:r>
          </w:p>
        </w:tc>
        <w:tc>
          <w:tcPr>
            <w:tcW w:w="1843" w:type="dxa"/>
            <w:tcBorders>
              <w:top w:val="single" w:sz="4" w:space="0" w:color="auto"/>
              <w:left w:val="single" w:sz="4" w:space="0" w:color="auto"/>
              <w:bottom w:val="single" w:sz="4" w:space="0" w:color="auto"/>
              <w:right w:val="single" w:sz="4" w:space="0" w:color="auto"/>
            </w:tcBorders>
            <w:vAlign w:val="center"/>
          </w:tcPr>
          <w:p w14:paraId="2F013887"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3/194 </w:t>
            </w:r>
          </w:p>
          <w:p w14:paraId="5CE25E58"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1·55 </w:t>
            </w:r>
          </w:p>
          <w:p w14:paraId="734A44DC"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(0·32-4·45)</w:t>
            </w:r>
          </w:p>
        </w:tc>
        <w:tc>
          <w:tcPr>
            <w:tcW w:w="1559" w:type="dxa"/>
            <w:tcBorders>
              <w:top w:val="single" w:sz="4" w:space="0" w:color="auto"/>
              <w:left w:val="single" w:sz="4" w:space="0" w:color="auto"/>
              <w:bottom w:val="single" w:sz="4" w:space="0" w:color="auto"/>
              <w:right w:val="single" w:sz="4" w:space="0" w:color="auto"/>
            </w:tcBorders>
            <w:vAlign w:val="center"/>
          </w:tcPr>
          <w:p w14:paraId="0340A589"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2/51</w:t>
            </w:r>
          </w:p>
          <w:p w14:paraId="621B24C0"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3·92</w:t>
            </w:r>
          </w:p>
          <w:p w14:paraId="465DCB7E" w14:textId="77777777" w:rsidR="009262EE" w:rsidRPr="00FB42C1" w:rsidRDefault="009262EE" w:rsidP="00A6146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(0·48-13·46)</w:t>
            </w:r>
          </w:p>
        </w:tc>
        <w:tc>
          <w:tcPr>
            <w:tcW w:w="1985" w:type="dxa"/>
            <w:tcBorders>
              <w:top w:val="single" w:sz="4" w:space="0" w:color="auto"/>
              <w:left w:val="single" w:sz="4" w:space="0" w:color="auto"/>
              <w:bottom w:val="single" w:sz="4" w:space="0" w:color="auto"/>
              <w:right w:val="single" w:sz="4" w:space="0" w:color="auto"/>
            </w:tcBorders>
            <w:vAlign w:val="center"/>
          </w:tcPr>
          <w:p w14:paraId="17548747"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20D674DA"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5E4DA2AA" w14:textId="77777777" w:rsidR="009262EE" w:rsidRPr="00FB42C1"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63663AEF"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8/434 </w:t>
            </w:r>
          </w:p>
          <w:p w14:paraId="63EFC13B"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1·84</w:t>
            </w:r>
          </w:p>
          <w:p w14:paraId="7FD4EF8A" w14:textId="77777777" w:rsidR="009262EE" w:rsidRPr="00FB42C1" w:rsidRDefault="009262EE" w:rsidP="00A6146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(0·80-3·60)</w:t>
            </w:r>
          </w:p>
        </w:tc>
      </w:tr>
      <w:tr w:rsidR="009262EE" w:rsidRPr="00FB42C1" w14:paraId="01D4D174"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568DD770"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1A8ECCBD"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049" w:type="dxa"/>
            <w:tcBorders>
              <w:top w:val="single" w:sz="4" w:space="0" w:color="auto"/>
              <w:left w:val="single" w:sz="4" w:space="0" w:color="auto"/>
              <w:bottom w:val="single" w:sz="4" w:space="0" w:color="auto"/>
              <w:right w:val="single" w:sz="4" w:space="0" w:color="auto"/>
            </w:tcBorders>
          </w:tcPr>
          <w:p w14:paraId="73513B75"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06D10067" w14:textId="4A410397"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1B0922D2"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48899CFE"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625899C8"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7C1081DE"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053174A"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2EB12C41"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5DFB8032"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1471DC0D"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6F13A90D"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604938C1"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741326A4"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1DBE5C50"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2AE830EC"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8A988A1"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0AEB597D"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1FBA0A24"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5C73F5BA"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67A6CF51"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049" w:type="dxa"/>
            <w:tcBorders>
              <w:top w:val="single" w:sz="4" w:space="0" w:color="auto"/>
              <w:left w:val="single" w:sz="4" w:space="0" w:color="auto"/>
              <w:bottom w:val="single" w:sz="4" w:space="0" w:color="auto"/>
              <w:right w:val="single" w:sz="4" w:space="0" w:color="auto"/>
            </w:tcBorders>
          </w:tcPr>
          <w:p w14:paraId="056C32B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05384CA9" w14:textId="42F65C05"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5BE1A39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7A4ED563"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3D5D33DF"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3B9BC40F"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61BD4951"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35B28869"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1D27F1C6"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072F34D"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74EC978D"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337F0079"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A41EC5D"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3E156D6C"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5713A691"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7E9FCD1"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5694A63B"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4B0159D5"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3F23BF5A"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5970A2FB"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049" w:type="dxa"/>
            <w:tcBorders>
              <w:top w:val="single" w:sz="4" w:space="0" w:color="auto"/>
              <w:left w:val="single" w:sz="4" w:space="0" w:color="auto"/>
              <w:bottom w:val="single" w:sz="4" w:space="0" w:color="auto"/>
              <w:right w:val="single" w:sz="4" w:space="0" w:color="auto"/>
            </w:tcBorders>
          </w:tcPr>
          <w:p w14:paraId="5129555E"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1D84963F" w14:textId="0C43B9EC"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0284AC7B"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1/7 </w:t>
            </w:r>
          </w:p>
          <w:p w14:paraId="36D9AA00"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14·29</w:t>
            </w:r>
          </w:p>
          <w:p w14:paraId="575B8822"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(0·36-57·87)</w:t>
            </w:r>
          </w:p>
        </w:tc>
        <w:tc>
          <w:tcPr>
            <w:tcW w:w="1843" w:type="dxa"/>
            <w:tcBorders>
              <w:top w:val="single" w:sz="4" w:space="0" w:color="auto"/>
              <w:left w:val="single" w:sz="4" w:space="0" w:color="auto"/>
              <w:bottom w:val="single" w:sz="4" w:space="0" w:color="auto"/>
              <w:right w:val="single" w:sz="4" w:space="0" w:color="auto"/>
            </w:tcBorders>
            <w:vAlign w:val="center"/>
          </w:tcPr>
          <w:p w14:paraId="6D8271CA"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1/5</w:t>
            </w:r>
          </w:p>
          <w:p w14:paraId="405452BC"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20·00 </w:t>
            </w:r>
          </w:p>
          <w:p w14:paraId="7DF6D5FA"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(0·51-71·64)</w:t>
            </w:r>
          </w:p>
        </w:tc>
        <w:tc>
          <w:tcPr>
            <w:tcW w:w="1559" w:type="dxa"/>
            <w:tcBorders>
              <w:top w:val="single" w:sz="4" w:space="0" w:color="auto"/>
              <w:left w:val="single" w:sz="4" w:space="0" w:color="auto"/>
              <w:bottom w:val="single" w:sz="4" w:space="0" w:color="auto"/>
              <w:right w:val="single" w:sz="4" w:space="0" w:color="auto"/>
            </w:tcBorders>
            <w:vAlign w:val="center"/>
          </w:tcPr>
          <w:p w14:paraId="017BD64E"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1/3 </w:t>
            </w:r>
          </w:p>
          <w:p w14:paraId="06D912D4"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33·33</w:t>
            </w:r>
          </w:p>
          <w:p w14:paraId="50B4141A"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(0·84-90·57)</w:t>
            </w:r>
          </w:p>
        </w:tc>
        <w:tc>
          <w:tcPr>
            <w:tcW w:w="1985" w:type="dxa"/>
            <w:tcBorders>
              <w:top w:val="single" w:sz="4" w:space="0" w:color="auto"/>
              <w:left w:val="single" w:sz="4" w:space="0" w:color="auto"/>
              <w:bottom w:val="single" w:sz="4" w:space="0" w:color="auto"/>
              <w:right w:val="single" w:sz="4" w:space="0" w:color="auto"/>
            </w:tcBorders>
            <w:vAlign w:val="center"/>
          </w:tcPr>
          <w:p w14:paraId="2773FA8F"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275FF84C"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27C545DD"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56160959"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3/18 </w:t>
            </w:r>
          </w:p>
          <w:p w14:paraId="267181E9"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16·67</w:t>
            </w:r>
          </w:p>
          <w:p w14:paraId="6B9194AB" w14:textId="77777777" w:rsidR="009262EE" w:rsidRPr="00FB42C1" w:rsidRDefault="009262EE" w:rsidP="00A61467">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(3·58-41·42)</w:t>
            </w:r>
          </w:p>
        </w:tc>
      </w:tr>
      <w:tr w:rsidR="009262EE" w:rsidRPr="00FB42C1" w14:paraId="0B5A70E6"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0DE02802"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6B6B9038"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049" w:type="dxa"/>
            <w:tcBorders>
              <w:top w:val="single" w:sz="4" w:space="0" w:color="auto"/>
              <w:left w:val="single" w:sz="4" w:space="0" w:color="auto"/>
              <w:bottom w:val="single" w:sz="4" w:space="0" w:color="auto"/>
              <w:right w:val="single" w:sz="4" w:space="0" w:color="auto"/>
            </w:tcBorders>
          </w:tcPr>
          <w:p w14:paraId="188896BA"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0573EA30" w14:textId="488CE63D"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4AEBDB86"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55518456"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334EBD38"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6EBDEF59"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79419A7"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57A8D9EF"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03BD7D7F"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1784122F"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40BA4C85"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4616740A"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666E88C9"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3982691A"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5B06DB5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311A8595"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61837633"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7DC30DB5"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27A9F063"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3D77CEB8"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ACWY</w:t>
            </w:r>
          </w:p>
        </w:tc>
        <w:tc>
          <w:tcPr>
            <w:tcW w:w="1049" w:type="dxa"/>
            <w:tcBorders>
              <w:top w:val="single" w:sz="4" w:space="0" w:color="auto"/>
              <w:left w:val="single" w:sz="4" w:space="0" w:color="auto"/>
              <w:bottom w:val="single" w:sz="4" w:space="0" w:color="auto"/>
              <w:right w:val="single" w:sz="4" w:space="0" w:color="auto"/>
            </w:tcBorders>
          </w:tcPr>
          <w:p w14:paraId="384250FF"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5F301C64" w14:textId="4E41E5B8"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53BE17BF"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1/12</w:t>
            </w:r>
          </w:p>
          <w:p w14:paraId="3EA1D80C"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8·33</w:t>
            </w:r>
          </w:p>
          <w:p w14:paraId="61EA2025"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(0·21-38·48)</w:t>
            </w:r>
          </w:p>
        </w:tc>
        <w:tc>
          <w:tcPr>
            <w:tcW w:w="1843" w:type="dxa"/>
            <w:tcBorders>
              <w:top w:val="single" w:sz="4" w:space="0" w:color="auto"/>
              <w:left w:val="single" w:sz="4" w:space="0" w:color="auto"/>
              <w:bottom w:val="single" w:sz="4" w:space="0" w:color="auto"/>
              <w:right w:val="single" w:sz="4" w:space="0" w:color="auto"/>
            </w:tcBorders>
            <w:vAlign w:val="center"/>
          </w:tcPr>
          <w:p w14:paraId="6DE018D6" w14:textId="77777777" w:rsidR="009262EE" w:rsidRDefault="009262EE" w:rsidP="00A61467">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1/14 </w:t>
            </w:r>
          </w:p>
          <w:p w14:paraId="4925AB13" w14:textId="77777777" w:rsidR="009262EE" w:rsidRPr="00FB42C1" w:rsidRDefault="009262EE" w:rsidP="00A61467">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7·14</w:t>
            </w:r>
          </w:p>
          <w:p w14:paraId="4520CFF1" w14:textId="77777777" w:rsidR="009262EE" w:rsidRPr="00FB42C1" w:rsidRDefault="009262EE" w:rsidP="00A61467">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(0·18-33·87)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D63ACD"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1/5 </w:t>
            </w:r>
          </w:p>
          <w:p w14:paraId="339A93AE"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20·00 </w:t>
            </w:r>
          </w:p>
          <w:p w14:paraId="4C203F72" w14:textId="77777777" w:rsidR="009262EE" w:rsidRPr="00FB42C1" w:rsidRDefault="009262EE" w:rsidP="00A61467">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(0·51-71·64)</w:t>
            </w:r>
          </w:p>
        </w:tc>
        <w:tc>
          <w:tcPr>
            <w:tcW w:w="1985" w:type="dxa"/>
            <w:tcBorders>
              <w:top w:val="single" w:sz="4" w:space="0" w:color="auto"/>
              <w:left w:val="single" w:sz="4" w:space="0" w:color="auto"/>
              <w:bottom w:val="single" w:sz="4" w:space="0" w:color="auto"/>
              <w:right w:val="single" w:sz="4" w:space="0" w:color="auto"/>
            </w:tcBorders>
            <w:vAlign w:val="center"/>
          </w:tcPr>
          <w:p w14:paraId="0C2ECBF6"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7A536425"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6C35E017"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69E2CDE9"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3/37 </w:t>
            </w:r>
          </w:p>
          <w:p w14:paraId="3D0251B7"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8·11</w:t>
            </w:r>
          </w:p>
          <w:p w14:paraId="1D05ACCE" w14:textId="77777777" w:rsidR="009262EE" w:rsidRPr="00FB42C1" w:rsidRDefault="009262EE" w:rsidP="00A61467">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(1·70-21·91)</w:t>
            </w:r>
          </w:p>
        </w:tc>
      </w:tr>
      <w:tr w:rsidR="009262EE" w:rsidRPr="00FB42C1" w14:paraId="3752B854"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val="restart"/>
            <w:tcBorders>
              <w:top w:val="single" w:sz="4" w:space="0" w:color="auto"/>
              <w:left w:val="single" w:sz="4" w:space="0" w:color="auto"/>
              <w:bottom w:val="single" w:sz="4" w:space="0" w:color="auto"/>
              <w:right w:val="single" w:sz="4" w:space="0" w:color="auto"/>
            </w:tcBorders>
            <w:vAlign w:val="center"/>
          </w:tcPr>
          <w:p w14:paraId="3EF1E5C5" w14:textId="77777777" w:rsidR="009262EE" w:rsidRPr="00FB42C1" w:rsidRDefault="009262EE" w:rsidP="00122826">
            <w:pPr>
              <w:spacing w:after="0" w:line="240" w:lineRule="auto"/>
              <w:rPr>
                <w:rFonts w:ascii="Arial" w:hAnsi="Arial" w:cs="Arial"/>
                <w:b w:val="0"/>
                <w:sz w:val="16"/>
                <w:szCs w:val="16"/>
              </w:rPr>
            </w:pPr>
            <w:r w:rsidRPr="00FB42C1">
              <w:rPr>
                <w:rFonts w:ascii="Arial" w:hAnsi="Arial" w:cs="Arial"/>
                <w:b w:val="0"/>
                <w:sz w:val="16"/>
                <w:szCs w:val="16"/>
              </w:rPr>
              <w:t>15-24</w:t>
            </w:r>
            <w:r>
              <w:rPr>
                <w:rFonts w:ascii="Arial" w:hAnsi="Arial" w:cs="Arial"/>
                <w:b w:val="0"/>
                <w:sz w:val="16"/>
                <w:szCs w:val="16"/>
              </w:rPr>
              <w:t xml:space="preserve"> y</w:t>
            </w:r>
          </w:p>
        </w:tc>
        <w:tc>
          <w:tcPr>
            <w:tcW w:w="941" w:type="dxa"/>
            <w:tcBorders>
              <w:top w:val="single" w:sz="4" w:space="0" w:color="auto"/>
              <w:left w:val="single" w:sz="4" w:space="0" w:color="auto"/>
              <w:bottom w:val="single" w:sz="4" w:space="0" w:color="auto"/>
              <w:right w:val="single" w:sz="4" w:space="0" w:color="auto"/>
            </w:tcBorders>
            <w:vAlign w:val="center"/>
          </w:tcPr>
          <w:p w14:paraId="61088AB6"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MenB</w:t>
            </w:r>
          </w:p>
        </w:tc>
        <w:tc>
          <w:tcPr>
            <w:tcW w:w="1049" w:type="dxa"/>
            <w:tcBorders>
              <w:top w:val="single" w:sz="4" w:space="0" w:color="auto"/>
              <w:left w:val="single" w:sz="4" w:space="0" w:color="auto"/>
              <w:bottom w:val="single" w:sz="4" w:space="0" w:color="auto"/>
              <w:right w:val="single" w:sz="4" w:space="0" w:color="auto"/>
            </w:tcBorders>
          </w:tcPr>
          <w:p w14:paraId="1FBE4149"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57397E38" w14:textId="6C8C4A28"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53AC1B8F"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17/415</w:t>
            </w:r>
          </w:p>
          <w:p w14:paraId="0CAA2866"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4·10</w:t>
            </w:r>
          </w:p>
          <w:p w14:paraId="76DC96A9" w14:textId="77777777" w:rsidR="009262EE" w:rsidRPr="00FB42C1" w:rsidRDefault="009262EE" w:rsidP="00A6146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(2·40-6·48)</w:t>
            </w:r>
          </w:p>
        </w:tc>
        <w:tc>
          <w:tcPr>
            <w:tcW w:w="1843" w:type="dxa"/>
            <w:tcBorders>
              <w:top w:val="single" w:sz="4" w:space="0" w:color="auto"/>
              <w:left w:val="single" w:sz="4" w:space="0" w:color="auto"/>
              <w:bottom w:val="single" w:sz="4" w:space="0" w:color="auto"/>
              <w:right w:val="single" w:sz="4" w:space="0" w:color="auto"/>
            </w:tcBorders>
            <w:vAlign w:val="center"/>
          </w:tcPr>
          <w:p w14:paraId="078CC7C9"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8/109 </w:t>
            </w:r>
          </w:p>
          <w:p w14:paraId="3ED91D32"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7·34 </w:t>
            </w:r>
          </w:p>
          <w:p w14:paraId="2A41E354"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(3·22-13·95)</w:t>
            </w:r>
          </w:p>
        </w:tc>
        <w:tc>
          <w:tcPr>
            <w:tcW w:w="1559" w:type="dxa"/>
            <w:tcBorders>
              <w:top w:val="single" w:sz="4" w:space="0" w:color="auto"/>
              <w:left w:val="single" w:sz="4" w:space="0" w:color="auto"/>
              <w:bottom w:val="single" w:sz="4" w:space="0" w:color="auto"/>
              <w:right w:val="single" w:sz="4" w:space="0" w:color="auto"/>
            </w:tcBorders>
            <w:vAlign w:val="center"/>
          </w:tcPr>
          <w:p w14:paraId="3CBAD107"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3/36</w:t>
            </w:r>
          </w:p>
          <w:p w14:paraId="65F1C644"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8·33</w:t>
            </w:r>
          </w:p>
          <w:p w14:paraId="07501EE9" w14:textId="77777777" w:rsidR="009262EE" w:rsidRPr="00FB42C1" w:rsidRDefault="009262EE" w:rsidP="00A6146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(1·75-22·47)</w:t>
            </w:r>
          </w:p>
        </w:tc>
        <w:tc>
          <w:tcPr>
            <w:tcW w:w="1985" w:type="dxa"/>
            <w:tcBorders>
              <w:top w:val="single" w:sz="4" w:space="0" w:color="auto"/>
              <w:left w:val="single" w:sz="4" w:space="0" w:color="auto"/>
              <w:bottom w:val="single" w:sz="4" w:space="0" w:color="auto"/>
              <w:right w:val="single" w:sz="4" w:space="0" w:color="auto"/>
            </w:tcBorders>
            <w:vAlign w:val="center"/>
          </w:tcPr>
          <w:p w14:paraId="27BE7BF4"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1/27 </w:t>
            </w:r>
          </w:p>
          <w:p w14:paraId="51A61908"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3·70</w:t>
            </w:r>
          </w:p>
          <w:p w14:paraId="6C1B1621" w14:textId="77777777" w:rsidR="009262EE" w:rsidRPr="00FB42C1" w:rsidRDefault="009262EE" w:rsidP="00D142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(0·09-18·97)</w:t>
            </w:r>
          </w:p>
        </w:tc>
        <w:tc>
          <w:tcPr>
            <w:tcW w:w="1843" w:type="dxa"/>
            <w:tcBorders>
              <w:top w:val="single" w:sz="4" w:space="0" w:color="auto"/>
              <w:left w:val="single" w:sz="4" w:space="0" w:color="auto"/>
              <w:bottom w:val="single" w:sz="4" w:space="0" w:color="auto"/>
              <w:right w:val="single" w:sz="4" w:space="0" w:color="auto"/>
            </w:tcBorders>
          </w:tcPr>
          <w:p w14:paraId="662CE21A"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29/587 </w:t>
            </w:r>
          </w:p>
          <w:p w14:paraId="62EAF1DC"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4·94</w:t>
            </w:r>
          </w:p>
          <w:p w14:paraId="6A4D6CC5" w14:textId="77777777" w:rsidR="009262EE" w:rsidRPr="00FB42C1" w:rsidRDefault="009262EE" w:rsidP="00D142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(3·33-7·02)</w:t>
            </w:r>
          </w:p>
        </w:tc>
      </w:tr>
      <w:tr w:rsidR="009262EE" w:rsidRPr="00FB42C1" w14:paraId="61446501"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7B764488"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03300355"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049" w:type="dxa"/>
            <w:tcBorders>
              <w:top w:val="single" w:sz="4" w:space="0" w:color="auto"/>
              <w:left w:val="single" w:sz="4" w:space="0" w:color="auto"/>
              <w:bottom w:val="single" w:sz="4" w:space="0" w:color="auto"/>
              <w:right w:val="single" w:sz="4" w:space="0" w:color="auto"/>
            </w:tcBorders>
          </w:tcPr>
          <w:p w14:paraId="63FC72F9"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601D9710" w14:textId="434C77E9"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6A393985"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3060950F"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04432FF4"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20934C67"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4DE6DE10"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2CE1F311"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73369230"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F93326D"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1D024429"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7AFD9416"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6D26FCDC"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0BBF8148"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4CCF5649"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492E1206"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0776526A"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57919B72"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17E3AF8F"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14D2AC69"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049" w:type="dxa"/>
            <w:tcBorders>
              <w:top w:val="single" w:sz="4" w:space="0" w:color="auto"/>
              <w:left w:val="single" w:sz="4" w:space="0" w:color="auto"/>
              <w:bottom w:val="single" w:sz="4" w:space="0" w:color="auto"/>
              <w:right w:val="single" w:sz="4" w:space="0" w:color="auto"/>
            </w:tcBorders>
          </w:tcPr>
          <w:p w14:paraId="712CF91B"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4C31642F" w14:textId="2479409D"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1DDD31F3"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1/9 </w:t>
            </w:r>
          </w:p>
          <w:p w14:paraId="49D1E6B5"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11·11 </w:t>
            </w:r>
          </w:p>
          <w:p w14:paraId="148C86C6"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(0·28-48·25)</w:t>
            </w:r>
          </w:p>
        </w:tc>
        <w:tc>
          <w:tcPr>
            <w:tcW w:w="1843" w:type="dxa"/>
            <w:tcBorders>
              <w:top w:val="single" w:sz="4" w:space="0" w:color="auto"/>
              <w:left w:val="single" w:sz="4" w:space="0" w:color="auto"/>
              <w:bottom w:val="single" w:sz="4" w:space="0" w:color="auto"/>
              <w:right w:val="single" w:sz="4" w:space="0" w:color="auto"/>
            </w:tcBorders>
            <w:vAlign w:val="center"/>
          </w:tcPr>
          <w:p w14:paraId="6E1B0550"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1/2</w:t>
            </w:r>
          </w:p>
          <w:p w14:paraId="1DA7AE6C"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50·00 </w:t>
            </w:r>
          </w:p>
          <w:p w14:paraId="44DB2F7D"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(1·26-98·74)</w:t>
            </w:r>
          </w:p>
        </w:tc>
        <w:tc>
          <w:tcPr>
            <w:tcW w:w="1559" w:type="dxa"/>
            <w:tcBorders>
              <w:top w:val="single" w:sz="4" w:space="0" w:color="auto"/>
              <w:left w:val="single" w:sz="4" w:space="0" w:color="auto"/>
              <w:bottom w:val="single" w:sz="4" w:space="0" w:color="auto"/>
              <w:right w:val="single" w:sz="4" w:space="0" w:color="auto"/>
            </w:tcBorders>
            <w:vAlign w:val="center"/>
          </w:tcPr>
          <w:p w14:paraId="27B9A87A"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18811089"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2A6424CC" w14:textId="77777777" w:rsidR="009262EE" w:rsidRPr="00FB42C1"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5EE47575"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7D7AF10D"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707E80F9" w14:textId="77777777" w:rsidR="009262EE" w:rsidRPr="00FB42C1"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4026B709"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2/14 </w:t>
            </w:r>
          </w:p>
          <w:p w14:paraId="2848A15F"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14·29</w:t>
            </w:r>
          </w:p>
          <w:p w14:paraId="05638FD5"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(1·78-42·81)</w:t>
            </w:r>
          </w:p>
        </w:tc>
      </w:tr>
      <w:tr w:rsidR="009262EE" w:rsidRPr="00FB42C1" w14:paraId="77B87997"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08053FAE"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4C68B2D4"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049" w:type="dxa"/>
            <w:tcBorders>
              <w:top w:val="single" w:sz="4" w:space="0" w:color="auto"/>
              <w:left w:val="single" w:sz="4" w:space="0" w:color="auto"/>
              <w:bottom w:val="single" w:sz="4" w:space="0" w:color="auto"/>
              <w:right w:val="single" w:sz="4" w:space="0" w:color="auto"/>
            </w:tcBorders>
          </w:tcPr>
          <w:p w14:paraId="67A146D4"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473844C6" w14:textId="3F5BA522"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54B34A67"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2/25 </w:t>
            </w:r>
          </w:p>
          <w:p w14:paraId="7D3A2F86"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8·00</w:t>
            </w:r>
          </w:p>
          <w:p w14:paraId="3C3E2D47" w14:textId="77777777" w:rsidR="009262EE" w:rsidRPr="00FB42C1" w:rsidRDefault="009262EE" w:rsidP="00D142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(0·98-26·03)</w:t>
            </w:r>
          </w:p>
        </w:tc>
        <w:tc>
          <w:tcPr>
            <w:tcW w:w="1843" w:type="dxa"/>
            <w:tcBorders>
              <w:top w:val="single" w:sz="4" w:space="0" w:color="auto"/>
              <w:left w:val="single" w:sz="4" w:space="0" w:color="auto"/>
              <w:bottom w:val="single" w:sz="4" w:space="0" w:color="auto"/>
              <w:right w:val="single" w:sz="4" w:space="0" w:color="auto"/>
            </w:tcBorders>
            <w:vAlign w:val="center"/>
          </w:tcPr>
          <w:p w14:paraId="385BD18A"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2/12 </w:t>
            </w:r>
          </w:p>
          <w:p w14:paraId="35825F52"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16·67 </w:t>
            </w:r>
          </w:p>
          <w:p w14:paraId="658F8B81"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(2·09-48·41)</w:t>
            </w:r>
          </w:p>
        </w:tc>
        <w:tc>
          <w:tcPr>
            <w:tcW w:w="1559" w:type="dxa"/>
            <w:tcBorders>
              <w:top w:val="single" w:sz="4" w:space="0" w:color="auto"/>
              <w:left w:val="single" w:sz="4" w:space="0" w:color="auto"/>
              <w:bottom w:val="single" w:sz="4" w:space="0" w:color="auto"/>
              <w:right w:val="single" w:sz="4" w:space="0" w:color="auto"/>
            </w:tcBorders>
            <w:vAlign w:val="center"/>
          </w:tcPr>
          <w:p w14:paraId="4EE7AEFA"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2/7 </w:t>
            </w:r>
          </w:p>
          <w:p w14:paraId="293081DE"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28·57</w:t>
            </w:r>
          </w:p>
          <w:p w14:paraId="44F2DB58" w14:textId="77777777" w:rsidR="009262EE" w:rsidRPr="00FB42C1" w:rsidRDefault="009262EE" w:rsidP="00D142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(3·67-70·96)</w:t>
            </w:r>
          </w:p>
        </w:tc>
        <w:tc>
          <w:tcPr>
            <w:tcW w:w="1985" w:type="dxa"/>
            <w:tcBorders>
              <w:top w:val="single" w:sz="4" w:space="0" w:color="auto"/>
              <w:left w:val="single" w:sz="4" w:space="0" w:color="auto"/>
              <w:bottom w:val="single" w:sz="4" w:space="0" w:color="auto"/>
              <w:right w:val="single" w:sz="4" w:space="0" w:color="auto"/>
            </w:tcBorders>
            <w:vAlign w:val="center"/>
          </w:tcPr>
          <w:p w14:paraId="33D59390"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238AD7ED"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208A660F"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787A0172"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6/51 </w:t>
            </w:r>
          </w:p>
          <w:p w14:paraId="7B9674DC"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11·76</w:t>
            </w:r>
          </w:p>
          <w:p w14:paraId="560E2544" w14:textId="77777777" w:rsidR="009262EE" w:rsidRPr="00FB42C1" w:rsidRDefault="009262EE" w:rsidP="00D142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(4·44-23·87)</w:t>
            </w:r>
          </w:p>
        </w:tc>
      </w:tr>
      <w:tr w:rsidR="009262EE" w:rsidRPr="00FB42C1" w14:paraId="7454A0DF"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7B1D9887"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39716ADB"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049" w:type="dxa"/>
            <w:tcBorders>
              <w:top w:val="single" w:sz="4" w:space="0" w:color="auto"/>
              <w:left w:val="single" w:sz="4" w:space="0" w:color="auto"/>
              <w:bottom w:val="single" w:sz="4" w:space="0" w:color="auto"/>
              <w:right w:val="single" w:sz="4" w:space="0" w:color="auto"/>
            </w:tcBorders>
          </w:tcPr>
          <w:p w14:paraId="4F1D181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053E0704" w14:textId="1C9B485D"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379FD502"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9BB7C2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7897AB01"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6D882B57"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1BF38AB0"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691C52EF"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7EA68239"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54DEB805"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7F4686A2"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4FA7E77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7768A350"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044E2C67"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460A141B"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BB21B7D"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4AD54F6B"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1C2E03F5"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6DAC8584"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0E8B188F"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ACWY</w:t>
            </w:r>
          </w:p>
        </w:tc>
        <w:tc>
          <w:tcPr>
            <w:tcW w:w="1049" w:type="dxa"/>
            <w:tcBorders>
              <w:top w:val="single" w:sz="4" w:space="0" w:color="auto"/>
              <w:left w:val="single" w:sz="4" w:space="0" w:color="auto"/>
              <w:bottom w:val="single" w:sz="4" w:space="0" w:color="auto"/>
              <w:right w:val="single" w:sz="4" w:space="0" w:color="auto"/>
            </w:tcBorders>
          </w:tcPr>
          <w:p w14:paraId="0939E651"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3A67E1A7" w14:textId="3D25D730"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3E48859B" w14:textId="77777777" w:rsidR="009262EE" w:rsidRDefault="009262EE" w:rsidP="00D142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3/39 </w:t>
            </w:r>
          </w:p>
          <w:p w14:paraId="7F3A5F26" w14:textId="77777777" w:rsidR="009262EE" w:rsidRPr="00FB42C1" w:rsidRDefault="009262EE" w:rsidP="00D142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7·69</w:t>
            </w:r>
          </w:p>
          <w:p w14:paraId="7D613ED2" w14:textId="77777777" w:rsidR="009262EE" w:rsidRPr="00FB42C1" w:rsidRDefault="009262EE" w:rsidP="00D142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(1·62-20·87)</w:t>
            </w:r>
          </w:p>
        </w:tc>
        <w:tc>
          <w:tcPr>
            <w:tcW w:w="1843" w:type="dxa"/>
            <w:tcBorders>
              <w:top w:val="single" w:sz="4" w:space="0" w:color="auto"/>
              <w:left w:val="single" w:sz="4" w:space="0" w:color="auto"/>
              <w:bottom w:val="single" w:sz="4" w:space="0" w:color="auto"/>
              <w:right w:val="single" w:sz="4" w:space="0" w:color="auto"/>
            </w:tcBorders>
            <w:vAlign w:val="center"/>
          </w:tcPr>
          <w:p w14:paraId="16B3EE9C"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3/17</w:t>
            </w:r>
          </w:p>
          <w:p w14:paraId="0FD594F1"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17·65 </w:t>
            </w:r>
          </w:p>
          <w:p w14:paraId="0FBF92DB" w14:textId="77777777" w:rsidR="009262EE" w:rsidRPr="00FB42C1" w:rsidRDefault="009262EE" w:rsidP="00D142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(3·80-43·43)</w:t>
            </w:r>
          </w:p>
        </w:tc>
        <w:tc>
          <w:tcPr>
            <w:tcW w:w="1559" w:type="dxa"/>
            <w:tcBorders>
              <w:top w:val="single" w:sz="4" w:space="0" w:color="auto"/>
              <w:left w:val="single" w:sz="4" w:space="0" w:color="auto"/>
              <w:bottom w:val="single" w:sz="4" w:space="0" w:color="auto"/>
              <w:right w:val="single" w:sz="4" w:space="0" w:color="auto"/>
            </w:tcBorders>
            <w:vAlign w:val="center"/>
          </w:tcPr>
          <w:p w14:paraId="4371A2F7" w14:textId="77777777" w:rsidR="009262EE" w:rsidRDefault="009262EE" w:rsidP="00D142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2/7 </w:t>
            </w:r>
          </w:p>
          <w:p w14:paraId="7985BB8A" w14:textId="77777777" w:rsidR="009262EE" w:rsidRPr="00FB42C1" w:rsidRDefault="009262EE" w:rsidP="00D142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28·57</w:t>
            </w:r>
          </w:p>
          <w:p w14:paraId="1A7886DC" w14:textId="77777777" w:rsidR="009262EE" w:rsidRPr="00FB42C1" w:rsidRDefault="009262EE" w:rsidP="00D142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r w:rsidRPr="00FB42C1">
              <w:rPr>
                <w:rFonts w:ascii="Arial" w:hAnsi="Arial" w:cs="Arial"/>
                <w:color w:val="000000" w:themeColor="text1"/>
                <w:sz w:val="16"/>
                <w:szCs w:val="16"/>
              </w:rPr>
              <w:t>(3·67-70·96)</w:t>
            </w:r>
          </w:p>
        </w:tc>
        <w:tc>
          <w:tcPr>
            <w:tcW w:w="1985" w:type="dxa"/>
            <w:tcBorders>
              <w:top w:val="single" w:sz="4" w:space="0" w:color="auto"/>
              <w:left w:val="single" w:sz="4" w:space="0" w:color="auto"/>
              <w:bottom w:val="single" w:sz="4" w:space="0" w:color="auto"/>
              <w:right w:val="single" w:sz="4" w:space="0" w:color="auto"/>
            </w:tcBorders>
            <w:vAlign w:val="center"/>
          </w:tcPr>
          <w:p w14:paraId="1CDA64CA"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01595C13"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5C2DEB57"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68AA4969"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8/74 </w:t>
            </w:r>
          </w:p>
          <w:p w14:paraId="67CF4085"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10·81</w:t>
            </w:r>
          </w:p>
          <w:p w14:paraId="14EB266E" w14:textId="77777777" w:rsidR="009262EE" w:rsidRPr="00FB42C1" w:rsidRDefault="009262EE" w:rsidP="00D142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(4·78-20·20)</w:t>
            </w:r>
          </w:p>
        </w:tc>
      </w:tr>
      <w:tr w:rsidR="009262EE" w:rsidRPr="00FB42C1" w14:paraId="6B9C5E1B" w14:textId="77777777" w:rsidTr="009262EE">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845" w:type="dxa"/>
            <w:vMerge w:val="restart"/>
            <w:tcBorders>
              <w:top w:val="single" w:sz="4" w:space="0" w:color="auto"/>
              <w:left w:val="single" w:sz="4" w:space="0" w:color="auto"/>
              <w:bottom w:val="single" w:sz="4" w:space="0" w:color="auto"/>
              <w:right w:val="single" w:sz="4" w:space="0" w:color="auto"/>
            </w:tcBorders>
            <w:vAlign w:val="center"/>
          </w:tcPr>
          <w:p w14:paraId="2C5A981C" w14:textId="77777777" w:rsidR="009262EE" w:rsidRPr="00FB42C1" w:rsidRDefault="009262EE" w:rsidP="00122826">
            <w:pPr>
              <w:spacing w:after="0" w:line="240" w:lineRule="auto"/>
              <w:rPr>
                <w:rFonts w:ascii="Arial" w:hAnsi="Arial" w:cs="Arial"/>
                <w:b w:val="0"/>
                <w:sz w:val="16"/>
                <w:szCs w:val="16"/>
              </w:rPr>
            </w:pPr>
            <w:r w:rsidRPr="00FB42C1">
              <w:rPr>
                <w:rFonts w:ascii="Arial" w:hAnsi="Arial" w:cs="Arial"/>
                <w:b w:val="0"/>
                <w:sz w:val="16"/>
                <w:szCs w:val="16"/>
              </w:rPr>
              <w:t>25-44</w:t>
            </w:r>
            <w:r>
              <w:rPr>
                <w:rFonts w:ascii="Arial" w:hAnsi="Arial" w:cs="Arial"/>
                <w:b w:val="0"/>
                <w:sz w:val="16"/>
                <w:szCs w:val="16"/>
              </w:rPr>
              <w:t xml:space="preserve"> y</w:t>
            </w:r>
          </w:p>
        </w:tc>
        <w:tc>
          <w:tcPr>
            <w:tcW w:w="941" w:type="dxa"/>
            <w:tcBorders>
              <w:top w:val="single" w:sz="4" w:space="0" w:color="auto"/>
              <w:left w:val="single" w:sz="4" w:space="0" w:color="auto"/>
              <w:bottom w:val="single" w:sz="4" w:space="0" w:color="auto"/>
              <w:right w:val="single" w:sz="4" w:space="0" w:color="auto"/>
            </w:tcBorders>
            <w:vAlign w:val="center"/>
          </w:tcPr>
          <w:p w14:paraId="2A8A364D"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049" w:type="dxa"/>
            <w:tcBorders>
              <w:top w:val="single" w:sz="4" w:space="0" w:color="auto"/>
              <w:left w:val="single" w:sz="4" w:space="0" w:color="auto"/>
              <w:bottom w:val="single" w:sz="4" w:space="0" w:color="auto"/>
              <w:right w:val="single" w:sz="4" w:space="0" w:color="auto"/>
            </w:tcBorders>
          </w:tcPr>
          <w:p w14:paraId="1351F06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06EE928E" w14:textId="47C85413"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097915A0"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4/142 </w:t>
            </w:r>
          </w:p>
          <w:p w14:paraId="053F4BE8"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2·82</w:t>
            </w:r>
          </w:p>
          <w:p w14:paraId="684FC045" w14:textId="77777777" w:rsidR="009262EE" w:rsidRPr="00FB42C1" w:rsidRDefault="009262EE" w:rsidP="00D142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(0·77-7·06)</w:t>
            </w:r>
          </w:p>
        </w:tc>
        <w:tc>
          <w:tcPr>
            <w:tcW w:w="1843" w:type="dxa"/>
            <w:tcBorders>
              <w:top w:val="single" w:sz="4" w:space="0" w:color="auto"/>
              <w:left w:val="single" w:sz="4" w:space="0" w:color="auto"/>
              <w:bottom w:val="single" w:sz="4" w:space="0" w:color="auto"/>
              <w:right w:val="single" w:sz="4" w:space="0" w:color="auto"/>
            </w:tcBorders>
            <w:vAlign w:val="center"/>
          </w:tcPr>
          <w:p w14:paraId="569011B9"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5/50 </w:t>
            </w:r>
          </w:p>
          <w:p w14:paraId="7004CD4E"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10·00 </w:t>
            </w:r>
          </w:p>
          <w:p w14:paraId="03452725"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(3·33-21·81)</w:t>
            </w:r>
          </w:p>
        </w:tc>
        <w:tc>
          <w:tcPr>
            <w:tcW w:w="1559" w:type="dxa"/>
            <w:tcBorders>
              <w:top w:val="single" w:sz="4" w:space="0" w:color="auto"/>
              <w:left w:val="single" w:sz="4" w:space="0" w:color="auto"/>
              <w:bottom w:val="single" w:sz="4" w:space="0" w:color="auto"/>
              <w:right w:val="single" w:sz="4" w:space="0" w:color="auto"/>
            </w:tcBorders>
            <w:vAlign w:val="center"/>
          </w:tcPr>
          <w:p w14:paraId="0EFB6905"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5DF8AF98"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287555B4" w14:textId="77777777" w:rsidR="009262EE" w:rsidRPr="00FB42C1"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38659B0E"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2CFA388F"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1658A2F0" w14:textId="77777777" w:rsidR="009262EE" w:rsidRPr="00FB42C1"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616F949F"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9/224</w:t>
            </w:r>
          </w:p>
          <w:p w14:paraId="10A583E3"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4·02</w:t>
            </w:r>
          </w:p>
          <w:p w14:paraId="38C15310" w14:textId="77777777" w:rsidR="009262EE" w:rsidRPr="00FB42C1" w:rsidRDefault="009262EE" w:rsidP="00D142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(1·85-7·49)</w:t>
            </w:r>
          </w:p>
        </w:tc>
      </w:tr>
      <w:tr w:rsidR="009262EE" w:rsidRPr="00FB42C1" w14:paraId="4E56E6E1"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68D33515"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09A84977"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049" w:type="dxa"/>
            <w:tcBorders>
              <w:top w:val="single" w:sz="4" w:space="0" w:color="auto"/>
              <w:left w:val="single" w:sz="4" w:space="0" w:color="auto"/>
              <w:bottom w:val="single" w:sz="4" w:space="0" w:color="auto"/>
              <w:right w:val="single" w:sz="4" w:space="0" w:color="auto"/>
            </w:tcBorders>
          </w:tcPr>
          <w:p w14:paraId="1816FDC0"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4781D647" w14:textId="33C79AFD"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5B062CF2"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16F720E0"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21B4E680"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33FB8E06"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548447A2"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71BCE851"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77295CCA"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1/2 </w:t>
            </w:r>
          </w:p>
          <w:p w14:paraId="08D9AAD8"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50·00</w:t>
            </w:r>
          </w:p>
          <w:p w14:paraId="217BE4E1"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(1·26-98·74)</w:t>
            </w:r>
          </w:p>
        </w:tc>
        <w:tc>
          <w:tcPr>
            <w:tcW w:w="1985" w:type="dxa"/>
            <w:tcBorders>
              <w:top w:val="single" w:sz="4" w:space="0" w:color="auto"/>
              <w:left w:val="single" w:sz="4" w:space="0" w:color="auto"/>
              <w:bottom w:val="single" w:sz="4" w:space="0" w:color="auto"/>
              <w:right w:val="single" w:sz="4" w:space="0" w:color="auto"/>
            </w:tcBorders>
            <w:vAlign w:val="center"/>
          </w:tcPr>
          <w:p w14:paraId="29085F5C"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413F1B2C"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2D023D27"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49F0D6A9"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1/16</w:t>
            </w:r>
          </w:p>
          <w:p w14:paraId="3767F4E6"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6·25</w:t>
            </w:r>
          </w:p>
          <w:p w14:paraId="2A2AFDCA"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(0·16-30·23)</w:t>
            </w:r>
          </w:p>
        </w:tc>
      </w:tr>
      <w:tr w:rsidR="009262EE" w:rsidRPr="00FB42C1" w14:paraId="0CDBFD41"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76E41DED"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285D0549"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049" w:type="dxa"/>
            <w:tcBorders>
              <w:top w:val="single" w:sz="4" w:space="0" w:color="auto"/>
              <w:left w:val="single" w:sz="4" w:space="0" w:color="auto"/>
              <w:bottom w:val="single" w:sz="4" w:space="0" w:color="auto"/>
              <w:right w:val="single" w:sz="4" w:space="0" w:color="auto"/>
            </w:tcBorders>
          </w:tcPr>
          <w:p w14:paraId="13A0827C"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03F42069" w14:textId="6DABF2CD"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478C2114"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65DDDA4C"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0B0C943E"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7C9FC0F2"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17BA0D7C"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57A41467"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4CAFA2C3"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903E989"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7622E650"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33EA7816"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450DA28F"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37221520"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319149E9"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DCD4EF4"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385AC247"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15AF8D17"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6E8F69D2"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0EDB9ADF"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049" w:type="dxa"/>
            <w:tcBorders>
              <w:top w:val="single" w:sz="4" w:space="0" w:color="auto"/>
              <w:left w:val="single" w:sz="4" w:space="0" w:color="auto"/>
              <w:bottom w:val="single" w:sz="4" w:space="0" w:color="auto"/>
              <w:right w:val="single" w:sz="4" w:space="0" w:color="auto"/>
            </w:tcBorders>
          </w:tcPr>
          <w:p w14:paraId="19D120F9"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76ECC7F6" w14:textId="1273DF10"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74C022A6"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9FE24EE"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75DB8437"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016C364F"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F6C1FC9"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620C2681"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072E08F5"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C1A51F5"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68C6EB42"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323C3937"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4B6BBE95"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7F7B3E87"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361AD088"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3DBEC540"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5AA20BE7"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3A72F6D1"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0AC45B9D"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29FB489D"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049" w:type="dxa"/>
            <w:tcBorders>
              <w:top w:val="single" w:sz="4" w:space="0" w:color="auto"/>
              <w:left w:val="single" w:sz="4" w:space="0" w:color="auto"/>
              <w:bottom w:val="single" w:sz="4" w:space="0" w:color="auto"/>
              <w:right w:val="single" w:sz="4" w:space="0" w:color="auto"/>
            </w:tcBorders>
          </w:tcPr>
          <w:p w14:paraId="281D79D1"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0CE940BB" w14:textId="1A06309B"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6B64EF37"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1A3A1468"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412DA456"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0F0646D2"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7ED79604"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2FA30C58"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1D1D4D3C"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828B24B"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1C4CA344"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43202E23"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4496C4AA"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67038054"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0C5EF6CD"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322ED99C"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4A5F05EB"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017DB9E1"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67737FB9"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54F7C734"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ACWY</w:t>
            </w:r>
          </w:p>
        </w:tc>
        <w:tc>
          <w:tcPr>
            <w:tcW w:w="1049" w:type="dxa"/>
            <w:tcBorders>
              <w:top w:val="single" w:sz="4" w:space="0" w:color="auto"/>
              <w:left w:val="single" w:sz="4" w:space="0" w:color="auto"/>
              <w:bottom w:val="single" w:sz="4" w:space="0" w:color="auto"/>
              <w:right w:val="single" w:sz="4" w:space="0" w:color="auto"/>
            </w:tcBorders>
          </w:tcPr>
          <w:p w14:paraId="40A1FE6A"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1464E845" w14:textId="1D69C86C"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7E2F69FE"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7C0227B0"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79B972DC"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5A785FBA"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56FD3B82"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4BE0DB5E"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0C4C89A1"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1/4 </w:t>
            </w:r>
          </w:p>
          <w:p w14:paraId="6F48AF37"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25·00</w:t>
            </w:r>
          </w:p>
          <w:p w14:paraId="5276C6FE"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(0·63-80·59)</w:t>
            </w:r>
          </w:p>
        </w:tc>
        <w:tc>
          <w:tcPr>
            <w:tcW w:w="1985" w:type="dxa"/>
            <w:tcBorders>
              <w:top w:val="single" w:sz="4" w:space="0" w:color="auto"/>
              <w:left w:val="single" w:sz="4" w:space="0" w:color="auto"/>
              <w:bottom w:val="single" w:sz="4" w:space="0" w:color="auto"/>
              <w:right w:val="single" w:sz="4" w:space="0" w:color="auto"/>
            </w:tcBorders>
            <w:vAlign w:val="center"/>
          </w:tcPr>
          <w:p w14:paraId="31BCDB69"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353A1C85"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1164D7D6"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64B8E516"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1/34 </w:t>
            </w:r>
          </w:p>
          <w:p w14:paraId="24396D9D"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2·94</w:t>
            </w:r>
          </w:p>
          <w:p w14:paraId="4A2ED3BC" w14:textId="77777777" w:rsidR="009262EE" w:rsidRPr="00FB42C1" w:rsidRDefault="009262EE" w:rsidP="00D142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(0·07-15·33)</w:t>
            </w:r>
          </w:p>
        </w:tc>
      </w:tr>
      <w:tr w:rsidR="009262EE" w:rsidRPr="00FB42C1" w14:paraId="66627D09" w14:textId="77777777" w:rsidTr="009262E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845" w:type="dxa"/>
            <w:vMerge w:val="restart"/>
            <w:tcBorders>
              <w:top w:val="single" w:sz="4" w:space="0" w:color="auto"/>
              <w:left w:val="single" w:sz="4" w:space="0" w:color="auto"/>
              <w:bottom w:val="single" w:sz="4" w:space="0" w:color="auto"/>
              <w:right w:val="single" w:sz="4" w:space="0" w:color="auto"/>
            </w:tcBorders>
            <w:vAlign w:val="center"/>
          </w:tcPr>
          <w:p w14:paraId="4F509367" w14:textId="77777777" w:rsidR="009262EE" w:rsidRPr="00FB42C1" w:rsidRDefault="009262EE" w:rsidP="00122826">
            <w:pPr>
              <w:spacing w:after="0" w:line="240" w:lineRule="auto"/>
              <w:rPr>
                <w:rFonts w:ascii="Arial" w:hAnsi="Arial" w:cs="Arial"/>
                <w:b w:val="0"/>
                <w:sz w:val="16"/>
                <w:szCs w:val="16"/>
              </w:rPr>
            </w:pPr>
            <w:r w:rsidRPr="00FB42C1">
              <w:rPr>
                <w:rFonts w:ascii="Arial" w:hAnsi="Arial" w:cs="Arial"/>
                <w:b w:val="0"/>
                <w:sz w:val="16"/>
                <w:szCs w:val="16"/>
              </w:rPr>
              <w:t>45-64</w:t>
            </w:r>
            <w:r>
              <w:rPr>
                <w:rFonts w:ascii="Arial" w:hAnsi="Arial" w:cs="Arial"/>
                <w:b w:val="0"/>
                <w:sz w:val="16"/>
                <w:szCs w:val="16"/>
              </w:rPr>
              <w:t xml:space="preserve"> y</w:t>
            </w:r>
          </w:p>
        </w:tc>
        <w:tc>
          <w:tcPr>
            <w:tcW w:w="941" w:type="dxa"/>
            <w:tcBorders>
              <w:top w:val="single" w:sz="4" w:space="0" w:color="auto"/>
              <w:left w:val="single" w:sz="4" w:space="0" w:color="auto"/>
              <w:bottom w:val="single" w:sz="4" w:space="0" w:color="auto"/>
              <w:right w:val="single" w:sz="4" w:space="0" w:color="auto"/>
            </w:tcBorders>
            <w:vAlign w:val="center"/>
          </w:tcPr>
          <w:p w14:paraId="6133A5C4"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049" w:type="dxa"/>
            <w:tcBorders>
              <w:top w:val="single" w:sz="4" w:space="0" w:color="auto"/>
              <w:left w:val="single" w:sz="4" w:space="0" w:color="auto"/>
              <w:bottom w:val="single" w:sz="4" w:space="0" w:color="auto"/>
              <w:right w:val="single" w:sz="4" w:space="0" w:color="auto"/>
            </w:tcBorders>
          </w:tcPr>
          <w:p w14:paraId="156B4339"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16A2A9C7" w14:textId="263601CF"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7957E9F1"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3/182 </w:t>
            </w:r>
          </w:p>
          <w:p w14:paraId="3CB6BAA9"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1·65</w:t>
            </w:r>
          </w:p>
          <w:p w14:paraId="4923C5D4" w14:textId="77777777" w:rsidR="009262EE" w:rsidRPr="00FB42C1" w:rsidRDefault="009262EE" w:rsidP="00D142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 xml:space="preserve"> (0·34-4·47)</w:t>
            </w:r>
          </w:p>
        </w:tc>
        <w:tc>
          <w:tcPr>
            <w:tcW w:w="1843" w:type="dxa"/>
            <w:tcBorders>
              <w:top w:val="single" w:sz="4" w:space="0" w:color="auto"/>
              <w:left w:val="single" w:sz="4" w:space="0" w:color="auto"/>
              <w:bottom w:val="single" w:sz="4" w:space="0" w:color="auto"/>
              <w:right w:val="single" w:sz="4" w:space="0" w:color="auto"/>
            </w:tcBorders>
            <w:vAlign w:val="center"/>
          </w:tcPr>
          <w:p w14:paraId="7C692716"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10/72 </w:t>
            </w:r>
          </w:p>
          <w:p w14:paraId="690D655C"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13·89</w:t>
            </w:r>
          </w:p>
          <w:p w14:paraId="41F669B1"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(6·87-24·06)</w:t>
            </w:r>
          </w:p>
        </w:tc>
        <w:tc>
          <w:tcPr>
            <w:tcW w:w="1559" w:type="dxa"/>
            <w:tcBorders>
              <w:top w:val="single" w:sz="4" w:space="0" w:color="auto"/>
              <w:left w:val="single" w:sz="4" w:space="0" w:color="auto"/>
              <w:bottom w:val="single" w:sz="4" w:space="0" w:color="auto"/>
              <w:right w:val="single" w:sz="4" w:space="0" w:color="auto"/>
            </w:tcBorders>
            <w:vAlign w:val="center"/>
          </w:tcPr>
          <w:p w14:paraId="25417B07"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2/19 </w:t>
            </w:r>
          </w:p>
          <w:p w14:paraId="5C197935"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10·53 </w:t>
            </w:r>
          </w:p>
          <w:p w14:paraId="584BD2E6"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(1·30-33·14)</w:t>
            </w:r>
          </w:p>
        </w:tc>
        <w:tc>
          <w:tcPr>
            <w:tcW w:w="1985" w:type="dxa"/>
            <w:tcBorders>
              <w:top w:val="single" w:sz="4" w:space="0" w:color="auto"/>
              <w:left w:val="single" w:sz="4" w:space="0" w:color="auto"/>
              <w:bottom w:val="single" w:sz="4" w:space="0" w:color="auto"/>
              <w:right w:val="single" w:sz="4" w:space="0" w:color="auto"/>
            </w:tcBorders>
            <w:vAlign w:val="center"/>
          </w:tcPr>
          <w:p w14:paraId="6FE6A9ED"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7F11EA45"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6D555EF6" w14:textId="77777777" w:rsidR="009262EE" w:rsidRPr="00FB42C1"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7F28F3FB"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15/288</w:t>
            </w:r>
          </w:p>
          <w:p w14:paraId="6124E4AF"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5·21</w:t>
            </w:r>
          </w:p>
          <w:p w14:paraId="5F65FB31" w14:textId="77777777" w:rsidR="009262EE" w:rsidRPr="00FB42C1" w:rsidRDefault="009262EE" w:rsidP="00D142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(2·94-8·44)</w:t>
            </w:r>
          </w:p>
        </w:tc>
      </w:tr>
      <w:tr w:rsidR="009262EE" w:rsidRPr="00FB42C1" w14:paraId="32214B61"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6B63B43C"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6B064633"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049" w:type="dxa"/>
            <w:tcBorders>
              <w:top w:val="single" w:sz="4" w:space="0" w:color="auto"/>
              <w:left w:val="single" w:sz="4" w:space="0" w:color="auto"/>
              <w:bottom w:val="single" w:sz="4" w:space="0" w:color="auto"/>
              <w:right w:val="single" w:sz="4" w:space="0" w:color="auto"/>
            </w:tcBorders>
          </w:tcPr>
          <w:p w14:paraId="6ABFFBA6"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6847CA3E" w14:textId="1936B496"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25269CB1"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555608EB"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60A0F84F"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1A62DFD8"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5E321F95"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43F28739"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4A3A655B"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3D4F311F"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221C3CAB"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30502DC2"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0EF849D1"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66347E56"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06DF97EA"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4AD3AA59"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353AF6F8"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Pr>
                <w:rFonts w:ascii="Arial" w:hAnsi="Arial" w:cs="Arial"/>
                <w:sz w:val="16"/>
                <w:szCs w:val="16"/>
              </w:rPr>
              <w:t>0</w:t>
            </w:r>
          </w:p>
        </w:tc>
      </w:tr>
      <w:tr w:rsidR="009262EE" w:rsidRPr="00FB42C1" w14:paraId="08465BBF"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4255A66C"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6ADE636F"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049" w:type="dxa"/>
            <w:tcBorders>
              <w:top w:val="single" w:sz="4" w:space="0" w:color="auto"/>
              <w:left w:val="single" w:sz="4" w:space="0" w:color="auto"/>
              <w:bottom w:val="single" w:sz="4" w:space="0" w:color="auto"/>
              <w:right w:val="single" w:sz="4" w:space="0" w:color="auto"/>
            </w:tcBorders>
          </w:tcPr>
          <w:p w14:paraId="7099903C"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6967585F" w14:textId="2C5BDECD"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3CB623DB"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1/10 </w:t>
            </w:r>
          </w:p>
          <w:p w14:paraId="328A5F40"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10·00</w:t>
            </w:r>
          </w:p>
          <w:p w14:paraId="0174FA2A" w14:textId="77777777" w:rsidR="009262EE" w:rsidRPr="00FB42C1" w:rsidRDefault="009262EE" w:rsidP="00D142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(0·25-44·50)</w:t>
            </w:r>
          </w:p>
        </w:tc>
        <w:tc>
          <w:tcPr>
            <w:tcW w:w="1843" w:type="dxa"/>
            <w:tcBorders>
              <w:top w:val="single" w:sz="4" w:space="0" w:color="auto"/>
              <w:left w:val="single" w:sz="4" w:space="0" w:color="auto"/>
              <w:bottom w:val="single" w:sz="4" w:space="0" w:color="auto"/>
              <w:right w:val="single" w:sz="4" w:space="0" w:color="auto"/>
            </w:tcBorders>
            <w:vAlign w:val="center"/>
          </w:tcPr>
          <w:p w14:paraId="7FADBD8C"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474DAF14"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0A426404" w14:textId="77777777" w:rsidR="009262EE" w:rsidRPr="00FB42C1"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3003A773"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173BB0E2"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67FD9A3A" w14:textId="77777777" w:rsidR="009262EE" w:rsidRPr="00FB42C1"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071291E5"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6E73A41A"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656B7633" w14:textId="77777777" w:rsidR="009262EE" w:rsidRPr="00FB42C1"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66A26D00"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1/20 </w:t>
            </w:r>
          </w:p>
          <w:p w14:paraId="003C771D"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5·00</w:t>
            </w:r>
          </w:p>
          <w:p w14:paraId="2AB24C68"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(0·23-24·87)</w:t>
            </w:r>
          </w:p>
          <w:p w14:paraId="152A0674"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p>
        </w:tc>
      </w:tr>
      <w:tr w:rsidR="009262EE" w:rsidRPr="00FB42C1" w14:paraId="7E1B20FF"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0E3A6C6E"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725E7AB8"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049" w:type="dxa"/>
            <w:tcBorders>
              <w:top w:val="single" w:sz="4" w:space="0" w:color="auto"/>
              <w:left w:val="single" w:sz="4" w:space="0" w:color="auto"/>
              <w:bottom w:val="single" w:sz="4" w:space="0" w:color="auto"/>
              <w:right w:val="single" w:sz="4" w:space="0" w:color="auto"/>
            </w:tcBorders>
          </w:tcPr>
          <w:p w14:paraId="2D96DEFA"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441A7DE5" w14:textId="37F6E563"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475C8831"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43E19D03"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4151546E"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6820DFB8"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503374ED"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61199531"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2D7D64A0"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1/3</w:t>
            </w:r>
          </w:p>
          <w:p w14:paraId="3E8A1036"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33·33</w:t>
            </w:r>
          </w:p>
          <w:p w14:paraId="519CC966"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(0·84-90·57)</w:t>
            </w:r>
          </w:p>
        </w:tc>
        <w:tc>
          <w:tcPr>
            <w:tcW w:w="1985" w:type="dxa"/>
            <w:tcBorders>
              <w:top w:val="single" w:sz="4" w:space="0" w:color="auto"/>
              <w:left w:val="single" w:sz="4" w:space="0" w:color="auto"/>
              <w:bottom w:val="single" w:sz="4" w:space="0" w:color="auto"/>
              <w:right w:val="single" w:sz="4" w:space="0" w:color="auto"/>
            </w:tcBorders>
            <w:vAlign w:val="center"/>
          </w:tcPr>
          <w:p w14:paraId="06E72979"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6D2EAB25"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3268A061"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72DD7F7A"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1/41</w:t>
            </w:r>
          </w:p>
          <w:p w14:paraId="36706E25"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2·44</w:t>
            </w:r>
          </w:p>
          <w:p w14:paraId="123E60FA" w14:textId="77777777" w:rsidR="009262EE" w:rsidRPr="00FB42C1" w:rsidRDefault="009262EE" w:rsidP="00D142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(0·62-12·86)</w:t>
            </w:r>
          </w:p>
        </w:tc>
      </w:tr>
      <w:tr w:rsidR="009262EE" w:rsidRPr="00FB42C1" w14:paraId="717E8121"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71CDD018"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7FB5137D"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049" w:type="dxa"/>
            <w:tcBorders>
              <w:top w:val="single" w:sz="4" w:space="0" w:color="auto"/>
              <w:left w:val="single" w:sz="4" w:space="0" w:color="auto"/>
              <w:bottom w:val="single" w:sz="4" w:space="0" w:color="auto"/>
              <w:right w:val="single" w:sz="4" w:space="0" w:color="auto"/>
            </w:tcBorders>
          </w:tcPr>
          <w:p w14:paraId="60B99C77"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663B17FA" w14:textId="1FF1951C" w:rsidR="009262EE" w:rsidRPr="00E202B8" w:rsidRDefault="00AA72EC"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0413C9EF"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06368FD3"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76383564"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65652FD1"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75E853B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6CE192A9"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24C45A4D"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1BC90E06"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0B2BABB0"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2566388F"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5D949393"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27EE4F23"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7C5EB84B"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58D1197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68CBE78A"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9262EE" w:rsidRPr="00FB42C1" w14:paraId="43E1083D"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1D2CD3B0"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5BC1D4C9"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ACWY</w:t>
            </w:r>
          </w:p>
        </w:tc>
        <w:tc>
          <w:tcPr>
            <w:tcW w:w="1049" w:type="dxa"/>
            <w:tcBorders>
              <w:top w:val="single" w:sz="4" w:space="0" w:color="auto"/>
              <w:left w:val="single" w:sz="4" w:space="0" w:color="auto"/>
              <w:bottom w:val="single" w:sz="4" w:space="0" w:color="auto"/>
              <w:right w:val="single" w:sz="4" w:space="0" w:color="auto"/>
            </w:tcBorders>
          </w:tcPr>
          <w:p w14:paraId="360D18A8"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20E4F70C" w14:textId="0F31E63E" w:rsidR="009262EE" w:rsidRPr="00E202B8" w:rsidRDefault="00AA72EC"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0AE64720"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2/44</w:t>
            </w:r>
          </w:p>
          <w:p w14:paraId="3F436034"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4·55 </w:t>
            </w:r>
          </w:p>
          <w:p w14:paraId="16CE92F8" w14:textId="77777777" w:rsidR="009262EE" w:rsidRPr="00FB42C1" w:rsidRDefault="009262EE" w:rsidP="00D142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(0·56-15·47)</w:t>
            </w:r>
          </w:p>
        </w:tc>
        <w:tc>
          <w:tcPr>
            <w:tcW w:w="1843" w:type="dxa"/>
            <w:tcBorders>
              <w:top w:val="single" w:sz="4" w:space="0" w:color="auto"/>
              <w:left w:val="single" w:sz="4" w:space="0" w:color="auto"/>
              <w:bottom w:val="single" w:sz="4" w:space="0" w:color="auto"/>
              <w:right w:val="single" w:sz="4" w:space="0" w:color="auto"/>
            </w:tcBorders>
            <w:vAlign w:val="center"/>
          </w:tcPr>
          <w:p w14:paraId="0DE8F309"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3CC069ED"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3CAC71C7"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tcPr>
          <w:p w14:paraId="3E95C07A"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1/5 </w:t>
            </w:r>
          </w:p>
          <w:p w14:paraId="1205D25A"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20·00 </w:t>
            </w:r>
          </w:p>
          <w:p w14:paraId="04638BDC"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(0·51-71·64)</w:t>
            </w:r>
          </w:p>
        </w:tc>
        <w:tc>
          <w:tcPr>
            <w:tcW w:w="1985" w:type="dxa"/>
            <w:tcBorders>
              <w:top w:val="single" w:sz="4" w:space="0" w:color="auto"/>
              <w:left w:val="single" w:sz="4" w:space="0" w:color="auto"/>
              <w:bottom w:val="single" w:sz="4" w:space="0" w:color="auto"/>
              <w:right w:val="single" w:sz="4" w:space="0" w:color="auto"/>
            </w:tcBorders>
            <w:vAlign w:val="center"/>
          </w:tcPr>
          <w:p w14:paraId="79F91D22"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64DF939E" w14:textId="77777777" w:rsidR="009262EE"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702EEE62" w14:textId="77777777" w:rsidR="009262EE" w:rsidRPr="00FB42C1" w:rsidRDefault="009262EE" w:rsidP="009262E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537C2B93"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3/86 </w:t>
            </w:r>
          </w:p>
          <w:p w14:paraId="5DA0778C"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3·49</w:t>
            </w:r>
          </w:p>
          <w:p w14:paraId="70172B32" w14:textId="77777777" w:rsidR="009262EE" w:rsidRPr="00FB42C1" w:rsidRDefault="009262EE" w:rsidP="00D1425B">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(0·73-9·86)</w:t>
            </w:r>
          </w:p>
        </w:tc>
      </w:tr>
      <w:tr w:rsidR="009262EE" w:rsidRPr="00FB42C1" w14:paraId="614118EB" w14:textId="77777777" w:rsidTr="009262EE">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845" w:type="dxa"/>
            <w:vMerge w:val="restart"/>
            <w:tcBorders>
              <w:top w:val="single" w:sz="4" w:space="0" w:color="auto"/>
              <w:left w:val="single" w:sz="4" w:space="0" w:color="auto"/>
              <w:bottom w:val="single" w:sz="4" w:space="0" w:color="auto"/>
              <w:right w:val="single" w:sz="4" w:space="0" w:color="auto"/>
            </w:tcBorders>
            <w:vAlign w:val="center"/>
          </w:tcPr>
          <w:p w14:paraId="2B05D55E" w14:textId="77777777" w:rsidR="009262EE" w:rsidRPr="00FB42C1" w:rsidRDefault="009262EE" w:rsidP="00122826">
            <w:pPr>
              <w:spacing w:after="0" w:line="240" w:lineRule="auto"/>
              <w:rPr>
                <w:rFonts w:ascii="Arial" w:hAnsi="Arial" w:cs="Arial"/>
                <w:b w:val="0"/>
                <w:sz w:val="16"/>
                <w:szCs w:val="16"/>
              </w:rPr>
            </w:pPr>
            <w:r>
              <w:rPr>
                <w:rFonts w:ascii="Arial" w:hAnsi="Arial" w:cs="Arial"/>
                <w:b w:val="0"/>
                <w:sz w:val="16"/>
                <w:szCs w:val="16"/>
              </w:rPr>
              <w:t>≥</w:t>
            </w:r>
            <w:r w:rsidRPr="00FB42C1">
              <w:rPr>
                <w:rFonts w:ascii="Arial" w:hAnsi="Arial" w:cs="Arial"/>
                <w:b w:val="0"/>
                <w:sz w:val="16"/>
                <w:szCs w:val="16"/>
              </w:rPr>
              <w:t>65</w:t>
            </w:r>
            <w:r>
              <w:rPr>
                <w:rFonts w:ascii="Arial" w:hAnsi="Arial" w:cs="Arial"/>
                <w:b w:val="0"/>
                <w:sz w:val="16"/>
                <w:szCs w:val="16"/>
              </w:rPr>
              <w:t xml:space="preserve"> y</w:t>
            </w:r>
          </w:p>
        </w:tc>
        <w:tc>
          <w:tcPr>
            <w:tcW w:w="941" w:type="dxa"/>
            <w:tcBorders>
              <w:top w:val="single" w:sz="4" w:space="0" w:color="auto"/>
              <w:left w:val="single" w:sz="4" w:space="0" w:color="auto"/>
              <w:bottom w:val="single" w:sz="4" w:space="0" w:color="auto"/>
              <w:right w:val="single" w:sz="4" w:space="0" w:color="auto"/>
            </w:tcBorders>
            <w:vAlign w:val="center"/>
          </w:tcPr>
          <w:p w14:paraId="19D73C63"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MenB</w:t>
            </w:r>
          </w:p>
        </w:tc>
        <w:tc>
          <w:tcPr>
            <w:tcW w:w="1049" w:type="dxa"/>
            <w:tcBorders>
              <w:top w:val="single" w:sz="4" w:space="0" w:color="auto"/>
              <w:left w:val="single" w:sz="4" w:space="0" w:color="auto"/>
              <w:bottom w:val="single" w:sz="4" w:space="0" w:color="auto"/>
              <w:right w:val="single" w:sz="4" w:space="0" w:color="auto"/>
            </w:tcBorders>
          </w:tcPr>
          <w:p w14:paraId="71344F25"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203450EF" w14:textId="29A00711" w:rsidR="009262EE" w:rsidRPr="00E202B8" w:rsidRDefault="005A183D"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 (95% CI)</w:t>
            </w:r>
          </w:p>
        </w:tc>
        <w:tc>
          <w:tcPr>
            <w:tcW w:w="1701" w:type="dxa"/>
            <w:tcBorders>
              <w:top w:val="single" w:sz="4" w:space="0" w:color="auto"/>
              <w:left w:val="single" w:sz="4" w:space="0" w:color="auto"/>
              <w:bottom w:val="single" w:sz="4" w:space="0" w:color="auto"/>
              <w:right w:val="single" w:sz="4" w:space="0" w:color="auto"/>
            </w:tcBorders>
            <w:vAlign w:val="center"/>
          </w:tcPr>
          <w:p w14:paraId="12119D98"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8/70</w:t>
            </w:r>
          </w:p>
          <w:p w14:paraId="48D78F9C"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11·43 </w:t>
            </w:r>
          </w:p>
          <w:p w14:paraId="10AD20C7" w14:textId="77777777" w:rsidR="009262EE" w:rsidRPr="00FB42C1" w:rsidRDefault="009262EE" w:rsidP="00D142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(5·07-21·28)</w:t>
            </w:r>
          </w:p>
        </w:tc>
        <w:tc>
          <w:tcPr>
            <w:tcW w:w="1843" w:type="dxa"/>
            <w:tcBorders>
              <w:top w:val="single" w:sz="4" w:space="0" w:color="auto"/>
              <w:left w:val="single" w:sz="4" w:space="0" w:color="auto"/>
              <w:bottom w:val="single" w:sz="4" w:space="0" w:color="auto"/>
              <w:right w:val="single" w:sz="4" w:space="0" w:color="auto"/>
            </w:tcBorders>
            <w:vAlign w:val="center"/>
          </w:tcPr>
          <w:p w14:paraId="5CCF223F"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10/45</w:t>
            </w:r>
          </w:p>
          <w:p w14:paraId="1161AE52"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22·22 </w:t>
            </w:r>
          </w:p>
          <w:p w14:paraId="6B6934B0"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(11·20-37·09)</w:t>
            </w:r>
          </w:p>
        </w:tc>
        <w:tc>
          <w:tcPr>
            <w:tcW w:w="1559" w:type="dxa"/>
            <w:tcBorders>
              <w:top w:val="single" w:sz="4" w:space="0" w:color="auto"/>
              <w:left w:val="single" w:sz="4" w:space="0" w:color="auto"/>
              <w:bottom w:val="single" w:sz="4" w:space="0" w:color="auto"/>
              <w:right w:val="single" w:sz="4" w:space="0" w:color="auto"/>
            </w:tcBorders>
            <w:vAlign w:val="center"/>
          </w:tcPr>
          <w:p w14:paraId="3E1726EB"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9/15</w:t>
            </w:r>
          </w:p>
          <w:p w14:paraId="193CDD44"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60·00 </w:t>
            </w:r>
          </w:p>
          <w:p w14:paraId="4F012FA7" w14:textId="77777777" w:rsidR="009262EE" w:rsidRPr="00FB42C1" w:rsidRDefault="009262EE" w:rsidP="00D142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r w:rsidRPr="00FB42C1">
              <w:rPr>
                <w:rFonts w:ascii="Arial" w:hAnsi="Arial" w:cs="Arial"/>
                <w:color w:val="000000" w:themeColor="text1"/>
                <w:sz w:val="16"/>
                <w:szCs w:val="16"/>
              </w:rPr>
              <w:t>(32·29-83·66)</w:t>
            </w:r>
          </w:p>
        </w:tc>
        <w:tc>
          <w:tcPr>
            <w:tcW w:w="1985" w:type="dxa"/>
            <w:tcBorders>
              <w:top w:val="single" w:sz="4" w:space="0" w:color="auto"/>
              <w:left w:val="single" w:sz="4" w:space="0" w:color="auto"/>
              <w:bottom w:val="single" w:sz="4" w:space="0" w:color="auto"/>
              <w:right w:val="single" w:sz="4" w:space="0" w:color="auto"/>
            </w:tcBorders>
            <w:vAlign w:val="center"/>
          </w:tcPr>
          <w:p w14:paraId="7B8DEB1D"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2/20</w:t>
            </w:r>
          </w:p>
          <w:p w14:paraId="0E81A263"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10·00</w:t>
            </w:r>
          </w:p>
          <w:p w14:paraId="1E3F6458" w14:textId="77777777" w:rsidR="009262EE" w:rsidRPr="00FB42C1" w:rsidRDefault="009262EE" w:rsidP="00D142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r w:rsidRPr="00FB42C1">
              <w:rPr>
                <w:rFonts w:ascii="Arial" w:hAnsi="Arial" w:cs="Arial"/>
                <w:color w:val="000000" w:themeColor="text1"/>
                <w:sz w:val="16"/>
                <w:szCs w:val="16"/>
              </w:rPr>
              <w:t xml:space="preserve"> (1·23-31·70)</w:t>
            </w:r>
          </w:p>
        </w:tc>
        <w:tc>
          <w:tcPr>
            <w:tcW w:w="1843" w:type="dxa"/>
            <w:tcBorders>
              <w:top w:val="single" w:sz="4" w:space="0" w:color="auto"/>
              <w:left w:val="single" w:sz="4" w:space="0" w:color="auto"/>
              <w:bottom w:val="single" w:sz="4" w:space="0" w:color="auto"/>
              <w:right w:val="single" w:sz="4" w:space="0" w:color="auto"/>
            </w:tcBorders>
          </w:tcPr>
          <w:p w14:paraId="00F9362D"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29/152 </w:t>
            </w:r>
          </w:p>
          <w:p w14:paraId="73A00448"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19·08</w:t>
            </w:r>
          </w:p>
          <w:p w14:paraId="5CD1373D" w14:textId="77777777" w:rsidR="009262EE" w:rsidRPr="00FB42C1" w:rsidRDefault="009262EE" w:rsidP="00D1425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color w:val="000000" w:themeColor="text1"/>
                <w:sz w:val="16"/>
                <w:szCs w:val="16"/>
              </w:rPr>
              <w:t>(13·17-26·23)</w:t>
            </w:r>
          </w:p>
        </w:tc>
      </w:tr>
      <w:tr w:rsidR="009262EE" w:rsidRPr="00FB42C1" w14:paraId="03C7641D"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1965CF95"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71D9434B"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MenC</w:t>
            </w:r>
          </w:p>
        </w:tc>
        <w:tc>
          <w:tcPr>
            <w:tcW w:w="1049" w:type="dxa"/>
            <w:tcBorders>
              <w:top w:val="single" w:sz="4" w:space="0" w:color="auto"/>
              <w:left w:val="single" w:sz="4" w:space="0" w:color="auto"/>
              <w:bottom w:val="single" w:sz="4" w:space="0" w:color="auto"/>
              <w:right w:val="single" w:sz="4" w:space="0" w:color="auto"/>
            </w:tcBorders>
          </w:tcPr>
          <w:p w14:paraId="36F78EFB"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5234FB0A"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w:t>
            </w:r>
          </w:p>
          <w:p w14:paraId="558F8FE4" w14:textId="77777777" w:rsidR="009262EE" w:rsidRPr="00E202B8"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95% CI</w:t>
            </w:r>
          </w:p>
        </w:tc>
        <w:tc>
          <w:tcPr>
            <w:tcW w:w="1701" w:type="dxa"/>
            <w:tcBorders>
              <w:top w:val="single" w:sz="4" w:space="0" w:color="auto"/>
              <w:left w:val="single" w:sz="4" w:space="0" w:color="auto"/>
              <w:bottom w:val="single" w:sz="4" w:space="0" w:color="auto"/>
              <w:right w:val="single" w:sz="4" w:space="0" w:color="auto"/>
            </w:tcBorders>
            <w:vAlign w:val="center"/>
          </w:tcPr>
          <w:p w14:paraId="7F8FEED2"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4FC9FC0E"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12D7720A"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6E3EB203"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1/4</w:t>
            </w:r>
          </w:p>
          <w:p w14:paraId="764008C2"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25·00</w:t>
            </w:r>
          </w:p>
          <w:p w14:paraId="119CFB6E"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(0·63-80·59)</w:t>
            </w:r>
          </w:p>
        </w:tc>
        <w:tc>
          <w:tcPr>
            <w:tcW w:w="1559" w:type="dxa"/>
            <w:tcBorders>
              <w:top w:val="single" w:sz="4" w:space="0" w:color="auto"/>
              <w:left w:val="single" w:sz="4" w:space="0" w:color="auto"/>
              <w:bottom w:val="single" w:sz="4" w:space="0" w:color="auto"/>
              <w:right w:val="single" w:sz="4" w:space="0" w:color="auto"/>
            </w:tcBorders>
            <w:vAlign w:val="center"/>
          </w:tcPr>
          <w:p w14:paraId="4E6675AA"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4BBCD845"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26C19CEB"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6CADB2A5"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5EAB4486"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p w14:paraId="6B70A7C3" w14:textId="77777777" w:rsidR="009262EE" w:rsidRPr="00FB42C1"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5BE0D0EF"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1/9 </w:t>
            </w:r>
          </w:p>
          <w:p w14:paraId="5ABC4CA5"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11·11</w:t>
            </w:r>
          </w:p>
          <w:p w14:paraId="04D53E65"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(0·28-48·25)</w:t>
            </w:r>
          </w:p>
        </w:tc>
      </w:tr>
      <w:tr w:rsidR="009262EE" w:rsidRPr="00FB42C1" w14:paraId="5C9A30F4"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13586196"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40A4820C"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MenW</w:t>
            </w:r>
          </w:p>
        </w:tc>
        <w:tc>
          <w:tcPr>
            <w:tcW w:w="1049" w:type="dxa"/>
            <w:tcBorders>
              <w:top w:val="single" w:sz="4" w:space="0" w:color="auto"/>
              <w:left w:val="single" w:sz="4" w:space="0" w:color="auto"/>
              <w:bottom w:val="single" w:sz="4" w:space="0" w:color="auto"/>
              <w:right w:val="single" w:sz="4" w:space="0" w:color="auto"/>
            </w:tcBorders>
          </w:tcPr>
          <w:p w14:paraId="021DD5F0"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4DA507EB"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w:t>
            </w:r>
          </w:p>
          <w:p w14:paraId="4F2D90E6" w14:textId="77777777" w:rsidR="009262EE" w:rsidRPr="00E202B8"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95% CI</w:t>
            </w:r>
          </w:p>
        </w:tc>
        <w:tc>
          <w:tcPr>
            <w:tcW w:w="1701" w:type="dxa"/>
            <w:tcBorders>
              <w:top w:val="single" w:sz="4" w:space="0" w:color="auto"/>
              <w:left w:val="single" w:sz="4" w:space="0" w:color="auto"/>
              <w:bottom w:val="single" w:sz="4" w:space="0" w:color="auto"/>
              <w:right w:val="single" w:sz="4" w:space="0" w:color="auto"/>
            </w:tcBorders>
            <w:vAlign w:val="center"/>
          </w:tcPr>
          <w:p w14:paraId="221C9FD3"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3F2C1414"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190B2679" w14:textId="77777777" w:rsidR="009262EE" w:rsidRPr="00FB42C1"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5BCFB650"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3/8 </w:t>
            </w:r>
          </w:p>
          <w:p w14:paraId="4A920A68"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37·50 </w:t>
            </w:r>
          </w:p>
          <w:p w14:paraId="5FA60E79"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(8·52-75·51)</w:t>
            </w:r>
          </w:p>
        </w:tc>
        <w:tc>
          <w:tcPr>
            <w:tcW w:w="1559" w:type="dxa"/>
            <w:tcBorders>
              <w:top w:val="single" w:sz="4" w:space="0" w:color="auto"/>
              <w:left w:val="single" w:sz="4" w:space="0" w:color="auto"/>
              <w:bottom w:val="single" w:sz="4" w:space="0" w:color="auto"/>
              <w:right w:val="single" w:sz="4" w:space="0" w:color="auto"/>
            </w:tcBorders>
            <w:vAlign w:val="center"/>
          </w:tcPr>
          <w:p w14:paraId="008617DF"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2/2</w:t>
            </w:r>
          </w:p>
          <w:p w14:paraId="334E664F"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100</w:t>
            </w:r>
          </w:p>
          <w:p w14:paraId="61B7A330"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(0·16-1·00)</w:t>
            </w:r>
          </w:p>
        </w:tc>
        <w:tc>
          <w:tcPr>
            <w:tcW w:w="1985" w:type="dxa"/>
            <w:tcBorders>
              <w:top w:val="single" w:sz="4" w:space="0" w:color="auto"/>
              <w:left w:val="single" w:sz="4" w:space="0" w:color="auto"/>
              <w:bottom w:val="single" w:sz="4" w:space="0" w:color="auto"/>
              <w:right w:val="single" w:sz="4" w:space="0" w:color="auto"/>
            </w:tcBorders>
            <w:vAlign w:val="center"/>
          </w:tcPr>
          <w:p w14:paraId="5CFC6082"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1/10 </w:t>
            </w:r>
          </w:p>
          <w:p w14:paraId="590F4B51"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10·00</w:t>
            </w:r>
          </w:p>
          <w:p w14:paraId="3AC95870"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(0·25-44·50)</w:t>
            </w:r>
          </w:p>
        </w:tc>
        <w:tc>
          <w:tcPr>
            <w:tcW w:w="1843" w:type="dxa"/>
            <w:tcBorders>
              <w:top w:val="single" w:sz="4" w:space="0" w:color="auto"/>
              <w:left w:val="single" w:sz="4" w:space="0" w:color="auto"/>
              <w:bottom w:val="single" w:sz="4" w:space="0" w:color="auto"/>
              <w:right w:val="single" w:sz="4" w:space="0" w:color="auto"/>
            </w:tcBorders>
          </w:tcPr>
          <w:p w14:paraId="59529DBF"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6/25</w:t>
            </w:r>
          </w:p>
          <w:p w14:paraId="517A9927"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24·00</w:t>
            </w:r>
          </w:p>
          <w:p w14:paraId="6752552B" w14:textId="77777777" w:rsidR="009262EE" w:rsidRPr="00FB42C1" w:rsidRDefault="009262EE" w:rsidP="007A7DDA">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(9·36-45·13)</w:t>
            </w:r>
          </w:p>
        </w:tc>
      </w:tr>
      <w:tr w:rsidR="009262EE" w:rsidRPr="00FB42C1" w14:paraId="521AD82A"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2254F4C8"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303F64F7"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MenY</w:t>
            </w:r>
          </w:p>
        </w:tc>
        <w:tc>
          <w:tcPr>
            <w:tcW w:w="1049" w:type="dxa"/>
            <w:tcBorders>
              <w:top w:val="single" w:sz="4" w:space="0" w:color="auto"/>
              <w:left w:val="single" w:sz="4" w:space="0" w:color="auto"/>
              <w:bottom w:val="single" w:sz="4" w:space="0" w:color="auto"/>
              <w:right w:val="single" w:sz="4" w:space="0" w:color="auto"/>
            </w:tcBorders>
          </w:tcPr>
          <w:p w14:paraId="0B111613"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29888F2D"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w:t>
            </w:r>
          </w:p>
          <w:p w14:paraId="76E974A1" w14:textId="77777777" w:rsidR="009262EE" w:rsidRPr="00E202B8"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95% CI</w:t>
            </w:r>
          </w:p>
        </w:tc>
        <w:tc>
          <w:tcPr>
            <w:tcW w:w="1701" w:type="dxa"/>
            <w:tcBorders>
              <w:top w:val="single" w:sz="4" w:space="0" w:color="auto"/>
              <w:left w:val="single" w:sz="4" w:space="0" w:color="auto"/>
              <w:bottom w:val="single" w:sz="4" w:space="0" w:color="auto"/>
              <w:right w:val="single" w:sz="4" w:space="0" w:color="auto"/>
            </w:tcBorders>
            <w:vAlign w:val="center"/>
          </w:tcPr>
          <w:p w14:paraId="752C4909"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2/19 </w:t>
            </w:r>
          </w:p>
          <w:p w14:paraId="3EFAC48C"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10·53 </w:t>
            </w:r>
          </w:p>
          <w:p w14:paraId="35530674" w14:textId="77777777" w:rsidR="009262EE" w:rsidRPr="00FB42C1" w:rsidRDefault="009262EE" w:rsidP="007A7DD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(1·30-33·14)</w:t>
            </w:r>
          </w:p>
        </w:tc>
        <w:tc>
          <w:tcPr>
            <w:tcW w:w="1843" w:type="dxa"/>
            <w:tcBorders>
              <w:top w:val="single" w:sz="4" w:space="0" w:color="auto"/>
              <w:left w:val="single" w:sz="4" w:space="0" w:color="auto"/>
              <w:bottom w:val="single" w:sz="4" w:space="0" w:color="auto"/>
              <w:right w:val="single" w:sz="4" w:space="0" w:color="auto"/>
            </w:tcBorders>
            <w:vAlign w:val="center"/>
          </w:tcPr>
          <w:p w14:paraId="4D2B5094"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6/36 </w:t>
            </w:r>
          </w:p>
          <w:p w14:paraId="11BF1FB3"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16·67 </w:t>
            </w:r>
          </w:p>
          <w:p w14:paraId="6C2FD903"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(6·37-32·81)</w:t>
            </w:r>
          </w:p>
        </w:tc>
        <w:tc>
          <w:tcPr>
            <w:tcW w:w="1559" w:type="dxa"/>
            <w:tcBorders>
              <w:top w:val="single" w:sz="4" w:space="0" w:color="auto"/>
              <w:left w:val="single" w:sz="4" w:space="0" w:color="auto"/>
              <w:bottom w:val="single" w:sz="4" w:space="0" w:color="auto"/>
              <w:right w:val="single" w:sz="4" w:space="0" w:color="auto"/>
            </w:tcBorders>
            <w:vAlign w:val="center"/>
          </w:tcPr>
          <w:p w14:paraId="02A530C5"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4/6 </w:t>
            </w:r>
          </w:p>
          <w:p w14:paraId="164C9F9B"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66·67 </w:t>
            </w:r>
          </w:p>
          <w:p w14:paraId="1493ACF8" w14:textId="77777777" w:rsidR="009262EE" w:rsidRPr="00FB42C1" w:rsidRDefault="009262EE" w:rsidP="007A7DD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(22·28-95·67)</w:t>
            </w:r>
          </w:p>
        </w:tc>
        <w:tc>
          <w:tcPr>
            <w:tcW w:w="1985" w:type="dxa"/>
            <w:tcBorders>
              <w:top w:val="single" w:sz="4" w:space="0" w:color="auto"/>
              <w:left w:val="single" w:sz="4" w:space="0" w:color="auto"/>
              <w:bottom w:val="single" w:sz="4" w:space="0" w:color="auto"/>
              <w:right w:val="single" w:sz="4" w:space="0" w:color="auto"/>
            </w:tcBorders>
            <w:vAlign w:val="center"/>
          </w:tcPr>
          <w:p w14:paraId="005F5E4B"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2/33 </w:t>
            </w:r>
          </w:p>
          <w:p w14:paraId="65B11F90"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6·06 </w:t>
            </w:r>
          </w:p>
          <w:p w14:paraId="5714B99E"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(0·74-20·23)</w:t>
            </w:r>
          </w:p>
        </w:tc>
        <w:tc>
          <w:tcPr>
            <w:tcW w:w="1843" w:type="dxa"/>
            <w:tcBorders>
              <w:top w:val="single" w:sz="4" w:space="0" w:color="auto"/>
              <w:left w:val="single" w:sz="4" w:space="0" w:color="auto"/>
              <w:bottom w:val="single" w:sz="4" w:space="0" w:color="auto"/>
              <w:right w:val="single" w:sz="4" w:space="0" w:color="auto"/>
            </w:tcBorders>
          </w:tcPr>
          <w:p w14:paraId="5121D69D"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14/94 </w:t>
            </w:r>
          </w:p>
          <w:p w14:paraId="1A331450"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14·89</w:t>
            </w:r>
          </w:p>
          <w:p w14:paraId="349EFB48" w14:textId="77777777" w:rsidR="009262EE" w:rsidRPr="00FB42C1" w:rsidRDefault="009262EE" w:rsidP="007A7DD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(8·39-23·72)</w:t>
            </w:r>
          </w:p>
        </w:tc>
      </w:tr>
      <w:tr w:rsidR="009262EE" w:rsidRPr="00FB42C1" w14:paraId="3352E80E" w14:textId="77777777" w:rsidTr="009262E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6AE3A962"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3AE6048C"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Other</w:t>
            </w:r>
          </w:p>
        </w:tc>
        <w:tc>
          <w:tcPr>
            <w:tcW w:w="1049" w:type="dxa"/>
            <w:tcBorders>
              <w:top w:val="single" w:sz="4" w:space="0" w:color="auto"/>
              <w:left w:val="single" w:sz="4" w:space="0" w:color="auto"/>
              <w:bottom w:val="single" w:sz="4" w:space="0" w:color="auto"/>
              <w:right w:val="single" w:sz="4" w:space="0" w:color="auto"/>
            </w:tcBorders>
          </w:tcPr>
          <w:p w14:paraId="254930B9"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03DEF616"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CFR</w:t>
            </w:r>
          </w:p>
          <w:p w14:paraId="1B936B68" w14:textId="77777777" w:rsidR="009262EE" w:rsidRPr="00E202B8"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95% CI</w:t>
            </w:r>
          </w:p>
        </w:tc>
        <w:tc>
          <w:tcPr>
            <w:tcW w:w="1701" w:type="dxa"/>
            <w:tcBorders>
              <w:top w:val="single" w:sz="4" w:space="0" w:color="auto"/>
              <w:left w:val="single" w:sz="4" w:space="0" w:color="auto"/>
              <w:bottom w:val="single" w:sz="4" w:space="0" w:color="auto"/>
              <w:right w:val="single" w:sz="4" w:space="0" w:color="auto"/>
            </w:tcBorders>
            <w:vAlign w:val="center"/>
          </w:tcPr>
          <w:p w14:paraId="018C3E37"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w:t>
            </w:r>
          </w:p>
          <w:p w14:paraId="7C3B77C1" w14:textId="77777777" w:rsidR="009262EE"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106E14AA" w14:textId="77777777" w:rsidR="009262EE" w:rsidRPr="00FB42C1" w:rsidRDefault="009262EE" w:rsidP="009262E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vAlign w:val="center"/>
          </w:tcPr>
          <w:p w14:paraId="6A1B6BD6"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w:t>
            </w:r>
            <w:r>
              <w:rPr>
                <w:rFonts w:ascii="Arial" w:hAnsi="Arial" w:cs="Arial"/>
                <w:sz w:val="16"/>
                <w:szCs w:val="16"/>
              </w:rPr>
              <w:t>2</w:t>
            </w:r>
          </w:p>
          <w:p w14:paraId="3904E5C8"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50.00</w:t>
            </w:r>
          </w:p>
          <w:p w14:paraId="0BEFF8DC"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(1·26-98·74)</w:t>
            </w:r>
          </w:p>
        </w:tc>
        <w:tc>
          <w:tcPr>
            <w:tcW w:w="1559" w:type="dxa"/>
            <w:tcBorders>
              <w:top w:val="single" w:sz="4" w:space="0" w:color="auto"/>
              <w:left w:val="single" w:sz="4" w:space="0" w:color="auto"/>
              <w:bottom w:val="single" w:sz="4" w:space="0" w:color="auto"/>
              <w:right w:val="single" w:sz="4" w:space="0" w:color="auto"/>
            </w:tcBorders>
            <w:vAlign w:val="center"/>
          </w:tcPr>
          <w:p w14:paraId="102AC32D"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538E521D"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15F1084A"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985" w:type="dxa"/>
            <w:tcBorders>
              <w:top w:val="single" w:sz="4" w:space="0" w:color="auto"/>
              <w:left w:val="single" w:sz="4" w:space="0" w:color="auto"/>
              <w:bottom w:val="single" w:sz="4" w:space="0" w:color="auto"/>
              <w:right w:val="single" w:sz="4" w:space="0" w:color="auto"/>
            </w:tcBorders>
            <w:vAlign w:val="center"/>
          </w:tcPr>
          <w:p w14:paraId="5AD7CBFC"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64D11">
              <w:rPr>
                <w:rFonts w:ascii="Arial" w:hAnsi="Arial" w:cs="Arial"/>
                <w:sz w:val="16"/>
                <w:szCs w:val="16"/>
              </w:rPr>
              <w:t>0</w:t>
            </w:r>
          </w:p>
          <w:p w14:paraId="23B958DE" w14:textId="77777777" w:rsidR="009262EE"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p w14:paraId="1892F9B8" w14:textId="77777777" w:rsidR="009262EE" w:rsidRPr="00FB42C1" w:rsidRDefault="009262EE" w:rsidP="005A2DD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14:paraId="5982BCBE" w14:textId="77777777" w:rsidR="009262EE"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1/4 </w:t>
            </w:r>
          </w:p>
          <w:p w14:paraId="078FA802"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25·00</w:t>
            </w:r>
          </w:p>
          <w:p w14:paraId="2D2D062E" w14:textId="77777777" w:rsidR="009262EE" w:rsidRPr="00FB42C1" w:rsidRDefault="009262EE" w:rsidP="0012282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(0·63-80·59)</w:t>
            </w:r>
          </w:p>
        </w:tc>
      </w:tr>
      <w:tr w:rsidR="009262EE" w:rsidRPr="00FB42C1" w14:paraId="04D3463D" w14:textId="77777777" w:rsidTr="009262EE">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auto"/>
              <w:left w:val="single" w:sz="4" w:space="0" w:color="auto"/>
              <w:bottom w:val="single" w:sz="4" w:space="0" w:color="auto"/>
              <w:right w:val="single" w:sz="4" w:space="0" w:color="auto"/>
            </w:tcBorders>
            <w:vAlign w:val="center"/>
          </w:tcPr>
          <w:p w14:paraId="0E9D36A8" w14:textId="77777777" w:rsidR="009262EE" w:rsidRPr="00FB42C1" w:rsidRDefault="009262EE" w:rsidP="00122826">
            <w:pPr>
              <w:spacing w:after="0" w:line="240" w:lineRule="auto"/>
              <w:rPr>
                <w:rFonts w:ascii="Arial" w:hAnsi="Arial" w:cs="Arial"/>
                <w:b w:val="0"/>
                <w:sz w:val="16"/>
                <w:szCs w:val="16"/>
              </w:rPr>
            </w:pPr>
          </w:p>
        </w:tc>
        <w:tc>
          <w:tcPr>
            <w:tcW w:w="941" w:type="dxa"/>
            <w:tcBorders>
              <w:top w:val="single" w:sz="4" w:space="0" w:color="auto"/>
              <w:left w:val="single" w:sz="4" w:space="0" w:color="auto"/>
              <w:bottom w:val="single" w:sz="4" w:space="0" w:color="auto"/>
              <w:right w:val="single" w:sz="4" w:space="0" w:color="auto"/>
            </w:tcBorders>
            <w:vAlign w:val="center"/>
          </w:tcPr>
          <w:p w14:paraId="40468F24"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ACWY</w:t>
            </w:r>
          </w:p>
        </w:tc>
        <w:tc>
          <w:tcPr>
            <w:tcW w:w="1049" w:type="dxa"/>
            <w:tcBorders>
              <w:top w:val="single" w:sz="4" w:space="0" w:color="auto"/>
              <w:left w:val="single" w:sz="4" w:space="0" w:color="auto"/>
              <w:bottom w:val="single" w:sz="4" w:space="0" w:color="auto"/>
              <w:right w:val="single" w:sz="4" w:space="0" w:color="auto"/>
            </w:tcBorders>
          </w:tcPr>
          <w:p w14:paraId="6DEE3630"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vertAlign w:val="superscript"/>
              </w:rPr>
            </w:pPr>
            <w:r>
              <w:rPr>
                <w:rFonts w:cs="Arial"/>
                <w:sz w:val="16"/>
                <w:szCs w:val="16"/>
              </w:rPr>
              <w:t>Absolute no</w:t>
            </w:r>
            <w:r>
              <w:rPr>
                <w:rFonts w:cs="Arial"/>
                <w:sz w:val="16"/>
                <w:szCs w:val="16"/>
                <w:vertAlign w:val="superscript"/>
              </w:rPr>
              <w:t>0</w:t>
            </w:r>
          </w:p>
          <w:p w14:paraId="66A1AEAB" w14:textId="77777777" w:rsidR="009262EE"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CFR</w:t>
            </w:r>
          </w:p>
          <w:p w14:paraId="63B6D13A" w14:textId="77777777" w:rsidR="009262EE" w:rsidRPr="00E202B8" w:rsidRDefault="009262EE" w:rsidP="005A2DDF">
            <w:pPr>
              <w:spacing w:after="0" w:line="240" w:lineRule="auto"/>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95% CI</w:t>
            </w:r>
          </w:p>
        </w:tc>
        <w:tc>
          <w:tcPr>
            <w:tcW w:w="1701" w:type="dxa"/>
            <w:tcBorders>
              <w:top w:val="single" w:sz="4" w:space="0" w:color="auto"/>
              <w:left w:val="single" w:sz="4" w:space="0" w:color="auto"/>
              <w:bottom w:val="single" w:sz="4" w:space="0" w:color="auto"/>
              <w:right w:val="single" w:sz="4" w:space="0" w:color="auto"/>
            </w:tcBorders>
            <w:vAlign w:val="center"/>
          </w:tcPr>
          <w:p w14:paraId="7785889E"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2/26</w:t>
            </w:r>
          </w:p>
          <w:p w14:paraId="58D6FA7A"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7·69</w:t>
            </w:r>
          </w:p>
          <w:p w14:paraId="4A53F582" w14:textId="77777777" w:rsidR="009262EE" w:rsidRPr="00FB42C1" w:rsidRDefault="009262EE" w:rsidP="007A7DD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r w:rsidRPr="00FB42C1">
              <w:rPr>
                <w:rFonts w:ascii="Arial" w:hAnsi="Arial" w:cs="Arial"/>
                <w:color w:val="000000" w:themeColor="text1"/>
                <w:sz w:val="16"/>
                <w:szCs w:val="16"/>
              </w:rPr>
              <w:t xml:space="preserve"> (0·95-25·13)</w:t>
            </w:r>
          </w:p>
        </w:tc>
        <w:tc>
          <w:tcPr>
            <w:tcW w:w="1843" w:type="dxa"/>
            <w:tcBorders>
              <w:top w:val="single" w:sz="4" w:space="0" w:color="auto"/>
              <w:left w:val="single" w:sz="4" w:space="0" w:color="auto"/>
              <w:bottom w:val="single" w:sz="4" w:space="0" w:color="auto"/>
              <w:right w:val="single" w:sz="4" w:space="0" w:color="auto"/>
            </w:tcBorders>
            <w:vAlign w:val="center"/>
          </w:tcPr>
          <w:p w14:paraId="11FE583E"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10/48 </w:t>
            </w:r>
          </w:p>
          <w:p w14:paraId="658BF818"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20·83</w:t>
            </w:r>
          </w:p>
          <w:p w14:paraId="45B9AC0D" w14:textId="77777777" w:rsidR="009262EE" w:rsidRPr="00FB42C1" w:rsidRDefault="009262EE" w:rsidP="007A7DD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r w:rsidRPr="00FB42C1">
              <w:rPr>
                <w:rFonts w:ascii="Arial" w:hAnsi="Arial" w:cs="Arial"/>
                <w:color w:val="000000" w:themeColor="text1"/>
                <w:sz w:val="16"/>
                <w:szCs w:val="16"/>
              </w:rPr>
              <w:t xml:space="preserve"> (10·47-34·99)</w:t>
            </w:r>
          </w:p>
        </w:tc>
        <w:tc>
          <w:tcPr>
            <w:tcW w:w="1559" w:type="dxa"/>
            <w:tcBorders>
              <w:top w:val="single" w:sz="4" w:space="0" w:color="auto"/>
              <w:left w:val="single" w:sz="4" w:space="0" w:color="auto"/>
              <w:bottom w:val="single" w:sz="4" w:space="0" w:color="auto"/>
              <w:right w:val="single" w:sz="4" w:space="0" w:color="auto"/>
            </w:tcBorders>
            <w:vAlign w:val="center"/>
          </w:tcPr>
          <w:p w14:paraId="7F0A47CF" w14:textId="77777777" w:rsidR="009262EE" w:rsidRDefault="009262EE" w:rsidP="007A7DD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6/9</w:t>
            </w:r>
          </w:p>
          <w:p w14:paraId="4871CF47" w14:textId="77777777" w:rsidR="009262EE" w:rsidRPr="00FB42C1" w:rsidRDefault="009262EE" w:rsidP="007A7DD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 66·67</w:t>
            </w:r>
          </w:p>
          <w:p w14:paraId="5129B307" w14:textId="77777777" w:rsidR="009262EE" w:rsidRPr="00FB42C1" w:rsidRDefault="009262EE" w:rsidP="007A7DD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r w:rsidRPr="00FB42C1">
              <w:rPr>
                <w:rFonts w:ascii="Arial" w:hAnsi="Arial" w:cs="Arial"/>
                <w:color w:val="000000" w:themeColor="text1"/>
                <w:sz w:val="16"/>
                <w:szCs w:val="16"/>
              </w:rPr>
              <w:t xml:space="preserve"> (29·92-92·51)</w:t>
            </w:r>
          </w:p>
        </w:tc>
        <w:tc>
          <w:tcPr>
            <w:tcW w:w="1985" w:type="dxa"/>
            <w:tcBorders>
              <w:top w:val="single" w:sz="4" w:space="0" w:color="auto"/>
              <w:left w:val="single" w:sz="4" w:space="0" w:color="auto"/>
              <w:bottom w:val="single" w:sz="4" w:space="0" w:color="auto"/>
              <w:right w:val="single" w:sz="4" w:space="0" w:color="auto"/>
            </w:tcBorders>
            <w:vAlign w:val="center"/>
          </w:tcPr>
          <w:p w14:paraId="47C60463"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3/45 </w:t>
            </w:r>
          </w:p>
          <w:p w14:paraId="12A31293"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6·67</w:t>
            </w:r>
          </w:p>
          <w:p w14:paraId="150C4541" w14:textId="77777777" w:rsidR="009262EE" w:rsidRPr="00FB42C1" w:rsidRDefault="009262EE" w:rsidP="007A7DD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r w:rsidRPr="00FB42C1">
              <w:rPr>
                <w:rFonts w:ascii="Arial" w:hAnsi="Arial" w:cs="Arial"/>
                <w:color w:val="000000" w:themeColor="text1"/>
                <w:sz w:val="16"/>
                <w:szCs w:val="16"/>
              </w:rPr>
              <w:t>(1·40-18·27)</w:t>
            </w:r>
          </w:p>
        </w:tc>
        <w:tc>
          <w:tcPr>
            <w:tcW w:w="1843" w:type="dxa"/>
            <w:tcBorders>
              <w:top w:val="single" w:sz="4" w:space="0" w:color="auto"/>
              <w:left w:val="single" w:sz="4" w:space="0" w:color="auto"/>
              <w:bottom w:val="single" w:sz="4" w:space="0" w:color="auto"/>
              <w:right w:val="single" w:sz="4" w:space="0" w:color="auto"/>
            </w:tcBorders>
          </w:tcPr>
          <w:p w14:paraId="12C99CC4" w14:textId="77777777" w:rsidR="009262EE"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 xml:space="preserve">21/128 </w:t>
            </w:r>
          </w:p>
          <w:p w14:paraId="5B8FCFFC" w14:textId="77777777" w:rsidR="009262EE" w:rsidRPr="00FB42C1" w:rsidRDefault="009262EE" w:rsidP="00122826">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FB42C1">
              <w:rPr>
                <w:rFonts w:ascii="Arial" w:hAnsi="Arial" w:cs="Arial"/>
                <w:color w:val="000000" w:themeColor="text1"/>
                <w:sz w:val="16"/>
                <w:szCs w:val="16"/>
              </w:rPr>
              <w:t>16·41</w:t>
            </w:r>
          </w:p>
          <w:p w14:paraId="372AED02" w14:textId="77777777" w:rsidR="009262EE" w:rsidRPr="00FB42C1" w:rsidRDefault="009262EE" w:rsidP="007A7DDA">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FF0000"/>
                <w:sz w:val="16"/>
                <w:szCs w:val="16"/>
              </w:rPr>
            </w:pPr>
            <w:r w:rsidRPr="00FB42C1">
              <w:rPr>
                <w:rFonts w:ascii="Arial" w:hAnsi="Arial" w:cs="Arial"/>
                <w:color w:val="000000" w:themeColor="text1"/>
                <w:sz w:val="16"/>
                <w:szCs w:val="16"/>
              </w:rPr>
              <w:t>(10·45-23·98)</w:t>
            </w:r>
          </w:p>
        </w:tc>
      </w:tr>
    </w:tbl>
    <w:p w14:paraId="383A43D7" w14:textId="77777777" w:rsidR="00233E70" w:rsidRPr="00FB42C1" w:rsidRDefault="00233E70" w:rsidP="00C826B3">
      <w:pPr>
        <w:rPr>
          <w:rFonts w:cs="Arial"/>
          <w:sz w:val="16"/>
          <w:szCs w:val="16"/>
        </w:rPr>
      </w:pPr>
    </w:p>
    <w:p w14:paraId="2E4952FE" w14:textId="77777777" w:rsidR="00F2217A" w:rsidRDefault="00F2217A">
      <w:pPr>
        <w:spacing w:after="200" w:line="276" w:lineRule="auto"/>
        <w:rPr>
          <w:rFonts w:cs="Arial"/>
          <w:b/>
          <w:sz w:val="20"/>
          <w:szCs w:val="16"/>
        </w:rPr>
      </w:pPr>
      <w:bookmarkStart w:id="6" w:name="_Toc428967833"/>
      <w:r>
        <w:rPr>
          <w:rFonts w:cs="Arial"/>
          <w:b/>
          <w:sz w:val="20"/>
          <w:szCs w:val="16"/>
        </w:rPr>
        <w:br w:type="page"/>
      </w:r>
    </w:p>
    <w:p w14:paraId="4E01A37A" w14:textId="77777777" w:rsidR="00132A35" w:rsidRDefault="00132A35" w:rsidP="002E608E">
      <w:pPr>
        <w:rPr>
          <w:rFonts w:cs="Arial"/>
          <w:b/>
          <w:sz w:val="20"/>
          <w:szCs w:val="16"/>
        </w:rPr>
        <w:sectPr w:rsidR="00132A35" w:rsidSect="00132A35">
          <w:pgSz w:w="16838" w:h="11906" w:orient="landscape"/>
          <w:pgMar w:top="1440" w:right="1440" w:bottom="1440" w:left="1440" w:header="709" w:footer="709" w:gutter="0"/>
          <w:cols w:space="708"/>
          <w:docGrid w:linePitch="360"/>
        </w:sectPr>
      </w:pPr>
    </w:p>
    <w:p w14:paraId="2FE96AEB" w14:textId="77777777" w:rsidR="002E608E" w:rsidRDefault="002E608E" w:rsidP="002E608E">
      <w:pPr>
        <w:rPr>
          <w:rFonts w:cs="Arial"/>
          <w:sz w:val="20"/>
          <w:szCs w:val="16"/>
        </w:rPr>
      </w:pPr>
      <w:r w:rsidRPr="00FB42C1">
        <w:rPr>
          <w:rFonts w:cs="Arial"/>
          <w:b/>
          <w:sz w:val="20"/>
          <w:szCs w:val="16"/>
        </w:rPr>
        <w:t>Supplementary Table 2</w:t>
      </w:r>
      <w:r w:rsidR="001A7C08" w:rsidRPr="00FB42C1">
        <w:rPr>
          <w:rFonts w:cs="Arial"/>
          <w:b/>
          <w:sz w:val="20"/>
          <w:szCs w:val="16"/>
        </w:rPr>
        <w:t>·</w:t>
      </w:r>
      <w:r w:rsidRPr="00FB42C1">
        <w:rPr>
          <w:rFonts w:cs="Arial"/>
          <w:sz w:val="20"/>
          <w:szCs w:val="16"/>
        </w:rPr>
        <w:t xml:space="preserve"> </w:t>
      </w:r>
      <w:r w:rsidR="004A5E45">
        <w:rPr>
          <w:rFonts w:cs="Arial"/>
          <w:sz w:val="20"/>
          <w:szCs w:val="16"/>
        </w:rPr>
        <w:t>Cases, deaths and case fatality ratios (</w:t>
      </w:r>
      <w:r w:rsidRPr="00FB42C1">
        <w:rPr>
          <w:rFonts w:cs="Arial"/>
          <w:sz w:val="20"/>
          <w:szCs w:val="16"/>
        </w:rPr>
        <w:t>CFR</w:t>
      </w:r>
      <w:r w:rsidR="004A5E45">
        <w:rPr>
          <w:rFonts w:cs="Arial"/>
          <w:sz w:val="20"/>
          <w:szCs w:val="16"/>
        </w:rPr>
        <w:t xml:space="preserve">), along with </w:t>
      </w:r>
      <w:r w:rsidRPr="00FB42C1">
        <w:rPr>
          <w:rFonts w:cs="Arial"/>
          <w:sz w:val="20"/>
          <w:szCs w:val="16"/>
        </w:rPr>
        <w:t>odds of death for complications</w:t>
      </w:r>
      <w:bookmarkEnd w:id="6"/>
      <w:r w:rsidRPr="00FB42C1">
        <w:rPr>
          <w:rFonts w:cs="Arial"/>
          <w:sz w:val="20"/>
          <w:szCs w:val="16"/>
        </w:rPr>
        <w:t xml:space="preserve"> </w:t>
      </w:r>
      <w:r w:rsidR="004A5E45">
        <w:rPr>
          <w:rFonts w:cs="Arial"/>
          <w:sz w:val="20"/>
          <w:szCs w:val="16"/>
        </w:rPr>
        <w:t>after adjusting for age in years and capsular group) among hospitalised IMD cases confirmed in England during 2007-11</w:t>
      </w:r>
    </w:p>
    <w:p w14:paraId="28B78CEB" w14:textId="77777777" w:rsidR="00A14BD2" w:rsidRPr="00FB42C1" w:rsidRDefault="00A14BD2" w:rsidP="00A14BD2">
      <w:pPr>
        <w:pStyle w:val="Caption"/>
        <w:rPr>
          <w:rFonts w:cs="Arial"/>
          <w:b w:val="0"/>
          <w:color w:val="auto"/>
          <w:sz w:val="16"/>
          <w:szCs w:val="16"/>
        </w:rPr>
      </w:pPr>
    </w:p>
    <w:tbl>
      <w:tblPr>
        <w:tblStyle w:val="MediumShading11"/>
        <w:tblpPr w:leftFromText="180" w:rightFromText="180" w:vertAnchor="text" w:horzAnchor="margin" w:tblpX="108" w:tblpY="217"/>
        <w:tblW w:w="7185" w:type="dxa"/>
        <w:tblLayout w:type="fixed"/>
        <w:tblLook w:val="04A0" w:firstRow="1" w:lastRow="0" w:firstColumn="1" w:lastColumn="0" w:noHBand="0" w:noVBand="1"/>
      </w:tblPr>
      <w:tblGrid>
        <w:gridCol w:w="1440"/>
        <w:gridCol w:w="966"/>
        <w:gridCol w:w="993"/>
        <w:gridCol w:w="1134"/>
        <w:gridCol w:w="1134"/>
        <w:gridCol w:w="1518"/>
      </w:tblGrid>
      <w:tr w:rsidR="004A5E45" w:rsidRPr="00FB42C1" w14:paraId="77482D4B" w14:textId="77777777" w:rsidTr="00883A16">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440" w:type="dxa"/>
          </w:tcPr>
          <w:p w14:paraId="24A5DB28" w14:textId="77777777" w:rsidR="004A5E45" w:rsidRPr="00FB42C1" w:rsidRDefault="004A5E45" w:rsidP="00122826">
            <w:pPr>
              <w:pStyle w:val="ListParagraph"/>
              <w:spacing w:after="0" w:line="240" w:lineRule="auto"/>
              <w:ind w:left="0"/>
              <w:rPr>
                <w:rFonts w:ascii="Arial" w:hAnsi="Arial" w:cs="Arial"/>
                <w:b w:val="0"/>
                <w:color w:val="auto"/>
                <w:sz w:val="16"/>
                <w:szCs w:val="16"/>
              </w:rPr>
            </w:pPr>
            <w:r w:rsidRPr="00FB42C1">
              <w:rPr>
                <w:rFonts w:ascii="Arial" w:hAnsi="Arial" w:cs="Arial"/>
                <w:b w:val="0"/>
                <w:color w:val="auto"/>
                <w:sz w:val="16"/>
                <w:szCs w:val="16"/>
              </w:rPr>
              <w:t>Complication</w:t>
            </w:r>
          </w:p>
        </w:tc>
        <w:tc>
          <w:tcPr>
            <w:tcW w:w="966" w:type="dxa"/>
          </w:tcPr>
          <w:p w14:paraId="09D54176" w14:textId="77777777" w:rsidR="004A5E45" w:rsidRPr="00FB42C1" w:rsidRDefault="004A5E45" w:rsidP="004A5E4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sidRPr="00FB42C1">
              <w:rPr>
                <w:rFonts w:ascii="Arial" w:hAnsi="Arial" w:cs="Arial"/>
                <w:b w:val="0"/>
                <w:color w:val="auto"/>
                <w:sz w:val="16"/>
                <w:szCs w:val="16"/>
              </w:rPr>
              <w:t xml:space="preserve">Number and % of </w:t>
            </w:r>
            <w:r>
              <w:rPr>
                <w:rFonts w:ascii="Arial" w:hAnsi="Arial" w:cs="Arial"/>
                <w:b w:val="0"/>
                <w:color w:val="auto"/>
                <w:sz w:val="16"/>
                <w:szCs w:val="16"/>
              </w:rPr>
              <w:t>IMD cases</w:t>
            </w:r>
          </w:p>
        </w:tc>
        <w:tc>
          <w:tcPr>
            <w:tcW w:w="993" w:type="dxa"/>
          </w:tcPr>
          <w:p w14:paraId="553CFA9F" w14:textId="77777777" w:rsidR="004A5E45" w:rsidRPr="00FB42C1" w:rsidRDefault="004A5E45" w:rsidP="00122826">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sidRPr="00FB42C1">
              <w:rPr>
                <w:rFonts w:ascii="Arial" w:hAnsi="Arial" w:cs="Arial"/>
                <w:b w:val="0"/>
                <w:color w:val="auto"/>
                <w:sz w:val="16"/>
                <w:szCs w:val="16"/>
              </w:rPr>
              <w:t>CFR</w:t>
            </w:r>
          </w:p>
        </w:tc>
        <w:tc>
          <w:tcPr>
            <w:tcW w:w="1134" w:type="dxa"/>
          </w:tcPr>
          <w:p w14:paraId="1F678CCA" w14:textId="77777777" w:rsidR="004A5E45" w:rsidRPr="00FB42C1" w:rsidRDefault="004A5E45" w:rsidP="00FB42C1">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Pr>
                <w:rFonts w:ascii="Arial" w:hAnsi="Arial" w:cs="Arial"/>
                <w:b w:val="0"/>
                <w:color w:val="auto"/>
                <w:sz w:val="16"/>
                <w:szCs w:val="16"/>
              </w:rPr>
              <w:t>CFR if meningitis also coded</w:t>
            </w:r>
          </w:p>
        </w:tc>
        <w:tc>
          <w:tcPr>
            <w:tcW w:w="1134" w:type="dxa"/>
          </w:tcPr>
          <w:p w14:paraId="6290F1DB" w14:textId="77777777" w:rsidR="004A5E45" w:rsidRPr="00FB42C1" w:rsidRDefault="004A5E45" w:rsidP="00FB42C1">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sidRPr="00FB42C1">
              <w:rPr>
                <w:rFonts w:ascii="Arial" w:hAnsi="Arial" w:cs="Arial"/>
                <w:b w:val="0"/>
                <w:color w:val="auto"/>
                <w:sz w:val="16"/>
                <w:szCs w:val="16"/>
              </w:rPr>
              <w:t xml:space="preserve">CFR if </w:t>
            </w:r>
            <w:r>
              <w:rPr>
                <w:rFonts w:ascii="Arial" w:hAnsi="Arial" w:cs="Arial"/>
                <w:b w:val="0"/>
                <w:color w:val="auto"/>
                <w:sz w:val="16"/>
                <w:szCs w:val="16"/>
              </w:rPr>
              <w:t>septicaemia also coded</w:t>
            </w:r>
          </w:p>
        </w:tc>
        <w:tc>
          <w:tcPr>
            <w:tcW w:w="1518" w:type="dxa"/>
          </w:tcPr>
          <w:p w14:paraId="6D9B3B8B" w14:textId="77777777" w:rsidR="004A5E45" w:rsidRPr="00FB42C1" w:rsidRDefault="004A5E45" w:rsidP="004A5E4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sidRPr="00FB42C1">
              <w:rPr>
                <w:rFonts w:ascii="Arial" w:hAnsi="Arial" w:cs="Arial"/>
                <w:b w:val="0"/>
                <w:color w:val="auto"/>
                <w:sz w:val="16"/>
                <w:szCs w:val="16"/>
              </w:rPr>
              <w:t xml:space="preserve">Odds of death </w:t>
            </w:r>
          </w:p>
        </w:tc>
      </w:tr>
      <w:tr w:rsidR="004A5E45" w:rsidRPr="00FB42C1" w14:paraId="7EE25BC4" w14:textId="77777777" w:rsidTr="00883A16">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440" w:type="dxa"/>
          </w:tcPr>
          <w:p w14:paraId="26FE825F" w14:textId="77777777" w:rsidR="004A5E45" w:rsidRPr="00FB42C1" w:rsidRDefault="004A5E45" w:rsidP="00122826">
            <w:pPr>
              <w:pStyle w:val="ListParagraph"/>
              <w:spacing w:after="0" w:line="240" w:lineRule="auto"/>
              <w:ind w:left="0"/>
              <w:rPr>
                <w:rFonts w:ascii="Arial" w:hAnsi="Arial" w:cs="Arial"/>
                <w:sz w:val="16"/>
                <w:szCs w:val="16"/>
              </w:rPr>
            </w:pPr>
            <w:r w:rsidRPr="00FB42C1">
              <w:rPr>
                <w:rFonts w:ascii="Arial" w:hAnsi="Arial" w:cs="Arial"/>
                <w:sz w:val="16"/>
                <w:szCs w:val="16"/>
              </w:rPr>
              <w:t>Acidosis</w:t>
            </w:r>
          </w:p>
        </w:tc>
        <w:tc>
          <w:tcPr>
            <w:tcW w:w="966" w:type="dxa"/>
          </w:tcPr>
          <w:p w14:paraId="0CDC2E30" w14:textId="77777777" w:rsidR="004A5E45" w:rsidRPr="00FB42C1" w:rsidRDefault="004A5E45" w:rsidP="00826C1D">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107</w:t>
            </w:r>
          </w:p>
          <w:p w14:paraId="75E49956" w14:textId="77777777" w:rsidR="004A5E45" w:rsidRPr="00FB42C1" w:rsidRDefault="004A5E45" w:rsidP="00826C1D">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(2·32%)</w:t>
            </w:r>
          </w:p>
        </w:tc>
        <w:tc>
          <w:tcPr>
            <w:tcW w:w="993" w:type="dxa"/>
          </w:tcPr>
          <w:p w14:paraId="5DDB7765" w14:textId="77777777" w:rsidR="004A5E45" w:rsidRPr="00FB42C1" w:rsidRDefault="004A5E45" w:rsidP="00826C1D">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21·50</w:t>
            </w:r>
          </w:p>
          <w:p w14:paraId="478040F9" w14:textId="77777777" w:rsidR="004A5E45" w:rsidRPr="00FB42C1" w:rsidRDefault="004A5E45" w:rsidP="00826C1D">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(14·14-30·49)</w:t>
            </w:r>
          </w:p>
        </w:tc>
        <w:tc>
          <w:tcPr>
            <w:tcW w:w="1134" w:type="dxa"/>
          </w:tcPr>
          <w:p w14:paraId="1E495DC9" w14:textId="77777777" w:rsidR="004A5E45" w:rsidRPr="00FB42C1" w:rsidRDefault="004A5E45" w:rsidP="00826C1D">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10·26 (2·87-24·22)</w:t>
            </w:r>
          </w:p>
        </w:tc>
        <w:tc>
          <w:tcPr>
            <w:tcW w:w="1134" w:type="dxa"/>
          </w:tcPr>
          <w:p w14:paraId="7F9FACE0" w14:textId="77777777" w:rsidR="004A5E45" w:rsidRPr="00FB42C1" w:rsidRDefault="004A5E45" w:rsidP="00826C1D">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30·12</w:t>
            </w:r>
          </w:p>
          <w:p w14:paraId="2BB80ACE" w14:textId="77777777" w:rsidR="004A5E45" w:rsidRPr="00FB42C1" w:rsidRDefault="004A5E45" w:rsidP="00826C1D">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(20·53-41·18)</w:t>
            </w:r>
          </w:p>
        </w:tc>
        <w:tc>
          <w:tcPr>
            <w:tcW w:w="1518" w:type="dxa"/>
          </w:tcPr>
          <w:p w14:paraId="4E835D5F" w14:textId="77777777" w:rsidR="004A5E45" w:rsidRPr="00FB42C1" w:rsidRDefault="004A5E45" w:rsidP="00122826">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5·21(3·17-8·56</w:t>
            </w:r>
            <w:r>
              <w:rPr>
                <w:rFonts w:ascii="Arial" w:hAnsi="Arial" w:cs="Arial"/>
                <w:sz w:val="16"/>
                <w:szCs w:val="16"/>
              </w:rPr>
              <w:t>,</w:t>
            </w:r>
          </w:p>
          <w:p w14:paraId="20A1EBDE" w14:textId="77777777" w:rsidR="004A5E45" w:rsidRPr="00FB42C1" w:rsidRDefault="004A5E45" w:rsidP="004A5E45">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P&lt;0·001)</w:t>
            </w:r>
          </w:p>
        </w:tc>
      </w:tr>
      <w:tr w:rsidR="004A5E45" w:rsidRPr="00FB42C1" w14:paraId="5A3FCED1" w14:textId="77777777" w:rsidTr="00883A16">
        <w:trPr>
          <w:cnfStyle w:val="000000010000" w:firstRow="0" w:lastRow="0" w:firstColumn="0" w:lastColumn="0" w:oddVBand="0" w:evenVBand="0" w:oddHBand="0" w:evenHBand="1"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440" w:type="dxa"/>
          </w:tcPr>
          <w:p w14:paraId="4CE77047" w14:textId="77777777" w:rsidR="004A5E45" w:rsidRPr="00FB42C1" w:rsidRDefault="004A5E45" w:rsidP="00122826">
            <w:pPr>
              <w:pStyle w:val="ListParagraph"/>
              <w:spacing w:after="0" w:line="240" w:lineRule="auto"/>
              <w:ind w:left="0"/>
              <w:rPr>
                <w:rFonts w:ascii="Arial" w:hAnsi="Arial" w:cs="Arial"/>
                <w:sz w:val="16"/>
                <w:szCs w:val="16"/>
              </w:rPr>
            </w:pPr>
            <w:r w:rsidRPr="00FB42C1">
              <w:rPr>
                <w:rFonts w:ascii="Arial" w:hAnsi="Arial" w:cs="Arial"/>
                <w:sz w:val="16"/>
                <w:szCs w:val="16"/>
              </w:rPr>
              <w:t>Acute Kidney failure</w:t>
            </w:r>
          </w:p>
        </w:tc>
        <w:tc>
          <w:tcPr>
            <w:tcW w:w="966" w:type="dxa"/>
          </w:tcPr>
          <w:p w14:paraId="65CB3A38" w14:textId="77777777" w:rsidR="004A5E45" w:rsidRPr="00FB42C1" w:rsidRDefault="004A5E45" w:rsidP="00DD3D06">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151</w:t>
            </w:r>
          </w:p>
          <w:p w14:paraId="40855BCC" w14:textId="77777777" w:rsidR="004A5E45" w:rsidRPr="00FB42C1" w:rsidRDefault="004A5E45" w:rsidP="00DD3D06">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(3·27%)</w:t>
            </w:r>
          </w:p>
        </w:tc>
        <w:tc>
          <w:tcPr>
            <w:tcW w:w="993" w:type="dxa"/>
          </w:tcPr>
          <w:p w14:paraId="571F78B3" w14:textId="77777777" w:rsidR="004A5E45" w:rsidRPr="00FB42C1" w:rsidRDefault="004A5E45" w:rsidP="00DD3D06">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17·22 (11·57-24·20)</w:t>
            </w:r>
          </w:p>
        </w:tc>
        <w:tc>
          <w:tcPr>
            <w:tcW w:w="1134" w:type="dxa"/>
          </w:tcPr>
          <w:p w14:paraId="6D6651D4" w14:textId="77777777" w:rsidR="004A5E45" w:rsidRPr="00FB42C1" w:rsidRDefault="004A5E45" w:rsidP="00DD3D06">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25·00 (14·39-38·37)</w:t>
            </w:r>
          </w:p>
        </w:tc>
        <w:tc>
          <w:tcPr>
            <w:tcW w:w="1134" w:type="dxa"/>
          </w:tcPr>
          <w:p w14:paraId="095E13F3" w14:textId="77777777" w:rsidR="004A5E45" w:rsidRPr="00FB42C1" w:rsidRDefault="004A5E45" w:rsidP="00DD3D06">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31·37 (22·55-41·31)</w:t>
            </w:r>
          </w:p>
        </w:tc>
        <w:tc>
          <w:tcPr>
            <w:tcW w:w="1518" w:type="dxa"/>
          </w:tcPr>
          <w:p w14:paraId="79301456" w14:textId="77777777" w:rsidR="004A5E45" w:rsidRPr="00FB42C1" w:rsidRDefault="004A5E45" w:rsidP="00122826">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3·29(2·16-5·01</w:t>
            </w:r>
            <w:r>
              <w:rPr>
                <w:rFonts w:ascii="Arial" w:hAnsi="Arial" w:cs="Arial"/>
                <w:sz w:val="16"/>
                <w:szCs w:val="16"/>
              </w:rPr>
              <w:t>,</w:t>
            </w:r>
          </w:p>
          <w:p w14:paraId="448916E3" w14:textId="77777777" w:rsidR="004A5E45" w:rsidRPr="00FB42C1" w:rsidRDefault="004A5E45" w:rsidP="004A5E45">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P&lt;0·001)</w:t>
            </w:r>
          </w:p>
        </w:tc>
      </w:tr>
      <w:tr w:rsidR="004A5E45" w:rsidRPr="00FB42C1" w14:paraId="71B2BAF2" w14:textId="77777777" w:rsidTr="00883A16">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440" w:type="dxa"/>
          </w:tcPr>
          <w:p w14:paraId="5CEE0549" w14:textId="77777777" w:rsidR="004A5E45" w:rsidRPr="00FB42C1" w:rsidRDefault="004A5E45" w:rsidP="00122826">
            <w:pPr>
              <w:pStyle w:val="ListParagraph"/>
              <w:spacing w:after="0" w:line="240" w:lineRule="auto"/>
              <w:ind w:left="0"/>
              <w:rPr>
                <w:rFonts w:ascii="Arial" w:hAnsi="Arial" w:cs="Arial"/>
                <w:sz w:val="16"/>
                <w:szCs w:val="16"/>
              </w:rPr>
            </w:pPr>
            <w:r w:rsidRPr="00FB42C1">
              <w:rPr>
                <w:rFonts w:ascii="Arial" w:hAnsi="Arial" w:cs="Arial"/>
                <w:sz w:val="16"/>
                <w:szCs w:val="16"/>
              </w:rPr>
              <w:t>Pneumonia</w:t>
            </w:r>
          </w:p>
        </w:tc>
        <w:tc>
          <w:tcPr>
            <w:tcW w:w="966" w:type="dxa"/>
          </w:tcPr>
          <w:p w14:paraId="324DA7CC" w14:textId="77777777" w:rsidR="004A5E45" w:rsidRPr="00FB42C1" w:rsidRDefault="004A5E45" w:rsidP="00CE5E6F">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185</w:t>
            </w:r>
          </w:p>
          <w:p w14:paraId="682B14A0" w14:textId="77777777" w:rsidR="004A5E45" w:rsidRPr="00FB42C1" w:rsidRDefault="004A5E45" w:rsidP="00CE5E6F">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(4·01%)</w:t>
            </w:r>
          </w:p>
        </w:tc>
        <w:tc>
          <w:tcPr>
            <w:tcW w:w="993" w:type="dxa"/>
          </w:tcPr>
          <w:p w14:paraId="57C31DF5" w14:textId="77777777" w:rsidR="004A5E45" w:rsidRPr="00FB42C1" w:rsidRDefault="004A5E45" w:rsidP="00CE5E6F">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14·05 (9·39-19·91)</w:t>
            </w:r>
          </w:p>
        </w:tc>
        <w:tc>
          <w:tcPr>
            <w:tcW w:w="1134" w:type="dxa"/>
          </w:tcPr>
          <w:p w14:paraId="7361260E" w14:textId="77777777" w:rsidR="004A5E45" w:rsidRPr="00FB42C1" w:rsidRDefault="004A5E45" w:rsidP="00CE5E6F">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32·89 (22·58-44·63)</w:t>
            </w:r>
          </w:p>
        </w:tc>
        <w:tc>
          <w:tcPr>
            <w:tcW w:w="1134" w:type="dxa"/>
          </w:tcPr>
          <w:p w14:paraId="70FDD00F" w14:textId="77777777" w:rsidR="004A5E45" w:rsidRPr="00FB42C1" w:rsidRDefault="004A5E45" w:rsidP="00CE5E6F">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26·09 (17·48-36·29)</w:t>
            </w:r>
          </w:p>
        </w:tc>
        <w:tc>
          <w:tcPr>
            <w:tcW w:w="1518" w:type="dxa"/>
          </w:tcPr>
          <w:p w14:paraId="5423BBB8" w14:textId="77777777" w:rsidR="004A5E45" w:rsidRPr="00FB42C1" w:rsidRDefault="004A5E45" w:rsidP="00122826">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1·76(1·15-2·68</w:t>
            </w:r>
            <w:r>
              <w:rPr>
                <w:rFonts w:ascii="Arial" w:hAnsi="Arial" w:cs="Arial"/>
                <w:sz w:val="16"/>
                <w:szCs w:val="16"/>
              </w:rPr>
              <w:t>,</w:t>
            </w:r>
          </w:p>
          <w:p w14:paraId="79E56DD0" w14:textId="77777777" w:rsidR="004A5E45" w:rsidRPr="00FB42C1" w:rsidRDefault="004A5E45" w:rsidP="004A5E45">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w:t>
            </w:r>
            <w:r>
              <w:rPr>
                <w:rFonts w:ascii="Arial" w:hAnsi="Arial" w:cs="Arial"/>
                <w:sz w:val="16"/>
                <w:szCs w:val="16"/>
              </w:rPr>
              <w:t>P=</w:t>
            </w:r>
            <w:r w:rsidRPr="00FB42C1">
              <w:rPr>
                <w:rFonts w:ascii="Arial" w:hAnsi="Arial" w:cs="Arial"/>
                <w:sz w:val="16"/>
                <w:szCs w:val="16"/>
              </w:rPr>
              <w:t>0·009)</w:t>
            </w:r>
          </w:p>
        </w:tc>
      </w:tr>
      <w:tr w:rsidR="004A5E45" w:rsidRPr="00FB42C1" w14:paraId="6F56730C" w14:textId="77777777" w:rsidTr="00883A16">
        <w:trPr>
          <w:cnfStyle w:val="000000010000" w:firstRow="0" w:lastRow="0" w:firstColumn="0" w:lastColumn="0" w:oddVBand="0" w:evenVBand="0" w:oddHBand="0" w:evenHBand="1"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440" w:type="dxa"/>
          </w:tcPr>
          <w:p w14:paraId="70BAD5D0" w14:textId="77777777" w:rsidR="004A5E45" w:rsidRPr="00FB42C1" w:rsidRDefault="004A5E45" w:rsidP="00122826">
            <w:pPr>
              <w:pStyle w:val="ListParagraph"/>
              <w:spacing w:after="0" w:line="240" w:lineRule="auto"/>
              <w:ind w:left="0"/>
              <w:rPr>
                <w:rFonts w:ascii="Arial" w:hAnsi="Arial" w:cs="Arial"/>
                <w:sz w:val="16"/>
                <w:szCs w:val="16"/>
              </w:rPr>
            </w:pPr>
            <w:r w:rsidRPr="00FB42C1">
              <w:rPr>
                <w:rFonts w:ascii="Arial" w:hAnsi="Arial" w:cs="Arial"/>
                <w:sz w:val="16"/>
                <w:szCs w:val="16"/>
              </w:rPr>
              <w:t>Hypotension</w:t>
            </w:r>
          </w:p>
        </w:tc>
        <w:tc>
          <w:tcPr>
            <w:tcW w:w="966" w:type="dxa"/>
          </w:tcPr>
          <w:p w14:paraId="4AA98F2A" w14:textId="77777777" w:rsidR="004A5E45" w:rsidRPr="00FB42C1" w:rsidRDefault="004A5E45" w:rsidP="00122826">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228</w:t>
            </w:r>
          </w:p>
          <w:p w14:paraId="65E608CF" w14:textId="77777777" w:rsidR="004A5E45" w:rsidRPr="00FB42C1" w:rsidRDefault="004A5E45" w:rsidP="00DD3D06">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(4·94%)</w:t>
            </w:r>
          </w:p>
        </w:tc>
        <w:tc>
          <w:tcPr>
            <w:tcW w:w="993" w:type="dxa"/>
          </w:tcPr>
          <w:p w14:paraId="44ECE323" w14:textId="77777777" w:rsidR="004A5E45" w:rsidRPr="00FB42C1" w:rsidRDefault="004A5E45" w:rsidP="00DD3D06">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10·09 (6·50-14·75)</w:t>
            </w:r>
          </w:p>
        </w:tc>
        <w:tc>
          <w:tcPr>
            <w:tcW w:w="1134" w:type="dxa"/>
          </w:tcPr>
          <w:p w14:paraId="4ED28BCF" w14:textId="77777777" w:rsidR="004A5E45" w:rsidRPr="00FB42C1" w:rsidRDefault="004A5E45" w:rsidP="00DD3D06">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14·78 (8·85-22·61)</w:t>
            </w:r>
          </w:p>
        </w:tc>
        <w:tc>
          <w:tcPr>
            <w:tcW w:w="1134" w:type="dxa"/>
          </w:tcPr>
          <w:p w14:paraId="7E4A52B8" w14:textId="77777777" w:rsidR="004A5E45" w:rsidRPr="00FB42C1" w:rsidRDefault="004A5E45" w:rsidP="00DD3D06">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27·71 (18·45-38·62)</w:t>
            </w:r>
          </w:p>
        </w:tc>
        <w:tc>
          <w:tcPr>
            <w:tcW w:w="1518" w:type="dxa"/>
          </w:tcPr>
          <w:p w14:paraId="04546AD6" w14:textId="77777777" w:rsidR="004A5E45" w:rsidRPr="00FB42C1" w:rsidRDefault="004A5E45" w:rsidP="00122826">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4·19(2·54- 6·92</w:t>
            </w:r>
            <w:r>
              <w:rPr>
                <w:rFonts w:ascii="Arial" w:hAnsi="Arial" w:cs="Arial"/>
                <w:sz w:val="16"/>
                <w:szCs w:val="16"/>
              </w:rPr>
              <w:t>,</w:t>
            </w:r>
          </w:p>
          <w:p w14:paraId="35934F50" w14:textId="77777777" w:rsidR="004A5E45" w:rsidRPr="00FB42C1" w:rsidRDefault="004A5E45" w:rsidP="004A5E45">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 xml:space="preserve"> P&lt;0·001)</w:t>
            </w:r>
          </w:p>
        </w:tc>
      </w:tr>
      <w:tr w:rsidR="004A5E45" w:rsidRPr="00FB42C1" w14:paraId="56885E84" w14:textId="77777777" w:rsidTr="00883A16">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440" w:type="dxa"/>
          </w:tcPr>
          <w:p w14:paraId="62887C08" w14:textId="77777777" w:rsidR="004A5E45" w:rsidRPr="00FB42C1" w:rsidRDefault="004A5E45" w:rsidP="00122826">
            <w:pPr>
              <w:pStyle w:val="ListParagraph"/>
              <w:spacing w:after="0" w:line="240" w:lineRule="auto"/>
              <w:ind w:left="0"/>
              <w:rPr>
                <w:rFonts w:ascii="Arial" w:hAnsi="Arial" w:cs="Arial"/>
                <w:sz w:val="16"/>
                <w:szCs w:val="16"/>
              </w:rPr>
            </w:pPr>
            <w:r w:rsidRPr="00FB42C1">
              <w:rPr>
                <w:rFonts w:ascii="Arial" w:hAnsi="Arial" w:cs="Arial"/>
                <w:sz w:val="16"/>
                <w:szCs w:val="16"/>
              </w:rPr>
              <w:t>Pulmonary edema</w:t>
            </w:r>
          </w:p>
        </w:tc>
        <w:tc>
          <w:tcPr>
            <w:tcW w:w="966" w:type="dxa"/>
          </w:tcPr>
          <w:p w14:paraId="290B35AB" w14:textId="77777777" w:rsidR="004A5E45" w:rsidRPr="00FB42C1" w:rsidRDefault="004A5E45" w:rsidP="00122826">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51 (1·10%)</w:t>
            </w:r>
          </w:p>
        </w:tc>
        <w:tc>
          <w:tcPr>
            <w:tcW w:w="993" w:type="dxa"/>
          </w:tcPr>
          <w:p w14:paraId="2E16B724" w14:textId="77777777" w:rsidR="004A5E45" w:rsidRPr="00FB42C1" w:rsidRDefault="004A5E45" w:rsidP="00122826">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17·65 (8·40-30·87)</w:t>
            </w:r>
          </w:p>
        </w:tc>
        <w:tc>
          <w:tcPr>
            <w:tcW w:w="1134" w:type="dxa"/>
          </w:tcPr>
          <w:p w14:paraId="387CA7A3" w14:textId="77777777" w:rsidR="004A5E45" w:rsidRPr="00FB42C1" w:rsidRDefault="004A5E45" w:rsidP="00122826">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15·38 (1·92-45·45)</w:t>
            </w:r>
          </w:p>
        </w:tc>
        <w:tc>
          <w:tcPr>
            <w:tcW w:w="1134" w:type="dxa"/>
          </w:tcPr>
          <w:p w14:paraId="2137DD9A" w14:textId="77777777" w:rsidR="004A5E45" w:rsidRPr="00FB42C1" w:rsidRDefault="004A5E45" w:rsidP="00122826">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23·26 (11·76-38·63)</w:t>
            </w:r>
          </w:p>
        </w:tc>
        <w:tc>
          <w:tcPr>
            <w:tcW w:w="1518" w:type="dxa"/>
          </w:tcPr>
          <w:p w14:paraId="773D1810" w14:textId="77777777" w:rsidR="004A5E45" w:rsidRPr="00FB42C1" w:rsidRDefault="004A5E45" w:rsidP="00122826">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4·20(1·99-8·87</w:t>
            </w:r>
            <w:r>
              <w:rPr>
                <w:rFonts w:ascii="Arial" w:hAnsi="Arial" w:cs="Arial"/>
                <w:sz w:val="16"/>
                <w:szCs w:val="16"/>
              </w:rPr>
              <w:t>,</w:t>
            </w:r>
            <w:r w:rsidRPr="00FB42C1">
              <w:rPr>
                <w:rFonts w:ascii="Arial" w:hAnsi="Arial" w:cs="Arial"/>
                <w:sz w:val="16"/>
                <w:szCs w:val="16"/>
              </w:rPr>
              <w:t xml:space="preserve"> </w:t>
            </w:r>
          </w:p>
          <w:p w14:paraId="7DD103B6" w14:textId="77777777" w:rsidR="004A5E45" w:rsidRPr="00FB42C1" w:rsidRDefault="004A5E45" w:rsidP="004A5E45">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P&lt;0·001)</w:t>
            </w:r>
          </w:p>
        </w:tc>
      </w:tr>
      <w:tr w:rsidR="004A5E45" w:rsidRPr="00FB42C1" w14:paraId="18F06E6D" w14:textId="77777777" w:rsidTr="00883A16">
        <w:trPr>
          <w:cnfStyle w:val="000000010000" w:firstRow="0" w:lastRow="0" w:firstColumn="0" w:lastColumn="0" w:oddVBand="0" w:evenVBand="0" w:oddHBand="0" w:evenHBand="1"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1440" w:type="dxa"/>
          </w:tcPr>
          <w:p w14:paraId="489EE277" w14:textId="77777777" w:rsidR="004A5E45" w:rsidRPr="00FB42C1" w:rsidRDefault="004A5E45" w:rsidP="00122826">
            <w:pPr>
              <w:pStyle w:val="ListParagraph"/>
              <w:spacing w:after="0" w:line="240" w:lineRule="auto"/>
              <w:ind w:left="0"/>
              <w:rPr>
                <w:rFonts w:ascii="Arial" w:hAnsi="Arial" w:cs="Arial"/>
                <w:sz w:val="16"/>
                <w:szCs w:val="16"/>
              </w:rPr>
            </w:pPr>
            <w:r w:rsidRPr="00FB42C1">
              <w:rPr>
                <w:rFonts w:ascii="Arial" w:hAnsi="Arial" w:cs="Arial"/>
                <w:sz w:val="16"/>
                <w:szCs w:val="16"/>
              </w:rPr>
              <w:t>Intravascular coagulation</w:t>
            </w:r>
          </w:p>
        </w:tc>
        <w:tc>
          <w:tcPr>
            <w:tcW w:w="966" w:type="dxa"/>
          </w:tcPr>
          <w:p w14:paraId="1262DA62" w14:textId="77777777" w:rsidR="004A5E45" w:rsidRPr="00FB42C1" w:rsidRDefault="004A5E45" w:rsidP="0082068B">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63 (1·36%)</w:t>
            </w:r>
          </w:p>
        </w:tc>
        <w:tc>
          <w:tcPr>
            <w:tcW w:w="993" w:type="dxa"/>
          </w:tcPr>
          <w:p w14:paraId="75608B55" w14:textId="77777777" w:rsidR="004A5E45" w:rsidRPr="00FB42C1" w:rsidRDefault="004A5E45" w:rsidP="00122826">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15·87 (7·88-27·26)</w:t>
            </w:r>
          </w:p>
        </w:tc>
        <w:tc>
          <w:tcPr>
            <w:tcW w:w="1134" w:type="dxa"/>
          </w:tcPr>
          <w:p w14:paraId="13CE42C1" w14:textId="77777777" w:rsidR="004A5E45" w:rsidRPr="00FB42C1" w:rsidRDefault="004A5E45" w:rsidP="00122826">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0</w:t>
            </w:r>
          </w:p>
        </w:tc>
        <w:tc>
          <w:tcPr>
            <w:tcW w:w="1134" w:type="dxa"/>
          </w:tcPr>
          <w:p w14:paraId="6AE397CA" w14:textId="77777777" w:rsidR="004A5E45" w:rsidRPr="00FB42C1" w:rsidRDefault="004A5E45" w:rsidP="00122826">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20·69 (11·17-33·35)</w:t>
            </w:r>
          </w:p>
        </w:tc>
        <w:tc>
          <w:tcPr>
            <w:tcW w:w="1518" w:type="dxa"/>
          </w:tcPr>
          <w:p w14:paraId="38430AA2" w14:textId="77777777" w:rsidR="004A5E45" w:rsidRPr="00FB42C1" w:rsidRDefault="004A5E45" w:rsidP="00122826">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5·43(2·75-10·72</w:t>
            </w:r>
            <w:r>
              <w:rPr>
                <w:rFonts w:ascii="Arial" w:hAnsi="Arial" w:cs="Arial"/>
                <w:sz w:val="16"/>
                <w:szCs w:val="16"/>
              </w:rPr>
              <w:t>,</w:t>
            </w:r>
          </w:p>
          <w:p w14:paraId="7EFBB234" w14:textId="77777777" w:rsidR="004A5E45" w:rsidRPr="00FB42C1" w:rsidRDefault="004A5E45" w:rsidP="004A5E45">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P&lt;0·001)</w:t>
            </w:r>
          </w:p>
        </w:tc>
      </w:tr>
      <w:tr w:rsidR="004A5E45" w:rsidRPr="00FB42C1" w14:paraId="269B813E" w14:textId="77777777" w:rsidTr="00883A16">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440" w:type="dxa"/>
          </w:tcPr>
          <w:p w14:paraId="5AC9170D" w14:textId="77777777" w:rsidR="004A5E45" w:rsidRPr="00FB42C1" w:rsidRDefault="004A5E45" w:rsidP="00122826">
            <w:pPr>
              <w:pStyle w:val="ListParagraph"/>
              <w:spacing w:after="0" w:line="240" w:lineRule="auto"/>
              <w:ind w:left="0"/>
              <w:rPr>
                <w:rFonts w:ascii="Arial" w:hAnsi="Arial" w:cs="Arial"/>
                <w:sz w:val="16"/>
                <w:szCs w:val="16"/>
              </w:rPr>
            </w:pPr>
            <w:r w:rsidRPr="00FB42C1">
              <w:rPr>
                <w:rFonts w:ascii="Arial" w:hAnsi="Arial" w:cs="Arial"/>
                <w:sz w:val="16"/>
                <w:szCs w:val="16"/>
              </w:rPr>
              <w:t>Seizures</w:t>
            </w:r>
          </w:p>
        </w:tc>
        <w:tc>
          <w:tcPr>
            <w:tcW w:w="966" w:type="dxa"/>
          </w:tcPr>
          <w:p w14:paraId="6F862430" w14:textId="77777777" w:rsidR="004A5E45" w:rsidRPr="00FB42C1" w:rsidRDefault="004A5E45" w:rsidP="0082068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83</w:t>
            </w:r>
          </w:p>
          <w:p w14:paraId="082736CF" w14:textId="77777777" w:rsidR="004A5E45" w:rsidRPr="00FB42C1" w:rsidRDefault="004A5E45" w:rsidP="0082068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(1·80%)</w:t>
            </w:r>
          </w:p>
        </w:tc>
        <w:tc>
          <w:tcPr>
            <w:tcW w:w="993" w:type="dxa"/>
          </w:tcPr>
          <w:p w14:paraId="636E4FEE" w14:textId="77777777" w:rsidR="004A5E45" w:rsidRPr="00FB42C1" w:rsidRDefault="004A5E45" w:rsidP="0082068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7·23</w:t>
            </w:r>
          </w:p>
          <w:p w14:paraId="19FD4829" w14:textId="77777777" w:rsidR="004A5E45" w:rsidRPr="00FB42C1" w:rsidRDefault="004A5E45" w:rsidP="0082068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(2·70-15·07)</w:t>
            </w:r>
          </w:p>
        </w:tc>
        <w:tc>
          <w:tcPr>
            <w:tcW w:w="1134" w:type="dxa"/>
          </w:tcPr>
          <w:p w14:paraId="24C6198C" w14:textId="77777777" w:rsidR="004A5E45" w:rsidRPr="00FB42C1" w:rsidRDefault="004A5E45" w:rsidP="00DA5F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5·77 (1·21-15·95)</w:t>
            </w:r>
          </w:p>
        </w:tc>
        <w:tc>
          <w:tcPr>
            <w:tcW w:w="1134" w:type="dxa"/>
          </w:tcPr>
          <w:p w14:paraId="5ECEE2BA" w14:textId="77777777" w:rsidR="004A5E45" w:rsidRPr="00FB42C1" w:rsidRDefault="004A5E45" w:rsidP="00122826">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16·13 (5·45-33·73)</w:t>
            </w:r>
          </w:p>
        </w:tc>
        <w:tc>
          <w:tcPr>
            <w:tcW w:w="1518" w:type="dxa"/>
          </w:tcPr>
          <w:p w14:paraId="41DCF5BA" w14:textId="77777777" w:rsidR="004A5E45" w:rsidRPr="00FB42C1" w:rsidRDefault="004A5E45" w:rsidP="00122826">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2·12(0·97-4·63</w:t>
            </w:r>
            <w:r>
              <w:rPr>
                <w:rFonts w:ascii="Arial" w:hAnsi="Arial" w:cs="Arial"/>
                <w:sz w:val="16"/>
                <w:szCs w:val="16"/>
              </w:rPr>
              <w:t>,</w:t>
            </w:r>
            <w:r w:rsidRPr="00FB42C1">
              <w:rPr>
                <w:rFonts w:ascii="Arial" w:hAnsi="Arial" w:cs="Arial"/>
                <w:sz w:val="16"/>
                <w:szCs w:val="16"/>
              </w:rPr>
              <w:t xml:space="preserve"> </w:t>
            </w:r>
          </w:p>
          <w:p w14:paraId="54CBB996" w14:textId="77777777" w:rsidR="004A5E45" w:rsidRPr="00FB42C1" w:rsidRDefault="004A5E45" w:rsidP="004A5E45">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B42C1">
              <w:rPr>
                <w:rFonts w:ascii="Arial" w:hAnsi="Arial" w:cs="Arial"/>
                <w:sz w:val="16"/>
                <w:szCs w:val="16"/>
              </w:rPr>
              <w:t>P</w:t>
            </w:r>
            <w:r>
              <w:rPr>
                <w:rFonts w:ascii="Arial" w:hAnsi="Arial" w:cs="Arial"/>
                <w:sz w:val="16"/>
                <w:szCs w:val="16"/>
              </w:rPr>
              <w:t>=</w:t>
            </w:r>
            <w:r w:rsidRPr="00FB42C1">
              <w:rPr>
                <w:rFonts w:ascii="Arial" w:hAnsi="Arial" w:cs="Arial"/>
                <w:sz w:val="16"/>
                <w:szCs w:val="16"/>
              </w:rPr>
              <w:t>0·060)</w:t>
            </w:r>
          </w:p>
        </w:tc>
      </w:tr>
      <w:tr w:rsidR="004A5E45" w:rsidRPr="00FB42C1" w14:paraId="20F6B8B0" w14:textId="77777777" w:rsidTr="00883A16">
        <w:trPr>
          <w:cnfStyle w:val="000000010000" w:firstRow="0" w:lastRow="0" w:firstColumn="0" w:lastColumn="0" w:oddVBand="0" w:evenVBand="0" w:oddHBand="0" w:evenHBand="1"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440" w:type="dxa"/>
          </w:tcPr>
          <w:p w14:paraId="36B9E185" w14:textId="77777777" w:rsidR="004A5E45" w:rsidRPr="00FB42C1" w:rsidRDefault="004A5E45" w:rsidP="00122826">
            <w:pPr>
              <w:pStyle w:val="ListParagraph"/>
              <w:spacing w:after="0" w:line="240" w:lineRule="auto"/>
              <w:ind w:left="0"/>
              <w:rPr>
                <w:rFonts w:ascii="Arial" w:hAnsi="Arial" w:cs="Arial"/>
                <w:sz w:val="16"/>
                <w:szCs w:val="16"/>
              </w:rPr>
            </w:pPr>
            <w:r w:rsidRPr="00FB42C1">
              <w:rPr>
                <w:rFonts w:ascii="Arial" w:hAnsi="Arial" w:cs="Arial"/>
                <w:sz w:val="16"/>
                <w:szCs w:val="16"/>
              </w:rPr>
              <w:t>Cardiac arrest</w:t>
            </w:r>
          </w:p>
        </w:tc>
        <w:tc>
          <w:tcPr>
            <w:tcW w:w="966" w:type="dxa"/>
          </w:tcPr>
          <w:p w14:paraId="140D756C" w14:textId="77777777" w:rsidR="004A5E45" w:rsidRPr="00FB42C1" w:rsidRDefault="004A5E45" w:rsidP="00620632">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51(1·10%)</w:t>
            </w:r>
          </w:p>
        </w:tc>
        <w:tc>
          <w:tcPr>
            <w:tcW w:w="993" w:type="dxa"/>
          </w:tcPr>
          <w:p w14:paraId="635E7C5C" w14:textId="77777777" w:rsidR="004A5E45" w:rsidRPr="00FB42C1" w:rsidRDefault="004A5E45" w:rsidP="00620632">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43·14(29·35-57·75)</w:t>
            </w:r>
          </w:p>
        </w:tc>
        <w:tc>
          <w:tcPr>
            <w:tcW w:w="1134" w:type="dxa"/>
          </w:tcPr>
          <w:p w14:paraId="3AD5C43E" w14:textId="77777777" w:rsidR="004A5E45" w:rsidRPr="00FB42C1" w:rsidRDefault="004A5E45" w:rsidP="00620632">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58·33 (27·67-84·83)</w:t>
            </w:r>
          </w:p>
        </w:tc>
        <w:tc>
          <w:tcPr>
            <w:tcW w:w="1134" w:type="dxa"/>
          </w:tcPr>
          <w:p w14:paraId="35D64ACD" w14:textId="77777777" w:rsidR="004A5E45" w:rsidRPr="00FB42C1" w:rsidRDefault="004A5E45" w:rsidP="00620632">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50·00 (34·19-65·81)</w:t>
            </w:r>
          </w:p>
        </w:tc>
        <w:tc>
          <w:tcPr>
            <w:tcW w:w="1518" w:type="dxa"/>
          </w:tcPr>
          <w:p w14:paraId="790070DD" w14:textId="77777777" w:rsidR="004A5E45" w:rsidRPr="00FB42C1" w:rsidRDefault="004A5E45" w:rsidP="004A5E45">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FB42C1">
              <w:rPr>
                <w:rFonts w:ascii="Arial" w:hAnsi="Arial" w:cs="Arial"/>
                <w:sz w:val="16"/>
                <w:szCs w:val="16"/>
              </w:rPr>
              <w:t>17·71(9·54-32·87</w:t>
            </w:r>
            <w:r>
              <w:rPr>
                <w:rFonts w:ascii="Arial" w:hAnsi="Arial" w:cs="Arial"/>
                <w:sz w:val="16"/>
                <w:szCs w:val="16"/>
              </w:rPr>
              <w:t>,</w:t>
            </w:r>
            <w:r w:rsidRPr="00FB42C1">
              <w:rPr>
                <w:rFonts w:ascii="Arial" w:hAnsi="Arial" w:cs="Arial"/>
                <w:sz w:val="16"/>
                <w:szCs w:val="16"/>
              </w:rPr>
              <w:t xml:space="preserve"> P&lt;0·001)</w:t>
            </w:r>
          </w:p>
        </w:tc>
      </w:tr>
    </w:tbl>
    <w:p w14:paraId="3417E8B8" w14:textId="77777777" w:rsidR="00A14BD2" w:rsidRPr="00FB42C1" w:rsidRDefault="00A14BD2" w:rsidP="00A14BD2">
      <w:pPr>
        <w:pStyle w:val="Caption"/>
        <w:rPr>
          <w:rFonts w:cs="Arial"/>
          <w:color w:val="auto"/>
          <w:sz w:val="16"/>
          <w:szCs w:val="16"/>
        </w:rPr>
      </w:pPr>
    </w:p>
    <w:p w14:paraId="144797D7" w14:textId="77777777" w:rsidR="00A14BD2" w:rsidRPr="00FB42C1" w:rsidRDefault="00A14BD2" w:rsidP="00A14BD2">
      <w:pPr>
        <w:rPr>
          <w:rFonts w:cs="Arial"/>
          <w:sz w:val="16"/>
          <w:szCs w:val="16"/>
        </w:rPr>
      </w:pPr>
    </w:p>
    <w:p w14:paraId="1998C10A" w14:textId="77777777" w:rsidR="00A14BD2" w:rsidRPr="00FB42C1" w:rsidRDefault="00A14BD2" w:rsidP="00A14BD2">
      <w:pPr>
        <w:rPr>
          <w:rFonts w:cs="Arial"/>
          <w:sz w:val="16"/>
          <w:szCs w:val="16"/>
        </w:rPr>
      </w:pPr>
    </w:p>
    <w:p w14:paraId="14325D60" w14:textId="77777777" w:rsidR="00A14BD2" w:rsidRPr="00FB42C1" w:rsidRDefault="00A14BD2" w:rsidP="00A14BD2">
      <w:pPr>
        <w:rPr>
          <w:rFonts w:cs="Arial"/>
          <w:sz w:val="16"/>
          <w:szCs w:val="16"/>
        </w:rPr>
      </w:pPr>
    </w:p>
    <w:p w14:paraId="6B34DCF3" w14:textId="77777777" w:rsidR="00A14BD2" w:rsidRPr="00FB42C1" w:rsidRDefault="00A14BD2" w:rsidP="00A14BD2">
      <w:pPr>
        <w:rPr>
          <w:rFonts w:cs="Arial"/>
          <w:sz w:val="16"/>
          <w:szCs w:val="16"/>
        </w:rPr>
      </w:pPr>
    </w:p>
    <w:p w14:paraId="660D5581" w14:textId="77777777" w:rsidR="00EB0D21" w:rsidRDefault="00EB0D21" w:rsidP="007C53C3">
      <w:pPr>
        <w:spacing w:after="200" w:line="276" w:lineRule="auto"/>
      </w:pPr>
    </w:p>
    <w:p w14:paraId="28962030" w14:textId="77777777" w:rsidR="00FD1381" w:rsidRDefault="00FD1381" w:rsidP="007C53C3">
      <w:pPr>
        <w:spacing w:after="200" w:line="276" w:lineRule="auto"/>
      </w:pPr>
    </w:p>
    <w:p w14:paraId="225DA19D" w14:textId="77777777" w:rsidR="00FD1381" w:rsidRDefault="00FD1381" w:rsidP="007C53C3">
      <w:pPr>
        <w:spacing w:after="200" w:line="276" w:lineRule="auto"/>
      </w:pPr>
    </w:p>
    <w:p w14:paraId="7D0DC525" w14:textId="77777777" w:rsidR="00FD1381" w:rsidRDefault="00FD1381" w:rsidP="007C53C3">
      <w:pPr>
        <w:spacing w:after="200" w:line="276" w:lineRule="auto"/>
      </w:pPr>
    </w:p>
    <w:p w14:paraId="145116BA" w14:textId="77777777" w:rsidR="00FD1381" w:rsidRDefault="00FD1381" w:rsidP="007C53C3">
      <w:pPr>
        <w:spacing w:after="200" w:line="276" w:lineRule="auto"/>
      </w:pPr>
    </w:p>
    <w:p w14:paraId="05E1A1D5" w14:textId="77777777" w:rsidR="00FD1381" w:rsidRDefault="00FD1381" w:rsidP="007C53C3">
      <w:pPr>
        <w:spacing w:after="200" w:line="276" w:lineRule="auto"/>
      </w:pPr>
    </w:p>
    <w:p w14:paraId="3C0A2E10" w14:textId="77777777" w:rsidR="00FD1381" w:rsidRDefault="00FD1381" w:rsidP="007C53C3">
      <w:pPr>
        <w:spacing w:after="200" w:line="276" w:lineRule="auto"/>
      </w:pPr>
    </w:p>
    <w:p w14:paraId="6D95F2CD" w14:textId="77777777" w:rsidR="00FD1381" w:rsidRDefault="00FD1381" w:rsidP="007C53C3">
      <w:pPr>
        <w:spacing w:after="200" w:line="276" w:lineRule="auto"/>
      </w:pPr>
    </w:p>
    <w:p w14:paraId="2C909E41" w14:textId="77777777" w:rsidR="00FD1381" w:rsidRDefault="00FD1381" w:rsidP="007C53C3">
      <w:pPr>
        <w:spacing w:after="200" w:line="276" w:lineRule="auto"/>
      </w:pPr>
    </w:p>
    <w:p w14:paraId="43140026" w14:textId="77777777" w:rsidR="00FD1381" w:rsidRDefault="00FD1381" w:rsidP="007C53C3">
      <w:pPr>
        <w:spacing w:after="200" w:line="276" w:lineRule="auto"/>
      </w:pPr>
    </w:p>
    <w:p w14:paraId="71569827" w14:textId="77777777" w:rsidR="00FD1381" w:rsidRDefault="00FD1381" w:rsidP="00FD1381">
      <w:pPr>
        <w:rPr>
          <w:rFonts w:cs="Arial"/>
          <w:sz w:val="20"/>
        </w:rPr>
      </w:pPr>
    </w:p>
    <w:p w14:paraId="22181505" w14:textId="77777777" w:rsidR="00FD1381" w:rsidRPr="00FD1381" w:rsidRDefault="00FD1381" w:rsidP="00FD1381">
      <w:pPr>
        <w:rPr>
          <w:rFonts w:cs="Arial"/>
          <w:b/>
          <w:sz w:val="20"/>
        </w:rPr>
      </w:pPr>
      <w:r w:rsidRPr="00FD1381">
        <w:rPr>
          <w:rFonts w:cs="Arial"/>
          <w:b/>
          <w:sz w:val="20"/>
        </w:rPr>
        <w:t>Appendix 1</w:t>
      </w:r>
    </w:p>
    <w:p w14:paraId="10EB163E" w14:textId="77777777" w:rsidR="00FD1381" w:rsidRPr="000524AF" w:rsidRDefault="00FD1381" w:rsidP="00FD1381">
      <w:pPr>
        <w:rPr>
          <w:rFonts w:cs="Arial"/>
          <w:sz w:val="20"/>
        </w:rPr>
      </w:pPr>
      <w:r w:rsidRPr="00353C9D">
        <w:rPr>
          <w:rFonts w:cs="Arial"/>
          <w:sz w:val="20"/>
        </w:rPr>
        <w:t>T</w:t>
      </w:r>
      <w:r w:rsidRPr="000524AF">
        <w:rPr>
          <w:rFonts w:cs="Arial"/>
          <w:sz w:val="20"/>
        </w:rPr>
        <w:t>he following ICD-10 codes were considered as presentation with meningitis: A390, G0*, A87; septicaemia: A391, A392, A393, A394, A41, A40, P36, other presentation A398, A399, A395</w:t>
      </w:r>
      <w:r>
        <w:rPr>
          <w:rFonts w:cs="Arial"/>
          <w:sz w:val="20"/>
        </w:rPr>
        <w:t xml:space="preserve">. </w:t>
      </w:r>
      <w:r w:rsidRPr="000524AF">
        <w:rPr>
          <w:rFonts w:cs="Arial"/>
          <w:sz w:val="20"/>
        </w:rPr>
        <w:t>Cases were analysed in the following categories; presentation with meningitis only (positive for any meningitis code but negative for any septicaemia code), septicaemia only (positive for any septicaemia code but negative for any meningitis code), concurrent meningitis and septicaemia, other presentations</w:t>
      </w:r>
      <w:r>
        <w:rPr>
          <w:rFonts w:cs="Arial"/>
          <w:sz w:val="20"/>
        </w:rPr>
        <w:t xml:space="preserve"> (including those with no codes for meningitis or septicaemia)</w:t>
      </w:r>
      <w:r w:rsidRPr="000524AF">
        <w:rPr>
          <w:rFonts w:cs="Arial"/>
          <w:sz w:val="20"/>
        </w:rPr>
        <w:t xml:space="preserve">. </w:t>
      </w:r>
    </w:p>
    <w:p w14:paraId="25C10F8F" w14:textId="77777777" w:rsidR="00FD1381" w:rsidRPr="00FB42C1" w:rsidRDefault="00FD1381" w:rsidP="00FD1381">
      <w:pPr>
        <w:pStyle w:val="Heading3"/>
        <w:rPr>
          <w:b w:val="0"/>
          <w:i w:val="0"/>
          <w:sz w:val="20"/>
          <w:szCs w:val="16"/>
        </w:rPr>
      </w:pPr>
    </w:p>
    <w:p w14:paraId="7A7E9BEA" w14:textId="77777777" w:rsidR="00FD1381" w:rsidRPr="00EB0D21" w:rsidRDefault="00FD1381" w:rsidP="007C53C3">
      <w:pPr>
        <w:spacing w:after="200" w:line="276" w:lineRule="auto"/>
      </w:pPr>
    </w:p>
    <w:sectPr w:rsidR="00FD1381" w:rsidRPr="00EB0D21" w:rsidSect="007976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10258" w14:textId="77777777" w:rsidR="00B36E5A" w:rsidRDefault="00B36E5A" w:rsidP="00334C86">
      <w:pPr>
        <w:spacing w:after="0" w:line="240" w:lineRule="auto"/>
      </w:pPr>
      <w:r>
        <w:separator/>
      </w:r>
    </w:p>
  </w:endnote>
  <w:endnote w:type="continuationSeparator" w:id="0">
    <w:p w14:paraId="12EFFCCE" w14:textId="77777777" w:rsidR="00B36E5A" w:rsidRDefault="00B36E5A" w:rsidP="0033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965976"/>
      <w:docPartObj>
        <w:docPartGallery w:val="Page Numbers (Bottom of Page)"/>
        <w:docPartUnique/>
      </w:docPartObj>
    </w:sdtPr>
    <w:sdtEndPr>
      <w:rPr>
        <w:noProof/>
      </w:rPr>
    </w:sdtEndPr>
    <w:sdtContent>
      <w:p w14:paraId="03143D97" w14:textId="77777777" w:rsidR="00B36E5A" w:rsidRDefault="00B36E5A">
        <w:pPr>
          <w:pStyle w:val="Footer"/>
          <w:jc w:val="center"/>
        </w:pPr>
        <w:r>
          <w:fldChar w:fldCharType="begin"/>
        </w:r>
        <w:r w:rsidRPr="003211A5">
          <w:instrText xml:space="preserve"> PAGE   \* MERGEFORMAT </w:instrText>
        </w:r>
        <w:r>
          <w:fldChar w:fldCharType="separate"/>
        </w:r>
        <w:r w:rsidR="00631B77">
          <w:rPr>
            <w:noProof/>
          </w:rPr>
          <w:t>1</w:t>
        </w:r>
        <w:r>
          <w:rPr>
            <w:noProof/>
          </w:rPr>
          <w:fldChar w:fldCharType="end"/>
        </w:r>
        <w:r>
          <w:rPr>
            <w:noProof/>
          </w:rPr>
          <w:t xml:space="preserve">            </w:t>
        </w:r>
      </w:p>
    </w:sdtContent>
  </w:sdt>
  <w:p w14:paraId="3A8B741E" w14:textId="77777777" w:rsidR="00B36E5A" w:rsidRDefault="00B36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E6C9A" w14:textId="77777777" w:rsidR="00B36E5A" w:rsidRDefault="00B36E5A" w:rsidP="00334C86">
      <w:pPr>
        <w:spacing w:after="0" w:line="240" w:lineRule="auto"/>
      </w:pPr>
      <w:r>
        <w:separator/>
      </w:r>
    </w:p>
  </w:footnote>
  <w:footnote w:type="continuationSeparator" w:id="0">
    <w:p w14:paraId="72639DB7" w14:textId="77777777" w:rsidR="00B36E5A" w:rsidRDefault="00B36E5A" w:rsidP="00334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B3863"/>
    <w:multiLevelType w:val="hybridMultilevel"/>
    <w:tmpl w:val="B004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96D51"/>
    <w:multiLevelType w:val="hybridMultilevel"/>
    <w:tmpl w:val="14E4C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06692"/>
    <w:multiLevelType w:val="hybridMultilevel"/>
    <w:tmpl w:val="9C12FD4A"/>
    <w:lvl w:ilvl="0" w:tplc="CE04F4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175FE"/>
    <w:multiLevelType w:val="hybridMultilevel"/>
    <w:tmpl w:val="B3C4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E563A"/>
    <w:multiLevelType w:val="hybridMultilevel"/>
    <w:tmpl w:val="BD247F94"/>
    <w:lvl w:ilvl="0" w:tplc="9F120A5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523E9"/>
    <w:multiLevelType w:val="hybridMultilevel"/>
    <w:tmpl w:val="CFDE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B6FC7"/>
    <w:multiLevelType w:val="hybridMultilevel"/>
    <w:tmpl w:val="953CA506"/>
    <w:lvl w:ilvl="0" w:tplc="58F878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D17A6"/>
    <w:multiLevelType w:val="hybridMultilevel"/>
    <w:tmpl w:val="34EE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51FBB"/>
    <w:multiLevelType w:val="hybridMultilevel"/>
    <w:tmpl w:val="18500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A23A4"/>
    <w:multiLevelType w:val="hybridMultilevel"/>
    <w:tmpl w:val="9BC0A0EC"/>
    <w:lvl w:ilvl="0" w:tplc="3ED043E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60FF5"/>
    <w:multiLevelType w:val="hybridMultilevel"/>
    <w:tmpl w:val="48DED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74529"/>
    <w:multiLevelType w:val="hybridMultilevel"/>
    <w:tmpl w:val="E218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446D1"/>
    <w:multiLevelType w:val="hybridMultilevel"/>
    <w:tmpl w:val="2CA87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7954E9"/>
    <w:multiLevelType w:val="hybridMultilevel"/>
    <w:tmpl w:val="944474FE"/>
    <w:lvl w:ilvl="0" w:tplc="2BD03466">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F32D0C"/>
    <w:multiLevelType w:val="hybridMultilevel"/>
    <w:tmpl w:val="C880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9556C7"/>
    <w:multiLevelType w:val="hybridMultilevel"/>
    <w:tmpl w:val="BDF2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D79C1"/>
    <w:multiLevelType w:val="hybridMultilevel"/>
    <w:tmpl w:val="645C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E6CB0"/>
    <w:multiLevelType w:val="hybridMultilevel"/>
    <w:tmpl w:val="7A94F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A50F9"/>
    <w:multiLevelType w:val="hybridMultilevel"/>
    <w:tmpl w:val="6EB80686"/>
    <w:lvl w:ilvl="0" w:tplc="E0D4A94C">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44398"/>
    <w:multiLevelType w:val="hybridMultilevel"/>
    <w:tmpl w:val="353C8FD6"/>
    <w:lvl w:ilvl="0" w:tplc="4F4A240C">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14FB3"/>
    <w:multiLevelType w:val="hybridMultilevel"/>
    <w:tmpl w:val="85E63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77AD5"/>
    <w:multiLevelType w:val="hybridMultilevel"/>
    <w:tmpl w:val="E822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5205B"/>
    <w:multiLevelType w:val="hybridMultilevel"/>
    <w:tmpl w:val="A084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92E18"/>
    <w:multiLevelType w:val="hybridMultilevel"/>
    <w:tmpl w:val="0BB8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40D63"/>
    <w:multiLevelType w:val="hybridMultilevel"/>
    <w:tmpl w:val="5F42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7366F"/>
    <w:multiLevelType w:val="hybridMultilevel"/>
    <w:tmpl w:val="1D84A5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55B8487F"/>
    <w:multiLevelType w:val="hybridMultilevel"/>
    <w:tmpl w:val="6944A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60BD0"/>
    <w:multiLevelType w:val="hybridMultilevel"/>
    <w:tmpl w:val="BA90D03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C43486C"/>
    <w:multiLevelType w:val="hybridMultilevel"/>
    <w:tmpl w:val="2A7A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B01D62"/>
    <w:multiLevelType w:val="hybridMultilevel"/>
    <w:tmpl w:val="DEB8DE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8A3F98"/>
    <w:multiLevelType w:val="hybridMultilevel"/>
    <w:tmpl w:val="EFC0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E415B"/>
    <w:multiLevelType w:val="hybridMultilevel"/>
    <w:tmpl w:val="F084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C2719B"/>
    <w:multiLevelType w:val="hybridMultilevel"/>
    <w:tmpl w:val="12D024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2E654F8"/>
    <w:multiLevelType w:val="hybridMultilevel"/>
    <w:tmpl w:val="4CE4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20202E"/>
    <w:multiLevelType w:val="hybridMultilevel"/>
    <w:tmpl w:val="7C30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984072"/>
    <w:multiLevelType w:val="hybridMultilevel"/>
    <w:tmpl w:val="827A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8662C0"/>
    <w:multiLevelType w:val="hybridMultilevel"/>
    <w:tmpl w:val="55BC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F6645A"/>
    <w:multiLevelType w:val="hybridMultilevel"/>
    <w:tmpl w:val="0898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AB4AA7"/>
    <w:multiLevelType w:val="hybridMultilevel"/>
    <w:tmpl w:val="FDA2C6A6"/>
    <w:lvl w:ilvl="0" w:tplc="EF901A52">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AA42BD"/>
    <w:multiLevelType w:val="hybridMultilevel"/>
    <w:tmpl w:val="3F20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A60580"/>
    <w:multiLevelType w:val="hybridMultilevel"/>
    <w:tmpl w:val="591E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A3A9F"/>
    <w:multiLevelType w:val="hybridMultilevel"/>
    <w:tmpl w:val="5F4E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C702F6"/>
    <w:multiLevelType w:val="hybridMultilevel"/>
    <w:tmpl w:val="A180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C6EF9"/>
    <w:multiLevelType w:val="hybridMultilevel"/>
    <w:tmpl w:val="7DA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5"/>
  </w:num>
  <w:num w:numId="4">
    <w:abstractNumId w:val="17"/>
  </w:num>
  <w:num w:numId="5">
    <w:abstractNumId w:val="35"/>
  </w:num>
  <w:num w:numId="6">
    <w:abstractNumId w:val="26"/>
  </w:num>
  <w:num w:numId="7">
    <w:abstractNumId w:val="24"/>
  </w:num>
  <w:num w:numId="8">
    <w:abstractNumId w:val="29"/>
  </w:num>
  <w:num w:numId="9">
    <w:abstractNumId w:val="34"/>
  </w:num>
  <w:num w:numId="10">
    <w:abstractNumId w:val="40"/>
  </w:num>
  <w:num w:numId="11">
    <w:abstractNumId w:val="36"/>
  </w:num>
  <w:num w:numId="12">
    <w:abstractNumId w:val="15"/>
  </w:num>
  <w:num w:numId="13">
    <w:abstractNumId w:val="25"/>
  </w:num>
  <w:num w:numId="14">
    <w:abstractNumId w:val="23"/>
  </w:num>
  <w:num w:numId="15">
    <w:abstractNumId w:val="32"/>
  </w:num>
  <w:num w:numId="16">
    <w:abstractNumId w:val="31"/>
  </w:num>
  <w:num w:numId="17">
    <w:abstractNumId w:val="33"/>
  </w:num>
  <w:num w:numId="18">
    <w:abstractNumId w:val="7"/>
  </w:num>
  <w:num w:numId="19">
    <w:abstractNumId w:val="14"/>
  </w:num>
  <w:num w:numId="20">
    <w:abstractNumId w:val="10"/>
  </w:num>
  <w:num w:numId="21">
    <w:abstractNumId w:val="3"/>
  </w:num>
  <w:num w:numId="22">
    <w:abstractNumId w:val="42"/>
  </w:num>
  <w:num w:numId="23">
    <w:abstractNumId w:val="4"/>
  </w:num>
  <w:num w:numId="24">
    <w:abstractNumId w:val="12"/>
  </w:num>
  <w:num w:numId="25">
    <w:abstractNumId w:val="41"/>
  </w:num>
  <w:num w:numId="26">
    <w:abstractNumId w:val="2"/>
  </w:num>
  <w:num w:numId="27">
    <w:abstractNumId w:val="8"/>
  </w:num>
  <w:num w:numId="28">
    <w:abstractNumId w:val="37"/>
  </w:num>
  <w:num w:numId="29">
    <w:abstractNumId w:val="27"/>
  </w:num>
  <w:num w:numId="30">
    <w:abstractNumId w:val="1"/>
  </w:num>
  <w:num w:numId="31">
    <w:abstractNumId w:val="21"/>
  </w:num>
  <w:num w:numId="32">
    <w:abstractNumId w:val="28"/>
  </w:num>
  <w:num w:numId="33">
    <w:abstractNumId w:val="38"/>
  </w:num>
  <w:num w:numId="34">
    <w:abstractNumId w:val="11"/>
  </w:num>
  <w:num w:numId="35">
    <w:abstractNumId w:val="22"/>
  </w:num>
  <w:num w:numId="36">
    <w:abstractNumId w:val="16"/>
  </w:num>
  <w:num w:numId="37">
    <w:abstractNumId w:val="13"/>
  </w:num>
  <w:num w:numId="38">
    <w:abstractNumId w:val="39"/>
  </w:num>
  <w:num w:numId="39">
    <w:abstractNumId w:val="30"/>
  </w:num>
  <w:num w:numId="40">
    <w:abstractNumId w:val="18"/>
  </w:num>
  <w:num w:numId="41">
    <w:abstractNumId w:val="20"/>
  </w:num>
  <w:num w:numId="42">
    <w:abstractNumId w:val="19"/>
  </w:num>
  <w:num w:numId="43">
    <w:abstractNumId w:val="0"/>
  </w:num>
  <w:num w:numId="44">
    <w:abstractNumId w:val="6"/>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AA8"/>
    <w:rsid w:val="00002193"/>
    <w:rsid w:val="00002A2D"/>
    <w:rsid w:val="0000478F"/>
    <w:rsid w:val="000056B5"/>
    <w:rsid w:val="0000620F"/>
    <w:rsid w:val="00007AB8"/>
    <w:rsid w:val="0001269E"/>
    <w:rsid w:val="000160F8"/>
    <w:rsid w:val="00016A50"/>
    <w:rsid w:val="00017F5D"/>
    <w:rsid w:val="00020AC1"/>
    <w:rsid w:val="00020DD3"/>
    <w:rsid w:val="00021BFE"/>
    <w:rsid w:val="00025D98"/>
    <w:rsid w:val="0003117F"/>
    <w:rsid w:val="0003170C"/>
    <w:rsid w:val="00032B06"/>
    <w:rsid w:val="00037B30"/>
    <w:rsid w:val="00040421"/>
    <w:rsid w:val="000410C4"/>
    <w:rsid w:val="0004239F"/>
    <w:rsid w:val="000432C9"/>
    <w:rsid w:val="000438A9"/>
    <w:rsid w:val="00043DD3"/>
    <w:rsid w:val="00047FBC"/>
    <w:rsid w:val="000517B2"/>
    <w:rsid w:val="000526A7"/>
    <w:rsid w:val="00053581"/>
    <w:rsid w:val="00053D99"/>
    <w:rsid w:val="00054572"/>
    <w:rsid w:val="00055848"/>
    <w:rsid w:val="00056002"/>
    <w:rsid w:val="00057930"/>
    <w:rsid w:val="0006073E"/>
    <w:rsid w:val="000611C2"/>
    <w:rsid w:val="0006124E"/>
    <w:rsid w:val="000612F9"/>
    <w:rsid w:val="0006301B"/>
    <w:rsid w:val="00064A89"/>
    <w:rsid w:val="0006540C"/>
    <w:rsid w:val="00067C05"/>
    <w:rsid w:val="00070501"/>
    <w:rsid w:val="000717AB"/>
    <w:rsid w:val="000743AE"/>
    <w:rsid w:val="00074C62"/>
    <w:rsid w:val="00076952"/>
    <w:rsid w:val="000808E2"/>
    <w:rsid w:val="0008118F"/>
    <w:rsid w:val="000815D8"/>
    <w:rsid w:val="00081D12"/>
    <w:rsid w:val="000822D4"/>
    <w:rsid w:val="00083804"/>
    <w:rsid w:val="000851B2"/>
    <w:rsid w:val="00086348"/>
    <w:rsid w:val="00087033"/>
    <w:rsid w:val="00090B5E"/>
    <w:rsid w:val="00090FF9"/>
    <w:rsid w:val="00091B79"/>
    <w:rsid w:val="000A1039"/>
    <w:rsid w:val="000A30D9"/>
    <w:rsid w:val="000A4C16"/>
    <w:rsid w:val="000A6300"/>
    <w:rsid w:val="000B24FF"/>
    <w:rsid w:val="000B3186"/>
    <w:rsid w:val="000B37F0"/>
    <w:rsid w:val="000B3E4F"/>
    <w:rsid w:val="000B46B0"/>
    <w:rsid w:val="000B6828"/>
    <w:rsid w:val="000B75E1"/>
    <w:rsid w:val="000B7634"/>
    <w:rsid w:val="000C0B4D"/>
    <w:rsid w:val="000C1F68"/>
    <w:rsid w:val="000C4B7F"/>
    <w:rsid w:val="000C4D01"/>
    <w:rsid w:val="000C57C8"/>
    <w:rsid w:val="000C6337"/>
    <w:rsid w:val="000D0788"/>
    <w:rsid w:val="000D185F"/>
    <w:rsid w:val="000D1DA2"/>
    <w:rsid w:val="000D3046"/>
    <w:rsid w:val="000D3D6B"/>
    <w:rsid w:val="000D4570"/>
    <w:rsid w:val="000D4C2B"/>
    <w:rsid w:val="000D5F1A"/>
    <w:rsid w:val="000D6212"/>
    <w:rsid w:val="000E039E"/>
    <w:rsid w:val="000E25D7"/>
    <w:rsid w:val="000E3139"/>
    <w:rsid w:val="000E40F4"/>
    <w:rsid w:val="000E5A90"/>
    <w:rsid w:val="000E7FE7"/>
    <w:rsid w:val="000F1481"/>
    <w:rsid w:val="000F193B"/>
    <w:rsid w:val="000F1E96"/>
    <w:rsid w:val="000F24F8"/>
    <w:rsid w:val="0010000F"/>
    <w:rsid w:val="001005B1"/>
    <w:rsid w:val="00101060"/>
    <w:rsid w:val="001055C9"/>
    <w:rsid w:val="00106010"/>
    <w:rsid w:val="0010750A"/>
    <w:rsid w:val="001077CD"/>
    <w:rsid w:val="00107BF0"/>
    <w:rsid w:val="001122CB"/>
    <w:rsid w:val="001123FE"/>
    <w:rsid w:val="0011420A"/>
    <w:rsid w:val="00114981"/>
    <w:rsid w:val="00120991"/>
    <w:rsid w:val="001214FA"/>
    <w:rsid w:val="00122826"/>
    <w:rsid w:val="00126890"/>
    <w:rsid w:val="00126F90"/>
    <w:rsid w:val="001309D7"/>
    <w:rsid w:val="001328E2"/>
    <w:rsid w:val="00132A35"/>
    <w:rsid w:val="001356A6"/>
    <w:rsid w:val="001360AD"/>
    <w:rsid w:val="001365B0"/>
    <w:rsid w:val="00136E85"/>
    <w:rsid w:val="00136ECE"/>
    <w:rsid w:val="00143485"/>
    <w:rsid w:val="001446FC"/>
    <w:rsid w:val="001462D7"/>
    <w:rsid w:val="00146C13"/>
    <w:rsid w:val="00147F31"/>
    <w:rsid w:val="00150767"/>
    <w:rsid w:val="001509B0"/>
    <w:rsid w:val="001512BF"/>
    <w:rsid w:val="00153224"/>
    <w:rsid w:val="001539DD"/>
    <w:rsid w:val="00154DDC"/>
    <w:rsid w:val="00155327"/>
    <w:rsid w:val="001560FB"/>
    <w:rsid w:val="00160A07"/>
    <w:rsid w:val="00162637"/>
    <w:rsid w:val="0016559E"/>
    <w:rsid w:val="00166C50"/>
    <w:rsid w:val="00167E8C"/>
    <w:rsid w:val="00167F62"/>
    <w:rsid w:val="001726A7"/>
    <w:rsid w:val="001739B4"/>
    <w:rsid w:val="0017400F"/>
    <w:rsid w:val="001751D9"/>
    <w:rsid w:val="00175686"/>
    <w:rsid w:val="00176A24"/>
    <w:rsid w:val="0018064C"/>
    <w:rsid w:val="00184AA4"/>
    <w:rsid w:val="00185820"/>
    <w:rsid w:val="0018762B"/>
    <w:rsid w:val="001913C5"/>
    <w:rsid w:val="001922B7"/>
    <w:rsid w:val="001942DC"/>
    <w:rsid w:val="001955DF"/>
    <w:rsid w:val="00196A26"/>
    <w:rsid w:val="001A2B8F"/>
    <w:rsid w:val="001A302A"/>
    <w:rsid w:val="001A52CC"/>
    <w:rsid w:val="001A5866"/>
    <w:rsid w:val="001A5CC0"/>
    <w:rsid w:val="001A5EE9"/>
    <w:rsid w:val="001A5F87"/>
    <w:rsid w:val="001A6D54"/>
    <w:rsid w:val="001A6F50"/>
    <w:rsid w:val="001A7749"/>
    <w:rsid w:val="001A7C08"/>
    <w:rsid w:val="001B0513"/>
    <w:rsid w:val="001B7B50"/>
    <w:rsid w:val="001C0000"/>
    <w:rsid w:val="001C0A9A"/>
    <w:rsid w:val="001C6752"/>
    <w:rsid w:val="001D217B"/>
    <w:rsid w:val="001D2198"/>
    <w:rsid w:val="001D5B8D"/>
    <w:rsid w:val="001D5DE3"/>
    <w:rsid w:val="001D6278"/>
    <w:rsid w:val="001D726F"/>
    <w:rsid w:val="001D7E6A"/>
    <w:rsid w:val="001E21A6"/>
    <w:rsid w:val="001E347A"/>
    <w:rsid w:val="001E45B9"/>
    <w:rsid w:val="001E6BC7"/>
    <w:rsid w:val="001E76B3"/>
    <w:rsid w:val="001F13FB"/>
    <w:rsid w:val="001F1D44"/>
    <w:rsid w:val="001F277A"/>
    <w:rsid w:val="001F35D3"/>
    <w:rsid w:val="001F6366"/>
    <w:rsid w:val="001F63A6"/>
    <w:rsid w:val="001F7EFF"/>
    <w:rsid w:val="00200557"/>
    <w:rsid w:val="00201E5E"/>
    <w:rsid w:val="0020287B"/>
    <w:rsid w:val="00202A1A"/>
    <w:rsid w:val="00202D50"/>
    <w:rsid w:val="00203260"/>
    <w:rsid w:val="002051F8"/>
    <w:rsid w:val="0020662C"/>
    <w:rsid w:val="00206D3D"/>
    <w:rsid w:val="002130DC"/>
    <w:rsid w:val="00215197"/>
    <w:rsid w:val="00215356"/>
    <w:rsid w:val="00216F3F"/>
    <w:rsid w:val="00220401"/>
    <w:rsid w:val="0022353F"/>
    <w:rsid w:val="00225DBD"/>
    <w:rsid w:val="0022615A"/>
    <w:rsid w:val="0022762E"/>
    <w:rsid w:val="00230790"/>
    <w:rsid w:val="00233235"/>
    <w:rsid w:val="00233E70"/>
    <w:rsid w:val="002346B3"/>
    <w:rsid w:val="00235566"/>
    <w:rsid w:val="002363A8"/>
    <w:rsid w:val="002375CC"/>
    <w:rsid w:val="0024118F"/>
    <w:rsid w:val="0024150E"/>
    <w:rsid w:val="002418A0"/>
    <w:rsid w:val="00242146"/>
    <w:rsid w:val="00242C33"/>
    <w:rsid w:val="00243EE1"/>
    <w:rsid w:val="00245F58"/>
    <w:rsid w:val="00252260"/>
    <w:rsid w:val="00257D2B"/>
    <w:rsid w:val="00262277"/>
    <w:rsid w:val="002656F5"/>
    <w:rsid w:val="00270535"/>
    <w:rsid w:val="00270B5F"/>
    <w:rsid w:val="002721E9"/>
    <w:rsid w:val="002753DB"/>
    <w:rsid w:val="00275D02"/>
    <w:rsid w:val="0027748A"/>
    <w:rsid w:val="00282428"/>
    <w:rsid w:val="002830DB"/>
    <w:rsid w:val="00284F84"/>
    <w:rsid w:val="00285FA5"/>
    <w:rsid w:val="002901B0"/>
    <w:rsid w:val="00290B4B"/>
    <w:rsid w:val="00293906"/>
    <w:rsid w:val="0029739F"/>
    <w:rsid w:val="0029783C"/>
    <w:rsid w:val="002A227E"/>
    <w:rsid w:val="002A2ABE"/>
    <w:rsid w:val="002A3F48"/>
    <w:rsid w:val="002A47A9"/>
    <w:rsid w:val="002A7571"/>
    <w:rsid w:val="002B0CEF"/>
    <w:rsid w:val="002B14CD"/>
    <w:rsid w:val="002B1E9E"/>
    <w:rsid w:val="002B1F63"/>
    <w:rsid w:val="002B3764"/>
    <w:rsid w:val="002B4FBD"/>
    <w:rsid w:val="002B5771"/>
    <w:rsid w:val="002B701D"/>
    <w:rsid w:val="002C305C"/>
    <w:rsid w:val="002D0824"/>
    <w:rsid w:val="002D3556"/>
    <w:rsid w:val="002D446E"/>
    <w:rsid w:val="002D4D98"/>
    <w:rsid w:val="002D72CE"/>
    <w:rsid w:val="002D76F5"/>
    <w:rsid w:val="002E26F3"/>
    <w:rsid w:val="002E608E"/>
    <w:rsid w:val="002F0521"/>
    <w:rsid w:val="002F093D"/>
    <w:rsid w:val="002F1466"/>
    <w:rsid w:val="002F19E5"/>
    <w:rsid w:val="002F2039"/>
    <w:rsid w:val="002F5A1F"/>
    <w:rsid w:val="002F60D0"/>
    <w:rsid w:val="002F6D93"/>
    <w:rsid w:val="002F6EA8"/>
    <w:rsid w:val="002F75AE"/>
    <w:rsid w:val="003007CD"/>
    <w:rsid w:val="00301A07"/>
    <w:rsid w:val="003034F8"/>
    <w:rsid w:val="0030693E"/>
    <w:rsid w:val="00310327"/>
    <w:rsid w:val="00311BE9"/>
    <w:rsid w:val="00312998"/>
    <w:rsid w:val="00313BB1"/>
    <w:rsid w:val="003142A6"/>
    <w:rsid w:val="0031766B"/>
    <w:rsid w:val="003211A5"/>
    <w:rsid w:val="003217FE"/>
    <w:rsid w:val="00323A3F"/>
    <w:rsid w:val="00324098"/>
    <w:rsid w:val="0032526E"/>
    <w:rsid w:val="0032655D"/>
    <w:rsid w:val="0032725A"/>
    <w:rsid w:val="00327D88"/>
    <w:rsid w:val="00331A5B"/>
    <w:rsid w:val="00334C86"/>
    <w:rsid w:val="00336CAD"/>
    <w:rsid w:val="003370C9"/>
    <w:rsid w:val="003440BB"/>
    <w:rsid w:val="00344E04"/>
    <w:rsid w:val="00350DE0"/>
    <w:rsid w:val="0035102F"/>
    <w:rsid w:val="00352CCB"/>
    <w:rsid w:val="003530D7"/>
    <w:rsid w:val="00353C9D"/>
    <w:rsid w:val="0036034A"/>
    <w:rsid w:val="00360B0F"/>
    <w:rsid w:val="00361175"/>
    <w:rsid w:val="00363552"/>
    <w:rsid w:val="0036360A"/>
    <w:rsid w:val="00363E28"/>
    <w:rsid w:val="003640F4"/>
    <w:rsid w:val="00365903"/>
    <w:rsid w:val="00367526"/>
    <w:rsid w:val="00371EFD"/>
    <w:rsid w:val="00372F8A"/>
    <w:rsid w:val="00373725"/>
    <w:rsid w:val="00374762"/>
    <w:rsid w:val="0037621D"/>
    <w:rsid w:val="00383CB0"/>
    <w:rsid w:val="0038408E"/>
    <w:rsid w:val="00392DFA"/>
    <w:rsid w:val="003949D2"/>
    <w:rsid w:val="00395807"/>
    <w:rsid w:val="003963D7"/>
    <w:rsid w:val="003965C0"/>
    <w:rsid w:val="003A056F"/>
    <w:rsid w:val="003A0592"/>
    <w:rsid w:val="003A0A32"/>
    <w:rsid w:val="003A1427"/>
    <w:rsid w:val="003A4F2E"/>
    <w:rsid w:val="003A668C"/>
    <w:rsid w:val="003A7671"/>
    <w:rsid w:val="003B0C2E"/>
    <w:rsid w:val="003B16F6"/>
    <w:rsid w:val="003B325A"/>
    <w:rsid w:val="003B43D6"/>
    <w:rsid w:val="003B4C8E"/>
    <w:rsid w:val="003B5B7E"/>
    <w:rsid w:val="003B6CD8"/>
    <w:rsid w:val="003C251C"/>
    <w:rsid w:val="003C5DCC"/>
    <w:rsid w:val="003C6656"/>
    <w:rsid w:val="003C6B4F"/>
    <w:rsid w:val="003D0C84"/>
    <w:rsid w:val="003D3D6E"/>
    <w:rsid w:val="003E090D"/>
    <w:rsid w:val="003E0A59"/>
    <w:rsid w:val="003E1654"/>
    <w:rsid w:val="003E1F27"/>
    <w:rsid w:val="003E26B3"/>
    <w:rsid w:val="003E3B07"/>
    <w:rsid w:val="003E51C0"/>
    <w:rsid w:val="003F0770"/>
    <w:rsid w:val="003F2901"/>
    <w:rsid w:val="003F2B32"/>
    <w:rsid w:val="003F2B58"/>
    <w:rsid w:val="003F32F2"/>
    <w:rsid w:val="003F65AA"/>
    <w:rsid w:val="004006F1"/>
    <w:rsid w:val="00403B77"/>
    <w:rsid w:val="0040521F"/>
    <w:rsid w:val="00406D89"/>
    <w:rsid w:val="0040762A"/>
    <w:rsid w:val="00407A08"/>
    <w:rsid w:val="00407E70"/>
    <w:rsid w:val="004112AA"/>
    <w:rsid w:val="0041398C"/>
    <w:rsid w:val="00413C7D"/>
    <w:rsid w:val="00414AB4"/>
    <w:rsid w:val="00416CCC"/>
    <w:rsid w:val="004206F9"/>
    <w:rsid w:val="00421F07"/>
    <w:rsid w:val="004251BC"/>
    <w:rsid w:val="00425516"/>
    <w:rsid w:val="00425D07"/>
    <w:rsid w:val="00427045"/>
    <w:rsid w:val="004303B3"/>
    <w:rsid w:val="00430414"/>
    <w:rsid w:val="004308ED"/>
    <w:rsid w:val="004343B0"/>
    <w:rsid w:val="00434769"/>
    <w:rsid w:val="00434EFB"/>
    <w:rsid w:val="0043578E"/>
    <w:rsid w:val="0043666B"/>
    <w:rsid w:val="00441956"/>
    <w:rsid w:val="00443643"/>
    <w:rsid w:val="00444405"/>
    <w:rsid w:val="004447A0"/>
    <w:rsid w:val="0044506C"/>
    <w:rsid w:val="00445B7F"/>
    <w:rsid w:val="00450722"/>
    <w:rsid w:val="00450B2B"/>
    <w:rsid w:val="00452251"/>
    <w:rsid w:val="0045281F"/>
    <w:rsid w:val="00453564"/>
    <w:rsid w:val="00455936"/>
    <w:rsid w:val="004624D5"/>
    <w:rsid w:val="00462578"/>
    <w:rsid w:val="00467D49"/>
    <w:rsid w:val="00471693"/>
    <w:rsid w:val="00472764"/>
    <w:rsid w:val="004745AF"/>
    <w:rsid w:val="0047508F"/>
    <w:rsid w:val="00477FDA"/>
    <w:rsid w:val="004814B6"/>
    <w:rsid w:val="00481720"/>
    <w:rsid w:val="00483412"/>
    <w:rsid w:val="0048354C"/>
    <w:rsid w:val="00483CAB"/>
    <w:rsid w:val="004873F1"/>
    <w:rsid w:val="00493816"/>
    <w:rsid w:val="00493E6C"/>
    <w:rsid w:val="004979B5"/>
    <w:rsid w:val="004A2D79"/>
    <w:rsid w:val="004A4326"/>
    <w:rsid w:val="004A5C28"/>
    <w:rsid w:val="004A5CCA"/>
    <w:rsid w:val="004A5E45"/>
    <w:rsid w:val="004A6E8B"/>
    <w:rsid w:val="004B1444"/>
    <w:rsid w:val="004B1CB2"/>
    <w:rsid w:val="004B35CD"/>
    <w:rsid w:val="004B365B"/>
    <w:rsid w:val="004B40ED"/>
    <w:rsid w:val="004B4540"/>
    <w:rsid w:val="004B5516"/>
    <w:rsid w:val="004B6611"/>
    <w:rsid w:val="004B6A75"/>
    <w:rsid w:val="004C46B2"/>
    <w:rsid w:val="004D2066"/>
    <w:rsid w:val="004D331A"/>
    <w:rsid w:val="004D365D"/>
    <w:rsid w:val="004D3769"/>
    <w:rsid w:val="004D4C98"/>
    <w:rsid w:val="004E021F"/>
    <w:rsid w:val="004E22E8"/>
    <w:rsid w:val="004E3C17"/>
    <w:rsid w:val="004E4554"/>
    <w:rsid w:val="004E4AE5"/>
    <w:rsid w:val="004E5ACE"/>
    <w:rsid w:val="004E6849"/>
    <w:rsid w:val="004F31B2"/>
    <w:rsid w:val="004F58B9"/>
    <w:rsid w:val="004F6022"/>
    <w:rsid w:val="00500391"/>
    <w:rsid w:val="00503EC8"/>
    <w:rsid w:val="00507537"/>
    <w:rsid w:val="00510FBD"/>
    <w:rsid w:val="005139E5"/>
    <w:rsid w:val="005163D6"/>
    <w:rsid w:val="00516527"/>
    <w:rsid w:val="0051671D"/>
    <w:rsid w:val="0051673F"/>
    <w:rsid w:val="005172A3"/>
    <w:rsid w:val="005203C8"/>
    <w:rsid w:val="00520D2B"/>
    <w:rsid w:val="005230CC"/>
    <w:rsid w:val="00527477"/>
    <w:rsid w:val="00530643"/>
    <w:rsid w:val="00530871"/>
    <w:rsid w:val="005322EA"/>
    <w:rsid w:val="00534EF8"/>
    <w:rsid w:val="00540420"/>
    <w:rsid w:val="0054196A"/>
    <w:rsid w:val="005426FF"/>
    <w:rsid w:val="00543A5B"/>
    <w:rsid w:val="00543C06"/>
    <w:rsid w:val="005444B2"/>
    <w:rsid w:val="00545D70"/>
    <w:rsid w:val="005473F5"/>
    <w:rsid w:val="00550A29"/>
    <w:rsid w:val="005514B1"/>
    <w:rsid w:val="00552140"/>
    <w:rsid w:val="00553D97"/>
    <w:rsid w:val="005546FA"/>
    <w:rsid w:val="0055574E"/>
    <w:rsid w:val="00561053"/>
    <w:rsid w:val="00563F15"/>
    <w:rsid w:val="00565411"/>
    <w:rsid w:val="00572200"/>
    <w:rsid w:val="005723AA"/>
    <w:rsid w:val="00572C54"/>
    <w:rsid w:val="0057450B"/>
    <w:rsid w:val="005751BA"/>
    <w:rsid w:val="005777A4"/>
    <w:rsid w:val="005803B0"/>
    <w:rsid w:val="0058241F"/>
    <w:rsid w:val="0058283B"/>
    <w:rsid w:val="005834B8"/>
    <w:rsid w:val="00583C69"/>
    <w:rsid w:val="0058449F"/>
    <w:rsid w:val="005869A2"/>
    <w:rsid w:val="00590158"/>
    <w:rsid w:val="00591093"/>
    <w:rsid w:val="00591F5B"/>
    <w:rsid w:val="00592290"/>
    <w:rsid w:val="005929FC"/>
    <w:rsid w:val="005931E9"/>
    <w:rsid w:val="0059359E"/>
    <w:rsid w:val="00596A54"/>
    <w:rsid w:val="00597728"/>
    <w:rsid w:val="005A0467"/>
    <w:rsid w:val="005A0D42"/>
    <w:rsid w:val="005A183D"/>
    <w:rsid w:val="005A2DDF"/>
    <w:rsid w:val="005A329F"/>
    <w:rsid w:val="005B1A99"/>
    <w:rsid w:val="005B6434"/>
    <w:rsid w:val="005B6F6C"/>
    <w:rsid w:val="005C321B"/>
    <w:rsid w:val="005C450A"/>
    <w:rsid w:val="005D13F7"/>
    <w:rsid w:val="005D1C90"/>
    <w:rsid w:val="005D1CFF"/>
    <w:rsid w:val="005D58D5"/>
    <w:rsid w:val="005D617C"/>
    <w:rsid w:val="005E1DC1"/>
    <w:rsid w:val="005E1FEB"/>
    <w:rsid w:val="005E38B1"/>
    <w:rsid w:val="005E5B00"/>
    <w:rsid w:val="005F194B"/>
    <w:rsid w:val="005F63BC"/>
    <w:rsid w:val="00603B14"/>
    <w:rsid w:val="006042A1"/>
    <w:rsid w:val="00607976"/>
    <w:rsid w:val="006104E9"/>
    <w:rsid w:val="006115DB"/>
    <w:rsid w:val="00612E14"/>
    <w:rsid w:val="00613A50"/>
    <w:rsid w:val="006145B0"/>
    <w:rsid w:val="00614718"/>
    <w:rsid w:val="00615D38"/>
    <w:rsid w:val="00616556"/>
    <w:rsid w:val="00620632"/>
    <w:rsid w:val="00620B1A"/>
    <w:rsid w:val="00620FFA"/>
    <w:rsid w:val="00621051"/>
    <w:rsid w:val="00621CDC"/>
    <w:rsid w:val="006222EE"/>
    <w:rsid w:val="00622993"/>
    <w:rsid w:val="00623B08"/>
    <w:rsid w:val="00625BBB"/>
    <w:rsid w:val="00626390"/>
    <w:rsid w:val="006301D8"/>
    <w:rsid w:val="006302FA"/>
    <w:rsid w:val="00631B77"/>
    <w:rsid w:val="006321E8"/>
    <w:rsid w:val="00632224"/>
    <w:rsid w:val="00632B34"/>
    <w:rsid w:val="00637127"/>
    <w:rsid w:val="00640479"/>
    <w:rsid w:val="006404FF"/>
    <w:rsid w:val="00640840"/>
    <w:rsid w:val="00640967"/>
    <w:rsid w:val="00641A62"/>
    <w:rsid w:val="00643700"/>
    <w:rsid w:val="006438C2"/>
    <w:rsid w:val="00643A9C"/>
    <w:rsid w:val="006452F4"/>
    <w:rsid w:val="006478F0"/>
    <w:rsid w:val="00650607"/>
    <w:rsid w:val="006520AE"/>
    <w:rsid w:val="00652D18"/>
    <w:rsid w:val="00652F60"/>
    <w:rsid w:val="0065605A"/>
    <w:rsid w:val="00656C7A"/>
    <w:rsid w:val="00657683"/>
    <w:rsid w:val="00657ED6"/>
    <w:rsid w:val="00661C26"/>
    <w:rsid w:val="00663F67"/>
    <w:rsid w:val="00671E8B"/>
    <w:rsid w:val="00674B5B"/>
    <w:rsid w:val="00674CF6"/>
    <w:rsid w:val="00677C02"/>
    <w:rsid w:val="00680CE7"/>
    <w:rsid w:val="0068105E"/>
    <w:rsid w:val="006816F8"/>
    <w:rsid w:val="00685A37"/>
    <w:rsid w:val="00690743"/>
    <w:rsid w:val="00690A48"/>
    <w:rsid w:val="00692085"/>
    <w:rsid w:val="00694271"/>
    <w:rsid w:val="006953FF"/>
    <w:rsid w:val="006A0BD0"/>
    <w:rsid w:val="006A3335"/>
    <w:rsid w:val="006A4974"/>
    <w:rsid w:val="006A4F8D"/>
    <w:rsid w:val="006A609B"/>
    <w:rsid w:val="006A62FE"/>
    <w:rsid w:val="006A778E"/>
    <w:rsid w:val="006A7E10"/>
    <w:rsid w:val="006B2F03"/>
    <w:rsid w:val="006B3BAF"/>
    <w:rsid w:val="006B3F44"/>
    <w:rsid w:val="006B42D7"/>
    <w:rsid w:val="006B46C2"/>
    <w:rsid w:val="006D0911"/>
    <w:rsid w:val="006D5237"/>
    <w:rsid w:val="006D6180"/>
    <w:rsid w:val="006D6B62"/>
    <w:rsid w:val="006E585C"/>
    <w:rsid w:val="006F0F7A"/>
    <w:rsid w:val="006F1772"/>
    <w:rsid w:val="006F551E"/>
    <w:rsid w:val="007059EB"/>
    <w:rsid w:val="0070631A"/>
    <w:rsid w:val="007069FF"/>
    <w:rsid w:val="00707779"/>
    <w:rsid w:val="007104B3"/>
    <w:rsid w:val="00712739"/>
    <w:rsid w:val="00713456"/>
    <w:rsid w:val="007134DA"/>
    <w:rsid w:val="00713E4D"/>
    <w:rsid w:val="00713F44"/>
    <w:rsid w:val="00714BF9"/>
    <w:rsid w:val="007159FB"/>
    <w:rsid w:val="00715B53"/>
    <w:rsid w:val="0072090A"/>
    <w:rsid w:val="007213DC"/>
    <w:rsid w:val="00723DF6"/>
    <w:rsid w:val="00724A1B"/>
    <w:rsid w:val="00726F79"/>
    <w:rsid w:val="00727E23"/>
    <w:rsid w:val="00731B4C"/>
    <w:rsid w:val="00731EBA"/>
    <w:rsid w:val="00732153"/>
    <w:rsid w:val="007329D5"/>
    <w:rsid w:val="00732BE9"/>
    <w:rsid w:val="00733D38"/>
    <w:rsid w:val="00734E98"/>
    <w:rsid w:val="00735BF3"/>
    <w:rsid w:val="00737563"/>
    <w:rsid w:val="0074336B"/>
    <w:rsid w:val="0074502D"/>
    <w:rsid w:val="0074620F"/>
    <w:rsid w:val="00746360"/>
    <w:rsid w:val="00750106"/>
    <w:rsid w:val="007508EA"/>
    <w:rsid w:val="007518DB"/>
    <w:rsid w:val="00751D03"/>
    <w:rsid w:val="00752D95"/>
    <w:rsid w:val="00754643"/>
    <w:rsid w:val="0075644D"/>
    <w:rsid w:val="0076004E"/>
    <w:rsid w:val="00761E8D"/>
    <w:rsid w:val="00762B59"/>
    <w:rsid w:val="007646E5"/>
    <w:rsid w:val="00764DC0"/>
    <w:rsid w:val="00764DEC"/>
    <w:rsid w:val="007657D4"/>
    <w:rsid w:val="007659F0"/>
    <w:rsid w:val="00765BBD"/>
    <w:rsid w:val="0077182F"/>
    <w:rsid w:val="00773EA4"/>
    <w:rsid w:val="0077446D"/>
    <w:rsid w:val="00774B34"/>
    <w:rsid w:val="0078060E"/>
    <w:rsid w:val="00786290"/>
    <w:rsid w:val="00786785"/>
    <w:rsid w:val="00790D84"/>
    <w:rsid w:val="00791662"/>
    <w:rsid w:val="00791B6D"/>
    <w:rsid w:val="00793065"/>
    <w:rsid w:val="00794161"/>
    <w:rsid w:val="00795204"/>
    <w:rsid w:val="00795AB5"/>
    <w:rsid w:val="0079765A"/>
    <w:rsid w:val="007A503C"/>
    <w:rsid w:val="007A565F"/>
    <w:rsid w:val="007A5FDD"/>
    <w:rsid w:val="007A62F0"/>
    <w:rsid w:val="007A7DDA"/>
    <w:rsid w:val="007B0EB2"/>
    <w:rsid w:val="007B2BBE"/>
    <w:rsid w:val="007B2C73"/>
    <w:rsid w:val="007B4320"/>
    <w:rsid w:val="007B55EE"/>
    <w:rsid w:val="007B669D"/>
    <w:rsid w:val="007B7831"/>
    <w:rsid w:val="007B789D"/>
    <w:rsid w:val="007B7D62"/>
    <w:rsid w:val="007C393E"/>
    <w:rsid w:val="007C4C0C"/>
    <w:rsid w:val="007C520F"/>
    <w:rsid w:val="007C53C3"/>
    <w:rsid w:val="007C5895"/>
    <w:rsid w:val="007C5CB6"/>
    <w:rsid w:val="007D1543"/>
    <w:rsid w:val="007D157D"/>
    <w:rsid w:val="007D3DB7"/>
    <w:rsid w:val="007D46B8"/>
    <w:rsid w:val="007D4F5A"/>
    <w:rsid w:val="007D5B09"/>
    <w:rsid w:val="007E020D"/>
    <w:rsid w:val="007E22F3"/>
    <w:rsid w:val="007E2858"/>
    <w:rsid w:val="007E2879"/>
    <w:rsid w:val="007E3CD2"/>
    <w:rsid w:val="007E4697"/>
    <w:rsid w:val="007E61E1"/>
    <w:rsid w:val="007E64DF"/>
    <w:rsid w:val="007F0704"/>
    <w:rsid w:val="007F353F"/>
    <w:rsid w:val="007F3CF3"/>
    <w:rsid w:val="007F6FC0"/>
    <w:rsid w:val="00801245"/>
    <w:rsid w:val="0080148B"/>
    <w:rsid w:val="00802C9F"/>
    <w:rsid w:val="008032D5"/>
    <w:rsid w:val="0080362F"/>
    <w:rsid w:val="00805581"/>
    <w:rsid w:val="0080763A"/>
    <w:rsid w:val="00807873"/>
    <w:rsid w:val="008112BE"/>
    <w:rsid w:val="00815489"/>
    <w:rsid w:val="00816F82"/>
    <w:rsid w:val="0082068B"/>
    <w:rsid w:val="00826134"/>
    <w:rsid w:val="00826C1D"/>
    <w:rsid w:val="00826D0E"/>
    <w:rsid w:val="0082766D"/>
    <w:rsid w:val="008277FF"/>
    <w:rsid w:val="008303CD"/>
    <w:rsid w:val="00830DE3"/>
    <w:rsid w:val="00832030"/>
    <w:rsid w:val="0083223D"/>
    <w:rsid w:val="008340C8"/>
    <w:rsid w:val="0083516E"/>
    <w:rsid w:val="00835245"/>
    <w:rsid w:val="008426BE"/>
    <w:rsid w:val="008428BA"/>
    <w:rsid w:val="0084296E"/>
    <w:rsid w:val="008439D6"/>
    <w:rsid w:val="0084631B"/>
    <w:rsid w:val="00846DC4"/>
    <w:rsid w:val="00847523"/>
    <w:rsid w:val="00847626"/>
    <w:rsid w:val="008523A5"/>
    <w:rsid w:val="00852571"/>
    <w:rsid w:val="0085516A"/>
    <w:rsid w:val="00855B52"/>
    <w:rsid w:val="0085690C"/>
    <w:rsid w:val="00857E8F"/>
    <w:rsid w:val="00862E65"/>
    <w:rsid w:val="00865431"/>
    <w:rsid w:val="0086673D"/>
    <w:rsid w:val="00866F63"/>
    <w:rsid w:val="008671B0"/>
    <w:rsid w:val="008677BE"/>
    <w:rsid w:val="00870573"/>
    <w:rsid w:val="00871028"/>
    <w:rsid w:val="00873B82"/>
    <w:rsid w:val="00873DE1"/>
    <w:rsid w:val="008758D9"/>
    <w:rsid w:val="00876724"/>
    <w:rsid w:val="00876D3D"/>
    <w:rsid w:val="00881289"/>
    <w:rsid w:val="00881C10"/>
    <w:rsid w:val="00883A16"/>
    <w:rsid w:val="00884130"/>
    <w:rsid w:val="00886492"/>
    <w:rsid w:val="0088654B"/>
    <w:rsid w:val="008870FE"/>
    <w:rsid w:val="00891F67"/>
    <w:rsid w:val="00892FCD"/>
    <w:rsid w:val="0089648E"/>
    <w:rsid w:val="008A3D2F"/>
    <w:rsid w:val="008A3E7E"/>
    <w:rsid w:val="008A44A1"/>
    <w:rsid w:val="008A4788"/>
    <w:rsid w:val="008A77AF"/>
    <w:rsid w:val="008B0542"/>
    <w:rsid w:val="008B0BDA"/>
    <w:rsid w:val="008B1058"/>
    <w:rsid w:val="008B16EB"/>
    <w:rsid w:val="008B2ED1"/>
    <w:rsid w:val="008B52E9"/>
    <w:rsid w:val="008B71DB"/>
    <w:rsid w:val="008C0F8D"/>
    <w:rsid w:val="008C20CB"/>
    <w:rsid w:val="008C49CE"/>
    <w:rsid w:val="008C659F"/>
    <w:rsid w:val="008D2483"/>
    <w:rsid w:val="008D4090"/>
    <w:rsid w:val="008D4154"/>
    <w:rsid w:val="008D5CD4"/>
    <w:rsid w:val="008E6362"/>
    <w:rsid w:val="008F75D7"/>
    <w:rsid w:val="009010DA"/>
    <w:rsid w:val="00901589"/>
    <w:rsid w:val="009024D6"/>
    <w:rsid w:val="0090308B"/>
    <w:rsid w:val="00903453"/>
    <w:rsid w:val="009100EF"/>
    <w:rsid w:val="009101A8"/>
    <w:rsid w:val="0091062C"/>
    <w:rsid w:val="00912780"/>
    <w:rsid w:val="009127F6"/>
    <w:rsid w:val="00913081"/>
    <w:rsid w:val="00915226"/>
    <w:rsid w:val="009203D8"/>
    <w:rsid w:val="00920FA3"/>
    <w:rsid w:val="00921EE0"/>
    <w:rsid w:val="00922F6B"/>
    <w:rsid w:val="00925011"/>
    <w:rsid w:val="00925CBF"/>
    <w:rsid w:val="00926103"/>
    <w:rsid w:val="009262EE"/>
    <w:rsid w:val="00926948"/>
    <w:rsid w:val="00926EFC"/>
    <w:rsid w:val="009308D7"/>
    <w:rsid w:val="00932589"/>
    <w:rsid w:val="0093499D"/>
    <w:rsid w:val="00934CE0"/>
    <w:rsid w:val="00936F9F"/>
    <w:rsid w:val="00937044"/>
    <w:rsid w:val="00937906"/>
    <w:rsid w:val="00940AE0"/>
    <w:rsid w:val="009449FC"/>
    <w:rsid w:val="00944DDE"/>
    <w:rsid w:val="00944EA5"/>
    <w:rsid w:val="009451A9"/>
    <w:rsid w:val="00945F71"/>
    <w:rsid w:val="00946192"/>
    <w:rsid w:val="00946B79"/>
    <w:rsid w:val="009626F9"/>
    <w:rsid w:val="0096447A"/>
    <w:rsid w:val="0096458E"/>
    <w:rsid w:val="00970369"/>
    <w:rsid w:val="009704BE"/>
    <w:rsid w:val="00970D87"/>
    <w:rsid w:val="009724E9"/>
    <w:rsid w:val="009731B1"/>
    <w:rsid w:val="0097415A"/>
    <w:rsid w:val="0098198E"/>
    <w:rsid w:val="00981EA1"/>
    <w:rsid w:val="00984181"/>
    <w:rsid w:val="00986B95"/>
    <w:rsid w:val="009903A7"/>
    <w:rsid w:val="00990A67"/>
    <w:rsid w:val="00992086"/>
    <w:rsid w:val="0099239D"/>
    <w:rsid w:val="00992C52"/>
    <w:rsid w:val="00993418"/>
    <w:rsid w:val="009957BD"/>
    <w:rsid w:val="009A1623"/>
    <w:rsid w:val="009A1C65"/>
    <w:rsid w:val="009A4D5D"/>
    <w:rsid w:val="009A6825"/>
    <w:rsid w:val="009A79C5"/>
    <w:rsid w:val="009B0D21"/>
    <w:rsid w:val="009B3385"/>
    <w:rsid w:val="009B4492"/>
    <w:rsid w:val="009B499A"/>
    <w:rsid w:val="009B5566"/>
    <w:rsid w:val="009B583E"/>
    <w:rsid w:val="009B58FF"/>
    <w:rsid w:val="009B6D3E"/>
    <w:rsid w:val="009B78E1"/>
    <w:rsid w:val="009B7BE1"/>
    <w:rsid w:val="009B7E61"/>
    <w:rsid w:val="009C4021"/>
    <w:rsid w:val="009C55A1"/>
    <w:rsid w:val="009C7D88"/>
    <w:rsid w:val="009C7DBC"/>
    <w:rsid w:val="009D0DF9"/>
    <w:rsid w:val="009D312B"/>
    <w:rsid w:val="009D6BFA"/>
    <w:rsid w:val="009D76DC"/>
    <w:rsid w:val="009E2301"/>
    <w:rsid w:val="009E380C"/>
    <w:rsid w:val="009E4D01"/>
    <w:rsid w:val="009E527C"/>
    <w:rsid w:val="009E6DEB"/>
    <w:rsid w:val="009E7D8D"/>
    <w:rsid w:val="009F09DE"/>
    <w:rsid w:val="009F373A"/>
    <w:rsid w:val="009F487E"/>
    <w:rsid w:val="00A02B7A"/>
    <w:rsid w:val="00A03708"/>
    <w:rsid w:val="00A06E69"/>
    <w:rsid w:val="00A102E4"/>
    <w:rsid w:val="00A109AF"/>
    <w:rsid w:val="00A128E7"/>
    <w:rsid w:val="00A12A30"/>
    <w:rsid w:val="00A133DC"/>
    <w:rsid w:val="00A13825"/>
    <w:rsid w:val="00A1407E"/>
    <w:rsid w:val="00A14BD2"/>
    <w:rsid w:val="00A17CE6"/>
    <w:rsid w:val="00A20AD9"/>
    <w:rsid w:val="00A20C24"/>
    <w:rsid w:val="00A23F0D"/>
    <w:rsid w:val="00A24A59"/>
    <w:rsid w:val="00A24E33"/>
    <w:rsid w:val="00A24F3A"/>
    <w:rsid w:val="00A260A4"/>
    <w:rsid w:val="00A26B62"/>
    <w:rsid w:val="00A30915"/>
    <w:rsid w:val="00A31404"/>
    <w:rsid w:val="00A33B8E"/>
    <w:rsid w:val="00A35333"/>
    <w:rsid w:val="00A3574B"/>
    <w:rsid w:val="00A35EA8"/>
    <w:rsid w:val="00A3698B"/>
    <w:rsid w:val="00A374E8"/>
    <w:rsid w:val="00A44BE5"/>
    <w:rsid w:val="00A44CC6"/>
    <w:rsid w:val="00A45669"/>
    <w:rsid w:val="00A463C1"/>
    <w:rsid w:val="00A465B3"/>
    <w:rsid w:val="00A46B8F"/>
    <w:rsid w:val="00A5037E"/>
    <w:rsid w:val="00A507CB"/>
    <w:rsid w:val="00A50A83"/>
    <w:rsid w:val="00A50AFE"/>
    <w:rsid w:val="00A5563E"/>
    <w:rsid w:val="00A55960"/>
    <w:rsid w:val="00A60DFA"/>
    <w:rsid w:val="00A6117A"/>
    <w:rsid w:val="00A61467"/>
    <w:rsid w:val="00A62DBB"/>
    <w:rsid w:val="00A63020"/>
    <w:rsid w:val="00A64A07"/>
    <w:rsid w:val="00A6550E"/>
    <w:rsid w:val="00A65D3B"/>
    <w:rsid w:val="00A66452"/>
    <w:rsid w:val="00A72199"/>
    <w:rsid w:val="00A72561"/>
    <w:rsid w:val="00A7436E"/>
    <w:rsid w:val="00A759B9"/>
    <w:rsid w:val="00A8051D"/>
    <w:rsid w:val="00A82594"/>
    <w:rsid w:val="00A833F4"/>
    <w:rsid w:val="00A854E7"/>
    <w:rsid w:val="00A85835"/>
    <w:rsid w:val="00A87652"/>
    <w:rsid w:val="00A912D5"/>
    <w:rsid w:val="00A91BD6"/>
    <w:rsid w:val="00A91F4F"/>
    <w:rsid w:val="00A927CF"/>
    <w:rsid w:val="00A9485E"/>
    <w:rsid w:val="00A948EE"/>
    <w:rsid w:val="00AA0DE9"/>
    <w:rsid w:val="00AA1400"/>
    <w:rsid w:val="00AA188D"/>
    <w:rsid w:val="00AA3232"/>
    <w:rsid w:val="00AA52CE"/>
    <w:rsid w:val="00AA63CE"/>
    <w:rsid w:val="00AA6A07"/>
    <w:rsid w:val="00AA72EC"/>
    <w:rsid w:val="00AB22CD"/>
    <w:rsid w:val="00AB6AC1"/>
    <w:rsid w:val="00AC1910"/>
    <w:rsid w:val="00AC2064"/>
    <w:rsid w:val="00AC3D42"/>
    <w:rsid w:val="00AC5408"/>
    <w:rsid w:val="00AD060A"/>
    <w:rsid w:val="00AD290B"/>
    <w:rsid w:val="00AD4053"/>
    <w:rsid w:val="00AD5531"/>
    <w:rsid w:val="00AD62F9"/>
    <w:rsid w:val="00AD70AE"/>
    <w:rsid w:val="00AE232A"/>
    <w:rsid w:val="00AE6233"/>
    <w:rsid w:val="00AF00B7"/>
    <w:rsid w:val="00AF4BB9"/>
    <w:rsid w:val="00B01096"/>
    <w:rsid w:val="00B07B0A"/>
    <w:rsid w:val="00B11618"/>
    <w:rsid w:val="00B12EC1"/>
    <w:rsid w:val="00B14DF9"/>
    <w:rsid w:val="00B21BFF"/>
    <w:rsid w:val="00B21FAE"/>
    <w:rsid w:val="00B23ED9"/>
    <w:rsid w:val="00B24D12"/>
    <w:rsid w:val="00B25E9E"/>
    <w:rsid w:val="00B26939"/>
    <w:rsid w:val="00B26D69"/>
    <w:rsid w:val="00B26F46"/>
    <w:rsid w:val="00B273BC"/>
    <w:rsid w:val="00B31CBC"/>
    <w:rsid w:val="00B35DEC"/>
    <w:rsid w:val="00B35E33"/>
    <w:rsid w:val="00B36E5A"/>
    <w:rsid w:val="00B419B8"/>
    <w:rsid w:val="00B42A92"/>
    <w:rsid w:val="00B4316C"/>
    <w:rsid w:val="00B51B8C"/>
    <w:rsid w:val="00B51E66"/>
    <w:rsid w:val="00B549E4"/>
    <w:rsid w:val="00B564A4"/>
    <w:rsid w:val="00B579DC"/>
    <w:rsid w:val="00B57D40"/>
    <w:rsid w:val="00B61675"/>
    <w:rsid w:val="00B6225D"/>
    <w:rsid w:val="00B62DE3"/>
    <w:rsid w:val="00B641AE"/>
    <w:rsid w:val="00B71A8C"/>
    <w:rsid w:val="00B74FB5"/>
    <w:rsid w:val="00B802F7"/>
    <w:rsid w:val="00B8139A"/>
    <w:rsid w:val="00B84F30"/>
    <w:rsid w:val="00B855EB"/>
    <w:rsid w:val="00B872F3"/>
    <w:rsid w:val="00B87BD3"/>
    <w:rsid w:val="00B97269"/>
    <w:rsid w:val="00BA0891"/>
    <w:rsid w:val="00BA6195"/>
    <w:rsid w:val="00BB041D"/>
    <w:rsid w:val="00BB3952"/>
    <w:rsid w:val="00BB5292"/>
    <w:rsid w:val="00BB5EC9"/>
    <w:rsid w:val="00BC0AA3"/>
    <w:rsid w:val="00BC1517"/>
    <w:rsid w:val="00BC2A35"/>
    <w:rsid w:val="00BC51AB"/>
    <w:rsid w:val="00BC5A20"/>
    <w:rsid w:val="00BC629A"/>
    <w:rsid w:val="00BD1326"/>
    <w:rsid w:val="00BD47E2"/>
    <w:rsid w:val="00BD730C"/>
    <w:rsid w:val="00BE0CB1"/>
    <w:rsid w:val="00BE1566"/>
    <w:rsid w:val="00BE3D1E"/>
    <w:rsid w:val="00BE51A7"/>
    <w:rsid w:val="00BE55A3"/>
    <w:rsid w:val="00BE55B8"/>
    <w:rsid w:val="00BF0CB5"/>
    <w:rsid w:val="00BF3DE6"/>
    <w:rsid w:val="00BF51D0"/>
    <w:rsid w:val="00BF6D01"/>
    <w:rsid w:val="00C003D8"/>
    <w:rsid w:val="00C007F3"/>
    <w:rsid w:val="00C02BE2"/>
    <w:rsid w:val="00C02F9A"/>
    <w:rsid w:val="00C02FC9"/>
    <w:rsid w:val="00C06666"/>
    <w:rsid w:val="00C069A2"/>
    <w:rsid w:val="00C1125E"/>
    <w:rsid w:val="00C1383C"/>
    <w:rsid w:val="00C15143"/>
    <w:rsid w:val="00C17311"/>
    <w:rsid w:val="00C174B3"/>
    <w:rsid w:val="00C211F9"/>
    <w:rsid w:val="00C25DEE"/>
    <w:rsid w:val="00C26237"/>
    <w:rsid w:val="00C269F5"/>
    <w:rsid w:val="00C32B60"/>
    <w:rsid w:val="00C34370"/>
    <w:rsid w:val="00C372F5"/>
    <w:rsid w:val="00C37941"/>
    <w:rsid w:val="00C37981"/>
    <w:rsid w:val="00C404E6"/>
    <w:rsid w:val="00C462AE"/>
    <w:rsid w:val="00C53763"/>
    <w:rsid w:val="00C5571F"/>
    <w:rsid w:val="00C607E4"/>
    <w:rsid w:val="00C611E7"/>
    <w:rsid w:val="00C62B67"/>
    <w:rsid w:val="00C6415A"/>
    <w:rsid w:val="00C657B4"/>
    <w:rsid w:val="00C66C38"/>
    <w:rsid w:val="00C70633"/>
    <w:rsid w:val="00C715F0"/>
    <w:rsid w:val="00C71DBE"/>
    <w:rsid w:val="00C731EF"/>
    <w:rsid w:val="00C74105"/>
    <w:rsid w:val="00C7549D"/>
    <w:rsid w:val="00C76CEE"/>
    <w:rsid w:val="00C7793C"/>
    <w:rsid w:val="00C8020A"/>
    <w:rsid w:val="00C826B3"/>
    <w:rsid w:val="00C843E8"/>
    <w:rsid w:val="00C8480B"/>
    <w:rsid w:val="00C85C3F"/>
    <w:rsid w:val="00C87D2A"/>
    <w:rsid w:val="00C91D03"/>
    <w:rsid w:val="00C922AD"/>
    <w:rsid w:val="00C940BE"/>
    <w:rsid w:val="00C94A89"/>
    <w:rsid w:val="00C94DE0"/>
    <w:rsid w:val="00C96570"/>
    <w:rsid w:val="00C9756D"/>
    <w:rsid w:val="00CA0F11"/>
    <w:rsid w:val="00CA2E19"/>
    <w:rsid w:val="00CA34D7"/>
    <w:rsid w:val="00CA4FF2"/>
    <w:rsid w:val="00CA5EF7"/>
    <w:rsid w:val="00CA613E"/>
    <w:rsid w:val="00CA6AF5"/>
    <w:rsid w:val="00CB365B"/>
    <w:rsid w:val="00CB3916"/>
    <w:rsid w:val="00CB4A17"/>
    <w:rsid w:val="00CB5E6B"/>
    <w:rsid w:val="00CC2ECE"/>
    <w:rsid w:val="00CC4580"/>
    <w:rsid w:val="00CC6203"/>
    <w:rsid w:val="00CC73E7"/>
    <w:rsid w:val="00CD0249"/>
    <w:rsid w:val="00CD44D3"/>
    <w:rsid w:val="00CD5919"/>
    <w:rsid w:val="00CD5E09"/>
    <w:rsid w:val="00CD7632"/>
    <w:rsid w:val="00CE05CC"/>
    <w:rsid w:val="00CE277B"/>
    <w:rsid w:val="00CE498E"/>
    <w:rsid w:val="00CE5E6F"/>
    <w:rsid w:val="00CF2306"/>
    <w:rsid w:val="00CF3BFF"/>
    <w:rsid w:val="00CF4742"/>
    <w:rsid w:val="00CF6C21"/>
    <w:rsid w:val="00CF7821"/>
    <w:rsid w:val="00D01D18"/>
    <w:rsid w:val="00D03900"/>
    <w:rsid w:val="00D04F57"/>
    <w:rsid w:val="00D04FC8"/>
    <w:rsid w:val="00D05100"/>
    <w:rsid w:val="00D10E5C"/>
    <w:rsid w:val="00D1425B"/>
    <w:rsid w:val="00D150E6"/>
    <w:rsid w:val="00D15239"/>
    <w:rsid w:val="00D15C26"/>
    <w:rsid w:val="00D17823"/>
    <w:rsid w:val="00D216E7"/>
    <w:rsid w:val="00D22AE4"/>
    <w:rsid w:val="00D23C3D"/>
    <w:rsid w:val="00D243D7"/>
    <w:rsid w:val="00D26CD9"/>
    <w:rsid w:val="00D27024"/>
    <w:rsid w:val="00D27654"/>
    <w:rsid w:val="00D302A1"/>
    <w:rsid w:val="00D30FE7"/>
    <w:rsid w:val="00D31A96"/>
    <w:rsid w:val="00D334A4"/>
    <w:rsid w:val="00D35515"/>
    <w:rsid w:val="00D3794E"/>
    <w:rsid w:val="00D40AA8"/>
    <w:rsid w:val="00D411B2"/>
    <w:rsid w:val="00D41734"/>
    <w:rsid w:val="00D417E6"/>
    <w:rsid w:val="00D41FFA"/>
    <w:rsid w:val="00D426A4"/>
    <w:rsid w:val="00D43D70"/>
    <w:rsid w:val="00D45A77"/>
    <w:rsid w:val="00D57A1C"/>
    <w:rsid w:val="00D612ED"/>
    <w:rsid w:val="00D629A3"/>
    <w:rsid w:val="00D62FD9"/>
    <w:rsid w:val="00D64835"/>
    <w:rsid w:val="00D67017"/>
    <w:rsid w:val="00D71B0C"/>
    <w:rsid w:val="00D764A3"/>
    <w:rsid w:val="00D76F96"/>
    <w:rsid w:val="00D824AF"/>
    <w:rsid w:val="00D82BED"/>
    <w:rsid w:val="00D87306"/>
    <w:rsid w:val="00D915E3"/>
    <w:rsid w:val="00D95FEA"/>
    <w:rsid w:val="00DA0829"/>
    <w:rsid w:val="00DA0F59"/>
    <w:rsid w:val="00DA1C90"/>
    <w:rsid w:val="00DA5FD7"/>
    <w:rsid w:val="00DA6E63"/>
    <w:rsid w:val="00DA78BA"/>
    <w:rsid w:val="00DA7A38"/>
    <w:rsid w:val="00DB1B8E"/>
    <w:rsid w:val="00DB6576"/>
    <w:rsid w:val="00DC31BB"/>
    <w:rsid w:val="00DC343D"/>
    <w:rsid w:val="00DC3CD6"/>
    <w:rsid w:val="00DC3F88"/>
    <w:rsid w:val="00DC4697"/>
    <w:rsid w:val="00DC5643"/>
    <w:rsid w:val="00DC7FD4"/>
    <w:rsid w:val="00DD3C96"/>
    <w:rsid w:val="00DD3D06"/>
    <w:rsid w:val="00DD434E"/>
    <w:rsid w:val="00DD520A"/>
    <w:rsid w:val="00DD55AC"/>
    <w:rsid w:val="00DE21D4"/>
    <w:rsid w:val="00DE446C"/>
    <w:rsid w:val="00DF102E"/>
    <w:rsid w:val="00DF1F75"/>
    <w:rsid w:val="00DF259C"/>
    <w:rsid w:val="00DF3026"/>
    <w:rsid w:val="00DF46D6"/>
    <w:rsid w:val="00DF59FB"/>
    <w:rsid w:val="00DF7D42"/>
    <w:rsid w:val="00E01113"/>
    <w:rsid w:val="00E0156B"/>
    <w:rsid w:val="00E03215"/>
    <w:rsid w:val="00E0493D"/>
    <w:rsid w:val="00E10FFA"/>
    <w:rsid w:val="00E11960"/>
    <w:rsid w:val="00E128AC"/>
    <w:rsid w:val="00E128E0"/>
    <w:rsid w:val="00E14BF4"/>
    <w:rsid w:val="00E16C73"/>
    <w:rsid w:val="00E202B8"/>
    <w:rsid w:val="00E2284D"/>
    <w:rsid w:val="00E252C3"/>
    <w:rsid w:val="00E25343"/>
    <w:rsid w:val="00E25CF7"/>
    <w:rsid w:val="00E3284C"/>
    <w:rsid w:val="00E3415C"/>
    <w:rsid w:val="00E361CF"/>
    <w:rsid w:val="00E45701"/>
    <w:rsid w:val="00E56D83"/>
    <w:rsid w:val="00E57785"/>
    <w:rsid w:val="00E57EF7"/>
    <w:rsid w:val="00E604C7"/>
    <w:rsid w:val="00E60B0D"/>
    <w:rsid w:val="00E66985"/>
    <w:rsid w:val="00E6757D"/>
    <w:rsid w:val="00E7005E"/>
    <w:rsid w:val="00E721B2"/>
    <w:rsid w:val="00E74E7E"/>
    <w:rsid w:val="00E77731"/>
    <w:rsid w:val="00E7797E"/>
    <w:rsid w:val="00E805B1"/>
    <w:rsid w:val="00E82B34"/>
    <w:rsid w:val="00E8358E"/>
    <w:rsid w:val="00E845E9"/>
    <w:rsid w:val="00E848E5"/>
    <w:rsid w:val="00E84C0C"/>
    <w:rsid w:val="00E8554F"/>
    <w:rsid w:val="00E85562"/>
    <w:rsid w:val="00E87274"/>
    <w:rsid w:val="00E90F4A"/>
    <w:rsid w:val="00E92AF9"/>
    <w:rsid w:val="00E9347D"/>
    <w:rsid w:val="00E93812"/>
    <w:rsid w:val="00E948A0"/>
    <w:rsid w:val="00E96068"/>
    <w:rsid w:val="00E97ADF"/>
    <w:rsid w:val="00EA1489"/>
    <w:rsid w:val="00EA2935"/>
    <w:rsid w:val="00EB0D21"/>
    <w:rsid w:val="00EB233D"/>
    <w:rsid w:val="00EB3B36"/>
    <w:rsid w:val="00EB453B"/>
    <w:rsid w:val="00EB7048"/>
    <w:rsid w:val="00EC30DE"/>
    <w:rsid w:val="00EC3409"/>
    <w:rsid w:val="00EC5887"/>
    <w:rsid w:val="00ED7C42"/>
    <w:rsid w:val="00EE2C0B"/>
    <w:rsid w:val="00EE35EB"/>
    <w:rsid w:val="00EE3A73"/>
    <w:rsid w:val="00EE4964"/>
    <w:rsid w:val="00EE6DC0"/>
    <w:rsid w:val="00EF0E69"/>
    <w:rsid w:val="00EF1D0D"/>
    <w:rsid w:val="00EF3D37"/>
    <w:rsid w:val="00EF3DB0"/>
    <w:rsid w:val="00EF3E07"/>
    <w:rsid w:val="00EF5C94"/>
    <w:rsid w:val="00EF6194"/>
    <w:rsid w:val="00EF765E"/>
    <w:rsid w:val="00EF7763"/>
    <w:rsid w:val="00F00517"/>
    <w:rsid w:val="00F03EFB"/>
    <w:rsid w:val="00F04561"/>
    <w:rsid w:val="00F078D1"/>
    <w:rsid w:val="00F079B1"/>
    <w:rsid w:val="00F10660"/>
    <w:rsid w:val="00F13AB1"/>
    <w:rsid w:val="00F149EC"/>
    <w:rsid w:val="00F15E4E"/>
    <w:rsid w:val="00F166B4"/>
    <w:rsid w:val="00F2217A"/>
    <w:rsid w:val="00F237DB"/>
    <w:rsid w:val="00F27ECB"/>
    <w:rsid w:val="00F320BD"/>
    <w:rsid w:val="00F3323F"/>
    <w:rsid w:val="00F334C3"/>
    <w:rsid w:val="00F33988"/>
    <w:rsid w:val="00F340ED"/>
    <w:rsid w:val="00F34BB7"/>
    <w:rsid w:val="00F40EC8"/>
    <w:rsid w:val="00F43930"/>
    <w:rsid w:val="00F43934"/>
    <w:rsid w:val="00F43DAD"/>
    <w:rsid w:val="00F446D7"/>
    <w:rsid w:val="00F457D7"/>
    <w:rsid w:val="00F47BAA"/>
    <w:rsid w:val="00F55DB4"/>
    <w:rsid w:val="00F56657"/>
    <w:rsid w:val="00F56E4B"/>
    <w:rsid w:val="00F608BD"/>
    <w:rsid w:val="00F62B84"/>
    <w:rsid w:val="00F62E86"/>
    <w:rsid w:val="00F661CD"/>
    <w:rsid w:val="00F668BC"/>
    <w:rsid w:val="00F714F8"/>
    <w:rsid w:val="00F73705"/>
    <w:rsid w:val="00F75EDC"/>
    <w:rsid w:val="00F76302"/>
    <w:rsid w:val="00F800B3"/>
    <w:rsid w:val="00F84A75"/>
    <w:rsid w:val="00FA186C"/>
    <w:rsid w:val="00FA3C6F"/>
    <w:rsid w:val="00FA4D3C"/>
    <w:rsid w:val="00FA70E5"/>
    <w:rsid w:val="00FA770F"/>
    <w:rsid w:val="00FB046D"/>
    <w:rsid w:val="00FB2C99"/>
    <w:rsid w:val="00FB2F16"/>
    <w:rsid w:val="00FB42C1"/>
    <w:rsid w:val="00FB75FB"/>
    <w:rsid w:val="00FB7DB0"/>
    <w:rsid w:val="00FC051D"/>
    <w:rsid w:val="00FC32CC"/>
    <w:rsid w:val="00FC3E4B"/>
    <w:rsid w:val="00FC4B27"/>
    <w:rsid w:val="00FC4E01"/>
    <w:rsid w:val="00FD1381"/>
    <w:rsid w:val="00FD1ECA"/>
    <w:rsid w:val="00FD3871"/>
    <w:rsid w:val="00FD4B6B"/>
    <w:rsid w:val="00FD5513"/>
    <w:rsid w:val="00FE4B7E"/>
    <w:rsid w:val="00FE5944"/>
    <w:rsid w:val="00FE5F08"/>
    <w:rsid w:val="00FE6FF1"/>
    <w:rsid w:val="00FF1BD1"/>
    <w:rsid w:val="00FF27C5"/>
    <w:rsid w:val="00FF27D7"/>
    <w:rsid w:val="00FF4531"/>
    <w:rsid w:val="00FF4A69"/>
    <w:rsid w:val="00FF6A26"/>
    <w:rsid w:val="00FF6F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1B5847"/>
  <w15:docId w15:val="{609A97C5-5851-4882-98DA-3653AA6E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25A"/>
    <w:pPr>
      <w:spacing w:after="240" w:line="360" w:lineRule="auto"/>
    </w:pPr>
    <w:rPr>
      <w:sz w:val="22"/>
    </w:rPr>
  </w:style>
  <w:style w:type="paragraph" w:styleId="Heading1">
    <w:name w:val="heading 1"/>
    <w:basedOn w:val="Normal"/>
    <w:next w:val="Normal"/>
    <w:link w:val="Heading1Char"/>
    <w:uiPriority w:val="9"/>
    <w:qFormat/>
    <w:rsid w:val="00FA4D3C"/>
    <w:pPr>
      <w:keepNext/>
      <w:keepLines/>
      <w:spacing w:before="480"/>
      <w:outlineLvl w:val="0"/>
    </w:pPr>
    <w:rPr>
      <w:rFonts w:eastAsiaTheme="majorEastAsia" w:cs="Arial"/>
      <w:b/>
      <w:bCs/>
      <w:sz w:val="40"/>
      <w:szCs w:val="40"/>
    </w:rPr>
  </w:style>
  <w:style w:type="paragraph" w:styleId="Heading2">
    <w:name w:val="heading 2"/>
    <w:basedOn w:val="Normal"/>
    <w:next w:val="Normal"/>
    <w:link w:val="Heading2Char"/>
    <w:uiPriority w:val="9"/>
    <w:unhideWhenUsed/>
    <w:qFormat/>
    <w:rsid w:val="005E38B1"/>
    <w:pPr>
      <w:keepNext/>
      <w:keepLines/>
      <w:spacing w:before="200"/>
      <w:outlineLvl w:val="1"/>
    </w:pPr>
    <w:rPr>
      <w:rFonts w:eastAsiaTheme="majorEastAsia" w:cs="Arial"/>
      <w:b/>
      <w:bCs/>
      <w:sz w:val="36"/>
      <w:szCs w:val="26"/>
    </w:rPr>
  </w:style>
  <w:style w:type="paragraph" w:styleId="Heading3">
    <w:name w:val="heading 3"/>
    <w:basedOn w:val="Heading1"/>
    <w:next w:val="Normal"/>
    <w:link w:val="Heading3Char"/>
    <w:uiPriority w:val="9"/>
    <w:unhideWhenUsed/>
    <w:qFormat/>
    <w:rsid w:val="00B14DF9"/>
    <w:pPr>
      <w:spacing w:before="0"/>
      <w:outlineLvl w:val="2"/>
    </w:pPr>
    <w:rPr>
      <w:i/>
      <w:sz w:val="28"/>
    </w:rPr>
  </w:style>
  <w:style w:type="paragraph" w:styleId="Heading4">
    <w:name w:val="heading 4"/>
    <w:basedOn w:val="Normal"/>
    <w:next w:val="Normal"/>
    <w:link w:val="Heading4Char"/>
    <w:uiPriority w:val="9"/>
    <w:unhideWhenUsed/>
    <w:qFormat/>
    <w:rsid w:val="00640479"/>
    <w:pPr>
      <w:keepNext/>
      <w:keepLines/>
      <w:outlineLvl w:val="3"/>
    </w:pPr>
    <w:rPr>
      <w:rFonts w:eastAsiaTheme="majorEastAsia" w:cs="Arial"/>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D3C"/>
    <w:rPr>
      <w:rFonts w:eastAsiaTheme="majorEastAsia" w:cs="Arial"/>
      <w:b/>
      <w:bCs/>
      <w:sz w:val="40"/>
      <w:szCs w:val="40"/>
    </w:rPr>
  </w:style>
  <w:style w:type="character" w:customStyle="1" w:styleId="Heading2Char">
    <w:name w:val="Heading 2 Char"/>
    <w:basedOn w:val="DefaultParagraphFont"/>
    <w:link w:val="Heading2"/>
    <w:uiPriority w:val="9"/>
    <w:rsid w:val="005E38B1"/>
    <w:rPr>
      <w:rFonts w:eastAsiaTheme="majorEastAsia" w:cs="Arial"/>
      <w:b/>
      <w:bCs/>
      <w:sz w:val="36"/>
      <w:szCs w:val="26"/>
    </w:rPr>
  </w:style>
  <w:style w:type="character" w:customStyle="1" w:styleId="Heading3Char">
    <w:name w:val="Heading 3 Char"/>
    <w:basedOn w:val="DefaultParagraphFont"/>
    <w:link w:val="Heading3"/>
    <w:uiPriority w:val="9"/>
    <w:rsid w:val="00B14DF9"/>
    <w:rPr>
      <w:rFonts w:eastAsiaTheme="majorEastAsia" w:cs="Arial"/>
      <w:b/>
      <w:bCs/>
      <w:i/>
      <w:sz w:val="28"/>
      <w:szCs w:val="28"/>
    </w:rPr>
  </w:style>
  <w:style w:type="paragraph" w:styleId="BalloonText">
    <w:name w:val="Balloon Text"/>
    <w:basedOn w:val="Normal"/>
    <w:link w:val="BalloonTextChar"/>
    <w:uiPriority w:val="99"/>
    <w:semiHidden/>
    <w:unhideWhenUsed/>
    <w:rsid w:val="003A0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A32"/>
    <w:rPr>
      <w:rFonts w:ascii="Tahoma" w:hAnsi="Tahoma" w:cs="Tahoma"/>
      <w:sz w:val="16"/>
      <w:szCs w:val="16"/>
    </w:rPr>
  </w:style>
  <w:style w:type="paragraph" w:customStyle="1" w:styleId="Coversheet">
    <w:name w:val="Coversheet"/>
    <w:basedOn w:val="Normal"/>
    <w:link w:val="CoversheetChar"/>
    <w:qFormat/>
    <w:rsid w:val="002E26F3"/>
    <w:pPr>
      <w:spacing w:before="120" w:after="120"/>
      <w:jc w:val="center"/>
    </w:pPr>
    <w:rPr>
      <w:sz w:val="44"/>
    </w:rPr>
  </w:style>
  <w:style w:type="character" w:customStyle="1" w:styleId="CoversheetChar">
    <w:name w:val="Coversheet Char"/>
    <w:basedOn w:val="DefaultParagraphFont"/>
    <w:link w:val="Coversheet"/>
    <w:rsid w:val="002E26F3"/>
    <w:rPr>
      <w:sz w:val="44"/>
    </w:rPr>
  </w:style>
  <w:style w:type="paragraph" w:styleId="Header">
    <w:name w:val="header"/>
    <w:basedOn w:val="Normal"/>
    <w:link w:val="HeaderChar"/>
    <w:uiPriority w:val="99"/>
    <w:unhideWhenUsed/>
    <w:rsid w:val="00334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C86"/>
    <w:rPr>
      <w:sz w:val="22"/>
    </w:rPr>
  </w:style>
  <w:style w:type="paragraph" w:styleId="Footer">
    <w:name w:val="footer"/>
    <w:basedOn w:val="Normal"/>
    <w:link w:val="FooterChar"/>
    <w:uiPriority w:val="99"/>
    <w:unhideWhenUsed/>
    <w:rsid w:val="00334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C86"/>
    <w:rPr>
      <w:sz w:val="22"/>
    </w:rPr>
  </w:style>
  <w:style w:type="paragraph" w:styleId="NoSpacing">
    <w:name w:val="No Spacing"/>
    <w:uiPriority w:val="1"/>
    <w:qFormat/>
    <w:rsid w:val="002D76F5"/>
    <w:pPr>
      <w:spacing w:after="0" w:line="240" w:lineRule="auto"/>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2D76F5"/>
    <w:rPr>
      <w:sz w:val="16"/>
      <w:szCs w:val="16"/>
    </w:rPr>
  </w:style>
  <w:style w:type="paragraph" w:styleId="CommentText">
    <w:name w:val="annotation text"/>
    <w:basedOn w:val="Normal"/>
    <w:link w:val="CommentTextChar"/>
    <w:uiPriority w:val="99"/>
    <w:unhideWhenUsed/>
    <w:rsid w:val="002D76F5"/>
    <w:pPr>
      <w:spacing w:after="20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2D76F5"/>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2D76F5"/>
    <w:rPr>
      <w:b/>
      <w:bCs/>
    </w:rPr>
  </w:style>
  <w:style w:type="character" w:customStyle="1" w:styleId="CommentSubjectChar">
    <w:name w:val="Comment Subject Char"/>
    <w:basedOn w:val="CommentTextChar"/>
    <w:link w:val="CommentSubject"/>
    <w:uiPriority w:val="99"/>
    <w:semiHidden/>
    <w:rsid w:val="002D76F5"/>
    <w:rPr>
      <w:rFonts w:asciiTheme="minorHAnsi" w:hAnsiTheme="minorHAnsi" w:cstheme="minorBidi"/>
      <w:b/>
      <w:bCs/>
      <w:sz w:val="20"/>
      <w:szCs w:val="20"/>
    </w:rPr>
  </w:style>
  <w:style w:type="character" w:styleId="Hyperlink">
    <w:name w:val="Hyperlink"/>
    <w:basedOn w:val="DefaultParagraphFont"/>
    <w:uiPriority w:val="99"/>
    <w:unhideWhenUsed/>
    <w:rsid w:val="002D76F5"/>
    <w:rPr>
      <w:color w:val="0000FF" w:themeColor="hyperlink"/>
      <w:u w:val="single"/>
    </w:rPr>
  </w:style>
  <w:style w:type="table" w:styleId="TableGrid">
    <w:name w:val="Table Grid"/>
    <w:basedOn w:val="TableNormal"/>
    <w:uiPriority w:val="59"/>
    <w:rsid w:val="002D76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2D76F5"/>
    <w:pPr>
      <w:spacing w:after="0" w:line="240" w:lineRule="auto"/>
    </w:pPr>
    <w:rPr>
      <w:rFonts w:ascii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2D76F5"/>
    <w:pPr>
      <w:spacing w:after="0" w:line="240" w:lineRule="auto"/>
    </w:pPr>
    <w:rPr>
      <w:rFonts w:ascii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2D76F5"/>
    <w:pPr>
      <w:spacing w:after="0" w:line="240" w:lineRule="auto"/>
    </w:pPr>
    <w:rPr>
      <w:rFonts w:ascii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ghtShading1">
    <w:name w:val="Light Shading1"/>
    <w:basedOn w:val="TableNormal"/>
    <w:uiPriority w:val="60"/>
    <w:rsid w:val="002D76F5"/>
    <w:pPr>
      <w:spacing w:after="0" w:line="240" w:lineRule="auto"/>
    </w:pPr>
    <w:rPr>
      <w:rFonts w:ascii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1">
    <w:name w:val="Medium Shading 11"/>
    <w:basedOn w:val="TableNormal"/>
    <w:uiPriority w:val="63"/>
    <w:rsid w:val="002D76F5"/>
    <w:pPr>
      <w:spacing w:after="0" w:line="240" w:lineRule="auto"/>
    </w:pPr>
    <w:rPr>
      <w:rFonts w:ascii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Grid1">
    <w:name w:val="Light Grid1"/>
    <w:basedOn w:val="TableNormal"/>
    <w:uiPriority w:val="62"/>
    <w:rsid w:val="002D76F5"/>
    <w:pPr>
      <w:spacing w:after="0" w:line="240" w:lineRule="auto"/>
    </w:pPr>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uiPriority w:val="61"/>
    <w:rsid w:val="002D76F5"/>
    <w:pPr>
      <w:spacing w:after="0" w:line="240" w:lineRule="auto"/>
    </w:pPr>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2D76F5"/>
    <w:pPr>
      <w:spacing w:after="0" w:line="240" w:lineRule="auto"/>
    </w:pPr>
    <w:rPr>
      <w:rFonts w:ascii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D76F5"/>
    <w:pPr>
      <w:spacing w:after="0" w:line="240" w:lineRule="auto"/>
    </w:pPr>
    <w:rPr>
      <w:rFonts w:asciiTheme="minorHAnsi" w:hAnsiTheme="minorHAnsi" w:cstheme="minorBidi"/>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2D76F5"/>
    <w:pPr>
      <w:spacing w:after="0" w:line="240" w:lineRule="auto"/>
    </w:pPr>
    <w:rPr>
      <w:rFonts w:ascii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basedOn w:val="DefaultParagraphFont"/>
    <w:uiPriority w:val="22"/>
    <w:qFormat/>
    <w:rsid w:val="002D76F5"/>
    <w:rPr>
      <w:b/>
      <w:bCs/>
    </w:rPr>
  </w:style>
  <w:style w:type="paragraph" w:styleId="ListParagraph">
    <w:name w:val="List Paragraph"/>
    <w:basedOn w:val="Normal"/>
    <w:uiPriority w:val="34"/>
    <w:qFormat/>
    <w:rsid w:val="002D76F5"/>
    <w:pPr>
      <w:spacing w:after="200" w:line="276" w:lineRule="auto"/>
      <w:ind w:left="720"/>
      <w:contextualSpacing/>
    </w:pPr>
    <w:rPr>
      <w:rFonts w:asciiTheme="minorHAnsi" w:hAnsiTheme="minorHAnsi" w:cstheme="minorBidi"/>
      <w:szCs w:val="22"/>
    </w:rPr>
  </w:style>
  <w:style w:type="table" w:customStyle="1" w:styleId="MediumShading1-Accent51">
    <w:name w:val="Medium Shading 1 - Accent 51"/>
    <w:basedOn w:val="TableNormal"/>
    <w:next w:val="MediumShading1-Accent5"/>
    <w:uiPriority w:val="63"/>
    <w:rsid w:val="002D76F5"/>
    <w:pPr>
      <w:spacing w:after="0" w:line="240" w:lineRule="auto"/>
    </w:pPr>
    <w:rPr>
      <w:rFonts w:ascii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D76F5"/>
    <w:pPr>
      <w:spacing w:after="0" w:line="240" w:lineRule="auto"/>
    </w:pPr>
    <w:rPr>
      <w:rFonts w:asciiTheme="minorHAnsi" w:hAnsiTheme="minorHAnsi" w:cstheme="minorBidi"/>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2D76F5"/>
    <w:pPr>
      <w:spacing w:after="0" w:line="240" w:lineRule="auto"/>
    </w:pPr>
    <w:rPr>
      <w:rFonts w:ascii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Caption">
    <w:name w:val="caption"/>
    <w:basedOn w:val="Normal"/>
    <w:next w:val="Normal"/>
    <w:uiPriority w:val="35"/>
    <w:unhideWhenUsed/>
    <w:qFormat/>
    <w:rsid w:val="00F75EDC"/>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640479"/>
    <w:rPr>
      <w:rFonts w:eastAsiaTheme="majorEastAsia" w:cs="Arial"/>
      <w:b/>
      <w:bCs/>
      <w:iCs/>
      <w:color w:val="000000" w:themeColor="text1"/>
      <w:sz w:val="22"/>
    </w:rPr>
  </w:style>
  <w:style w:type="paragraph" w:styleId="TableofFigures">
    <w:name w:val="table of figures"/>
    <w:basedOn w:val="Normal"/>
    <w:next w:val="Normal"/>
    <w:uiPriority w:val="99"/>
    <w:unhideWhenUsed/>
    <w:rsid w:val="00F73705"/>
    <w:pPr>
      <w:spacing w:after="0"/>
    </w:pPr>
  </w:style>
  <w:style w:type="paragraph" w:styleId="NormalWeb">
    <w:name w:val="Normal (Web)"/>
    <w:basedOn w:val="Normal"/>
    <w:uiPriority w:val="99"/>
    <w:unhideWhenUsed/>
    <w:rsid w:val="00C174B3"/>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Heading">
    <w:name w:val="TOC Heading"/>
    <w:basedOn w:val="Heading1"/>
    <w:next w:val="Normal"/>
    <w:uiPriority w:val="39"/>
    <w:unhideWhenUsed/>
    <w:qFormat/>
    <w:rsid w:val="001726A7"/>
    <w:pPr>
      <w:spacing w:line="276" w:lineRule="auto"/>
      <w:outlineLvl w:val="9"/>
    </w:pPr>
    <w:rPr>
      <w:rFonts w:asciiTheme="majorHAnsi"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rsid w:val="001726A7"/>
    <w:pPr>
      <w:spacing w:after="100"/>
    </w:pPr>
  </w:style>
  <w:style w:type="paragraph" w:styleId="TOC2">
    <w:name w:val="toc 2"/>
    <w:basedOn w:val="Normal"/>
    <w:next w:val="Normal"/>
    <w:autoRedefine/>
    <w:uiPriority w:val="39"/>
    <w:unhideWhenUsed/>
    <w:rsid w:val="001726A7"/>
    <w:pPr>
      <w:spacing w:after="100"/>
      <w:ind w:left="220"/>
    </w:pPr>
  </w:style>
  <w:style w:type="paragraph" w:styleId="TOC3">
    <w:name w:val="toc 3"/>
    <w:basedOn w:val="Normal"/>
    <w:next w:val="Normal"/>
    <w:autoRedefine/>
    <w:uiPriority w:val="39"/>
    <w:unhideWhenUsed/>
    <w:rsid w:val="001726A7"/>
    <w:pPr>
      <w:spacing w:after="100"/>
      <w:ind w:left="440"/>
    </w:pPr>
  </w:style>
  <w:style w:type="paragraph" w:customStyle="1" w:styleId="xl63">
    <w:name w:val="xl63"/>
    <w:basedOn w:val="Normal"/>
    <w:rsid w:val="00B42A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64">
    <w:name w:val="xl64"/>
    <w:basedOn w:val="Normal"/>
    <w:rsid w:val="00B42A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65">
    <w:name w:val="xl65"/>
    <w:basedOn w:val="Normal"/>
    <w:rsid w:val="00B42A9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66">
    <w:name w:val="xl66"/>
    <w:basedOn w:val="Normal"/>
    <w:rsid w:val="00B42A9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67">
    <w:name w:val="xl67"/>
    <w:basedOn w:val="Normal"/>
    <w:rsid w:val="00B42A9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68">
    <w:name w:val="xl68"/>
    <w:basedOn w:val="Normal"/>
    <w:rsid w:val="00B42A9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69">
    <w:name w:val="xl69"/>
    <w:basedOn w:val="Normal"/>
    <w:rsid w:val="00B42A9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70">
    <w:name w:val="xl70"/>
    <w:basedOn w:val="Normal"/>
    <w:rsid w:val="00B42A9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71">
    <w:name w:val="xl71"/>
    <w:basedOn w:val="Normal"/>
    <w:rsid w:val="00B42A9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72">
    <w:name w:val="xl72"/>
    <w:basedOn w:val="Normal"/>
    <w:rsid w:val="00B42A9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73">
    <w:name w:val="xl73"/>
    <w:basedOn w:val="Normal"/>
    <w:rsid w:val="00B42A9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74">
    <w:name w:val="xl74"/>
    <w:basedOn w:val="Normal"/>
    <w:rsid w:val="00B42A9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75">
    <w:name w:val="xl75"/>
    <w:basedOn w:val="Normal"/>
    <w:rsid w:val="00B42A92"/>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24"/>
      <w:lang w:eastAsia="en-GB"/>
    </w:rPr>
  </w:style>
  <w:style w:type="paragraph" w:customStyle="1" w:styleId="xl76">
    <w:name w:val="xl76"/>
    <w:basedOn w:val="Normal"/>
    <w:rsid w:val="00B42A92"/>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24"/>
      <w:lang w:eastAsia="en-GB"/>
    </w:rPr>
  </w:style>
  <w:style w:type="paragraph" w:customStyle="1" w:styleId="xl77">
    <w:name w:val="xl77"/>
    <w:basedOn w:val="Normal"/>
    <w:rsid w:val="00B42A92"/>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24"/>
      <w:lang w:eastAsia="en-GB"/>
    </w:rPr>
  </w:style>
  <w:style w:type="paragraph" w:customStyle="1" w:styleId="xl78">
    <w:name w:val="xl78"/>
    <w:basedOn w:val="Normal"/>
    <w:rsid w:val="00B42A92"/>
    <w:pPr>
      <w:pBdr>
        <w:top w:val="single" w:sz="8" w:space="0" w:color="auto"/>
        <w:left w:val="single" w:sz="8"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24"/>
      <w:lang w:eastAsia="en-GB"/>
    </w:rPr>
  </w:style>
  <w:style w:type="paragraph" w:customStyle="1" w:styleId="xl79">
    <w:name w:val="xl79"/>
    <w:basedOn w:val="Normal"/>
    <w:rsid w:val="00B42A92"/>
    <w:pPr>
      <w:pBdr>
        <w:top w:val="single" w:sz="8" w:space="0" w:color="auto"/>
        <w:left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24"/>
      <w:lang w:eastAsia="en-GB"/>
    </w:rPr>
  </w:style>
  <w:style w:type="paragraph" w:customStyle="1" w:styleId="xl80">
    <w:name w:val="xl80"/>
    <w:basedOn w:val="Normal"/>
    <w:rsid w:val="00B42A92"/>
    <w:pPr>
      <w:pBdr>
        <w:top w:val="single" w:sz="8" w:space="0" w:color="auto"/>
        <w:left w:val="single" w:sz="4" w:space="0" w:color="auto"/>
        <w:right w:val="single" w:sz="8"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24"/>
      <w:lang w:eastAsia="en-GB"/>
    </w:rPr>
  </w:style>
  <w:style w:type="paragraph" w:customStyle="1" w:styleId="xl81">
    <w:name w:val="xl81"/>
    <w:basedOn w:val="Normal"/>
    <w:rsid w:val="00B42A92"/>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24"/>
      <w:lang w:eastAsia="en-GB"/>
    </w:rPr>
  </w:style>
  <w:style w:type="paragraph" w:customStyle="1" w:styleId="xl82">
    <w:name w:val="xl82"/>
    <w:basedOn w:val="Normal"/>
    <w:rsid w:val="00B42A92"/>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4"/>
      <w:lang w:eastAsia="en-GB"/>
    </w:rPr>
  </w:style>
  <w:style w:type="paragraph" w:customStyle="1" w:styleId="xl83">
    <w:name w:val="xl83"/>
    <w:basedOn w:val="Normal"/>
    <w:rsid w:val="00B42A92"/>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4"/>
      <w:lang w:eastAsia="en-GB"/>
    </w:rPr>
  </w:style>
  <w:style w:type="paragraph" w:customStyle="1" w:styleId="xl84">
    <w:name w:val="xl84"/>
    <w:basedOn w:val="Normal"/>
    <w:rsid w:val="00B42A92"/>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4"/>
      <w:lang w:eastAsia="en-GB"/>
    </w:rPr>
  </w:style>
  <w:style w:type="paragraph" w:customStyle="1" w:styleId="xl85">
    <w:name w:val="xl85"/>
    <w:basedOn w:val="Normal"/>
    <w:rsid w:val="00B42A92"/>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4"/>
      <w:lang w:eastAsia="en-GB"/>
    </w:rPr>
  </w:style>
  <w:style w:type="paragraph" w:customStyle="1" w:styleId="xl86">
    <w:name w:val="xl86"/>
    <w:basedOn w:val="Normal"/>
    <w:rsid w:val="00B42A92"/>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lang w:eastAsia="en-GB"/>
    </w:rPr>
  </w:style>
  <w:style w:type="paragraph" w:customStyle="1" w:styleId="xl87">
    <w:name w:val="xl87"/>
    <w:basedOn w:val="Normal"/>
    <w:rsid w:val="00B42A92"/>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88">
    <w:name w:val="xl88"/>
    <w:basedOn w:val="Normal"/>
    <w:rsid w:val="00B42A92"/>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89">
    <w:name w:val="xl89"/>
    <w:basedOn w:val="Normal"/>
    <w:rsid w:val="00B42A92"/>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lang w:eastAsia="en-GB"/>
    </w:rPr>
  </w:style>
  <w:style w:type="paragraph" w:customStyle="1" w:styleId="xl90">
    <w:name w:val="xl90"/>
    <w:basedOn w:val="Normal"/>
    <w:rsid w:val="00B42A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lang w:eastAsia="en-GB"/>
    </w:rPr>
  </w:style>
  <w:style w:type="paragraph" w:customStyle="1" w:styleId="xl91">
    <w:name w:val="xl91"/>
    <w:basedOn w:val="Normal"/>
    <w:rsid w:val="00B42A92"/>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lang w:eastAsia="en-GB"/>
    </w:rPr>
  </w:style>
  <w:style w:type="paragraph" w:customStyle="1" w:styleId="xl92">
    <w:name w:val="xl92"/>
    <w:basedOn w:val="Normal"/>
    <w:rsid w:val="00B42A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93">
    <w:name w:val="xl93"/>
    <w:basedOn w:val="Normal"/>
    <w:rsid w:val="00B42A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94">
    <w:name w:val="xl94"/>
    <w:basedOn w:val="Normal"/>
    <w:rsid w:val="00B42A92"/>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95">
    <w:name w:val="xl95"/>
    <w:basedOn w:val="Normal"/>
    <w:rsid w:val="00B42A92"/>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lang w:eastAsia="en-GB"/>
    </w:rPr>
  </w:style>
  <w:style w:type="paragraph" w:customStyle="1" w:styleId="xl96">
    <w:name w:val="xl96"/>
    <w:basedOn w:val="Normal"/>
    <w:rsid w:val="00B42A92"/>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lang w:eastAsia="en-GB"/>
    </w:rPr>
  </w:style>
  <w:style w:type="table" w:customStyle="1" w:styleId="MediumList21">
    <w:name w:val="Medium List 21"/>
    <w:basedOn w:val="TableNormal"/>
    <w:uiPriority w:val="66"/>
    <w:rsid w:val="00FB2F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1">
    <w:name w:val="Medium Shading 21"/>
    <w:basedOn w:val="TableNormal"/>
    <w:uiPriority w:val="64"/>
    <w:rsid w:val="00FB2F1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10">
    <w:name w:val="Medium Shading 11"/>
    <w:basedOn w:val="TableNormal"/>
    <w:next w:val="MediumShading11"/>
    <w:uiPriority w:val="63"/>
    <w:rsid w:val="009903A7"/>
    <w:pPr>
      <w:spacing w:after="0" w:line="240" w:lineRule="auto"/>
    </w:pPr>
    <w:rPr>
      <w:rFonts w:ascii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Revision">
    <w:name w:val="Revision"/>
    <w:hidden/>
    <w:uiPriority w:val="99"/>
    <w:semiHidden/>
    <w:rsid w:val="00126890"/>
    <w:pPr>
      <w:spacing w:after="0" w:line="240" w:lineRule="auto"/>
    </w:pPr>
    <w:rPr>
      <w:sz w:val="22"/>
    </w:rPr>
  </w:style>
  <w:style w:type="character" w:customStyle="1" w:styleId="apple-converted-space">
    <w:name w:val="apple-converted-space"/>
    <w:basedOn w:val="DefaultParagraphFont"/>
    <w:rsid w:val="00E87274"/>
  </w:style>
  <w:style w:type="character" w:customStyle="1" w:styleId="highlight">
    <w:name w:val="highlight"/>
    <w:basedOn w:val="DefaultParagraphFont"/>
    <w:rsid w:val="00E87274"/>
  </w:style>
  <w:style w:type="character" w:styleId="FollowedHyperlink">
    <w:name w:val="FollowedHyperlink"/>
    <w:basedOn w:val="DefaultParagraphFont"/>
    <w:uiPriority w:val="99"/>
    <w:semiHidden/>
    <w:unhideWhenUsed/>
    <w:rsid w:val="00C62B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0716">
      <w:bodyDiv w:val="1"/>
      <w:marLeft w:val="0"/>
      <w:marRight w:val="0"/>
      <w:marTop w:val="0"/>
      <w:marBottom w:val="0"/>
      <w:divBdr>
        <w:top w:val="none" w:sz="0" w:space="0" w:color="auto"/>
        <w:left w:val="none" w:sz="0" w:space="0" w:color="auto"/>
        <w:bottom w:val="none" w:sz="0" w:space="0" w:color="auto"/>
        <w:right w:val="none" w:sz="0" w:space="0" w:color="auto"/>
      </w:divBdr>
      <w:divsChild>
        <w:div w:id="422335621">
          <w:marLeft w:val="0"/>
          <w:marRight w:val="0"/>
          <w:marTop w:val="0"/>
          <w:marBottom w:val="0"/>
          <w:divBdr>
            <w:top w:val="none" w:sz="0" w:space="0" w:color="auto"/>
            <w:left w:val="none" w:sz="0" w:space="0" w:color="auto"/>
            <w:bottom w:val="none" w:sz="0" w:space="0" w:color="auto"/>
            <w:right w:val="none" w:sz="0" w:space="0" w:color="auto"/>
          </w:divBdr>
          <w:divsChild>
            <w:div w:id="1785339873">
              <w:marLeft w:val="0"/>
              <w:marRight w:val="0"/>
              <w:marTop w:val="0"/>
              <w:marBottom w:val="0"/>
              <w:divBdr>
                <w:top w:val="none" w:sz="0" w:space="0" w:color="auto"/>
                <w:left w:val="none" w:sz="0" w:space="0" w:color="auto"/>
                <w:bottom w:val="none" w:sz="0" w:space="0" w:color="auto"/>
                <w:right w:val="none" w:sz="0" w:space="0" w:color="auto"/>
              </w:divBdr>
              <w:divsChild>
                <w:div w:id="1117914802">
                  <w:marLeft w:val="0"/>
                  <w:marRight w:val="0"/>
                  <w:marTop w:val="0"/>
                  <w:marBottom w:val="0"/>
                  <w:divBdr>
                    <w:top w:val="none" w:sz="0" w:space="0" w:color="auto"/>
                    <w:left w:val="none" w:sz="0" w:space="0" w:color="auto"/>
                    <w:bottom w:val="none" w:sz="0" w:space="0" w:color="auto"/>
                    <w:right w:val="none" w:sz="0" w:space="0" w:color="auto"/>
                  </w:divBdr>
                  <w:divsChild>
                    <w:div w:id="1316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4686">
      <w:bodyDiv w:val="1"/>
      <w:marLeft w:val="0"/>
      <w:marRight w:val="0"/>
      <w:marTop w:val="0"/>
      <w:marBottom w:val="0"/>
      <w:divBdr>
        <w:top w:val="none" w:sz="0" w:space="0" w:color="auto"/>
        <w:left w:val="none" w:sz="0" w:space="0" w:color="auto"/>
        <w:bottom w:val="none" w:sz="0" w:space="0" w:color="auto"/>
        <w:right w:val="none" w:sz="0" w:space="0" w:color="auto"/>
      </w:divBdr>
      <w:divsChild>
        <w:div w:id="948465945">
          <w:marLeft w:val="0"/>
          <w:marRight w:val="0"/>
          <w:marTop w:val="0"/>
          <w:marBottom w:val="0"/>
          <w:divBdr>
            <w:top w:val="none" w:sz="0" w:space="0" w:color="auto"/>
            <w:left w:val="none" w:sz="0" w:space="0" w:color="auto"/>
            <w:bottom w:val="none" w:sz="0" w:space="0" w:color="auto"/>
            <w:right w:val="none" w:sz="0" w:space="0" w:color="auto"/>
          </w:divBdr>
          <w:divsChild>
            <w:div w:id="980422215">
              <w:marLeft w:val="0"/>
              <w:marRight w:val="0"/>
              <w:marTop w:val="0"/>
              <w:marBottom w:val="0"/>
              <w:divBdr>
                <w:top w:val="none" w:sz="0" w:space="0" w:color="auto"/>
                <w:left w:val="none" w:sz="0" w:space="0" w:color="auto"/>
                <w:bottom w:val="none" w:sz="0" w:space="0" w:color="auto"/>
                <w:right w:val="none" w:sz="0" w:space="0" w:color="auto"/>
              </w:divBdr>
              <w:divsChild>
                <w:div w:id="11612108">
                  <w:marLeft w:val="0"/>
                  <w:marRight w:val="0"/>
                  <w:marTop w:val="0"/>
                  <w:marBottom w:val="0"/>
                  <w:divBdr>
                    <w:top w:val="none" w:sz="0" w:space="0" w:color="auto"/>
                    <w:left w:val="none" w:sz="0" w:space="0" w:color="auto"/>
                    <w:bottom w:val="none" w:sz="0" w:space="0" w:color="auto"/>
                    <w:right w:val="none" w:sz="0" w:space="0" w:color="auto"/>
                  </w:divBdr>
                  <w:divsChild>
                    <w:div w:id="1908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4114">
      <w:bodyDiv w:val="1"/>
      <w:marLeft w:val="0"/>
      <w:marRight w:val="0"/>
      <w:marTop w:val="0"/>
      <w:marBottom w:val="0"/>
      <w:divBdr>
        <w:top w:val="none" w:sz="0" w:space="0" w:color="auto"/>
        <w:left w:val="none" w:sz="0" w:space="0" w:color="auto"/>
        <w:bottom w:val="none" w:sz="0" w:space="0" w:color="auto"/>
        <w:right w:val="none" w:sz="0" w:space="0" w:color="auto"/>
      </w:divBdr>
    </w:div>
    <w:div w:id="56438099">
      <w:bodyDiv w:val="1"/>
      <w:marLeft w:val="0"/>
      <w:marRight w:val="0"/>
      <w:marTop w:val="0"/>
      <w:marBottom w:val="0"/>
      <w:divBdr>
        <w:top w:val="none" w:sz="0" w:space="0" w:color="auto"/>
        <w:left w:val="none" w:sz="0" w:space="0" w:color="auto"/>
        <w:bottom w:val="none" w:sz="0" w:space="0" w:color="auto"/>
        <w:right w:val="none" w:sz="0" w:space="0" w:color="auto"/>
      </w:divBdr>
    </w:div>
    <w:div w:id="200561523">
      <w:bodyDiv w:val="1"/>
      <w:marLeft w:val="0"/>
      <w:marRight w:val="0"/>
      <w:marTop w:val="0"/>
      <w:marBottom w:val="0"/>
      <w:divBdr>
        <w:top w:val="none" w:sz="0" w:space="0" w:color="auto"/>
        <w:left w:val="none" w:sz="0" w:space="0" w:color="auto"/>
        <w:bottom w:val="none" w:sz="0" w:space="0" w:color="auto"/>
        <w:right w:val="none" w:sz="0" w:space="0" w:color="auto"/>
      </w:divBdr>
      <w:divsChild>
        <w:div w:id="71047273">
          <w:marLeft w:val="0"/>
          <w:marRight w:val="0"/>
          <w:marTop w:val="0"/>
          <w:marBottom w:val="0"/>
          <w:divBdr>
            <w:top w:val="none" w:sz="0" w:space="0" w:color="auto"/>
            <w:left w:val="none" w:sz="0" w:space="0" w:color="auto"/>
            <w:bottom w:val="none" w:sz="0" w:space="0" w:color="auto"/>
            <w:right w:val="none" w:sz="0" w:space="0" w:color="auto"/>
          </w:divBdr>
          <w:divsChild>
            <w:div w:id="1849128081">
              <w:marLeft w:val="0"/>
              <w:marRight w:val="0"/>
              <w:marTop w:val="0"/>
              <w:marBottom w:val="0"/>
              <w:divBdr>
                <w:top w:val="none" w:sz="0" w:space="0" w:color="auto"/>
                <w:left w:val="none" w:sz="0" w:space="0" w:color="auto"/>
                <w:bottom w:val="none" w:sz="0" w:space="0" w:color="auto"/>
                <w:right w:val="none" w:sz="0" w:space="0" w:color="auto"/>
              </w:divBdr>
              <w:divsChild>
                <w:div w:id="902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1719">
      <w:bodyDiv w:val="1"/>
      <w:marLeft w:val="0"/>
      <w:marRight w:val="0"/>
      <w:marTop w:val="0"/>
      <w:marBottom w:val="0"/>
      <w:divBdr>
        <w:top w:val="none" w:sz="0" w:space="0" w:color="auto"/>
        <w:left w:val="none" w:sz="0" w:space="0" w:color="auto"/>
        <w:bottom w:val="none" w:sz="0" w:space="0" w:color="auto"/>
        <w:right w:val="none" w:sz="0" w:space="0" w:color="auto"/>
      </w:divBdr>
    </w:div>
    <w:div w:id="268590518">
      <w:bodyDiv w:val="1"/>
      <w:marLeft w:val="0"/>
      <w:marRight w:val="0"/>
      <w:marTop w:val="0"/>
      <w:marBottom w:val="0"/>
      <w:divBdr>
        <w:top w:val="none" w:sz="0" w:space="0" w:color="auto"/>
        <w:left w:val="none" w:sz="0" w:space="0" w:color="auto"/>
        <w:bottom w:val="none" w:sz="0" w:space="0" w:color="auto"/>
        <w:right w:val="none" w:sz="0" w:space="0" w:color="auto"/>
      </w:divBdr>
    </w:div>
    <w:div w:id="303049472">
      <w:bodyDiv w:val="1"/>
      <w:marLeft w:val="0"/>
      <w:marRight w:val="0"/>
      <w:marTop w:val="0"/>
      <w:marBottom w:val="0"/>
      <w:divBdr>
        <w:top w:val="none" w:sz="0" w:space="0" w:color="auto"/>
        <w:left w:val="none" w:sz="0" w:space="0" w:color="auto"/>
        <w:bottom w:val="none" w:sz="0" w:space="0" w:color="auto"/>
        <w:right w:val="none" w:sz="0" w:space="0" w:color="auto"/>
      </w:divBdr>
    </w:div>
    <w:div w:id="328018222">
      <w:bodyDiv w:val="1"/>
      <w:marLeft w:val="0"/>
      <w:marRight w:val="0"/>
      <w:marTop w:val="0"/>
      <w:marBottom w:val="0"/>
      <w:divBdr>
        <w:top w:val="none" w:sz="0" w:space="0" w:color="auto"/>
        <w:left w:val="none" w:sz="0" w:space="0" w:color="auto"/>
        <w:bottom w:val="none" w:sz="0" w:space="0" w:color="auto"/>
        <w:right w:val="none" w:sz="0" w:space="0" w:color="auto"/>
      </w:divBdr>
    </w:div>
    <w:div w:id="335154117">
      <w:bodyDiv w:val="1"/>
      <w:marLeft w:val="0"/>
      <w:marRight w:val="0"/>
      <w:marTop w:val="0"/>
      <w:marBottom w:val="0"/>
      <w:divBdr>
        <w:top w:val="none" w:sz="0" w:space="0" w:color="auto"/>
        <w:left w:val="none" w:sz="0" w:space="0" w:color="auto"/>
        <w:bottom w:val="none" w:sz="0" w:space="0" w:color="auto"/>
        <w:right w:val="none" w:sz="0" w:space="0" w:color="auto"/>
      </w:divBdr>
      <w:divsChild>
        <w:div w:id="55932410">
          <w:marLeft w:val="0"/>
          <w:marRight w:val="0"/>
          <w:marTop w:val="0"/>
          <w:marBottom w:val="0"/>
          <w:divBdr>
            <w:top w:val="none" w:sz="0" w:space="0" w:color="auto"/>
            <w:left w:val="none" w:sz="0" w:space="0" w:color="auto"/>
            <w:bottom w:val="none" w:sz="0" w:space="0" w:color="auto"/>
            <w:right w:val="none" w:sz="0" w:space="0" w:color="auto"/>
          </w:divBdr>
          <w:divsChild>
            <w:div w:id="1966888562">
              <w:marLeft w:val="0"/>
              <w:marRight w:val="0"/>
              <w:marTop w:val="0"/>
              <w:marBottom w:val="0"/>
              <w:divBdr>
                <w:top w:val="none" w:sz="0" w:space="0" w:color="auto"/>
                <w:left w:val="none" w:sz="0" w:space="0" w:color="auto"/>
                <w:bottom w:val="none" w:sz="0" w:space="0" w:color="auto"/>
                <w:right w:val="none" w:sz="0" w:space="0" w:color="auto"/>
              </w:divBdr>
              <w:divsChild>
                <w:div w:id="1507668445">
                  <w:marLeft w:val="0"/>
                  <w:marRight w:val="0"/>
                  <w:marTop w:val="0"/>
                  <w:marBottom w:val="0"/>
                  <w:divBdr>
                    <w:top w:val="none" w:sz="0" w:space="0" w:color="auto"/>
                    <w:left w:val="none" w:sz="0" w:space="0" w:color="auto"/>
                    <w:bottom w:val="none" w:sz="0" w:space="0" w:color="auto"/>
                    <w:right w:val="none" w:sz="0" w:space="0" w:color="auto"/>
                  </w:divBdr>
                  <w:divsChild>
                    <w:div w:id="21404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673331">
      <w:bodyDiv w:val="1"/>
      <w:marLeft w:val="0"/>
      <w:marRight w:val="0"/>
      <w:marTop w:val="0"/>
      <w:marBottom w:val="0"/>
      <w:divBdr>
        <w:top w:val="none" w:sz="0" w:space="0" w:color="auto"/>
        <w:left w:val="none" w:sz="0" w:space="0" w:color="auto"/>
        <w:bottom w:val="none" w:sz="0" w:space="0" w:color="auto"/>
        <w:right w:val="none" w:sz="0" w:space="0" w:color="auto"/>
      </w:divBdr>
      <w:divsChild>
        <w:div w:id="1309092017">
          <w:marLeft w:val="0"/>
          <w:marRight w:val="0"/>
          <w:marTop w:val="0"/>
          <w:marBottom w:val="0"/>
          <w:divBdr>
            <w:top w:val="none" w:sz="0" w:space="0" w:color="auto"/>
            <w:left w:val="none" w:sz="0" w:space="0" w:color="auto"/>
            <w:bottom w:val="none" w:sz="0" w:space="0" w:color="auto"/>
            <w:right w:val="none" w:sz="0" w:space="0" w:color="auto"/>
          </w:divBdr>
          <w:divsChild>
            <w:div w:id="1581678433">
              <w:marLeft w:val="0"/>
              <w:marRight w:val="0"/>
              <w:marTop w:val="0"/>
              <w:marBottom w:val="0"/>
              <w:divBdr>
                <w:top w:val="none" w:sz="0" w:space="0" w:color="auto"/>
                <w:left w:val="none" w:sz="0" w:space="0" w:color="auto"/>
                <w:bottom w:val="none" w:sz="0" w:space="0" w:color="auto"/>
                <w:right w:val="none" w:sz="0" w:space="0" w:color="auto"/>
              </w:divBdr>
              <w:divsChild>
                <w:div w:id="1159738027">
                  <w:marLeft w:val="0"/>
                  <w:marRight w:val="0"/>
                  <w:marTop w:val="0"/>
                  <w:marBottom w:val="0"/>
                  <w:divBdr>
                    <w:top w:val="none" w:sz="0" w:space="0" w:color="auto"/>
                    <w:left w:val="none" w:sz="0" w:space="0" w:color="auto"/>
                    <w:bottom w:val="none" w:sz="0" w:space="0" w:color="auto"/>
                    <w:right w:val="none" w:sz="0" w:space="0" w:color="auto"/>
                  </w:divBdr>
                  <w:divsChild>
                    <w:div w:id="12900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3881">
      <w:bodyDiv w:val="1"/>
      <w:marLeft w:val="0"/>
      <w:marRight w:val="0"/>
      <w:marTop w:val="0"/>
      <w:marBottom w:val="0"/>
      <w:divBdr>
        <w:top w:val="none" w:sz="0" w:space="0" w:color="auto"/>
        <w:left w:val="none" w:sz="0" w:space="0" w:color="auto"/>
        <w:bottom w:val="none" w:sz="0" w:space="0" w:color="auto"/>
        <w:right w:val="none" w:sz="0" w:space="0" w:color="auto"/>
      </w:divBdr>
    </w:div>
    <w:div w:id="381948227">
      <w:bodyDiv w:val="1"/>
      <w:marLeft w:val="0"/>
      <w:marRight w:val="0"/>
      <w:marTop w:val="0"/>
      <w:marBottom w:val="0"/>
      <w:divBdr>
        <w:top w:val="none" w:sz="0" w:space="0" w:color="auto"/>
        <w:left w:val="none" w:sz="0" w:space="0" w:color="auto"/>
        <w:bottom w:val="none" w:sz="0" w:space="0" w:color="auto"/>
        <w:right w:val="none" w:sz="0" w:space="0" w:color="auto"/>
      </w:divBdr>
    </w:div>
    <w:div w:id="473568051">
      <w:bodyDiv w:val="1"/>
      <w:marLeft w:val="0"/>
      <w:marRight w:val="0"/>
      <w:marTop w:val="0"/>
      <w:marBottom w:val="0"/>
      <w:divBdr>
        <w:top w:val="none" w:sz="0" w:space="0" w:color="auto"/>
        <w:left w:val="none" w:sz="0" w:space="0" w:color="auto"/>
        <w:bottom w:val="none" w:sz="0" w:space="0" w:color="auto"/>
        <w:right w:val="none" w:sz="0" w:space="0" w:color="auto"/>
      </w:divBdr>
    </w:div>
    <w:div w:id="504438102">
      <w:bodyDiv w:val="1"/>
      <w:marLeft w:val="0"/>
      <w:marRight w:val="0"/>
      <w:marTop w:val="0"/>
      <w:marBottom w:val="0"/>
      <w:divBdr>
        <w:top w:val="none" w:sz="0" w:space="0" w:color="auto"/>
        <w:left w:val="none" w:sz="0" w:space="0" w:color="auto"/>
        <w:bottom w:val="none" w:sz="0" w:space="0" w:color="auto"/>
        <w:right w:val="none" w:sz="0" w:space="0" w:color="auto"/>
      </w:divBdr>
    </w:div>
    <w:div w:id="506215936">
      <w:bodyDiv w:val="1"/>
      <w:marLeft w:val="0"/>
      <w:marRight w:val="0"/>
      <w:marTop w:val="0"/>
      <w:marBottom w:val="0"/>
      <w:divBdr>
        <w:top w:val="none" w:sz="0" w:space="0" w:color="auto"/>
        <w:left w:val="none" w:sz="0" w:space="0" w:color="auto"/>
        <w:bottom w:val="none" w:sz="0" w:space="0" w:color="auto"/>
        <w:right w:val="none" w:sz="0" w:space="0" w:color="auto"/>
      </w:divBdr>
      <w:divsChild>
        <w:div w:id="358625881">
          <w:marLeft w:val="0"/>
          <w:marRight w:val="0"/>
          <w:marTop w:val="0"/>
          <w:marBottom w:val="0"/>
          <w:divBdr>
            <w:top w:val="none" w:sz="0" w:space="0" w:color="auto"/>
            <w:left w:val="none" w:sz="0" w:space="0" w:color="auto"/>
            <w:bottom w:val="none" w:sz="0" w:space="0" w:color="auto"/>
            <w:right w:val="none" w:sz="0" w:space="0" w:color="auto"/>
          </w:divBdr>
          <w:divsChild>
            <w:div w:id="551233599">
              <w:marLeft w:val="0"/>
              <w:marRight w:val="0"/>
              <w:marTop w:val="0"/>
              <w:marBottom w:val="0"/>
              <w:divBdr>
                <w:top w:val="none" w:sz="0" w:space="0" w:color="auto"/>
                <w:left w:val="none" w:sz="0" w:space="0" w:color="auto"/>
                <w:bottom w:val="none" w:sz="0" w:space="0" w:color="auto"/>
                <w:right w:val="none" w:sz="0" w:space="0" w:color="auto"/>
              </w:divBdr>
              <w:divsChild>
                <w:div w:id="5604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5875">
      <w:bodyDiv w:val="1"/>
      <w:marLeft w:val="0"/>
      <w:marRight w:val="0"/>
      <w:marTop w:val="0"/>
      <w:marBottom w:val="0"/>
      <w:divBdr>
        <w:top w:val="none" w:sz="0" w:space="0" w:color="auto"/>
        <w:left w:val="none" w:sz="0" w:space="0" w:color="auto"/>
        <w:bottom w:val="none" w:sz="0" w:space="0" w:color="auto"/>
        <w:right w:val="none" w:sz="0" w:space="0" w:color="auto"/>
      </w:divBdr>
      <w:divsChild>
        <w:div w:id="343047825">
          <w:marLeft w:val="0"/>
          <w:marRight w:val="0"/>
          <w:marTop w:val="0"/>
          <w:marBottom w:val="0"/>
          <w:divBdr>
            <w:top w:val="none" w:sz="0" w:space="0" w:color="auto"/>
            <w:left w:val="none" w:sz="0" w:space="0" w:color="auto"/>
            <w:bottom w:val="none" w:sz="0" w:space="0" w:color="auto"/>
            <w:right w:val="none" w:sz="0" w:space="0" w:color="auto"/>
          </w:divBdr>
          <w:divsChild>
            <w:div w:id="1798833890">
              <w:marLeft w:val="0"/>
              <w:marRight w:val="0"/>
              <w:marTop w:val="0"/>
              <w:marBottom w:val="0"/>
              <w:divBdr>
                <w:top w:val="none" w:sz="0" w:space="0" w:color="auto"/>
                <w:left w:val="none" w:sz="0" w:space="0" w:color="auto"/>
                <w:bottom w:val="none" w:sz="0" w:space="0" w:color="auto"/>
                <w:right w:val="none" w:sz="0" w:space="0" w:color="auto"/>
              </w:divBdr>
              <w:divsChild>
                <w:div w:id="1435788771">
                  <w:marLeft w:val="0"/>
                  <w:marRight w:val="0"/>
                  <w:marTop w:val="0"/>
                  <w:marBottom w:val="0"/>
                  <w:divBdr>
                    <w:top w:val="none" w:sz="0" w:space="0" w:color="auto"/>
                    <w:left w:val="none" w:sz="0" w:space="0" w:color="auto"/>
                    <w:bottom w:val="none" w:sz="0" w:space="0" w:color="auto"/>
                    <w:right w:val="none" w:sz="0" w:space="0" w:color="auto"/>
                  </w:divBdr>
                  <w:divsChild>
                    <w:div w:id="260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387363">
      <w:bodyDiv w:val="1"/>
      <w:marLeft w:val="0"/>
      <w:marRight w:val="0"/>
      <w:marTop w:val="0"/>
      <w:marBottom w:val="0"/>
      <w:divBdr>
        <w:top w:val="none" w:sz="0" w:space="0" w:color="auto"/>
        <w:left w:val="none" w:sz="0" w:space="0" w:color="auto"/>
        <w:bottom w:val="none" w:sz="0" w:space="0" w:color="auto"/>
        <w:right w:val="none" w:sz="0" w:space="0" w:color="auto"/>
      </w:divBdr>
    </w:div>
    <w:div w:id="682780072">
      <w:bodyDiv w:val="1"/>
      <w:marLeft w:val="0"/>
      <w:marRight w:val="0"/>
      <w:marTop w:val="0"/>
      <w:marBottom w:val="0"/>
      <w:divBdr>
        <w:top w:val="none" w:sz="0" w:space="0" w:color="auto"/>
        <w:left w:val="none" w:sz="0" w:space="0" w:color="auto"/>
        <w:bottom w:val="none" w:sz="0" w:space="0" w:color="auto"/>
        <w:right w:val="none" w:sz="0" w:space="0" w:color="auto"/>
      </w:divBdr>
      <w:divsChild>
        <w:div w:id="523397719">
          <w:marLeft w:val="0"/>
          <w:marRight w:val="0"/>
          <w:marTop w:val="0"/>
          <w:marBottom w:val="0"/>
          <w:divBdr>
            <w:top w:val="none" w:sz="0" w:space="0" w:color="auto"/>
            <w:left w:val="none" w:sz="0" w:space="0" w:color="auto"/>
            <w:bottom w:val="none" w:sz="0" w:space="0" w:color="auto"/>
            <w:right w:val="none" w:sz="0" w:space="0" w:color="auto"/>
          </w:divBdr>
          <w:divsChild>
            <w:div w:id="160894090">
              <w:marLeft w:val="0"/>
              <w:marRight w:val="0"/>
              <w:marTop w:val="0"/>
              <w:marBottom w:val="0"/>
              <w:divBdr>
                <w:top w:val="none" w:sz="0" w:space="0" w:color="auto"/>
                <w:left w:val="none" w:sz="0" w:space="0" w:color="auto"/>
                <w:bottom w:val="none" w:sz="0" w:space="0" w:color="auto"/>
                <w:right w:val="none" w:sz="0" w:space="0" w:color="auto"/>
              </w:divBdr>
              <w:divsChild>
                <w:div w:id="8400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47170">
      <w:bodyDiv w:val="1"/>
      <w:marLeft w:val="0"/>
      <w:marRight w:val="0"/>
      <w:marTop w:val="0"/>
      <w:marBottom w:val="0"/>
      <w:divBdr>
        <w:top w:val="none" w:sz="0" w:space="0" w:color="auto"/>
        <w:left w:val="none" w:sz="0" w:space="0" w:color="auto"/>
        <w:bottom w:val="none" w:sz="0" w:space="0" w:color="auto"/>
        <w:right w:val="none" w:sz="0" w:space="0" w:color="auto"/>
      </w:divBdr>
      <w:divsChild>
        <w:div w:id="914972494">
          <w:marLeft w:val="0"/>
          <w:marRight w:val="0"/>
          <w:marTop w:val="0"/>
          <w:marBottom w:val="0"/>
          <w:divBdr>
            <w:top w:val="none" w:sz="0" w:space="0" w:color="auto"/>
            <w:left w:val="none" w:sz="0" w:space="0" w:color="auto"/>
            <w:bottom w:val="none" w:sz="0" w:space="0" w:color="auto"/>
            <w:right w:val="none" w:sz="0" w:space="0" w:color="auto"/>
          </w:divBdr>
          <w:divsChild>
            <w:div w:id="50617024">
              <w:marLeft w:val="0"/>
              <w:marRight w:val="0"/>
              <w:marTop w:val="0"/>
              <w:marBottom w:val="0"/>
              <w:divBdr>
                <w:top w:val="none" w:sz="0" w:space="0" w:color="auto"/>
                <w:left w:val="none" w:sz="0" w:space="0" w:color="auto"/>
                <w:bottom w:val="none" w:sz="0" w:space="0" w:color="auto"/>
                <w:right w:val="none" w:sz="0" w:space="0" w:color="auto"/>
              </w:divBdr>
              <w:divsChild>
                <w:div w:id="2120710867">
                  <w:marLeft w:val="0"/>
                  <w:marRight w:val="0"/>
                  <w:marTop w:val="0"/>
                  <w:marBottom w:val="0"/>
                  <w:divBdr>
                    <w:top w:val="none" w:sz="0" w:space="0" w:color="auto"/>
                    <w:left w:val="none" w:sz="0" w:space="0" w:color="auto"/>
                    <w:bottom w:val="none" w:sz="0" w:space="0" w:color="auto"/>
                    <w:right w:val="none" w:sz="0" w:space="0" w:color="auto"/>
                  </w:divBdr>
                  <w:divsChild>
                    <w:div w:id="321740910">
                      <w:marLeft w:val="0"/>
                      <w:marRight w:val="0"/>
                      <w:marTop w:val="0"/>
                      <w:marBottom w:val="0"/>
                      <w:divBdr>
                        <w:top w:val="none" w:sz="0" w:space="0" w:color="auto"/>
                        <w:left w:val="none" w:sz="0" w:space="0" w:color="auto"/>
                        <w:bottom w:val="none" w:sz="0" w:space="0" w:color="auto"/>
                        <w:right w:val="none" w:sz="0" w:space="0" w:color="auto"/>
                      </w:divBdr>
                      <w:divsChild>
                        <w:div w:id="218829204">
                          <w:marLeft w:val="0"/>
                          <w:marRight w:val="0"/>
                          <w:marTop w:val="0"/>
                          <w:marBottom w:val="0"/>
                          <w:divBdr>
                            <w:top w:val="none" w:sz="0" w:space="0" w:color="auto"/>
                            <w:left w:val="none" w:sz="0" w:space="0" w:color="auto"/>
                            <w:bottom w:val="none" w:sz="0" w:space="0" w:color="auto"/>
                            <w:right w:val="none" w:sz="0" w:space="0" w:color="auto"/>
                          </w:divBdr>
                          <w:divsChild>
                            <w:div w:id="1341741837">
                              <w:marLeft w:val="0"/>
                              <w:marRight w:val="0"/>
                              <w:marTop w:val="0"/>
                              <w:marBottom w:val="0"/>
                              <w:divBdr>
                                <w:top w:val="none" w:sz="0" w:space="0" w:color="auto"/>
                                <w:left w:val="none" w:sz="0" w:space="0" w:color="auto"/>
                                <w:bottom w:val="none" w:sz="0" w:space="0" w:color="auto"/>
                                <w:right w:val="none" w:sz="0" w:space="0" w:color="auto"/>
                              </w:divBdr>
                              <w:divsChild>
                                <w:div w:id="553783012">
                                  <w:marLeft w:val="0"/>
                                  <w:marRight w:val="0"/>
                                  <w:marTop w:val="0"/>
                                  <w:marBottom w:val="0"/>
                                  <w:divBdr>
                                    <w:top w:val="none" w:sz="0" w:space="0" w:color="auto"/>
                                    <w:left w:val="none" w:sz="0" w:space="0" w:color="auto"/>
                                    <w:bottom w:val="none" w:sz="0" w:space="0" w:color="auto"/>
                                    <w:right w:val="none" w:sz="0" w:space="0" w:color="auto"/>
                                  </w:divBdr>
                                  <w:divsChild>
                                    <w:div w:id="38013067">
                                      <w:marLeft w:val="0"/>
                                      <w:marRight w:val="0"/>
                                      <w:marTop w:val="0"/>
                                      <w:marBottom w:val="0"/>
                                      <w:divBdr>
                                        <w:top w:val="none" w:sz="0" w:space="0" w:color="auto"/>
                                        <w:left w:val="none" w:sz="0" w:space="0" w:color="auto"/>
                                        <w:bottom w:val="none" w:sz="0" w:space="0" w:color="auto"/>
                                        <w:right w:val="none" w:sz="0" w:space="0" w:color="auto"/>
                                      </w:divBdr>
                                      <w:divsChild>
                                        <w:div w:id="1411000616">
                                          <w:marLeft w:val="0"/>
                                          <w:marRight w:val="0"/>
                                          <w:marTop w:val="0"/>
                                          <w:marBottom w:val="0"/>
                                          <w:divBdr>
                                            <w:top w:val="none" w:sz="0" w:space="0" w:color="auto"/>
                                            <w:left w:val="none" w:sz="0" w:space="0" w:color="auto"/>
                                            <w:bottom w:val="none" w:sz="0" w:space="0" w:color="auto"/>
                                            <w:right w:val="none" w:sz="0" w:space="0" w:color="auto"/>
                                          </w:divBdr>
                                          <w:divsChild>
                                            <w:div w:id="5405669">
                                              <w:marLeft w:val="0"/>
                                              <w:marRight w:val="0"/>
                                              <w:marTop w:val="0"/>
                                              <w:marBottom w:val="0"/>
                                              <w:divBdr>
                                                <w:top w:val="none" w:sz="0" w:space="0" w:color="auto"/>
                                                <w:left w:val="none" w:sz="0" w:space="0" w:color="auto"/>
                                                <w:bottom w:val="none" w:sz="0" w:space="0" w:color="auto"/>
                                                <w:right w:val="none" w:sz="0" w:space="0" w:color="auto"/>
                                              </w:divBdr>
                                              <w:divsChild>
                                                <w:div w:id="323896234">
                                                  <w:marLeft w:val="0"/>
                                                  <w:marRight w:val="0"/>
                                                  <w:marTop w:val="0"/>
                                                  <w:marBottom w:val="0"/>
                                                  <w:divBdr>
                                                    <w:top w:val="none" w:sz="0" w:space="0" w:color="auto"/>
                                                    <w:left w:val="none" w:sz="0" w:space="0" w:color="auto"/>
                                                    <w:bottom w:val="none" w:sz="0" w:space="0" w:color="auto"/>
                                                    <w:right w:val="none" w:sz="0" w:space="0" w:color="auto"/>
                                                  </w:divBdr>
                                                  <w:divsChild>
                                                    <w:div w:id="2123332069">
                                                      <w:marLeft w:val="0"/>
                                                      <w:marRight w:val="0"/>
                                                      <w:marTop w:val="0"/>
                                                      <w:marBottom w:val="0"/>
                                                      <w:divBdr>
                                                        <w:top w:val="none" w:sz="0" w:space="0" w:color="auto"/>
                                                        <w:left w:val="none" w:sz="0" w:space="0" w:color="auto"/>
                                                        <w:bottom w:val="none" w:sz="0" w:space="0" w:color="auto"/>
                                                        <w:right w:val="none" w:sz="0" w:space="0" w:color="auto"/>
                                                      </w:divBdr>
                                                      <w:divsChild>
                                                        <w:div w:id="578750818">
                                                          <w:marLeft w:val="0"/>
                                                          <w:marRight w:val="0"/>
                                                          <w:marTop w:val="0"/>
                                                          <w:marBottom w:val="0"/>
                                                          <w:divBdr>
                                                            <w:top w:val="none" w:sz="0" w:space="0" w:color="auto"/>
                                                            <w:left w:val="none" w:sz="0" w:space="0" w:color="auto"/>
                                                            <w:bottom w:val="none" w:sz="0" w:space="0" w:color="auto"/>
                                                            <w:right w:val="none" w:sz="0" w:space="0" w:color="auto"/>
                                                          </w:divBdr>
                                                          <w:divsChild>
                                                            <w:div w:id="2101751624">
                                                              <w:marLeft w:val="0"/>
                                                              <w:marRight w:val="0"/>
                                                              <w:marTop w:val="0"/>
                                                              <w:marBottom w:val="0"/>
                                                              <w:divBdr>
                                                                <w:top w:val="none" w:sz="0" w:space="0" w:color="auto"/>
                                                                <w:left w:val="none" w:sz="0" w:space="0" w:color="auto"/>
                                                                <w:bottom w:val="none" w:sz="0" w:space="0" w:color="auto"/>
                                                                <w:right w:val="none" w:sz="0" w:space="0" w:color="auto"/>
                                                              </w:divBdr>
                                                              <w:divsChild>
                                                                <w:div w:id="1465466431">
                                                                  <w:marLeft w:val="0"/>
                                                                  <w:marRight w:val="0"/>
                                                                  <w:marTop w:val="0"/>
                                                                  <w:marBottom w:val="0"/>
                                                                  <w:divBdr>
                                                                    <w:top w:val="none" w:sz="0" w:space="0" w:color="auto"/>
                                                                    <w:left w:val="none" w:sz="0" w:space="0" w:color="auto"/>
                                                                    <w:bottom w:val="none" w:sz="0" w:space="0" w:color="auto"/>
                                                                    <w:right w:val="none" w:sz="0" w:space="0" w:color="auto"/>
                                                                  </w:divBdr>
                                                                  <w:divsChild>
                                                                    <w:div w:id="453447885">
                                                                      <w:marLeft w:val="0"/>
                                                                      <w:marRight w:val="0"/>
                                                                      <w:marTop w:val="0"/>
                                                                      <w:marBottom w:val="0"/>
                                                                      <w:divBdr>
                                                                        <w:top w:val="none" w:sz="0" w:space="0" w:color="auto"/>
                                                                        <w:left w:val="none" w:sz="0" w:space="0" w:color="auto"/>
                                                                        <w:bottom w:val="none" w:sz="0" w:space="0" w:color="auto"/>
                                                                        <w:right w:val="none" w:sz="0" w:space="0" w:color="auto"/>
                                                                      </w:divBdr>
                                                                      <w:divsChild>
                                                                        <w:div w:id="1320232600">
                                                                          <w:marLeft w:val="0"/>
                                                                          <w:marRight w:val="0"/>
                                                                          <w:marTop w:val="0"/>
                                                                          <w:marBottom w:val="0"/>
                                                                          <w:divBdr>
                                                                            <w:top w:val="none" w:sz="0" w:space="0" w:color="auto"/>
                                                                            <w:left w:val="none" w:sz="0" w:space="0" w:color="auto"/>
                                                                            <w:bottom w:val="none" w:sz="0" w:space="0" w:color="auto"/>
                                                                            <w:right w:val="none" w:sz="0" w:space="0" w:color="auto"/>
                                                                          </w:divBdr>
                                                                          <w:divsChild>
                                                                            <w:div w:id="136119253">
                                                                              <w:marLeft w:val="0"/>
                                                                              <w:marRight w:val="0"/>
                                                                              <w:marTop w:val="0"/>
                                                                              <w:marBottom w:val="0"/>
                                                                              <w:divBdr>
                                                                                <w:top w:val="none" w:sz="0" w:space="0" w:color="auto"/>
                                                                                <w:left w:val="none" w:sz="0" w:space="0" w:color="auto"/>
                                                                                <w:bottom w:val="none" w:sz="0" w:space="0" w:color="auto"/>
                                                                                <w:right w:val="none" w:sz="0" w:space="0" w:color="auto"/>
                                                                              </w:divBdr>
                                                                              <w:divsChild>
                                                                                <w:div w:id="667943376">
                                                                                  <w:marLeft w:val="0"/>
                                                                                  <w:marRight w:val="0"/>
                                                                                  <w:marTop w:val="0"/>
                                                                                  <w:marBottom w:val="0"/>
                                                                                  <w:divBdr>
                                                                                    <w:top w:val="none" w:sz="0" w:space="0" w:color="auto"/>
                                                                                    <w:left w:val="none" w:sz="0" w:space="0" w:color="auto"/>
                                                                                    <w:bottom w:val="none" w:sz="0" w:space="0" w:color="auto"/>
                                                                                    <w:right w:val="none" w:sz="0" w:space="0" w:color="auto"/>
                                                                                  </w:divBdr>
                                                                                  <w:divsChild>
                                                                                    <w:div w:id="460659328">
                                                                                      <w:marLeft w:val="0"/>
                                                                                      <w:marRight w:val="0"/>
                                                                                      <w:marTop w:val="0"/>
                                                                                      <w:marBottom w:val="0"/>
                                                                                      <w:divBdr>
                                                                                        <w:top w:val="none" w:sz="0" w:space="0" w:color="auto"/>
                                                                                        <w:left w:val="none" w:sz="0" w:space="0" w:color="auto"/>
                                                                                        <w:bottom w:val="none" w:sz="0" w:space="0" w:color="auto"/>
                                                                                        <w:right w:val="none" w:sz="0" w:space="0" w:color="auto"/>
                                                                                      </w:divBdr>
                                                                                      <w:divsChild>
                                                                                        <w:div w:id="1476069119">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sChild>
                                                                                                <w:div w:id="9409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669374">
      <w:bodyDiv w:val="1"/>
      <w:marLeft w:val="0"/>
      <w:marRight w:val="0"/>
      <w:marTop w:val="0"/>
      <w:marBottom w:val="0"/>
      <w:divBdr>
        <w:top w:val="none" w:sz="0" w:space="0" w:color="auto"/>
        <w:left w:val="none" w:sz="0" w:space="0" w:color="auto"/>
        <w:bottom w:val="none" w:sz="0" w:space="0" w:color="auto"/>
        <w:right w:val="none" w:sz="0" w:space="0" w:color="auto"/>
      </w:divBdr>
    </w:div>
    <w:div w:id="789015237">
      <w:bodyDiv w:val="1"/>
      <w:marLeft w:val="0"/>
      <w:marRight w:val="0"/>
      <w:marTop w:val="0"/>
      <w:marBottom w:val="0"/>
      <w:divBdr>
        <w:top w:val="none" w:sz="0" w:space="0" w:color="auto"/>
        <w:left w:val="none" w:sz="0" w:space="0" w:color="auto"/>
        <w:bottom w:val="none" w:sz="0" w:space="0" w:color="auto"/>
        <w:right w:val="none" w:sz="0" w:space="0" w:color="auto"/>
      </w:divBdr>
    </w:div>
    <w:div w:id="810707978">
      <w:bodyDiv w:val="1"/>
      <w:marLeft w:val="0"/>
      <w:marRight w:val="0"/>
      <w:marTop w:val="0"/>
      <w:marBottom w:val="0"/>
      <w:divBdr>
        <w:top w:val="none" w:sz="0" w:space="0" w:color="auto"/>
        <w:left w:val="none" w:sz="0" w:space="0" w:color="auto"/>
        <w:bottom w:val="none" w:sz="0" w:space="0" w:color="auto"/>
        <w:right w:val="none" w:sz="0" w:space="0" w:color="auto"/>
      </w:divBdr>
      <w:divsChild>
        <w:div w:id="1952975477">
          <w:marLeft w:val="0"/>
          <w:marRight w:val="0"/>
          <w:marTop w:val="0"/>
          <w:marBottom w:val="0"/>
          <w:divBdr>
            <w:top w:val="none" w:sz="0" w:space="0" w:color="auto"/>
            <w:left w:val="none" w:sz="0" w:space="0" w:color="auto"/>
            <w:bottom w:val="none" w:sz="0" w:space="0" w:color="auto"/>
            <w:right w:val="none" w:sz="0" w:space="0" w:color="auto"/>
          </w:divBdr>
          <w:divsChild>
            <w:div w:id="1609072598">
              <w:marLeft w:val="0"/>
              <w:marRight w:val="0"/>
              <w:marTop w:val="0"/>
              <w:marBottom w:val="0"/>
              <w:divBdr>
                <w:top w:val="none" w:sz="0" w:space="0" w:color="auto"/>
                <w:left w:val="none" w:sz="0" w:space="0" w:color="auto"/>
                <w:bottom w:val="none" w:sz="0" w:space="0" w:color="auto"/>
                <w:right w:val="none" w:sz="0" w:space="0" w:color="auto"/>
              </w:divBdr>
              <w:divsChild>
                <w:div w:id="5035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4417">
      <w:bodyDiv w:val="1"/>
      <w:marLeft w:val="0"/>
      <w:marRight w:val="0"/>
      <w:marTop w:val="0"/>
      <w:marBottom w:val="0"/>
      <w:divBdr>
        <w:top w:val="none" w:sz="0" w:space="0" w:color="auto"/>
        <w:left w:val="none" w:sz="0" w:space="0" w:color="auto"/>
        <w:bottom w:val="none" w:sz="0" w:space="0" w:color="auto"/>
        <w:right w:val="none" w:sz="0" w:space="0" w:color="auto"/>
      </w:divBdr>
    </w:div>
    <w:div w:id="903375716">
      <w:bodyDiv w:val="1"/>
      <w:marLeft w:val="0"/>
      <w:marRight w:val="0"/>
      <w:marTop w:val="0"/>
      <w:marBottom w:val="0"/>
      <w:divBdr>
        <w:top w:val="none" w:sz="0" w:space="0" w:color="auto"/>
        <w:left w:val="none" w:sz="0" w:space="0" w:color="auto"/>
        <w:bottom w:val="none" w:sz="0" w:space="0" w:color="auto"/>
        <w:right w:val="none" w:sz="0" w:space="0" w:color="auto"/>
      </w:divBdr>
    </w:div>
    <w:div w:id="950281820">
      <w:bodyDiv w:val="1"/>
      <w:marLeft w:val="0"/>
      <w:marRight w:val="0"/>
      <w:marTop w:val="0"/>
      <w:marBottom w:val="0"/>
      <w:divBdr>
        <w:top w:val="none" w:sz="0" w:space="0" w:color="auto"/>
        <w:left w:val="none" w:sz="0" w:space="0" w:color="auto"/>
        <w:bottom w:val="none" w:sz="0" w:space="0" w:color="auto"/>
        <w:right w:val="none" w:sz="0" w:space="0" w:color="auto"/>
      </w:divBdr>
    </w:div>
    <w:div w:id="965963403">
      <w:bodyDiv w:val="1"/>
      <w:marLeft w:val="0"/>
      <w:marRight w:val="0"/>
      <w:marTop w:val="0"/>
      <w:marBottom w:val="0"/>
      <w:divBdr>
        <w:top w:val="none" w:sz="0" w:space="0" w:color="auto"/>
        <w:left w:val="none" w:sz="0" w:space="0" w:color="auto"/>
        <w:bottom w:val="none" w:sz="0" w:space="0" w:color="auto"/>
        <w:right w:val="none" w:sz="0" w:space="0" w:color="auto"/>
      </w:divBdr>
    </w:div>
    <w:div w:id="969894841">
      <w:bodyDiv w:val="1"/>
      <w:marLeft w:val="0"/>
      <w:marRight w:val="0"/>
      <w:marTop w:val="0"/>
      <w:marBottom w:val="0"/>
      <w:divBdr>
        <w:top w:val="none" w:sz="0" w:space="0" w:color="auto"/>
        <w:left w:val="none" w:sz="0" w:space="0" w:color="auto"/>
        <w:bottom w:val="none" w:sz="0" w:space="0" w:color="auto"/>
        <w:right w:val="none" w:sz="0" w:space="0" w:color="auto"/>
      </w:divBdr>
    </w:div>
    <w:div w:id="1000356255">
      <w:bodyDiv w:val="1"/>
      <w:marLeft w:val="0"/>
      <w:marRight w:val="0"/>
      <w:marTop w:val="0"/>
      <w:marBottom w:val="0"/>
      <w:divBdr>
        <w:top w:val="none" w:sz="0" w:space="0" w:color="auto"/>
        <w:left w:val="none" w:sz="0" w:space="0" w:color="auto"/>
        <w:bottom w:val="none" w:sz="0" w:space="0" w:color="auto"/>
        <w:right w:val="none" w:sz="0" w:space="0" w:color="auto"/>
      </w:divBdr>
    </w:div>
    <w:div w:id="1019089516">
      <w:bodyDiv w:val="1"/>
      <w:marLeft w:val="0"/>
      <w:marRight w:val="0"/>
      <w:marTop w:val="0"/>
      <w:marBottom w:val="0"/>
      <w:divBdr>
        <w:top w:val="none" w:sz="0" w:space="0" w:color="auto"/>
        <w:left w:val="none" w:sz="0" w:space="0" w:color="auto"/>
        <w:bottom w:val="none" w:sz="0" w:space="0" w:color="auto"/>
        <w:right w:val="none" w:sz="0" w:space="0" w:color="auto"/>
      </w:divBdr>
    </w:div>
    <w:div w:id="1033657624">
      <w:bodyDiv w:val="1"/>
      <w:marLeft w:val="0"/>
      <w:marRight w:val="0"/>
      <w:marTop w:val="0"/>
      <w:marBottom w:val="0"/>
      <w:divBdr>
        <w:top w:val="none" w:sz="0" w:space="0" w:color="auto"/>
        <w:left w:val="none" w:sz="0" w:space="0" w:color="auto"/>
        <w:bottom w:val="none" w:sz="0" w:space="0" w:color="auto"/>
        <w:right w:val="none" w:sz="0" w:space="0" w:color="auto"/>
      </w:divBdr>
      <w:divsChild>
        <w:div w:id="1201630094">
          <w:marLeft w:val="0"/>
          <w:marRight w:val="0"/>
          <w:marTop w:val="0"/>
          <w:marBottom w:val="0"/>
          <w:divBdr>
            <w:top w:val="none" w:sz="0" w:space="0" w:color="auto"/>
            <w:left w:val="none" w:sz="0" w:space="0" w:color="auto"/>
            <w:bottom w:val="none" w:sz="0" w:space="0" w:color="auto"/>
            <w:right w:val="none" w:sz="0" w:space="0" w:color="auto"/>
          </w:divBdr>
          <w:divsChild>
            <w:div w:id="988167354">
              <w:marLeft w:val="0"/>
              <w:marRight w:val="0"/>
              <w:marTop w:val="0"/>
              <w:marBottom w:val="0"/>
              <w:divBdr>
                <w:top w:val="none" w:sz="0" w:space="0" w:color="auto"/>
                <w:left w:val="none" w:sz="0" w:space="0" w:color="auto"/>
                <w:bottom w:val="none" w:sz="0" w:space="0" w:color="auto"/>
                <w:right w:val="none" w:sz="0" w:space="0" w:color="auto"/>
              </w:divBdr>
              <w:divsChild>
                <w:div w:id="1058937419">
                  <w:marLeft w:val="0"/>
                  <w:marRight w:val="0"/>
                  <w:marTop w:val="0"/>
                  <w:marBottom w:val="0"/>
                  <w:divBdr>
                    <w:top w:val="none" w:sz="0" w:space="0" w:color="auto"/>
                    <w:left w:val="none" w:sz="0" w:space="0" w:color="auto"/>
                    <w:bottom w:val="none" w:sz="0" w:space="0" w:color="auto"/>
                    <w:right w:val="none" w:sz="0" w:space="0" w:color="auto"/>
                  </w:divBdr>
                  <w:divsChild>
                    <w:div w:id="1704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7455">
      <w:bodyDiv w:val="1"/>
      <w:marLeft w:val="0"/>
      <w:marRight w:val="0"/>
      <w:marTop w:val="0"/>
      <w:marBottom w:val="0"/>
      <w:divBdr>
        <w:top w:val="none" w:sz="0" w:space="0" w:color="auto"/>
        <w:left w:val="none" w:sz="0" w:space="0" w:color="auto"/>
        <w:bottom w:val="none" w:sz="0" w:space="0" w:color="auto"/>
        <w:right w:val="none" w:sz="0" w:space="0" w:color="auto"/>
      </w:divBdr>
    </w:div>
    <w:div w:id="1077753020">
      <w:bodyDiv w:val="1"/>
      <w:marLeft w:val="0"/>
      <w:marRight w:val="0"/>
      <w:marTop w:val="0"/>
      <w:marBottom w:val="0"/>
      <w:divBdr>
        <w:top w:val="none" w:sz="0" w:space="0" w:color="auto"/>
        <w:left w:val="none" w:sz="0" w:space="0" w:color="auto"/>
        <w:bottom w:val="none" w:sz="0" w:space="0" w:color="auto"/>
        <w:right w:val="none" w:sz="0" w:space="0" w:color="auto"/>
      </w:divBdr>
      <w:divsChild>
        <w:div w:id="1204715117">
          <w:marLeft w:val="0"/>
          <w:marRight w:val="0"/>
          <w:marTop w:val="0"/>
          <w:marBottom w:val="0"/>
          <w:divBdr>
            <w:top w:val="none" w:sz="0" w:space="0" w:color="auto"/>
            <w:left w:val="none" w:sz="0" w:space="0" w:color="auto"/>
            <w:bottom w:val="none" w:sz="0" w:space="0" w:color="auto"/>
            <w:right w:val="none" w:sz="0" w:space="0" w:color="auto"/>
          </w:divBdr>
          <w:divsChild>
            <w:div w:id="1051923059">
              <w:marLeft w:val="0"/>
              <w:marRight w:val="0"/>
              <w:marTop w:val="0"/>
              <w:marBottom w:val="0"/>
              <w:divBdr>
                <w:top w:val="none" w:sz="0" w:space="0" w:color="auto"/>
                <w:left w:val="none" w:sz="0" w:space="0" w:color="auto"/>
                <w:bottom w:val="none" w:sz="0" w:space="0" w:color="auto"/>
                <w:right w:val="none" w:sz="0" w:space="0" w:color="auto"/>
              </w:divBdr>
              <w:divsChild>
                <w:div w:id="11912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01537">
      <w:bodyDiv w:val="1"/>
      <w:marLeft w:val="0"/>
      <w:marRight w:val="0"/>
      <w:marTop w:val="0"/>
      <w:marBottom w:val="0"/>
      <w:divBdr>
        <w:top w:val="none" w:sz="0" w:space="0" w:color="auto"/>
        <w:left w:val="none" w:sz="0" w:space="0" w:color="auto"/>
        <w:bottom w:val="none" w:sz="0" w:space="0" w:color="auto"/>
        <w:right w:val="none" w:sz="0" w:space="0" w:color="auto"/>
      </w:divBdr>
      <w:divsChild>
        <w:div w:id="1380057557">
          <w:marLeft w:val="0"/>
          <w:marRight w:val="0"/>
          <w:marTop w:val="0"/>
          <w:marBottom w:val="0"/>
          <w:divBdr>
            <w:top w:val="none" w:sz="0" w:space="0" w:color="auto"/>
            <w:left w:val="none" w:sz="0" w:space="0" w:color="auto"/>
            <w:bottom w:val="none" w:sz="0" w:space="0" w:color="auto"/>
            <w:right w:val="none" w:sz="0" w:space="0" w:color="auto"/>
          </w:divBdr>
          <w:divsChild>
            <w:div w:id="300578720">
              <w:marLeft w:val="0"/>
              <w:marRight w:val="0"/>
              <w:marTop w:val="0"/>
              <w:marBottom w:val="0"/>
              <w:divBdr>
                <w:top w:val="none" w:sz="0" w:space="0" w:color="auto"/>
                <w:left w:val="none" w:sz="0" w:space="0" w:color="auto"/>
                <w:bottom w:val="none" w:sz="0" w:space="0" w:color="auto"/>
                <w:right w:val="none" w:sz="0" w:space="0" w:color="auto"/>
              </w:divBdr>
              <w:divsChild>
                <w:div w:id="4472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56018">
      <w:bodyDiv w:val="1"/>
      <w:marLeft w:val="0"/>
      <w:marRight w:val="0"/>
      <w:marTop w:val="0"/>
      <w:marBottom w:val="0"/>
      <w:divBdr>
        <w:top w:val="none" w:sz="0" w:space="0" w:color="auto"/>
        <w:left w:val="none" w:sz="0" w:space="0" w:color="auto"/>
        <w:bottom w:val="none" w:sz="0" w:space="0" w:color="auto"/>
        <w:right w:val="none" w:sz="0" w:space="0" w:color="auto"/>
      </w:divBdr>
      <w:divsChild>
        <w:div w:id="678967175">
          <w:marLeft w:val="0"/>
          <w:marRight w:val="0"/>
          <w:marTop w:val="0"/>
          <w:marBottom w:val="0"/>
          <w:divBdr>
            <w:top w:val="none" w:sz="0" w:space="0" w:color="auto"/>
            <w:left w:val="none" w:sz="0" w:space="0" w:color="auto"/>
            <w:bottom w:val="none" w:sz="0" w:space="0" w:color="auto"/>
            <w:right w:val="none" w:sz="0" w:space="0" w:color="auto"/>
          </w:divBdr>
          <w:divsChild>
            <w:div w:id="91778784">
              <w:marLeft w:val="0"/>
              <w:marRight w:val="0"/>
              <w:marTop w:val="0"/>
              <w:marBottom w:val="0"/>
              <w:divBdr>
                <w:top w:val="none" w:sz="0" w:space="0" w:color="auto"/>
                <w:left w:val="none" w:sz="0" w:space="0" w:color="auto"/>
                <w:bottom w:val="none" w:sz="0" w:space="0" w:color="auto"/>
                <w:right w:val="none" w:sz="0" w:space="0" w:color="auto"/>
              </w:divBdr>
              <w:divsChild>
                <w:div w:id="19595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53583">
      <w:bodyDiv w:val="1"/>
      <w:marLeft w:val="0"/>
      <w:marRight w:val="0"/>
      <w:marTop w:val="0"/>
      <w:marBottom w:val="0"/>
      <w:divBdr>
        <w:top w:val="none" w:sz="0" w:space="0" w:color="auto"/>
        <w:left w:val="none" w:sz="0" w:space="0" w:color="auto"/>
        <w:bottom w:val="none" w:sz="0" w:space="0" w:color="auto"/>
        <w:right w:val="none" w:sz="0" w:space="0" w:color="auto"/>
      </w:divBdr>
    </w:div>
    <w:div w:id="1222331539">
      <w:bodyDiv w:val="1"/>
      <w:marLeft w:val="0"/>
      <w:marRight w:val="0"/>
      <w:marTop w:val="0"/>
      <w:marBottom w:val="0"/>
      <w:divBdr>
        <w:top w:val="none" w:sz="0" w:space="0" w:color="auto"/>
        <w:left w:val="none" w:sz="0" w:space="0" w:color="auto"/>
        <w:bottom w:val="none" w:sz="0" w:space="0" w:color="auto"/>
        <w:right w:val="none" w:sz="0" w:space="0" w:color="auto"/>
      </w:divBdr>
    </w:div>
    <w:div w:id="1333070765">
      <w:bodyDiv w:val="1"/>
      <w:marLeft w:val="0"/>
      <w:marRight w:val="0"/>
      <w:marTop w:val="0"/>
      <w:marBottom w:val="0"/>
      <w:divBdr>
        <w:top w:val="none" w:sz="0" w:space="0" w:color="auto"/>
        <w:left w:val="none" w:sz="0" w:space="0" w:color="auto"/>
        <w:bottom w:val="none" w:sz="0" w:space="0" w:color="auto"/>
        <w:right w:val="none" w:sz="0" w:space="0" w:color="auto"/>
      </w:divBdr>
    </w:div>
    <w:div w:id="1342589329">
      <w:bodyDiv w:val="1"/>
      <w:marLeft w:val="0"/>
      <w:marRight w:val="0"/>
      <w:marTop w:val="0"/>
      <w:marBottom w:val="0"/>
      <w:divBdr>
        <w:top w:val="none" w:sz="0" w:space="0" w:color="auto"/>
        <w:left w:val="none" w:sz="0" w:space="0" w:color="auto"/>
        <w:bottom w:val="none" w:sz="0" w:space="0" w:color="auto"/>
        <w:right w:val="none" w:sz="0" w:space="0" w:color="auto"/>
      </w:divBdr>
    </w:div>
    <w:div w:id="1402094239">
      <w:bodyDiv w:val="1"/>
      <w:marLeft w:val="0"/>
      <w:marRight w:val="0"/>
      <w:marTop w:val="0"/>
      <w:marBottom w:val="0"/>
      <w:divBdr>
        <w:top w:val="none" w:sz="0" w:space="0" w:color="auto"/>
        <w:left w:val="none" w:sz="0" w:space="0" w:color="auto"/>
        <w:bottom w:val="none" w:sz="0" w:space="0" w:color="auto"/>
        <w:right w:val="none" w:sz="0" w:space="0" w:color="auto"/>
      </w:divBdr>
    </w:div>
    <w:div w:id="1480924905">
      <w:bodyDiv w:val="1"/>
      <w:marLeft w:val="0"/>
      <w:marRight w:val="0"/>
      <w:marTop w:val="0"/>
      <w:marBottom w:val="0"/>
      <w:divBdr>
        <w:top w:val="none" w:sz="0" w:space="0" w:color="auto"/>
        <w:left w:val="none" w:sz="0" w:space="0" w:color="auto"/>
        <w:bottom w:val="none" w:sz="0" w:space="0" w:color="auto"/>
        <w:right w:val="none" w:sz="0" w:space="0" w:color="auto"/>
      </w:divBdr>
      <w:divsChild>
        <w:div w:id="1253928323">
          <w:marLeft w:val="0"/>
          <w:marRight w:val="0"/>
          <w:marTop w:val="0"/>
          <w:marBottom w:val="0"/>
          <w:divBdr>
            <w:top w:val="none" w:sz="0" w:space="0" w:color="auto"/>
            <w:left w:val="none" w:sz="0" w:space="0" w:color="auto"/>
            <w:bottom w:val="none" w:sz="0" w:space="0" w:color="auto"/>
            <w:right w:val="none" w:sz="0" w:space="0" w:color="auto"/>
          </w:divBdr>
          <w:divsChild>
            <w:div w:id="1479952664">
              <w:marLeft w:val="0"/>
              <w:marRight w:val="0"/>
              <w:marTop w:val="0"/>
              <w:marBottom w:val="0"/>
              <w:divBdr>
                <w:top w:val="none" w:sz="0" w:space="0" w:color="auto"/>
                <w:left w:val="none" w:sz="0" w:space="0" w:color="auto"/>
                <w:bottom w:val="none" w:sz="0" w:space="0" w:color="auto"/>
                <w:right w:val="none" w:sz="0" w:space="0" w:color="auto"/>
              </w:divBdr>
              <w:divsChild>
                <w:div w:id="12702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81060">
      <w:bodyDiv w:val="1"/>
      <w:marLeft w:val="0"/>
      <w:marRight w:val="0"/>
      <w:marTop w:val="0"/>
      <w:marBottom w:val="0"/>
      <w:divBdr>
        <w:top w:val="none" w:sz="0" w:space="0" w:color="auto"/>
        <w:left w:val="none" w:sz="0" w:space="0" w:color="auto"/>
        <w:bottom w:val="none" w:sz="0" w:space="0" w:color="auto"/>
        <w:right w:val="none" w:sz="0" w:space="0" w:color="auto"/>
      </w:divBdr>
    </w:div>
    <w:div w:id="1505894036">
      <w:bodyDiv w:val="1"/>
      <w:marLeft w:val="0"/>
      <w:marRight w:val="0"/>
      <w:marTop w:val="0"/>
      <w:marBottom w:val="0"/>
      <w:divBdr>
        <w:top w:val="none" w:sz="0" w:space="0" w:color="auto"/>
        <w:left w:val="none" w:sz="0" w:space="0" w:color="auto"/>
        <w:bottom w:val="none" w:sz="0" w:space="0" w:color="auto"/>
        <w:right w:val="none" w:sz="0" w:space="0" w:color="auto"/>
      </w:divBdr>
    </w:div>
    <w:div w:id="1577090976">
      <w:bodyDiv w:val="1"/>
      <w:marLeft w:val="0"/>
      <w:marRight w:val="0"/>
      <w:marTop w:val="0"/>
      <w:marBottom w:val="0"/>
      <w:divBdr>
        <w:top w:val="none" w:sz="0" w:space="0" w:color="auto"/>
        <w:left w:val="none" w:sz="0" w:space="0" w:color="auto"/>
        <w:bottom w:val="none" w:sz="0" w:space="0" w:color="auto"/>
        <w:right w:val="none" w:sz="0" w:space="0" w:color="auto"/>
      </w:divBdr>
    </w:div>
    <w:div w:id="1584217316">
      <w:bodyDiv w:val="1"/>
      <w:marLeft w:val="0"/>
      <w:marRight w:val="0"/>
      <w:marTop w:val="0"/>
      <w:marBottom w:val="0"/>
      <w:divBdr>
        <w:top w:val="none" w:sz="0" w:space="0" w:color="auto"/>
        <w:left w:val="none" w:sz="0" w:space="0" w:color="auto"/>
        <w:bottom w:val="none" w:sz="0" w:space="0" w:color="auto"/>
        <w:right w:val="none" w:sz="0" w:space="0" w:color="auto"/>
      </w:divBdr>
    </w:div>
    <w:div w:id="1607806623">
      <w:bodyDiv w:val="1"/>
      <w:marLeft w:val="0"/>
      <w:marRight w:val="0"/>
      <w:marTop w:val="0"/>
      <w:marBottom w:val="0"/>
      <w:divBdr>
        <w:top w:val="none" w:sz="0" w:space="0" w:color="auto"/>
        <w:left w:val="none" w:sz="0" w:space="0" w:color="auto"/>
        <w:bottom w:val="none" w:sz="0" w:space="0" w:color="auto"/>
        <w:right w:val="none" w:sz="0" w:space="0" w:color="auto"/>
      </w:divBdr>
    </w:div>
    <w:div w:id="1632394058">
      <w:bodyDiv w:val="1"/>
      <w:marLeft w:val="0"/>
      <w:marRight w:val="0"/>
      <w:marTop w:val="0"/>
      <w:marBottom w:val="0"/>
      <w:divBdr>
        <w:top w:val="none" w:sz="0" w:space="0" w:color="auto"/>
        <w:left w:val="none" w:sz="0" w:space="0" w:color="auto"/>
        <w:bottom w:val="none" w:sz="0" w:space="0" w:color="auto"/>
        <w:right w:val="none" w:sz="0" w:space="0" w:color="auto"/>
      </w:divBdr>
    </w:div>
    <w:div w:id="1650400669">
      <w:bodyDiv w:val="1"/>
      <w:marLeft w:val="0"/>
      <w:marRight w:val="0"/>
      <w:marTop w:val="0"/>
      <w:marBottom w:val="0"/>
      <w:divBdr>
        <w:top w:val="none" w:sz="0" w:space="0" w:color="auto"/>
        <w:left w:val="none" w:sz="0" w:space="0" w:color="auto"/>
        <w:bottom w:val="none" w:sz="0" w:space="0" w:color="auto"/>
        <w:right w:val="none" w:sz="0" w:space="0" w:color="auto"/>
      </w:divBdr>
    </w:div>
    <w:div w:id="1668747584">
      <w:bodyDiv w:val="1"/>
      <w:marLeft w:val="0"/>
      <w:marRight w:val="0"/>
      <w:marTop w:val="0"/>
      <w:marBottom w:val="0"/>
      <w:divBdr>
        <w:top w:val="none" w:sz="0" w:space="0" w:color="auto"/>
        <w:left w:val="none" w:sz="0" w:space="0" w:color="auto"/>
        <w:bottom w:val="none" w:sz="0" w:space="0" w:color="auto"/>
        <w:right w:val="none" w:sz="0" w:space="0" w:color="auto"/>
      </w:divBdr>
    </w:div>
    <w:div w:id="1712997483">
      <w:bodyDiv w:val="1"/>
      <w:marLeft w:val="0"/>
      <w:marRight w:val="0"/>
      <w:marTop w:val="0"/>
      <w:marBottom w:val="0"/>
      <w:divBdr>
        <w:top w:val="none" w:sz="0" w:space="0" w:color="auto"/>
        <w:left w:val="none" w:sz="0" w:space="0" w:color="auto"/>
        <w:bottom w:val="none" w:sz="0" w:space="0" w:color="auto"/>
        <w:right w:val="none" w:sz="0" w:space="0" w:color="auto"/>
      </w:divBdr>
    </w:div>
    <w:div w:id="1752653057">
      <w:bodyDiv w:val="1"/>
      <w:marLeft w:val="0"/>
      <w:marRight w:val="0"/>
      <w:marTop w:val="0"/>
      <w:marBottom w:val="0"/>
      <w:divBdr>
        <w:top w:val="none" w:sz="0" w:space="0" w:color="auto"/>
        <w:left w:val="none" w:sz="0" w:space="0" w:color="auto"/>
        <w:bottom w:val="none" w:sz="0" w:space="0" w:color="auto"/>
        <w:right w:val="none" w:sz="0" w:space="0" w:color="auto"/>
      </w:divBdr>
    </w:div>
    <w:div w:id="1839033193">
      <w:bodyDiv w:val="1"/>
      <w:marLeft w:val="0"/>
      <w:marRight w:val="0"/>
      <w:marTop w:val="0"/>
      <w:marBottom w:val="0"/>
      <w:divBdr>
        <w:top w:val="none" w:sz="0" w:space="0" w:color="auto"/>
        <w:left w:val="none" w:sz="0" w:space="0" w:color="auto"/>
        <w:bottom w:val="none" w:sz="0" w:space="0" w:color="auto"/>
        <w:right w:val="none" w:sz="0" w:space="0" w:color="auto"/>
      </w:divBdr>
    </w:div>
    <w:div w:id="1857841700">
      <w:bodyDiv w:val="1"/>
      <w:marLeft w:val="0"/>
      <w:marRight w:val="0"/>
      <w:marTop w:val="0"/>
      <w:marBottom w:val="0"/>
      <w:divBdr>
        <w:top w:val="none" w:sz="0" w:space="0" w:color="auto"/>
        <w:left w:val="none" w:sz="0" w:space="0" w:color="auto"/>
        <w:bottom w:val="none" w:sz="0" w:space="0" w:color="auto"/>
        <w:right w:val="none" w:sz="0" w:space="0" w:color="auto"/>
      </w:divBdr>
    </w:div>
    <w:div w:id="1865095970">
      <w:bodyDiv w:val="1"/>
      <w:marLeft w:val="0"/>
      <w:marRight w:val="0"/>
      <w:marTop w:val="0"/>
      <w:marBottom w:val="0"/>
      <w:divBdr>
        <w:top w:val="none" w:sz="0" w:space="0" w:color="auto"/>
        <w:left w:val="none" w:sz="0" w:space="0" w:color="auto"/>
        <w:bottom w:val="none" w:sz="0" w:space="0" w:color="auto"/>
        <w:right w:val="none" w:sz="0" w:space="0" w:color="auto"/>
      </w:divBdr>
      <w:divsChild>
        <w:div w:id="1049570990">
          <w:marLeft w:val="0"/>
          <w:marRight w:val="0"/>
          <w:marTop w:val="0"/>
          <w:marBottom w:val="0"/>
          <w:divBdr>
            <w:top w:val="none" w:sz="0" w:space="0" w:color="auto"/>
            <w:left w:val="none" w:sz="0" w:space="0" w:color="auto"/>
            <w:bottom w:val="none" w:sz="0" w:space="0" w:color="auto"/>
            <w:right w:val="none" w:sz="0" w:space="0" w:color="auto"/>
          </w:divBdr>
          <w:divsChild>
            <w:div w:id="539781596">
              <w:marLeft w:val="0"/>
              <w:marRight w:val="0"/>
              <w:marTop w:val="0"/>
              <w:marBottom w:val="0"/>
              <w:divBdr>
                <w:top w:val="none" w:sz="0" w:space="0" w:color="auto"/>
                <w:left w:val="none" w:sz="0" w:space="0" w:color="auto"/>
                <w:bottom w:val="none" w:sz="0" w:space="0" w:color="auto"/>
                <w:right w:val="none" w:sz="0" w:space="0" w:color="auto"/>
              </w:divBdr>
              <w:divsChild>
                <w:div w:id="11189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64371">
      <w:bodyDiv w:val="1"/>
      <w:marLeft w:val="0"/>
      <w:marRight w:val="0"/>
      <w:marTop w:val="0"/>
      <w:marBottom w:val="0"/>
      <w:divBdr>
        <w:top w:val="none" w:sz="0" w:space="0" w:color="auto"/>
        <w:left w:val="none" w:sz="0" w:space="0" w:color="auto"/>
        <w:bottom w:val="none" w:sz="0" w:space="0" w:color="auto"/>
        <w:right w:val="none" w:sz="0" w:space="0" w:color="auto"/>
      </w:divBdr>
    </w:div>
    <w:div w:id="1994143853">
      <w:bodyDiv w:val="1"/>
      <w:marLeft w:val="0"/>
      <w:marRight w:val="0"/>
      <w:marTop w:val="0"/>
      <w:marBottom w:val="0"/>
      <w:divBdr>
        <w:top w:val="none" w:sz="0" w:space="0" w:color="auto"/>
        <w:left w:val="none" w:sz="0" w:space="0" w:color="auto"/>
        <w:bottom w:val="none" w:sz="0" w:space="0" w:color="auto"/>
        <w:right w:val="none" w:sz="0" w:space="0" w:color="auto"/>
      </w:divBdr>
      <w:divsChild>
        <w:div w:id="967660126">
          <w:marLeft w:val="0"/>
          <w:marRight w:val="0"/>
          <w:marTop w:val="0"/>
          <w:marBottom w:val="0"/>
          <w:divBdr>
            <w:top w:val="none" w:sz="0" w:space="0" w:color="auto"/>
            <w:left w:val="none" w:sz="0" w:space="0" w:color="auto"/>
            <w:bottom w:val="none" w:sz="0" w:space="0" w:color="auto"/>
            <w:right w:val="none" w:sz="0" w:space="0" w:color="auto"/>
          </w:divBdr>
          <w:divsChild>
            <w:div w:id="1559123008">
              <w:marLeft w:val="0"/>
              <w:marRight w:val="0"/>
              <w:marTop w:val="0"/>
              <w:marBottom w:val="0"/>
              <w:divBdr>
                <w:top w:val="none" w:sz="0" w:space="0" w:color="auto"/>
                <w:left w:val="none" w:sz="0" w:space="0" w:color="auto"/>
                <w:bottom w:val="none" w:sz="0" w:space="0" w:color="auto"/>
                <w:right w:val="none" w:sz="0" w:space="0" w:color="auto"/>
              </w:divBdr>
              <w:divsChild>
                <w:div w:id="9038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408">
      <w:bodyDiv w:val="1"/>
      <w:marLeft w:val="0"/>
      <w:marRight w:val="0"/>
      <w:marTop w:val="0"/>
      <w:marBottom w:val="0"/>
      <w:divBdr>
        <w:top w:val="none" w:sz="0" w:space="0" w:color="auto"/>
        <w:left w:val="none" w:sz="0" w:space="0" w:color="auto"/>
        <w:bottom w:val="none" w:sz="0" w:space="0" w:color="auto"/>
        <w:right w:val="none" w:sz="0" w:space="0" w:color="auto"/>
      </w:divBdr>
    </w:div>
    <w:div w:id="2035840991">
      <w:bodyDiv w:val="1"/>
      <w:marLeft w:val="0"/>
      <w:marRight w:val="0"/>
      <w:marTop w:val="0"/>
      <w:marBottom w:val="0"/>
      <w:divBdr>
        <w:top w:val="none" w:sz="0" w:space="0" w:color="auto"/>
        <w:left w:val="none" w:sz="0" w:space="0" w:color="auto"/>
        <w:bottom w:val="none" w:sz="0" w:space="0" w:color="auto"/>
        <w:right w:val="none" w:sz="0" w:space="0" w:color="auto"/>
      </w:divBdr>
    </w:div>
    <w:div w:id="2127111996">
      <w:bodyDiv w:val="1"/>
      <w:marLeft w:val="0"/>
      <w:marRight w:val="0"/>
      <w:marTop w:val="0"/>
      <w:marBottom w:val="0"/>
      <w:divBdr>
        <w:top w:val="none" w:sz="0" w:space="0" w:color="auto"/>
        <w:left w:val="none" w:sz="0" w:space="0" w:color="auto"/>
        <w:bottom w:val="none" w:sz="0" w:space="0" w:color="auto"/>
        <w:right w:val="none" w:sz="0" w:space="0" w:color="auto"/>
      </w:divBdr>
    </w:div>
    <w:div w:id="213374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mez.ladhani@phe.gov.uk"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02/1438/regulation/3/made"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www.statistics.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ningitis.org" TargetMode="External"/><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wnloads\2014-2015%20MSc%20Project%20Report%20Coversheet_FINAL.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hantal\OneDrive\Documents\MSC%20project\published%20paper\Incidence%20by%20sex%202711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hantal.Edge\AppData\Local\Microsoft\Windows\Temporary%20Internet%20Files\Content.Outlook\JG1C0SHS\Numbers%20of%20capsular%20groups%20by%20ag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hantal.Edge\AppData\Local\Microsoft\Windows\Temporary%20Internet%20Files\Content.Outlook\JG1C0SHS\Numbers%20of%20capsular%20groups%20by%20ag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leset01\Chantal.Edge\Meningo\Copy%20of%20Presentation%20by%20age%20and%20cap%20group%202611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hantal.Edge\AppData\Local\Microsoft\Windows\Temporary%20Internet%20Files\Content.Outlook\JG1C0SHS\Presentation%20by%20age%20and%20cap%20grou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135258092738"/>
          <c:y val="0.14094646460649701"/>
          <c:w val="0.75840997375328101"/>
          <c:h val="0.704089740038777"/>
        </c:manualLayout>
      </c:layout>
      <c:barChart>
        <c:barDir val="col"/>
        <c:grouping val="clustered"/>
        <c:varyColors val="0"/>
        <c:ser>
          <c:idx val="0"/>
          <c:order val="0"/>
          <c:tx>
            <c:strRef>
              <c:f>Sheet2!$O$1</c:f>
              <c:strCache>
                <c:ptCount val="1"/>
                <c:pt idx="0">
                  <c:v>Male</c:v>
                </c:pt>
              </c:strCache>
            </c:strRef>
          </c:tx>
          <c:invertIfNegative val="0"/>
          <c:dLbls>
            <c:spPr>
              <a:noFill/>
              <a:ln>
                <a:noFill/>
              </a:ln>
              <a:effectLst/>
            </c:spPr>
            <c:txPr>
              <a:bodyPr/>
              <a:lstStyle/>
              <a:p>
                <a:pPr>
                  <a:defRPr sz="6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Sheet2!$N$2:$N$9</c:f>
              <c:strCache>
                <c:ptCount val="8"/>
                <c:pt idx="0">
                  <c:v>&lt;1</c:v>
                </c:pt>
                <c:pt idx="1">
                  <c:v>1-4</c:v>
                </c:pt>
                <c:pt idx="2">
                  <c:v>5-14</c:v>
                </c:pt>
                <c:pt idx="3">
                  <c:v>15-24</c:v>
                </c:pt>
                <c:pt idx="4">
                  <c:v>25-44</c:v>
                </c:pt>
                <c:pt idx="5">
                  <c:v>45-64</c:v>
                </c:pt>
                <c:pt idx="6">
                  <c:v>65+</c:v>
                </c:pt>
                <c:pt idx="7">
                  <c:v>All ages</c:v>
                </c:pt>
              </c:strCache>
            </c:strRef>
          </c:cat>
          <c:val>
            <c:numRef>
              <c:f>Sheet2!$O$2:$O$9</c:f>
              <c:numCache>
                <c:formatCode>0.00</c:formatCode>
                <c:ptCount val="8"/>
                <c:pt idx="0">
                  <c:v>37.533039647577112</c:v>
                </c:pt>
                <c:pt idx="1">
                  <c:v>12.02815296237543</c:v>
                </c:pt>
                <c:pt idx="2">
                  <c:v>1.7337501208468959</c:v>
                </c:pt>
                <c:pt idx="3">
                  <c:v>2.055266403052213</c:v>
                </c:pt>
                <c:pt idx="4">
                  <c:v>0.401018477063666</c:v>
                </c:pt>
                <c:pt idx="5">
                  <c:v>0.50328835643931202</c:v>
                </c:pt>
                <c:pt idx="6">
                  <c:v>0.50806416742335803</c:v>
                </c:pt>
                <c:pt idx="7">
                  <c:v>1.9075519412283799</c:v>
                </c:pt>
              </c:numCache>
            </c:numRef>
          </c:val>
        </c:ser>
        <c:ser>
          <c:idx val="1"/>
          <c:order val="1"/>
          <c:tx>
            <c:strRef>
              <c:f>Sheet2!$P$1</c:f>
              <c:strCache>
                <c:ptCount val="1"/>
                <c:pt idx="0">
                  <c:v>Female</c:v>
                </c:pt>
              </c:strCache>
            </c:strRef>
          </c:tx>
          <c:spPr>
            <a:solidFill>
              <a:srgbClr val="FF00FF"/>
            </a:solidFill>
          </c:spPr>
          <c:invertIfNegative val="0"/>
          <c:dLbls>
            <c:spPr>
              <a:noFill/>
              <a:ln>
                <a:noFill/>
              </a:ln>
              <a:effectLst/>
            </c:spPr>
            <c:txPr>
              <a:bodyPr/>
              <a:lstStyle/>
              <a:p>
                <a:pPr>
                  <a:defRPr sz="6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Sheet2!$N$2:$N$9</c:f>
              <c:strCache>
                <c:ptCount val="8"/>
                <c:pt idx="0">
                  <c:v>&lt;1</c:v>
                </c:pt>
                <c:pt idx="1">
                  <c:v>1-4</c:v>
                </c:pt>
                <c:pt idx="2">
                  <c:v>5-14</c:v>
                </c:pt>
                <c:pt idx="3">
                  <c:v>15-24</c:v>
                </c:pt>
                <c:pt idx="4">
                  <c:v>25-44</c:v>
                </c:pt>
                <c:pt idx="5">
                  <c:v>45-64</c:v>
                </c:pt>
                <c:pt idx="6">
                  <c:v>65+</c:v>
                </c:pt>
                <c:pt idx="7">
                  <c:v>All ages</c:v>
                </c:pt>
              </c:strCache>
            </c:strRef>
          </c:cat>
          <c:val>
            <c:numRef>
              <c:f>Sheet2!$P$2:$P$9</c:f>
              <c:numCache>
                <c:formatCode>0.00</c:formatCode>
                <c:ptCount val="8"/>
                <c:pt idx="0">
                  <c:v>29.346485819975321</c:v>
                </c:pt>
                <c:pt idx="1">
                  <c:v>9.862314980711183</c:v>
                </c:pt>
                <c:pt idx="2">
                  <c:v>1.493879151260334</c:v>
                </c:pt>
                <c:pt idx="3">
                  <c:v>1.9488558616727021</c:v>
                </c:pt>
                <c:pt idx="4">
                  <c:v>0.32977035991300602</c:v>
                </c:pt>
                <c:pt idx="5">
                  <c:v>0.67651029413097097</c:v>
                </c:pt>
                <c:pt idx="6">
                  <c:v>0.80620523439356495</c:v>
                </c:pt>
                <c:pt idx="7">
                  <c:v>1.6347641784933671</c:v>
                </c:pt>
              </c:numCache>
            </c:numRef>
          </c:val>
        </c:ser>
        <c:dLbls>
          <c:showLegendKey val="0"/>
          <c:showVal val="0"/>
          <c:showCatName val="0"/>
          <c:showSerName val="0"/>
          <c:showPercent val="0"/>
          <c:showBubbleSize val="0"/>
        </c:dLbls>
        <c:gapWidth val="150"/>
        <c:axId val="150262024"/>
        <c:axId val="228899800"/>
      </c:barChart>
      <c:catAx>
        <c:axId val="150262024"/>
        <c:scaling>
          <c:orientation val="minMax"/>
        </c:scaling>
        <c:delete val="0"/>
        <c:axPos val="b"/>
        <c:title>
          <c:tx>
            <c:rich>
              <a:bodyPr/>
              <a:lstStyle/>
              <a:p>
                <a:pPr>
                  <a:defRPr/>
                </a:pPr>
                <a:r>
                  <a:rPr lang="en-US"/>
                  <a:t>Age group (years)</a:t>
                </a:r>
              </a:p>
            </c:rich>
          </c:tx>
          <c:overlay val="0"/>
        </c:title>
        <c:numFmt formatCode="General" sourceLinked="0"/>
        <c:majorTickMark val="out"/>
        <c:minorTickMark val="none"/>
        <c:tickLblPos val="nextTo"/>
        <c:crossAx val="228899800"/>
        <c:crosses val="autoZero"/>
        <c:auto val="1"/>
        <c:lblAlgn val="ctr"/>
        <c:lblOffset val="100"/>
        <c:noMultiLvlLbl val="0"/>
      </c:catAx>
      <c:valAx>
        <c:axId val="228899800"/>
        <c:scaling>
          <c:orientation val="minMax"/>
        </c:scaling>
        <c:delete val="0"/>
        <c:axPos val="l"/>
        <c:majorGridlines/>
        <c:title>
          <c:tx>
            <c:rich>
              <a:bodyPr rot="-5400000" vert="horz"/>
              <a:lstStyle/>
              <a:p>
                <a:pPr>
                  <a:defRPr sz="1000" b="1"/>
                </a:pPr>
                <a:r>
                  <a:rPr lang="en-US" sz="1000" b="1"/>
                  <a:t>Incidence per 100,000 male/female population</a:t>
                </a:r>
              </a:p>
            </c:rich>
          </c:tx>
          <c:layout>
            <c:manualLayout>
              <c:xMode val="edge"/>
              <c:yMode val="edge"/>
              <c:x val="3.3234247868024501E-2"/>
              <c:y val="0.143504926205832"/>
            </c:manualLayout>
          </c:layout>
          <c:overlay val="0"/>
        </c:title>
        <c:numFmt formatCode="0.00" sourceLinked="1"/>
        <c:majorTickMark val="out"/>
        <c:minorTickMark val="none"/>
        <c:tickLblPos val="nextTo"/>
        <c:crossAx val="150262024"/>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'[Numbers of capsular groups by age.xlsx]Sheet1'!$I$7</c:f>
              <c:strCache>
                <c:ptCount val="1"/>
                <c:pt idx="0">
                  <c:v>MenB</c:v>
                </c:pt>
              </c:strCache>
            </c:strRef>
          </c:tx>
          <c:spPr>
            <a:solidFill>
              <a:srgbClr val="FFC000"/>
            </a:solidFill>
          </c:spPr>
          <c:invertIfNegative val="0"/>
          <c:cat>
            <c:strRef>
              <c:f>'[Numbers of capsular groups by age.xlsx]Sheet1'!$H$8:$H$14</c:f>
              <c:strCache>
                <c:ptCount val="7"/>
                <c:pt idx="0">
                  <c:v>&lt;1</c:v>
                </c:pt>
                <c:pt idx="1">
                  <c:v>1-4</c:v>
                </c:pt>
                <c:pt idx="2">
                  <c:v>5-14</c:v>
                </c:pt>
                <c:pt idx="3">
                  <c:v>15-24</c:v>
                </c:pt>
                <c:pt idx="4">
                  <c:v>25-44</c:v>
                </c:pt>
                <c:pt idx="5">
                  <c:v>45-64</c:v>
                </c:pt>
                <c:pt idx="6">
                  <c:v>65+</c:v>
                </c:pt>
              </c:strCache>
            </c:strRef>
          </c:cat>
          <c:val>
            <c:numRef>
              <c:f>'[Numbers of capsular groups by age.xlsx]Sheet1'!$I$8:$I$14</c:f>
              <c:numCache>
                <c:formatCode>#,##0</c:formatCode>
                <c:ptCount val="7"/>
                <c:pt idx="0">
                  <c:v>1043</c:v>
                </c:pt>
                <c:pt idx="1">
                  <c:v>1306</c:v>
                </c:pt>
                <c:pt idx="2" formatCode="General">
                  <c:v>434</c:v>
                </c:pt>
                <c:pt idx="3" formatCode="General">
                  <c:v>587</c:v>
                </c:pt>
                <c:pt idx="4" formatCode="General">
                  <c:v>224</c:v>
                </c:pt>
                <c:pt idx="5" formatCode="General">
                  <c:v>288</c:v>
                </c:pt>
                <c:pt idx="6" formatCode="General">
                  <c:v>152</c:v>
                </c:pt>
              </c:numCache>
            </c:numRef>
          </c:val>
        </c:ser>
        <c:ser>
          <c:idx val="1"/>
          <c:order val="1"/>
          <c:tx>
            <c:strRef>
              <c:f>'[Numbers of capsular groups by age.xlsx]Sheet1'!$J$7</c:f>
              <c:strCache>
                <c:ptCount val="1"/>
                <c:pt idx="0">
                  <c:v>MenC</c:v>
                </c:pt>
              </c:strCache>
            </c:strRef>
          </c:tx>
          <c:spPr>
            <a:solidFill>
              <a:schemeClr val="tx2">
                <a:lumMod val="60000"/>
                <a:lumOff val="40000"/>
              </a:schemeClr>
            </a:solidFill>
          </c:spPr>
          <c:invertIfNegative val="0"/>
          <c:cat>
            <c:strRef>
              <c:f>'[Numbers of capsular groups by age.xlsx]Sheet1'!$H$8:$H$14</c:f>
              <c:strCache>
                <c:ptCount val="7"/>
                <c:pt idx="0">
                  <c:v>&lt;1</c:v>
                </c:pt>
                <c:pt idx="1">
                  <c:v>1-4</c:v>
                </c:pt>
                <c:pt idx="2">
                  <c:v>5-14</c:v>
                </c:pt>
                <c:pt idx="3">
                  <c:v>15-24</c:v>
                </c:pt>
                <c:pt idx="4">
                  <c:v>25-44</c:v>
                </c:pt>
                <c:pt idx="5">
                  <c:v>45-64</c:v>
                </c:pt>
                <c:pt idx="6">
                  <c:v>65+</c:v>
                </c:pt>
              </c:strCache>
            </c:strRef>
          </c:cat>
          <c:val>
            <c:numRef>
              <c:f>'[Numbers of capsular groups by age.xlsx]Sheet1'!$J$8:$J$14</c:f>
              <c:numCache>
                <c:formatCode>General</c:formatCode>
                <c:ptCount val="7"/>
                <c:pt idx="0">
                  <c:v>6</c:v>
                </c:pt>
                <c:pt idx="1">
                  <c:v>12</c:v>
                </c:pt>
                <c:pt idx="2">
                  <c:v>12</c:v>
                </c:pt>
                <c:pt idx="3">
                  <c:v>9</c:v>
                </c:pt>
                <c:pt idx="4">
                  <c:v>16</c:v>
                </c:pt>
                <c:pt idx="5">
                  <c:v>23</c:v>
                </c:pt>
                <c:pt idx="6">
                  <c:v>9</c:v>
                </c:pt>
              </c:numCache>
            </c:numRef>
          </c:val>
        </c:ser>
        <c:ser>
          <c:idx val="2"/>
          <c:order val="2"/>
          <c:tx>
            <c:strRef>
              <c:f>'[Numbers of capsular groups by age.xlsx]Sheet1'!$K$7</c:f>
              <c:strCache>
                <c:ptCount val="1"/>
                <c:pt idx="0">
                  <c:v>MenW</c:v>
                </c:pt>
              </c:strCache>
            </c:strRef>
          </c:tx>
          <c:spPr>
            <a:solidFill>
              <a:schemeClr val="accent2">
                <a:lumMod val="75000"/>
              </a:schemeClr>
            </a:solidFill>
          </c:spPr>
          <c:invertIfNegative val="0"/>
          <c:cat>
            <c:strRef>
              <c:f>'[Numbers of capsular groups by age.xlsx]Sheet1'!$H$8:$H$14</c:f>
              <c:strCache>
                <c:ptCount val="7"/>
                <c:pt idx="0">
                  <c:v>&lt;1</c:v>
                </c:pt>
                <c:pt idx="1">
                  <c:v>1-4</c:v>
                </c:pt>
                <c:pt idx="2">
                  <c:v>5-14</c:v>
                </c:pt>
                <c:pt idx="3">
                  <c:v>15-24</c:v>
                </c:pt>
                <c:pt idx="4">
                  <c:v>25-44</c:v>
                </c:pt>
                <c:pt idx="5">
                  <c:v>45-64</c:v>
                </c:pt>
                <c:pt idx="6">
                  <c:v>65+</c:v>
                </c:pt>
              </c:strCache>
            </c:strRef>
          </c:cat>
          <c:val>
            <c:numRef>
              <c:f>'[Numbers of capsular groups by age.xlsx]Sheet1'!$K$8:$K$14</c:f>
              <c:numCache>
                <c:formatCode>General</c:formatCode>
                <c:ptCount val="7"/>
                <c:pt idx="0">
                  <c:v>17</c:v>
                </c:pt>
                <c:pt idx="1">
                  <c:v>18</c:v>
                </c:pt>
                <c:pt idx="2">
                  <c:v>7</c:v>
                </c:pt>
                <c:pt idx="3">
                  <c:v>14</c:v>
                </c:pt>
                <c:pt idx="4">
                  <c:v>4</c:v>
                </c:pt>
                <c:pt idx="5">
                  <c:v>20</c:v>
                </c:pt>
                <c:pt idx="6">
                  <c:v>25</c:v>
                </c:pt>
              </c:numCache>
            </c:numRef>
          </c:val>
        </c:ser>
        <c:ser>
          <c:idx val="3"/>
          <c:order val="3"/>
          <c:tx>
            <c:strRef>
              <c:f>'[Numbers of capsular groups by age.xlsx]Sheet1'!$L$7</c:f>
              <c:strCache>
                <c:ptCount val="1"/>
                <c:pt idx="0">
                  <c:v>MenY</c:v>
                </c:pt>
              </c:strCache>
            </c:strRef>
          </c:tx>
          <c:spPr>
            <a:solidFill>
              <a:srgbClr val="92D050"/>
            </a:solidFill>
          </c:spPr>
          <c:invertIfNegative val="0"/>
          <c:cat>
            <c:strRef>
              <c:f>'[Numbers of capsular groups by age.xlsx]Sheet1'!$H$8:$H$14</c:f>
              <c:strCache>
                <c:ptCount val="7"/>
                <c:pt idx="0">
                  <c:v>&lt;1</c:v>
                </c:pt>
                <c:pt idx="1">
                  <c:v>1-4</c:v>
                </c:pt>
                <c:pt idx="2">
                  <c:v>5-14</c:v>
                </c:pt>
                <c:pt idx="3">
                  <c:v>15-24</c:v>
                </c:pt>
                <c:pt idx="4">
                  <c:v>25-44</c:v>
                </c:pt>
                <c:pt idx="5">
                  <c:v>45-64</c:v>
                </c:pt>
                <c:pt idx="6">
                  <c:v>65+</c:v>
                </c:pt>
              </c:strCache>
            </c:strRef>
          </c:cat>
          <c:val>
            <c:numRef>
              <c:f>'[Numbers of capsular groups by age.xlsx]Sheet1'!$L$8:$L$14</c:f>
              <c:numCache>
                <c:formatCode>General</c:formatCode>
                <c:ptCount val="7"/>
                <c:pt idx="0">
                  <c:v>15</c:v>
                </c:pt>
                <c:pt idx="1">
                  <c:v>9</c:v>
                </c:pt>
                <c:pt idx="2">
                  <c:v>18</c:v>
                </c:pt>
                <c:pt idx="3">
                  <c:v>51</c:v>
                </c:pt>
                <c:pt idx="4">
                  <c:v>14</c:v>
                </c:pt>
                <c:pt idx="5">
                  <c:v>41</c:v>
                </c:pt>
                <c:pt idx="6">
                  <c:v>94</c:v>
                </c:pt>
              </c:numCache>
            </c:numRef>
          </c:val>
        </c:ser>
        <c:ser>
          <c:idx val="4"/>
          <c:order val="4"/>
          <c:tx>
            <c:strRef>
              <c:f>'[Numbers of capsular groups by age.xlsx]Sheet1'!$M$7</c:f>
              <c:strCache>
                <c:ptCount val="1"/>
                <c:pt idx="0">
                  <c:v>Other</c:v>
                </c:pt>
              </c:strCache>
            </c:strRef>
          </c:tx>
          <c:spPr>
            <a:solidFill>
              <a:schemeClr val="accent4">
                <a:lumMod val="75000"/>
              </a:schemeClr>
            </a:solidFill>
          </c:spPr>
          <c:invertIfNegative val="0"/>
          <c:cat>
            <c:strRef>
              <c:f>'[Numbers of capsular groups by age.xlsx]Sheet1'!$H$8:$H$14</c:f>
              <c:strCache>
                <c:ptCount val="7"/>
                <c:pt idx="0">
                  <c:v>&lt;1</c:v>
                </c:pt>
                <c:pt idx="1">
                  <c:v>1-4</c:v>
                </c:pt>
                <c:pt idx="2">
                  <c:v>5-14</c:v>
                </c:pt>
                <c:pt idx="3">
                  <c:v>15-24</c:v>
                </c:pt>
                <c:pt idx="4">
                  <c:v>25-44</c:v>
                </c:pt>
                <c:pt idx="5">
                  <c:v>45-64</c:v>
                </c:pt>
                <c:pt idx="6">
                  <c:v>65+</c:v>
                </c:pt>
              </c:strCache>
            </c:strRef>
          </c:cat>
          <c:val>
            <c:numRef>
              <c:f>'[Numbers of capsular groups by age.xlsx]Sheet1'!$M$8:$M$14</c:f>
              <c:numCache>
                <c:formatCode>General</c:formatCode>
                <c:ptCount val="7"/>
                <c:pt idx="0">
                  <c:v>34</c:v>
                </c:pt>
                <c:pt idx="1">
                  <c:v>47</c:v>
                </c:pt>
                <c:pt idx="2">
                  <c:v>19</c:v>
                </c:pt>
                <c:pt idx="3">
                  <c:v>23</c:v>
                </c:pt>
                <c:pt idx="4">
                  <c:v>9</c:v>
                </c:pt>
                <c:pt idx="5">
                  <c:v>15</c:v>
                </c:pt>
                <c:pt idx="6">
                  <c:v>4</c:v>
                </c:pt>
              </c:numCache>
            </c:numRef>
          </c:val>
        </c:ser>
        <c:dLbls>
          <c:showLegendKey val="0"/>
          <c:showVal val="0"/>
          <c:showCatName val="0"/>
          <c:showSerName val="0"/>
          <c:showPercent val="0"/>
          <c:showBubbleSize val="0"/>
        </c:dLbls>
        <c:gapWidth val="150"/>
        <c:overlap val="100"/>
        <c:axId val="150260064"/>
        <c:axId val="150259672"/>
      </c:barChart>
      <c:catAx>
        <c:axId val="150260064"/>
        <c:scaling>
          <c:orientation val="minMax"/>
        </c:scaling>
        <c:delete val="0"/>
        <c:axPos val="b"/>
        <c:title>
          <c:tx>
            <c:rich>
              <a:bodyPr/>
              <a:lstStyle/>
              <a:p>
                <a:pPr>
                  <a:defRPr/>
                </a:pPr>
                <a:r>
                  <a:rPr lang="en-US"/>
                  <a:t>Age  in years</a:t>
                </a:r>
              </a:p>
            </c:rich>
          </c:tx>
          <c:overlay val="0"/>
        </c:title>
        <c:numFmt formatCode="General" sourceLinked="0"/>
        <c:majorTickMark val="out"/>
        <c:minorTickMark val="none"/>
        <c:tickLblPos val="nextTo"/>
        <c:crossAx val="150259672"/>
        <c:crosses val="autoZero"/>
        <c:auto val="1"/>
        <c:lblAlgn val="ctr"/>
        <c:lblOffset val="100"/>
        <c:noMultiLvlLbl val="0"/>
      </c:catAx>
      <c:valAx>
        <c:axId val="150259672"/>
        <c:scaling>
          <c:orientation val="minMax"/>
        </c:scaling>
        <c:delete val="0"/>
        <c:axPos val="l"/>
        <c:majorGridlines/>
        <c:title>
          <c:tx>
            <c:rich>
              <a:bodyPr rot="-5400000" vert="horz"/>
              <a:lstStyle/>
              <a:p>
                <a:pPr>
                  <a:defRPr/>
                </a:pPr>
                <a:r>
                  <a:rPr lang="en-US"/>
                  <a:t>Number of IMD </a:t>
                </a:r>
                <a:r>
                  <a:rPr lang="en-US" baseline="0"/>
                  <a:t>cases</a:t>
                </a:r>
                <a:endParaRPr lang="en-US"/>
              </a:p>
            </c:rich>
          </c:tx>
          <c:layout>
            <c:manualLayout>
              <c:xMode val="edge"/>
              <c:yMode val="edge"/>
              <c:x val="2.33739845711252E-2"/>
              <c:y val="0.27551108194808999"/>
            </c:manualLayout>
          </c:layout>
          <c:overlay val="0"/>
        </c:title>
        <c:numFmt formatCode="#,##0" sourceLinked="1"/>
        <c:majorTickMark val="out"/>
        <c:minorTickMark val="none"/>
        <c:tickLblPos val="nextTo"/>
        <c:crossAx val="1502600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'[Numbers of capsular groups by age.xlsx]Sheet1'!$I$7</c:f>
              <c:strCache>
                <c:ptCount val="1"/>
                <c:pt idx="0">
                  <c:v>MenB</c:v>
                </c:pt>
              </c:strCache>
            </c:strRef>
          </c:tx>
          <c:spPr>
            <a:solidFill>
              <a:srgbClr val="FFC000"/>
            </a:solidFill>
          </c:spPr>
          <c:invertIfNegative val="0"/>
          <c:cat>
            <c:strRef>
              <c:f>'[Numbers of capsular groups by age.xlsx]Sheet1'!$H$8:$H$14</c:f>
              <c:strCache>
                <c:ptCount val="7"/>
                <c:pt idx="0">
                  <c:v>&lt;1</c:v>
                </c:pt>
                <c:pt idx="1">
                  <c:v>1-4</c:v>
                </c:pt>
                <c:pt idx="2">
                  <c:v>5-14</c:v>
                </c:pt>
                <c:pt idx="3">
                  <c:v>15-24</c:v>
                </c:pt>
                <c:pt idx="4">
                  <c:v>25-44</c:v>
                </c:pt>
                <c:pt idx="5">
                  <c:v>45-64</c:v>
                </c:pt>
                <c:pt idx="6">
                  <c:v>65+</c:v>
                </c:pt>
              </c:strCache>
            </c:strRef>
          </c:cat>
          <c:val>
            <c:numRef>
              <c:f>'[Numbers of capsular groups by age.xlsx]Sheet1'!$I$8:$I$14</c:f>
              <c:numCache>
                <c:formatCode>#,##0</c:formatCode>
                <c:ptCount val="7"/>
                <c:pt idx="0">
                  <c:v>1043</c:v>
                </c:pt>
                <c:pt idx="1">
                  <c:v>1306</c:v>
                </c:pt>
                <c:pt idx="2" formatCode="General">
                  <c:v>434</c:v>
                </c:pt>
                <c:pt idx="3" formatCode="General">
                  <c:v>587</c:v>
                </c:pt>
                <c:pt idx="4" formatCode="General">
                  <c:v>224</c:v>
                </c:pt>
                <c:pt idx="5" formatCode="General">
                  <c:v>288</c:v>
                </c:pt>
                <c:pt idx="6" formatCode="General">
                  <c:v>152</c:v>
                </c:pt>
              </c:numCache>
            </c:numRef>
          </c:val>
        </c:ser>
        <c:ser>
          <c:idx val="1"/>
          <c:order val="1"/>
          <c:tx>
            <c:strRef>
              <c:f>'[Numbers of capsular groups by age.xlsx]Sheet1'!$J$7</c:f>
              <c:strCache>
                <c:ptCount val="1"/>
                <c:pt idx="0">
                  <c:v>MenC</c:v>
                </c:pt>
              </c:strCache>
            </c:strRef>
          </c:tx>
          <c:spPr>
            <a:solidFill>
              <a:schemeClr val="tx2">
                <a:lumMod val="60000"/>
                <a:lumOff val="40000"/>
              </a:schemeClr>
            </a:solidFill>
          </c:spPr>
          <c:invertIfNegative val="0"/>
          <c:cat>
            <c:strRef>
              <c:f>'[Numbers of capsular groups by age.xlsx]Sheet1'!$H$8:$H$14</c:f>
              <c:strCache>
                <c:ptCount val="7"/>
                <c:pt idx="0">
                  <c:v>&lt;1</c:v>
                </c:pt>
                <c:pt idx="1">
                  <c:v>1-4</c:v>
                </c:pt>
                <c:pt idx="2">
                  <c:v>5-14</c:v>
                </c:pt>
                <c:pt idx="3">
                  <c:v>15-24</c:v>
                </c:pt>
                <c:pt idx="4">
                  <c:v>25-44</c:v>
                </c:pt>
                <c:pt idx="5">
                  <c:v>45-64</c:v>
                </c:pt>
                <c:pt idx="6">
                  <c:v>65+</c:v>
                </c:pt>
              </c:strCache>
            </c:strRef>
          </c:cat>
          <c:val>
            <c:numRef>
              <c:f>'[Numbers of capsular groups by age.xlsx]Sheet1'!$J$8:$J$14</c:f>
              <c:numCache>
                <c:formatCode>General</c:formatCode>
                <c:ptCount val="7"/>
                <c:pt idx="0">
                  <c:v>6</c:v>
                </c:pt>
                <c:pt idx="1">
                  <c:v>12</c:v>
                </c:pt>
                <c:pt idx="2">
                  <c:v>12</c:v>
                </c:pt>
                <c:pt idx="3">
                  <c:v>9</c:v>
                </c:pt>
                <c:pt idx="4">
                  <c:v>16</c:v>
                </c:pt>
                <c:pt idx="5">
                  <c:v>23</c:v>
                </c:pt>
                <c:pt idx="6">
                  <c:v>9</c:v>
                </c:pt>
              </c:numCache>
            </c:numRef>
          </c:val>
        </c:ser>
        <c:ser>
          <c:idx val="2"/>
          <c:order val="2"/>
          <c:tx>
            <c:strRef>
              <c:f>'[Numbers of capsular groups by age.xlsx]Sheet1'!$K$7</c:f>
              <c:strCache>
                <c:ptCount val="1"/>
                <c:pt idx="0">
                  <c:v>MenW</c:v>
                </c:pt>
              </c:strCache>
            </c:strRef>
          </c:tx>
          <c:spPr>
            <a:solidFill>
              <a:schemeClr val="accent2">
                <a:lumMod val="75000"/>
              </a:schemeClr>
            </a:solidFill>
          </c:spPr>
          <c:invertIfNegative val="0"/>
          <c:cat>
            <c:strRef>
              <c:f>'[Numbers of capsular groups by age.xlsx]Sheet1'!$H$8:$H$14</c:f>
              <c:strCache>
                <c:ptCount val="7"/>
                <c:pt idx="0">
                  <c:v>&lt;1</c:v>
                </c:pt>
                <c:pt idx="1">
                  <c:v>1-4</c:v>
                </c:pt>
                <c:pt idx="2">
                  <c:v>5-14</c:v>
                </c:pt>
                <c:pt idx="3">
                  <c:v>15-24</c:v>
                </c:pt>
                <c:pt idx="4">
                  <c:v>25-44</c:v>
                </c:pt>
                <c:pt idx="5">
                  <c:v>45-64</c:v>
                </c:pt>
                <c:pt idx="6">
                  <c:v>65+</c:v>
                </c:pt>
              </c:strCache>
            </c:strRef>
          </c:cat>
          <c:val>
            <c:numRef>
              <c:f>'[Numbers of capsular groups by age.xlsx]Sheet1'!$K$8:$K$14</c:f>
              <c:numCache>
                <c:formatCode>General</c:formatCode>
                <c:ptCount val="7"/>
                <c:pt idx="0">
                  <c:v>17</c:v>
                </c:pt>
                <c:pt idx="1">
                  <c:v>18</c:v>
                </c:pt>
                <c:pt idx="2">
                  <c:v>7</c:v>
                </c:pt>
                <c:pt idx="3">
                  <c:v>14</c:v>
                </c:pt>
                <c:pt idx="4">
                  <c:v>4</c:v>
                </c:pt>
                <c:pt idx="5">
                  <c:v>20</c:v>
                </c:pt>
                <c:pt idx="6">
                  <c:v>25</c:v>
                </c:pt>
              </c:numCache>
            </c:numRef>
          </c:val>
        </c:ser>
        <c:ser>
          <c:idx val="3"/>
          <c:order val="3"/>
          <c:tx>
            <c:strRef>
              <c:f>'[Numbers of capsular groups by age.xlsx]Sheet1'!$L$7</c:f>
              <c:strCache>
                <c:ptCount val="1"/>
                <c:pt idx="0">
                  <c:v>MenY</c:v>
                </c:pt>
              </c:strCache>
            </c:strRef>
          </c:tx>
          <c:spPr>
            <a:solidFill>
              <a:srgbClr val="92D050"/>
            </a:solidFill>
          </c:spPr>
          <c:invertIfNegative val="0"/>
          <c:cat>
            <c:strRef>
              <c:f>'[Numbers of capsular groups by age.xlsx]Sheet1'!$H$8:$H$14</c:f>
              <c:strCache>
                <c:ptCount val="7"/>
                <c:pt idx="0">
                  <c:v>&lt;1</c:v>
                </c:pt>
                <c:pt idx="1">
                  <c:v>1-4</c:v>
                </c:pt>
                <c:pt idx="2">
                  <c:v>5-14</c:v>
                </c:pt>
                <c:pt idx="3">
                  <c:v>15-24</c:v>
                </c:pt>
                <c:pt idx="4">
                  <c:v>25-44</c:v>
                </c:pt>
                <c:pt idx="5">
                  <c:v>45-64</c:v>
                </c:pt>
                <c:pt idx="6">
                  <c:v>65+</c:v>
                </c:pt>
              </c:strCache>
            </c:strRef>
          </c:cat>
          <c:val>
            <c:numRef>
              <c:f>'[Numbers of capsular groups by age.xlsx]Sheet1'!$L$8:$L$14</c:f>
              <c:numCache>
                <c:formatCode>General</c:formatCode>
                <c:ptCount val="7"/>
                <c:pt idx="0">
                  <c:v>15</c:v>
                </c:pt>
                <c:pt idx="1">
                  <c:v>9</c:v>
                </c:pt>
                <c:pt idx="2">
                  <c:v>18</c:v>
                </c:pt>
                <c:pt idx="3">
                  <c:v>51</c:v>
                </c:pt>
                <c:pt idx="4">
                  <c:v>14</c:v>
                </c:pt>
                <c:pt idx="5">
                  <c:v>41</c:v>
                </c:pt>
                <c:pt idx="6">
                  <c:v>94</c:v>
                </c:pt>
              </c:numCache>
            </c:numRef>
          </c:val>
        </c:ser>
        <c:ser>
          <c:idx val="4"/>
          <c:order val="4"/>
          <c:tx>
            <c:strRef>
              <c:f>'[Numbers of capsular groups by age.xlsx]Sheet1'!$M$7</c:f>
              <c:strCache>
                <c:ptCount val="1"/>
                <c:pt idx="0">
                  <c:v>Other</c:v>
                </c:pt>
              </c:strCache>
            </c:strRef>
          </c:tx>
          <c:spPr>
            <a:solidFill>
              <a:schemeClr val="accent4">
                <a:lumMod val="75000"/>
              </a:schemeClr>
            </a:solidFill>
          </c:spPr>
          <c:invertIfNegative val="0"/>
          <c:cat>
            <c:strRef>
              <c:f>'[Numbers of capsular groups by age.xlsx]Sheet1'!$H$8:$H$14</c:f>
              <c:strCache>
                <c:ptCount val="7"/>
                <c:pt idx="0">
                  <c:v>&lt;1</c:v>
                </c:pt>
                <c:pt idx="1">
                  <c:v>1-4</c:v>
                </c:pt>
                <c:pt idx="2">
                  <c:v>5-14</c:v>
                </c:pt>
                <c:pt idx="3">
                  <c:v>15-24</c:v>
                </c:pt>
                <c:pt idx="4">
                  <c:v>25-44</c:v>
                </c:pt>
                <c:pt idx="5">
                  <c:v>45-64</c:v>
                </c:pt>
                <c:pt idx="6">
                  <c:v>65+</c:v>
                </c:pt>
              </c:strCache>
            </c:strRef>
          </c:cat>
          <c:val>
            <c:numRef>
              <c:f>'[Numbers of capsular groups by age.xlsx]Sheet1'!$M$8:$M$14</c:f>
              <c:numCache>
                <c:formatCode>General</c:formatCode>
                <c:ptCount val="7"/>
                <c:pt idx="0">
                  <c:v>34</c:v>
                </c:pt>
                <c:pt idx="1">
                  <c:v>47</c:v>
                </c:pt>
                <c:pt idx="2">
                  <c:v>19</c:v>
                </c:pt>
                <c:pt idx="3">
                  <c:v>23</c:v>
                </c:pt>
                <c:pt idx="4">
                  <c:v>9</c:v>
                </c:pt>
                <c:pt idx="5">
                  <c:v>15</c:v>
                </c:pt>
                <c:pt idx="6">
                  <c:v>4</c:v>
                </c:pt>
              </c:numCache>
            </c:numRef>
          </c:val>
        </c:ser>
        <c:dLbls>
          <c:showLegendKey val="0"/>
          <c:showVal val="0"/>
          <c:showCatName val="0"/>
          <c:showSerName val="0"/>
          <c:showPercent val="0"/>
          <c:showBubbleSize val="0"/>
        </c:dLbls>
        <c:gapWidth val="150"/>
        <c:overlap val="100"/>
        <c:axId val="150258888"/>
        <c:axId val="228900584"/>
      </c:barChart>
      <c:catAx>
        <c:axId val="150258888"/>
        <c:scaling>
          <c:orientation val="minMax"/>
        </c:scaling>
        <c:delete val="0"/>
        <c:axPos val="b"/>
        <c:title>
          <c:tx>
            <c:rich>
              <a:bodyPr/>
              <a:lstStyle/>
              <a:p>
                <a:pPr>
                  <a:defRPr/>
                </a:pPr>
                <a:r>
                  <a:rPr lang="en-US"/>
                  <a:t>Age  in years</a:t>
                </a:r>
              </a:p>
            </c:rich>
          </c:tx>
          <c:overlay val="0"/>
        </c:title>
        <c:numFmt formatCode="General" sourceLinked="0"/>
        <c:majorTickMark val="out"/>
        <c:minorTickMark val="none"/>
        <c:tickLblPos val="nextTo"/>
        <c:crossAx val="228900584"/>
        <c:crosses val="autoZero"/>
        <c:auto val="1"/>
        <c:lblAlgn val="ctr"/>
        <c:lblOffset val="100"/>
        <c:noMultiLvlLbl val="0"/>
      </c:catAx>
      <c:valAx>
        <c:axId val="228900584"/>
        <c:scaling>
          <c:orientation val="minMax"/>
        </c:scaling>
        <c:delete val="0"/>
        <c:axPos val="l"/>
        <c:majorGridlines/>
        <c:title>
          <c:tx>
            <c:rich>
              <a:bodyPr rot="-5400000" vert="horz"/>
              <a:lstStyle/>
              <a:p>
                <a:pPr>
                  <a:defRPr/>
                </a:pPr>
                <a:r>
                  <a:rPr lang="en-US"/>
                  <a:t>Proportion of IMD cases</a:t>
                </a:r>
              </a:p>
            </c:rich>
          </c:tx>
          <c:overlay val="0"/>
        </c:title>
        <c:numFmt formatCode="0%" sourceLinked="1"/>
        <c:majorTickMark val="out"/>
        <c:minorTickMark val="none"/>
        <c:tickLblPos val="nextTo"/>
        <c:crossAx val="1502588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Meningitis only</c:v>
                </c:pt>
              </c:strCache>
            </c:strRef>
          </c:tx>
          <c:invertIfNegative val="0"/>
          <c:cat>
            <c:strRef>
              <c:f>Sheet1!$A$2:$A$8</c:f>
              <c:strCache>
                <c:ptCount val="7"/>
                <c:pt idx="0">
                  <c:v>&lt;1</c:v>
                </c:pt>
                <c:pt idx="1">
                  <c:v>1-4</c:v>
                </c:pt>
                <c:pt idx="2">
                  <c:v>5-14</c:v>
                </c:pt>
                <c:pt idx="3">
                  <c:v>15-24</c:v>
                </c:pt>
                <c:pt idx="4">
                  <c:v>25-44</c:v>
                </c:pt>
                <c:pt idx="5">
                  <c:v>45-64</c:v>
                </c:pt>
                <c:pt idx="6">
                  <c:v>65+</c:v>
                </c:pt>
              </c:strCache>
            </c:strRef>
          </c:cat>
          <c:val>
            <c:numRef>
              <c:f>Sheet1!$B$2:$B$8</c:f>
              <c:numCache>
                <c:formatCode>General</c:formatCode>
                <c:ptCount val="7"/>
                <c:pt idx="0">
                  <c:v>48.251121076233119</c:v>
                </c:pt>
                <c:pt idx="1">
                  <c:v>28.44827586206895</c:v>
                </c:pt>
                <c:pt idx="2">
                  <c:v>31.632653061224509</c:v>
                </c:pt>
                <c:pt idx="3">
                  <c:v>68.713450292397667</c:v>
                </c:pt>
                <c:pt idx="4">
                  <c:v>61.797752808988839</c:v>
                </c:pt>
                <c:pt idx="5">
                  <c:v>60.981912144702861</c:v>
                </c:pt>
                <c:pt idx="6">
                  <c:v>34.154929577464728</c:v>
                </c:pt>
              </c:numCache>
            </c:numRef>
          </c:val>
        </c:ser>
        <c:ser>
          <c:idx val="1"/>
          <c:order val="1"/>
          <c:tx>
            <c:strRef>
              <c:f>Sheet1!$C$1</c:f>
              <c:strCache>
                <c:ptCount val="1"/>
                <c:pt idx="0">
                  <c:v>Septicaemia only</c:v>
                </c:pt>
              </c:strCache>
            </c:strRef>
          </c:tx>
          <c:invertIfNegative val="0"/>
          <c:cat>
            <c:strRef>
              <c:f>Sheet1!$A$2:$A$8</c:f>
              <c:strCache>
                <c:ptCount val="7"/>
                <c:pt idx="0">
                  <c:v>&lt;1</c:v>
                </c:pt>
                <c:pt idx="1">
                  <c:v>1-4</c:v>
                </c:pt>
                <c:pt idx="2">
                  <c:v>5-14</c:v>
                </c:pt>
                <c:pt idx="3">
                  <c:v>15-24</c:v>
                </c:pt>
                <c:pt idx="4">
                  <c:v>25-44</c:v>
                </c:pt>
                <c:pt idx="5">
                  <c:v>45-64</c:v>
                </c:pt>
                <c:pt idx="6">
                  <c:v>65+</c:v>
                </c:pt>
              </c:strCache>
            </c:strRef>
          </c:cat>
          <c:val>
            <c:numRef>
              <c:f>Sheet1!$C$2:$C$8</c:f>
              <c:numCache>
                <c:formatCode>General</c:formatCode>
                <c:ptCount val="7"/>
                <c:pt idx="0">
                  <c:v>34.618834080717427</c:v>
                </c:pt>
                <c:pt idx="1">
                  <c:v>53.735632183908081</c:v>
                </c:pt>
                <c:pt idx="2">
                  <c:v>43.265306122449047</c:v>
                </c:pt>
                <c:pt idx="3">
                  <c:v>18.71345029239766</c:v>
                </c:pt>
                <c:pt idx="4">
                  <c:v>22.471910112359559</c:v>
                </c:pt>
                <c:pt idx="5">
                  <c:v>24.806201550387591</c:v>
                </c:pt>
                <c:pt idx="6">
                  <c:v>33.450704225352062</c:v>
                </c:pt>
              </c:numCache>
            </c:numRef>
          </c:val>
        </c:ser>
        <c:ser>
          <c:idx val="2"/>
          <c:order val="2"/>
          <c:tx>
            <c:strRef>
              <c:f>Sheet1!$D$1</c:f>
              <c:strCache>
                <c:ptCount val="1"/>
                <c:pt idx="0">
                  <c:v>Meningitis and Septicaemia</c:v>
                </c:pt>
              </c:strCache>
            </c:strRef>
          </c:tx>
          <c:invertIfNegative val="0"/>
          <c:cat>
            <c:strRef>
              <c:f>Sheet1!$A$2:$A$8</c:f>
              <c:strCache>
                <c:ptCount val="7"/>
                <c:pt idx="0">
                  <c:v>&lt;1</c:v>
                </c:pt>
                <c:pt idx="1">
                  <c:v>1-4</c:v>
                </c:pt>
                <c:pt idx="2">
                  <c:v>5-14</c:v>
                </c:pt>
                <c:pt idx="3">
                  <c:v>15-24</c:v>
                </c:pt>
                <c:pt idx="4">
                  <c:v>25-44</c:v>
                </c:pt>
                <c:pt idx="5">
                  <c:v>45-64</c:v>
                </c:pt>
                <c:pt idx="6">
                  <c:v>65+</c:v>
                </c:pt>
              </c:strCache>
            </c:strRef>
          </c:cat>
          <c:val>
            <c:numRef>
              <c:f>Sheet1!$D$2:$D$8</c:f>
              <c:numCache>
                <c:formatCode>General</c:formatCode>
                <c:ptCount val="7"/>
                <c:pt idx="0">
                  <c:v>10.04484304932735</c:v>
                </c:pt>
                <c:pt idx="1">
                  <c:v>7.6149425287356252</c:v>
                </c:pt>
                <c:pt idx="2">
                  <c:v>11.63265306122449</c:v>
                </c:pt>
                <c:pt idx="3">
                  <c:v>6.5789473684210504</c:v>
                </c:pt>
                <c:pt idx="4">
                  <c:v>7.8651685393258362</c:v>
                </c:pt>
                <c:pt idx="5">
                  <c:v>6.2015503875968996</c:v>
                </c:pt>
                <c:pt idx="6">
                  <c:v>8.4507042253521227</c:v>
                </c:pt>
              </c:numCache>
            </c:numRef>
          </c:val>
        </c:ser>
        <c:ser>
          <c:idx val="3"/>
          <c:order val="3"/>
          <c:tx>
            <c:strRef>
              <c:f>Sheet1!$E$1</c:f>
              <c:strCache>
                <c:ptCount val="1"/>
                <c:pt idx="0">
                  <c:v>Other</c:v>
                </c:pt>
              </c:strCache>
            </c:strRef>
          </c:tx>
          <c:invertIfNegative val="0"/>
          <c:cat>
            <c:strRef>
              <c:f>Sheet1!$A$2:$A$8</c:f>
              <c:strCache>
                <c:ptCount val="7"/>
                <c:pt idx="0">
                  <c:v>&lt;1</c:v>
                </c:pt>
                <c:pt idx="1">
                  <c:v>1-4</c:v>
                </c:pt>
                <c:pt idx="2">
                  <c:v>5-14</c:v>
                </c:pt>
                <c:pt idx="3">
                  <c:v>15-24</c:v>
                </c:pt>
                <c:pt idx="4">
                  <c:v>25-44</c:v>
                </c:pt>
                <c:pt idx="5">
                  <c:v>45-64</c:v>
                </c:pt>
                <c:pt idx="6">
                  <c:v>65+</c:v>
                </c:pt>
              </c:strCache>
            </c:strRef>
          </c:cat>
          <c:val>
            <c:numRef>
              <c:f>Sheet1!$E$2:$E$8</c:f>
              <c:numCache>
                <c:formatCode>General</c:formatCode>
                <c:ptCount val="7"/>
                <c:pt idx="0">
                  <c:v>7.0852017937219802</c:v>
                </c:pt>
                <c:pt idx="1">
                  <c:v>10.201149425287349</c:v>
                </c:pt>
                <c:pt idx="2">
                  <c:v>13.46938775510205</c:v>
                </c:pt>
                <c:pt idx="3">
                  <c:v>5.9941520467836273</c:v>
                </c:pt>
                <c:pt idx="4">
                  <c:v>7.8651685393258362</c:v>
                </c:pt>
                <c:pt idx="5">
                  <c:v>8.0103359173126627</c:v>
                </c:pt>
                <c:pt idx="6">
                  <c:v>23.94366197183097</c:v>
                </c:pt>
              </c:numCache>
            </c:numRef>
          </c:val>
        </c:ser>
        <c:dLbls>
          <c:showLegendKey val="0"/>
          <c:showVal val="0"/>
          <c:showCatName val="0"/>
          <c:showSerName val="0"/>
          <c:showPercent val="0"/>
          <c:showBubbleSize val="0"/>
        </c:dLbls>
        <c:gapWidth val="50"/>
        <c:overlap val="100"/>
        <c:axId val="228901368"/>
        <c:axId val="228901760"/>
      </c:barChart>
      <c:catAx>
        <c:axId val="228901368"/>
        <c:scaling>
          <c:orientation val="minMax"/>
        </c:scaling>
        <c:delete val="0"/>
        <c:axPos val="b"/>
        <c:title>
          <c:tx>
            <c:rich>
              <a:bodyPr/>
              <a:lstStyle/>
              <a:p>
                <a:pPr>
                  <a:defRPr/>
                </a:pPr>
                <a:r>
                  <a:rPr lang="en-US"/>
                  <a:t>Age (years)</a:t>
                </a:r>
              </a:p>
            </c:rich>
          </c:tx>
          <c:overlay val="0"/>
        </c:title>
        <c:numFmt formatCode="General" sourceLinked="0"/>
        <c:majorTickMark val="out"/>
        <c:minorTickMark val="none"/>
        <c:tickLblPos val="nextTo"/>
        <c:crossAx val="228901760"/>
        <c:crosses val="autoZero"/>
        <c:auto val="1"/>
        <c:lblAlgn val="ctr"/>
        <c:lblOffset val="100"/>
        <c:noMultiLvlLbl val="0"/>
      </c:catAx>
      <c:valAx>
        <c:axId val="228901760"/>
        <c:scaling>
          <c:orientation val="minMax"/>
        </c:scaling>
        <c:delete val="0"/>
        <c:axPos val="l"/>
        <c:majorGridlines/>
        <c:title>
          <c:tx>
            <c:rich>
              <a:bodyPr rot="-5400000" vert="horz"/>
              <a:lstStyle/>
              <a:p>
                <a:pPr>
                  <a:defRPr/>
                </a:pPr>
                <a:r>
                  <a:rPr lang="en-US"/>
                  <a:t>Clinical Presentation</a:t>
                </a:r>
                <a:r>
                  <a:rPr lang="en-US" baseline="0"/>
                  <a:t> (%)</a:t>
                </a:r>
                <a:endParaRPr lang="en-US"/>
              </a:p>
            </c:rich>
          </c:tx>
          <c:layout>
            <c:manualLayout>
              <c:xMode val="edge"/>
              <c:yMode val="edge"/>
              <c:x val="1.92596228249063E-2"/>
              <c:y val="0.10748074902985499"/>
            </c:manualLayout>
          </c:layout>
          <c:overlay val="0"/>
        </c:title>
        <c:numFmt formatCode="0%" sourceLinked="1"/>
        <c:majorTickMark val="out"/>
        <c:minorTickMark val="none"/>
        <c:tickLblPos val="nextTo"/>
        <c:crossAx val="228901368"/>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'[Presentation by age and cap group.xlsx]Sheet5'!$D$5</c:f>
              <c:strCache>
                <c:ptCount val="1"/>
                <c:pt idx="0">
                  <c:v>Culture &amp; PCR</c:v>
                </c:pt>
              </c:strCache>
            </c:strRef>
          </c:tx>
          <c:invertIfNegative val="0"/>
          <c:cat>
            <c:strRef>
              <c:f>'[Presentation by age and cap group.xlsx]Sheet5'!$C$6:$C$12</c:f>
              <c:strCache>
                <c:ptCount val="7"/>
                <c:pt idx="0">
                  <c:v>&lt;1</c:v>
                </c:pt>
                <c:pt idx="1">
                  <c:v>1-4</c:v>
                </c:pt>
                <c:pt idx="2">
                  <c:v>5-14</c:v>
                </c:pt>
                <c:pt idx="3">
                  <c:v>15-24</c:v>
                </c:pt>
                <c:pt idx="4">
                  <c:v>25-44</c:v>
                </c:pt>
                <c:pt idx="5">
                  <c:v>45-64</c:v>
                </c:pt>
                <c:pt idx="6">
                  <c:v>65+</c:v>
                </c:pt>
              </c:strCache>
            </c:strRef>
          </c:cat>
          <c:val>
            <c:numRef>
              <c:f>'[Presentation by age and cap group.xlsx]Sheet5'!$D$6:$D$12</c:f>
              <c:numCache>
                <c:formatCode>General</c:formatCode>
                <c:ptCount val="7"/>
                <c:pt idx="0">
                  <c:v>314</c:v>
                </c:pt>
                <c:pt idx="1">
                  <c:v>378</c:v>
                </c:pt>
                <c:pt idx="2">
                  <c:v>117</c:v>
                </c:pt>
                <c:pt idx="3">
                  <c:v>106</c:v>
                </c:pt>
                <c:pt idx="4">
                  <c:v>27</c:v>
                </c:pt>
                <c:pt idx="5">
                  <c:v>67</c:v>
                </c:pt>
                <c:pt idx="6">
                  <c:v>26</c:v>
                </c:pt>
              </c:numCache>
            </c:numRef>
          </c:val>
        </c:ser>
        <c:ser>
          <c:idx val="1"/>
          <c:order val="1"/>
          <c:tx>
            <c:strRef>
              <c:f>'[Presentation by age and cap group.xlsx]Sheet5'!$E$5</c:f>
              <c:strCache>
                <c:ptCount val="1"/>
                <c:pt idx="0">
                  <c:v>Culture only</c:v>
                </c:pt>
              </c:strCache>
            </c:strRef>
          </c:tx>
          <c:invertIfNegative val="0"/>
          <c:cat>
            <c:strRef>
              <c:f>'[Presentation by age and cap group.xlsx]Sheet5'!$C$6:$C$12</c:f>
              <c:strCache>
                <c:ptCount val="7"/>
                <c:pt idx="0">
                  <c:v>&lt;1</c:v>
                </c:pt>
                <c:pt idx="1">
                  <c:v>1-4</c:v>
                </c:pt>
                <c:pt idx="2">
                  <c:v>5-14</c:v>
                </c:pt>
                <c:pt idx="3">
                  <c:v>15-24</c:v>
                </c:pt>
                <c:pt idx="4">
                  <c:v>25-44</c:v>
                </c:pt>
                <c:pt idx="5">
                  <c:v>45-64</c:v>
                </c:pt>
                <c:pt idx="6">
                  <c:v>65+</c:v>
                </c:pt>
              </c:strCache>
            </c:strRef>
          </c:cat>
          <c:val>
            <c:numRef>
              <c:f>'[Presentation by age and cap group.xlsx]Sheet5'!$E$6:$E$12</c:f>
              <c:numCache>
                <c:formatCode>General</c:formatCode>
                <c:ptCount val="7"/>
                <c:pt idx="0">
                  <c:v>262</c:v>
                </c:pt>
                <c:pt idx="1">
                  <c:v>169</c:v>
                </c:pt>
                <c:pt idx="2">
                  <c:v>60</c:v>
                </c:pt>
                <c:pt idx="3">
                  <c:v>153</c:v>
                </c:pt>
                <c:pt idx="4">
                  <c:v>82</c:v>
                </c:pt>
                <c:pt idx="5">
                  <c:v>134</c:v>
                </c:pt>
                <c:pt idx="6">
                  <c:v>198</c:v>
                </c:pt>
              </c:numCache>
            </c:numRef>
          </c:val>
        </c:ser>
        <c:ser>
          <c:idx val="2"/>
          <c:order val="2"/>
          <c:tx>
            <c:strRef>
              <c:f>'[Presentation by age and cap group.xlsx]Sheet5'!$F$5</c:f>
              <c:strCache>
                <c:ptCount val="1"/>
                <c:pt idx="0">
                  <c:v>PCR only</c:v>
                </c:pt>
              </c:strCache>
            </c:strRef>
          </c:tx>
          <c:invertIfNegative val="0"/>
          <c:cat>
            <c:strRef>
              <c:f>'[Presentation by age and cap group.xlsx]Sheet5'!$C$6:$C$12</c:f>
              <c:strCache>
                <c:ptCount val="7"/>
                <c:pt idx="0">
                  <c:v>&lt;1</c:v>
                </c:pt>
                <c:pt idx="1">
                  <c:v>1-4</c:v>
                </c:pt>
                <c:pt idx="2">
                  <c:v>5-14</c:v>
                </c:pt>
                <c:pt idx="3">
                  <c:v>15-24</c:v>
                </c:pt>
                <c:pt idx="4">
                  <c:v>25-44</c:v>
                </c:pt>
                <c:pt idx="5">
                  <c:v>45-64</c:v>
                </c:pt>
                <c:pt idx="6">
                  <c:v>65+</c:v>
                </c:pt>
              </c:strCache>
            </c:strRef>
          </c:cat>
          <c:val>
            <c:numRef>
              <c:f>'[Presentation by age and cap group.xlsx]Sheet5'!$F$6:$F$12</c:f>
              <c:numCache>
                <c:formatCode>General</c:formatCode>
                <c:ptCount val="7"/>
                <c:pt idx="0">
                  <c:v>539</c:v>
                </c:pt>
                <c:pt idx="1">
                  <c:v>845</c:v>
                </c:pt>
                <c:pt idx="2">
                  <c:v>313</c:v>
                </c:pt>
                <c:pt idx="3">
                  <c:v>425</c:v>
                </c:pt>
                <c:pt idx="4">
                  <c:v>158</c:v>
                </c:pt>
                <c:pt idx="5">
                  <c:v>186</c:v>
                </c:pt>
                <c:pt idx="6">
                  <c:v>60</c:v>
                </c:pt>
              </c:numCache>
            </c:numRef>
          </c:val>
        </c:ser>
        <c:dLbls>
          <c:showLegendKey val="0"/>
          <c:showVal val="0"/>
          <c:showCatName val="0"/>
          <c:showSerName val="0"/>
          <c:showPercent val="0"/>
          <c:showBubbleSize val="0"/>
        </c:dLbls>
        <c:gapWidth val="50"/>
        <c:overlap val="100"/>
        <c:axId val="228902936"/>
        <c:axId val="228903328"/>
      </c:barChart>
      <c:catAx>
        <c:axId val="228902936"/>
        <c:scaling>
          <c:orientation val="minMax"/>
        </c:scaling>
        <c:delete val="0"/>
        <c:axPos val="b"/>
        <c:title>
          <c:tx>
            <c:rich>
              <a:bodyPr/>
              <a:lstStyle/>
              <a:p>
                <a:pPr>
                  <a:defRPr/>
                </a:pPr>
                <a:r>
                  <a:rPr lang="en-US"/>
                  <a:t>Age (years)</a:t>
                </a:r>
              </a:p>
            </c:rich>
          </c:tx>
          <c:overlay val="0"/>
        </c:title>
        <c:numFmt formatCode="General" sourceLinked="0"/>
        <c:majorTickMark val="out"/>
        <c:minorTickMark val="none"/>
        <c:tickLblPos val="nextTo"/>
        <c:crossAx val="228903328"/>
        <c:crosses val="autoZero"/>
        <c:auto val="1"/>
        <c:lblAlgn val="ctr"/>
        <c:lblOffset val="100"/>
        <c:noMultiLvlLbl val="0"/>
      </c:catAx>
      <c:valAx>
        <c:axId val="228903328"/>
        <c:scaling>
          <c:orientation val="minMax"/>
        </c:scaling>
        <c:delete val="0"/>
        <c:axPos val="l"/>
        <c:majorGridlines/>
        <c:title>
          <c:tx>
            <c:rich>
              <a:bodyPr rot="-5400000" vert="horz"/>
              <a:lstStyle/>
              <a:p>
                <a:pPr>
                  <a:defRPr/>
                </a:pPr>
                <a:r>
                  <a:rPr lang="en-US"/>
                  <a:t>Diagnosis Confirmation </a:t>
                </a:r>
                <a:r>
                  <a:rPr lang="en-US" baseline="0"/>
                  <a:t>(%)</a:t>
                </a:r>
                <a:endParaRPr lang="en-US"/>
              </a:p>
            </c:rich>
          </c:tx>
          <c:overlay val="0"/>
        </c:title>
        <c:numFmt formatCode="0%" sourceLinked="1"/>
        <c:majorTickMark val="out"/>
        <c:minorTickMark val="none"/>
        <c:tickLblPos val="nextTo"/>
        <c:crossAx val="228902936"/>
        <c:crosses val="autoZero"/>
        <c:crossBetween val="between"/>
      </c:valAx>
    </c:plotArea>
    <c:legend>
      <c:legendPos val="b"/>
      <c:layout>
        <c:manualLayout>
          <c:xMode val="edge"/>
          <c:yMode val="edge"/>
          <c:x val="0.140026054578401"/>
          <c:y val="0.89401095885094195"/>
          <c:w val="0.85905783402023195"/>
          <c:h val="7.9583006434478396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BC901-109B-432D-8369-9B601652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2014-2015 MSc Project Report Coversheet_FINAL.dotx</Template>
  <TotalTime>1</TotalTime>
  <Pages>26</Pages>
  <Words>21177</Words>
  <Characters>120712</Characters>
  <Application>Microsoft Office Word</Application>
  <DocSecurity>4</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141606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Edge</dc:creator>
  <cp:lastModifiedBy>Isabelle Hubbard</cp:lastModifiedBy>
  <cp:revision>2</cp:revision>
  <cp:lastPrinted>2015-09-02T17:37:00Z</cp:lastPrinted>
  <dcterms:created xsi:type="dcterms:W3CDTF">2016-08-17T06:02:00Z</dcterms:created>
  <dcterms:modified xsi:type="dcterms:W3CDTF">2016-08-17T06:02:00Z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chantalandrob83@gmail.com@www.mendeley.com</vt:lpwstr>
  </property>
  <property fmtid="{D5CDD505-2E9C-101B-9397-08002B2CF9AE}" pid="4" name="Mendeley Citation Style_1">
    <vt:lpwstr>http://csl.mendeley.com/styles/440361771/vancouver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http://csl.mendeley.com/styles/440361771/vancouver</vt:lpwstr>
  </property>
  <property fmtid="{D5CDD505-2E9C-101B-9397-08002B2CF9AE}" pid="24" name="Mendeley Recent Style Name 9_1">
    <vt:lpwstr>Vancouver - Chantal Edge</vt:lpwstr>
  </property>
</Properties>
</file>