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A61" w:rsidRPr="006F20F0" w:rsidRDefault="003F6A61" w:rsidP="003F6A61">
      <w:pPr>
        <w:spacing w:after="0" w:line="360" w:lineRule="auto"/>
        <w:jc w:val="center"/>
        <w:rPr>
          <w:rFonts w:cs="Times New Roman"/>
          <w:b/>
          <w:u w:val="single"/>
        </w:rPr>
      </w:pPr>
      <w:r w:rsidRPr="006F20F0">
        <w:rPr>
          <w:rFonts w:cs="Times New Roman"/>
          <w:b/>
          <w:u w:val="single"/>
        </w:rPr>
        <w:t>LANCET PUBLIC HEALTH CONFERENCE ABSTRACT 2016</w:t>
      </w:r>
    </w:p>
    <w:p w:rsidR="003F6A61" w:rsidRPr="006F20F0" w:rsidRDefault="003F6A61" w:rsidP="003F6A61">
      <w:pPr>
        <w:spacing w:line="360" w:lineRule="auto"/>
      </w:pPr>
      <w:r w:rsidRPr="006F20F0">
        <w:rPr>
          <w:b/>
        </w:rPr>
        <w:t>Title:</w:t>
      </w:r>
      <w:r w:rsidRPr="006F20F0">
        <w:t xml:space="preserve"> Body mass index adjustments to increase the validity of body fatness assessment in UK black African and South Asian children: cross-sectional calibration study</w:t>
      </w:r>
    </w:p>
    <w:p w:rsidR="003F6A61" w:rsidRPr="006F20F0" w:rsidRDefault="003F6A61" w:rsidP="003F6A61">
      <w:pPr>
        <w:spacing w:after="0" w:line="360" w:lineRule="auto"/>
        <w:rPr>
          <w:vertAlign w:val="superscript"/>
        </w:rPr>
      </w:pPr>
      <w:r w:rsidRPr="006F20F0">
        <w:t>Mohammed T Hudda (MSc)</w:t>
      </w:r>
      <w:r w:rsidRPr="006F20F0">
        <w:rPr>
          <w:vertAlign w:val="superscript"/>
        </w:rPr>
        <w:t>1</w:t>
      </w:r>
      <w:r w:rsidRPr="006F20F0">
        <w:t>, Claire M Nightingale (PhD)</w:t>
      </w:r>
      <w:r w:rsidRPr="006F20F0">
        <w:rPr>
          <w:vertAlign w:val="superscript"/>
        </w:rPr>
        <w:t xml:space="preserve"> 1</w:t>
      </w:r>
      <w:r w:rsidRPr="006F20F0">
        <w:t>, Angela S Donin (PhD)</w:t>
      </w:r>
      <w:r w:rsidRPr="006F20F0">
        <w:rPr>
          <w:vertAlign w:val="superscript"/>
        </w:rPr>
        <w:t>1</w:t>
      </w:r>
      <w:r w:rsidRPr="006F20F0">
        <w:t>,</w:t>
      </w:r>
      <w:r w:rsidRPr="006F20F0">
        <w:rPr>
          <w:vertAlign w:val="superscript"/>
        </w:rPr>
        <w:t xml:space="preserve"> </w:t>
      </w:r>
      <w:r w:rsidRPr="006F20F0">
        <w:t>Mary S Fewtrell (MD)</w:t>
      </w:r>
      <w:r w:rsidRPr="006F20F0">
        <w:rPr>
          <w:vertAlign w:val="superscript"/>
        </w:rPr>
        <w:t>2</w:t>
      </w:r>
      <w:r w:rsidRPr="006F20F0">
        <w:t>, Dalia Haroun (PhD)</w:t>
      </w:r>
      <w:r w:rsidRPr="006F20F0">
        <w:rPr>
          <w:vertAlign w:val="superscript"/>
        </w:rPr>
        <w:t>3</w:t>
      </w:r>
      <w:r w:rsidRPr="006F20F0">
        <w:t>, Sooky Lum (PhD)</w:t>
      </w:r>
      <w:r w:rsidRPr="006F20F0">
        <w:rPr>
          <w:vertAlign w:val="superscript"/>
        </w:rPr>
        <w:t>4</w:t>
      </w:r>
      <w:r w:rsidRPr="006F20F0">
        <w:t>, Jane E Williams (PhD)</w:t>
      </w:r>
      <w:r w:rsidRPr="006F20F0">
        <w:rPr>
          <w:vertAlign w:val="superscript"/>
        </w:rPr>
        <w:t>2</w:t>
      </w:r>
      <w:r w:rsidRPr="006F20F0">
        <w:t>, Christopher G Owen (PhD)</w:t>
      </w:r>
      <w:r w:rsidRPr="006F20F0">
        <w:rPr>
          <w:vertAlign w:val="superscript"/>
        </w:rPr>
        <w:t>1</w:t>
      </w:r>
      <w:r w:rsidRPr="006F20F0">
        <w:t>, Alicja R Rudnicka (PhD)</w:t>
      </w:r>
      <w:r w:rsidRPr="006F20F0">
        <w:rPr>
          <w:vertAlign w:val="superscript"/>
        </w:rPr>
        <w:t>1</w:t>
      </w:r>
      <w:r w:rsidRPr="006F20F0">
        <w:t>, Jonathan C K Wells (PhD)</w:t>
      </w:r>
      <w:r w:rsidRPr="006F20F0">
        <w:rPr>
          <w:vertAlign w:val="superscript"/>
        </w:rPr>
        <w:t>2</w:t>
      </w:r>
      <w:r w:rsidRPr="006F20F0">
        <w:t>, Derek G Cook (PhD)</w:t>
      </w:r>
      <w:r w:rsidRPr="006F20F0">
        <w:rPr>
          <w:vertAlign w:val="superscript"/>
        </w:rPr>
        <w:t>1</w:t>
      </w:r>
      <w:r w:rsidRPr="006F20F0">
        <w:t>, Peter H Whincup (PhD)</w:t>
      </w:r>
      <w:r w:rsidRPr="006F20F0">
        <w:rPr>
          <w:vertAlign w:val="superscript"/>
        </w:rPr>
        <w:t>1</w:t>
      </w:r>
    </w:p>
    <w:p w:rsidR="003F6A61" w:rsidRPr="006F20F0" w:rsidRDefault="003F6A61" w:rsidP="003F6A61">
      <w:pPr>
        <w:spacing w:after="0" w:line="360" w:lineRule="auto"/>
        <w:rPr>
          <w:b/>
        </w:rPr>
      </w:pPr>
      <w:r w:rsidRPr="006F20F0">
        <w:t>1 Population Health Research Institute, St George’s, University of London, London, UK</w:t>
      </w:r>
    </w:p>
    <w:p w:rsidR="003F6A61" w:rsidRPr="006F20F0" w:rsidRDefault="003F6A61" w:rsidP="003F6A61">
      <w:pPr>
        <w:spacing w:after="0" w:line="360" w:lineRule="auto"/>
      </w:pPr>
      <w:r w:rsidRPr="006F20F0">
        <w:t>2 Childhood Nutrition Research Centre, Population, Policy and Practice Programme, UCL Institute of Child Health, London, UK</w:t>
      </w:r>
    </w:p>
    <w:p w:rsidR="003F6A61" w:rsidRPr="006F20F0" w:rsidRDefault="003F6A61" w:rsidP="003F6A61">
      <w:pPr>
        <w:spacing w:after="0" w:line="360" w:lineRule="auto"/>
      </w:pPr>
      <w:r w:rsidRPr="006F20F0">
        <w:t xml:space="preserve">3 College of Sustainability Sciences and Humanities, Department of Natural Science and Public Health, </w:t>
      </w:r>
      <w:proofErr w:type="spellStart"/>
      <w:r w:rsidRPr="006F20F0">
        <w:t>Zayed</w:t>
      </w:r>
      <w:proofErr w:type="spellEnd"/>
      <w:r w:rsidRPr="006F20F0">
        <w:t xml:space="preserve"> University, Dubai, UAE</w:t>
      </w:r>
    </w:p>
    <w:p w:rsidR="003F6A61" w:rsidRPr="006F20F0" w:rsidRDefault="003F6A61" w:rsidP="003F6A61">
      <w:pPr>
        <w:spacing w:line="360" w:lineRule="auto"/>
      </w:pPr>
      <w:r w:rsidRPr="006F20F0">
        <w:t>4 Respiratory, Critical Care &amp; Anaesthesia section of III Programme (</w:t>
      </w:r>
      <w:proofErr w:type="spellStart"/>
      <w:r w:rsidRPr="006F20F0">
        <w:t>Portex</w:t>
      </w:r>
      <w:proofErr w:type="spellEnd"/>
      <w:r w:rsidRPr="006F20F0">
        <w:t xml:space="preserve"> Unit), UCL Great Ormond Street Institute of Child Health, London, UK</w:t>
      </w:r>
    </w:p>
    <w:p w:rsidR="003F6A61" w:rsidRPr="006F20F0" w:rsidRDefault="003F6A61" w:rsidP="003F6A61">
      <w:pPr>
        <w:spacing w:after="0" w:line="360" w:lineRule="auto"/>
        <w:rPr>
          <w:b/>
        </w:rPr>
      </w:pPr>
      <w:r w:rsidRPr="006F20F0">
        <w:rPr>
          <w:b/>
        </w:rPr>
        <w:t>Abstract</w:t>
      </w:r>
    </w:p>
    <w:p w:rsidR="003F6A61" w:rsidRPr="006F20F0" w:rsidRDefault="003F6A61" w:rsidP="003F6A61">
      <w:pPr>
        <w:spacing w:after="0" w:line="360" w:lineRule="auto"/>
        <w:jc w:val="both"/>
      </w:pPr>
      <w:r w:rsidRPr="006F20F0">
        <w:rPr>
          <w:b/>
        </w:rPr>
        <w:t xml:space="preserve">Background: </w:t>
      </w:r>
      <w:r w:rsidRPr="006F20F0">
        <w:t>Excess childhood body fatness (BF), overweight and obesity represent a major UK public health challenge.  Accurate assessments of these, usually based on body mass index (BMI), are crucial. However, recent studies demonstrated that BMI underestimates BF in South Asian children and overestimates BF in black African children</w:t>
      </w:r>
      <w:r>
        <w:t>.</w:t>
      </w:r>
      <w:r w:rsidRPr="006F20F0">
        <w:t xml:space="preserve"> </w:t>
      </w:r>
      <w:r w:rsidRPr="006F20F0">
        <w:rPr>
          <w:rFonts w:cs="Times New Roman"/>
        </w:rPr>
        <w:t>These errors are a concern in these ethnic minority populations, particularly UK South Asians with their</w:t>
      </w:r>
      <w:r>
        <w:rPr>
          <w:rFonts w:cs="Times New Roman"/>
        </w:rPr>
        <w:t xml:space="preserve"> </w:t>
      </w:r>
      <w:r w:rsidRPr="006F20F0">
        <w:rPr>
          <w:rFonts w:cs="Times New Roman"/>
        </w:rPr>
        <w:t>high obesity, type 2 diabetes and cardiovascular disease risks.</w:t>
      </w:r>
      <w:r w:rsidRPr="006F20F0">
        <w:t xml:space="preserve"> We aimed to develop BMI adjustments for these children to ensure adjusted BMI related to BF in the same way as for white European children. </w:t>
      </w:r>
    </w:p>
    <w:p w:rsidR="003F6A61" w:rsidRPr="006F20F0" w:rsidRDefault="003F6A61" w:rsidP="003F6A61">
      <w:pPr>
        <w:spacing w:after="0" w:line="360" w:lineRule="auto"/>
        <w:jc w:val="both"/>
      </w:pPr>
      <w:r w:rsidRPr="006F20F0">
        <w:rPr>
          <w:b/>
        </w:rPr>
        <w:t>Methods:</w:t>
      </w:r>
      <w:r w:rsidRPr="006F20F0">
        <w:t xml:space="preserve"> Four recent UK population-based studies, which used deuterium dilution assessments of fat mass as a reference method, were pooled to </w:t>
      </w:r>
      <w:r w:rsidRPr="003F6A61">
        <w:t>include</w:t>
      </w:r>
      <w:r w:rsidRPr="006F20F0">
        <w:t xml:space="preserve"> 1725 children (52% female), aged 4-12 years (mean age=9.3 years; SD=1.6), of white European, South Asian and black African origins. A height standardized fat mass index (FMI) was derived to represent BF.  Linear regression models were fitted, separately by gender, to quantify ethnic differences in BMI-FMI relationships and to provide ethnic-specific BMI adjustments.</w:t>
      </w:r>
    </w:p>
    <w:p w:rsidR="003F6A61" w:rsidRPr="006F20F0" w:rsidRDefault="003F6A61" w:rsidP="003F6A61">
      <w:pPr>
        <w:spacing w:after="0" w:line="360" w:lineRule="auto"/>
        <w:jc w:val="both"/>
      </w:pPr>
      <w:r w:rsidRPr="006F20F0">
        <w:rPr>
          <w:b/>
        </w:rPr>
        <w:t>Findings:</w:t>
      </w:r>
      <w:r w:rsidRPr="006F20F0">
        <w:t xml:space="preserve">  The FMI derived for this study population and used in analyses was fat mass/height</w:t>
      </w:r>
      <w:r w:rsidRPr="006F20F0">
        <w:rPr>
          <w:vertAlign w:val="superscript"/>
        </w:rPr>
        <w:t>5</w:t>
      </w:r>
      <w:r w:rsidRPr="006F20F0">
        <w:t>, which</w:t>
      </w:r>
      <w:r>
        <w:t xml:space="preserve"> </w:t>
      </w:r>
      <w:r w:rsidRPr="006F20F0">
        <w:t>was independent of height for the 4-12 year age-group.</w:t>
      </w:r>
      <w:r w:rsidRPr="006F20F0">
        <w:rPr>
          <w:b/>
          <w:i/>
        </w:rPr>
        <w:t xml:space="preserve"> </w:t>
      </w:r>
      <w:r w:rsidRPr="006F20F0">
        <w:t xml:space="preserve"> BMI consistently underestimated BF in South Asians, requiring a BMI adjustment of +1.12kg/m</w:t>
      </w:r>
      <w:r w:rsidRPr="006F20F0">
        <w:rPr>
          <w:vertAlign w:val="superscript"/>
        </w:rPr>
        <w:t>2</w:t>
      </w:r>
      <w:r w:rsidRPr="006F20F0">
        <w:t xml:space="preserve"> (95% CI: 0.83, 1.41 kg/m</w:t>
      </w:r>
      <w:r w:rsidRPr="006F20F0">
        <w:rPr>
          <w:vertAlign w:val="superscript"/>
        </w:rPr>
        <w:t>2</w:t>
      </w:r>
      <w:r w:rsidRPr="006F20F0">
        <w:t>) for boys and +1.07kg/m</w:t>
      </w:r>
      <w:r w:rsidRPr="006F20F0">
        <w:rPr>
          <w:vertAlign w:val="superscript"/>
        </w:rPr>
        <w:t>2</w:t>
      </w:r>
      <w:r w:rsidRPr="006F20F0">
        <w:t xml:space="preserve"> (95% CI: 0.74, 1.39 kg/m</w:t>
      </w:r>
      <w:r w:rsidRPr="006F20F0">
        <w:rPr>
          <w:vertAlign w:val="superscript"/>
        </w:rPr>
        <w:t>2</w:t>
      </w:r>
      <w:r w:rsidRPr="006F20F0">
        <w:t xml:space="preserve">) for girls irrespective of age and FMI.  BMI overestimated BF in black Africans.  However, adjustments for Black African children were more complex, with statistically significant interactions between black African ethnicity and FMI (P=0.004 boys; P=0.003 girls) and between FMI </w:t>
      </w:r>
      <w:r w:rsidRPr="006F20F0">
        <w:lastRenderedPageBreak/>
        <w:t>and age group (P&lt;0.0001 boys and girls). BMI adjustments therefore varied by age group and FMI level, between -0.24 and -2.84 kg/m</w:t>
      </w:r>
      <w:r w:rsidRPr="006F20F0">
        <w:rPr>
          <w:vertAlign w:val="superscript"/>
        </w:rPr>
        <w:t xml:space="preserve">2 </w:t>
      </w:r>
      <w:r w:rsidRPr="006F20F0">
        <w:t>for boys and</w:t>
      </w:r>
      <w:r>
        <w:t xml:space="preserve"> between </w:t>
      </w:r>
      <w:r w:rsidRPr="006F20F0">
        <w:t>-0.22 and -2.86 kg/m</w:t>
      </w:r>
      <w:r w:rsidRPr="006F20F0">
        <w:rPr>
          <w:vertAlign w:val="superscript"/>
        </w:rPr>
        <w:t xml:space="preserve">2 </w:t>
      </w:r>
      <w:r w:rsidRPr="006F20F0">
        <w:t>for girls for unadjusted BMI values of 13 kg/m</w:t>
      </w:r>
      <w:r w:rsidRPr="006F20F0">
        <w:rPr>
          <w:vertAlign w:val="superscript"/>
        </w:rPr>
        <w:t>2</w:t>
      </w:r>
      <w:r w:rsidRPr="006F20F0">
        <w:t xml:space="preserve"> in 10-12 year-olds and 25 kg/m</w:t>
      </w:r>
      <w:r w:rsidRPr="006F20F0">
        <w:rPr>
          <w:vertAlign w:val="superscript"/>
        </w:rPr>
        <w:t xml:space="preserve">2 </w:t>
      </w:r>
      <w:r w:rsidRPr="006F20F0">
        <w:t xml:space="preserve">in </w:t>
      </w:r>
      <w:r w:rsidRPr="003F6A61">
        <w:t>4-6</w:t>
      </w:r>
      <w:r w:rsidRPr="006F20F0">
        <w:t xml:space="preserve"> year-olds respectively.</w:t>
      </w:r>
    </w:p>
    <w:p w:rsidR="003F6A61" w:rsidRPr="006F20F0" w:rsidRDefault="003F6A61" w:rsidP="003F6A61">
      <w:pPr>
        <w:spacing w:after="0" w:line="360" w:lineRule="auto"/>
        <w:jc w:val="both"/>
      </w:pPr>
      <w:r w:rsidRPr="006F20F0">
        <w:rPr>
          <w:b/>
        </w:rPr>
        <w:t xml:space="preserve">Interpretation: </w:t>
      </w:r>
      <w:r w:rsidRPr="006F20F0">
        <w:t>BMI underestimated BF in South Asians and overestimated it in black Africans.  Ethnic specific adjustments, increasing BMI in South Asians and reducing BMI in black Africans, can improve the accuracy of BF</w:t>
      </w:r>
      <w:r>
        <w:t xml:space="preserve"> assessment in these children.</w:t>
      </w:r>
      <w:bookmarkStart w:id="0" w:name="_GoBack"/>
      <w:bookmarkEnd w:id="0"/>
    </w:p>
    <w:p w:rsidR="003F6A61" w:rsidRPr="006F20F0" w:rsidRDefault="003F6A61" w:rsidP="003F6A61">
      <w:pPr>
        <w:spacing w:after="0" w:line="360" w:lineRule="auto"/>
        <w:jc w:val="both"/>
        <w:rPr>
          <w:b/>
        </w:rPr>
      </w:pPr>
      <w:r w:rsidRPr="006F20F0">
        <w:rPr>
          <w:b/>
        </w:rPr>
        <w:t>(350 Words)</w:t>
      </w:r>
    </w:p>
    <w:p w:rsidR="003F6A61" w:rsidRPr="006F20F0" w:rsidRDefault="003F6A61" w:rsidP="003F6A61">
      <w:pPr>
        <w:spacing w:after="0" w:line="360" w:lineRule="auto"/>
        <w:jc w:val="both"/>
        <w:rPr>
          <w:b/>
        </w:rPr>
      </w:pPr>
    </w:p>
    <w:p w:rsidR="003F6A61" w:rsidRPr="003F6A61" w:rsidRDefault="003F6A61" w:rsidP="003F6A61">
      <w:pPr>
        <w:spacing w:after="0" w:line="360" w:lineRule="auto"/>
        <w:jc w:val="both"/>
      </w:pPr>
      <w:r w:rsidRPr="006F20F0">
        <w:rPr>
          <w:b/>
        </w:rPr>
        <w:t>Funding:</w:t>
      </w:r>
      <w:r w:rsidRPr="006F20F0">
        <w:t xml:space="preserve"> This work was supported by a project grant from the British Heart Foundation (Grant ref: PG/15/19/31336) and by the National Institute for Health Research (NIHR) Collaboration for Leadership in Applied Health Research and Care (South London) </w:t>
      </w:r>
      <w:r w:rsidRPr="003F6A61">
        <w:t>(Grant ref: CLAHRC-2013-</w:t>
      </w:r>
    </w:p>
    <w:p w:rsidR="003F6A61" w:rsidRPr="006F20F0" w:rsidRDefault="003F6A61" w:rsidP="003F6A61">
      <w:pPr>
        <w:spacing w:after="0" w:line="360" w:lineRule="auto"/>
        <w:jc w:val="both"/>
      </w:pPr>
      <w:r w:rsidRPr="003F6A61">
        <w:t>10022)</w:t>
      </w:r>
      <w:r>
        <w:t xml:space="preserve">. </w:t>
      </w:r>
      <w:r w:rsidRPr="006F20F0">
        <w:t xml:space="preserve">Primary Data collection was funded by the British Heart Foundation (PG/11/42/28895), the BUPA Foundation (TBF-S09-019), Child Growth Foundation (GR 10/03) and the Wellcome Trust (WT094129MA). MF is supported by the Great Ormond Street Hospital </w:t>
      </w:r>
      <w:proofErr w:type="spellStart"/>
      <w:r w:rsidRPr="006F20F0">
        <w:t>Childrens</w:t>
      </w:r>
      <w:proofErr w:type="spellEnd"/>
      <w:r w:rsidRPr="006F20F0">
        <w:t>’ Charity (GOSHCC).</w:t>
      </w:r>
    </w:p>
    <w:p w:rsidR="003F6A61" w:rsidRPr="006F20F0" w:rsidRDefault="003F6A61" w:rsidP="003F6A61">
      <w:pPr>
        <w:spacing w:after="0" w:line="360" w:lineRule="auto"/>
        <w:rPr>
          <w:b/>
        </w:rPr>
      </w:pPr>
    </w:p>
    <w:p w:rsidR="003F6A61" w:rsidRPr="006F20F0" w:rsidRDefault="003F6A61" w:rsidP="003F6A61">
      <w:pPr>
        <w:spacing w:after="0" w:line="360" w:lineRule="auto"/>
        <w:rPr>
          <w:b/>
        </w:rPr>
      </w:pPr>
      <w:r w:rsidRPr="006F20F0">
        <w:rPr>
          <w:b/>
        </w:rPr>
        <w:t>Author details</w:t>
      </w:r>
    </w:p>
    <w:p w:rsidR="003F6A61" w:rsidRPr="006F20F0" w:rsidRDefault="003F6A61" w:rsidP="003F6A61">
      <w:pPr>
        <w:spacing w:after="0" w:line="360" w:lineRule="auto"/>
      </w:pPr>
      <w:r w:rsidRPr="006F20F0">
        <w:t>Mr Mohammed T Hudda MSc (early career researcher)</w:t>
      </w:r>
    </w:p>
    <w:p w:rsidR="003F6A61" w:rsidRPr="006F20F0" w:rsidRDefault="003F6A61" w:rsidP="003F6A61">
      <w:pPr>
        <w:spacing w:after="0" w:line="360" w:lineRule="auto"/>
      </w:pPr>
      <w:r w:rsidRPr="006F20F0">
        <w:t>Dr Claire M Nightingale PhD</w:t>
      </w:r>
    </w:p>
    <w:p w:rsidR="003F6A61" w:rsidRPr="006F20F0" w:rsidRDefault="003F6A61" w:rsidP="003F6A61">
      <w:pPr>
        <w:spacing w:after="0" w:line="360" w:lineRule="auto"/>
      </w:pPr>
      <w:r w:rsidRPr="006F20F0">
        <w:t>Professor Christopher G Owen PhD</w:t>
      </w:r>
    </w:p>
    <w:p w:rsidR="003F6A61" w:rsidRPr="006F20F0" w:rsidRDefault="003F6A61" w:rsidP="003F6A61">
      <w:pPr>
        <w:spacing w:after="0" w:line="360" w:lineRule="auto"/>
      </w:pPr>
      <w:r w:rsidRPr="006F20F0">
        <w:t>Dr Angela S Donin PhD</w:t>
      </w:r>
    </w:p>
    <w:p w:rsidR="003F6A61" w:rsidRPr="006F20F0" w:rsidRDefault="003F6A61" w:rsidP="003F6A61">
      <w:pPr>
        <w:spacing w:after="0" w:line="360" w:lineRule="auto"/>
      </w:pPr>
      <w:r w:rsidRPr="006F20F0">
        <w:t>Dr Sooky Lum PhD</w:t>
      </w:r>
    </w:p>
    <w:p w:rsidR="003F6A61" w:rsidRPr="006F20F0" w:rsidRDefault="003F6A61" w:rsidP="003F6A61">
      <w:pPr>
        <w:spacing w:after="0" w:line="360" w:lineRule="auto"/>
      </w:pPr>
      <w:r w:rsidRPr="006F20F0">
        <w:t>Dr Jane E Williams PhD</w:t>
      </w:r>
    </w:p>
    <w:p w:rsidR="003F6A61" w:rsidRPr="006F20F0" w:rsidRDefault="003F6A61" w:rsidP="003F6A61">
      <w:pPr>
        <w:spacing w:after="0" w:line="360" w:lineRule="auto"/>
      </w:pPr>
      <w:r w:rsidRPr="006F20F0">
        <w:t>Dr Dalia Haroun PhD</w:t>
      </w:r>
    </w:p>
    <w:p w:rsidR="003F6A61" w:rsidRPr="006F20F0" w:rsidRDefault="003F6A61" w:rsidP="003F6A61">
      <w:pPr>
        <w:spacing w:after="0" w:line="360" w:lineRule="auto"/>
      </w:pPr>
      <w:r w:rsidRPr="006F20F0">
        <w:t>Dr Mary S Fewtrell MD</w:t>
      </w:r>
    </w:p>
    <w:p w:rsidR="003F6A61" w:rsidRPr="006F20F0" w:rsidRDefault="003F6A61" w:rsidP="003F6A61">
      <w:pPr>
        <w:spacing w:after="0" w:line="360" w:lineRule="auto"/>
      </w:pPr>
      <w:r w:rsidRPr="006F20F0">
        <w:t>Professor Jonathan CK Wells PhD</w:t>
      </w:r>
    </w:p>
    <w:p w:rsidR="003F6A61" w:rsidRPr="006F20F0" w:rsidRDefault="003F6A61" w:rsidP="003F6A61">
      <w:pPr>
        <w:spacing w:after="0" w:line="360" w:lineRule="auto"/>
      </w:pPr>
      <w:r w:rsidRPr="006F20F0">
        <w:t>Dr Alicja R Rudnicka PhD</w:t>
      </w:r>
    </w:p>
    <w:p w:rsidR="003F6A61" w:rsidRPr="006F20F0" w:rsidRDefault="003F6A61" w:rsidP="003F6A61">
      <w:pPr>
        <w:spacing w:after="0" w:line="360" w:lineRule="auto"/>
      </w:pPr>
      <w:r w:rsidRPr="006F20F0">
        <w:t>Professor Derek G Cook PhD</w:t>
      </w:r>
    </w:p>
    <w:p w:rsidR="003F6A61" w:rsidRPr="006F20F0" w:rsidRDefault="003F6A61" w:rsidP="003F6A61">
      <w:pPr>
        <w:spacing w:after="0" w:line="360" w:lineRule="auto"/>
      </w:pPr>
      <w:r w:rsidRPr="006F20F0">
        <w:t>Professor Peter H Whincup PhD</w:t>
      </w:r>
    </w:p>
    <w:p w:rsidR="003F6A61" w:rsidRPr="006F20F0" w:rsidRDefault="003F6A61" w:rsidP="003F6A61">
      <w:pPr>
        <w:spacing w:after="0" w:line="360" w:lineRule="auto"/>
        <w:rPr>
          <w:b/>
        </w:rPr>
      </w:pPr>
    </w:p>
    <w:p w:rsidR="003F6A61" w:rsidRPr="006F20F0" w:rsidRDefault="003F6A61" w:rsidP="003F6A61">
      <w:pPr>
        <w:spacing w:after="0"/>
        <w:rPr>
          <w:b/>
        </w:rPr>
      </w:pPr>
      <w:r w:rsidRPr="006F20F0">
        <w:rPr>
          <w:b/>
        </w:rPr>
        <w:t xml:space="preserve">Correspondence to: </w:t>
      </w:r>
    </w:p>
    <w:p w:rsidR="003F6A61" w:rsidRPr="006F20F0" w:rsidRDefault="003F6A61" w:rsidP="003F6A61">
      <w:pPr>
        <w:spacing w:after="0" w:line="360" w:lineRule="auto"/>
      </w:pPr>
      <w:r w:rsidRPr="006F20F0">
        <w:t xml:space="preserve">Professor Peter Whincup, </w:t>
      </w:r>
    </w:p>
    <w:p w:rsidR="003F6A61" w:rsidRPr="006F20F0" w:rsidRDefault="003F6A61" w:rsidP="003F6A61">
      <w:pPr>
        <w:spacing w:after="0" w:line="360" w:lineRule="auto"/>
      </w:pPr>
      <w:r w:rsidRPr="006F20F0">
        <w:t>Population Health Research Institute,</w:t>
      </w:r>
    </w:p>
    <w:p w:rsidR="003F6A61" w:rsidRPr="006F20F0" w:rsidRDefault="003F6A61" w:rsidP="003F6A61">
      <w:pPr>
        <w:spacing w:after="0" w:line="360" w:lineRule="auto"/>
      </w:pPr>
      <w:r w:rsidRPr="006F20F0">
        <w:t>St George’s, University of London,</w:t>
      </w:r>
    </w:p>
    <w:p w:rsidR="003F6A61" w:rsidRPr="006F20F0" w:rsidRDefault="003F6A61" w:rsidP="003F6A61">
      <w:pPr>
        <w:spacing w:after="0" w:line="360" w:lineRule="auto"/>
      </w:pPr>
      <w:r w:rsidRPr="006F20F0">
        <w:t>Cranmer Terrace,</w:t>
      </w:r>
    </w:p>
    <w:p w:rsidR="003F6A61" w:rsidRPr="006F20F0" w:rsidRDefault="003F6A61" w:rsidP="003F6A61">
      <w:pPr>
        <w:spacing w:after="0" w:line="360" w:lineRule="auto"/>
      </w:pPr>
      <w:r w:rsidRPr="006F20F0">
        <w:t>London SW17 0RE</w:t>
      </w:r>
    </w:p>
    <w:p w:rsidR="003F6A61" w:rsidRPr="006F20F0" w:rsidRDefault="003F6A61" w:rsidP="003F6A61">
      <w:pPr>
        <w:spacing w:after="0" w:line="360" w:lineRule="auto"/>
      </w:pPr>
      <w:r w:rsidRPr="006F20F0">
        <w:lastRenderedPageBreak/>
        <w:t>Email: pwhincup@sgul.ac.uk</w:t>
      </w:r>
    </w:p>
    <w:p w:rsidR="003F6A61" w:rsidRPr="006F20F0" w:rsidRDefault="003F6A61" w:rsidP="003F6A61">
      <w:pPr>
        <w:spacing w:after="0" w:line="360" w:lineRule="auto"/>
      </w:pPr>
      <w:r w:rsidRPr="006F20F0">
        <w:t>Tel: (+44) 208 725 5577</w:t>
      </w:r>
    </w:p>
    <w:p w:rsidR="003F6A61" w:rsidRPr="006F20F0" w:rsidRDefault="003F6A61" w:rsidP="003F6A61">
      <w:pPr>
        <w:spacing w:after="0" w:line="360" w:lineRule="auto"/>
      </w:pPr>
      <w:r w:rsidRPr="006F20F0">
        <w:t xml:space="preserve">Email: </w:t>
      </w:r>
      <w:hyperlink r:id="rId4" w:history="1">
        <w:r w:rsidRPr="006F20F0">
          <w:rPr>
            <w:rStyle w:val="Hyperlink"/>
          </w:rPr>
          <w:t>pwhincup@sgul.ac.uk</w:t>
        </w:r>
      </w:hyperlink>
    </w:p>
    <w:p w:rsidR="003F6A61" w:rsidRPr="006F20F0" w:rsidRDefault="003F6A61" w:rsidP="003F6A61">
      <w:pPr>
        <w:spacing w:line="360" w:lineRule="auto"/>
        <w:rPr>
          <w:b/>
        </w:rPr>
      </w:pPr>
      <w:r w:rsidRPr="006F20F0">
        <w:rPr>
          <w:b/>
        </w:rPr>
        <w:t>Contributions:</w:t>
      </w:r>
    </w:p>
    <w:p w:rsidR="003F6A61" w:rsidRPr="006F20F0" w:rsidRDefault="003F6A61" w:rsidP="003F6A61">
      <w:pPr>
        <w:spacing w:line="360" w:lineRule="auto"/>
      </w:pPr>
      <w:r w:rsidRPr="006F20F0">
        <w:t xml:space="preserve">Study design – MTH, CMN, PHW, CGO, ARR, DGC, </w:t>
      </w:r>
      <w:proofErr w:type="gramStart"/>
      <w:r w:rsidRPr="006F20F0">
        <w:t>JCKW</w:t>
      </w:r>
      <w:proofErr w:type="gramEnd"/>
    </w:p>
    <w:p w:rsidR="003F6A61" w:rsidRPr="006F20F0" w:rsidRDefault="003F6A61" w:rsidP="003F6A61">
      <w:pPr>
        <w:spacing w:line="360" w:lineRule="auto"/>
      </w:pPr>
      <w:r w:rsidRPr="006F20F0">
        <w:t>Data collection - PHW, CMN, CGO, ASD, SL, JEW, DH, MSF, JCKW, ARR, DGC</w:t>
      </w:r>
    </w:p>
    <w:p w:rsidR="003F6A61" w:rsidRPr="006F20F0" w:rsidRDefault="003F6A61" w:rsidP="003F6A61">
      <w:pPr>
        <w:spacing w:line="360" w:lineRule="auto"/>
      </w:pPr>
      <w:r w:rsidRPr="006F20F0">
        <w:t>Data analysis – MTH, ARR, DGC</w:t>
      </w:r>
    </w:p>
    <w:p w:rsidR="003F6A61" w:rsidRPr="006F20F0" w:rsidRDefault="003F6A61" w:rsidP="003F6A61">
      <w:pPr>
        <w:spacing w:line="360" w:lineRule="auto"/>
      </w:pPr>
      <w:r w:rsidRPr="006F20F0">
        <w:t>Data interpretation - MTH, PHW, ARR, CGO, DGC, JCKW</w:t>
      </w:r>
    </w:p>
    <w:p w:rsidR="003F6A61" w:rsidRPr="006F20F0" w:rsidRDefault="003F6A61" w:rsidP="003F6A61">
      <w:pPr>
        <w:spacing w:line="360" w:lineRule="auto"/>
      </w:pPr>
      <w:r w:rsidRPr="006F20F0">
        <w:t>Drafting abstract - MTH, PHW, ARR</w:t>
      </w:r>
    </w:p>
    <w:p w:rsidR="003F6A61" w:rsidRPr="006F20F0" w:rsidRDefault="003F6A61" w:rsidP="003F6A61">
      <w:pPr>
        <w:spacing w:line="360" w:lineRule="auto"/>
        <w:rPr>
          <w:b/>
          <w:bCs/>
        </w:rPr>
      </w:pPr>
      <w:r w:rsidRPr="006F20F0">
        <w:t>Critical evaluation and revision of abstract - MTH, CMN, CGO, ASD, MTH, SL, JEW, DH, MSF, JCKW, ARR, DGC, PHW</w:t>
      </w:r>
    </w:p>
    <w:p w:rsidR="003F6A61" w:rsidRPr="006F20F0" w:rsidRDefault="003F6A61" w:rsidP="003F6A61">
      <w:pPr>
        <w:spacing w:after="0" w:line="360" w:lineRule="auto"/>
        <w:jc w:val="both"/>
      </w:pPr>
    </w:p>
    <w:p w:rsidR="003F6A61" w:rsidRPr="006F20F0" w:rsidRDefault="003F6A61" w:rsidP="003F6A61">
      <w:pPr>
        <w:spacing w:line="360" w:lineRule="auto"/>
      </w:pPr>
      <w:r w:rsidRPr="006F20F0">
        <w:rPr>
          <w:b/>
        </w:rPr>
        <w:t>Competing interests:</w:t>
      </w:r>
      <w:r w:rsidRPr="006F20F0">
        <w:t xml:space="preserve"> </w:t>
      </w:r>
    </w:p>
    <w:p w:rsidR="003F6A61" w:rsidRPr="00F116F7" w:rsidRDefault="003F6A61" w:rsidP="003F6A61">
      <w:pPr>
        <w:spacing w:line="360" w:lineRule="auto"/>
      </w:pPr>
      <w:r w:rsidRPr="006F20F0">
        <w:t>We declare that we have no conflicts of interest.</w:t>
      </w:r>
    </w:p>
    <w:p w:rsidR="003F6A61" w:rsidRPr="00104C1A" w:rsidRDefault="003F6A61" w:rsidP="003F6A61">
      <w:pPr>
        <w:spacing w:after="0" w:line="360" w:lineRule="auto"/>
        <w:jc w:val="both"/>
      </w:pPr>
    </w:p>
    <w:p w:rsidR="00F41092" w:rsidRDefault="00F41092"/>
    <w:sectPr w:rsidR="00F410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61"/>
    <w:rsid w:val="003F6A61"/>
    <w:rsid w:val="00F41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CA994-CD33-4CE2-AE14-73F7D442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A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A61"/>
    <w:rPr>
      <w:color w:val="0563C1" w:themeColor="hyperlink"/>
      <w:u w:val="single"/>
    </w:rPr>
  </w:style>
  <w:style w:type="paragraph" w:styleId="BalloonText">
    <w:name w:val="Balloon Text"/>
    <w:basedOn w:val="Normal"/>
    <w:link w:val="BalloonTextChar"/>
    <w:uiPriority w:val="99"/>
    <w:semiHidden/>
    <w:unhideWhenUsed/>
    <w:rsid w:val="003F6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whincup@sg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736</Words>
  <Characters>4198</Characters>
  <Application>Microsoft Office Word</Application>
  <DocSecurity>0</DocSecurity>
  <Lines>34</Lines>
  <Paragraphs>9</Paragraphs>
  <ScaleCrop>false</ScaleCrop>
  <Company>St Georges, University of London</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Hudda</dc:creator>
  <cp:keywords/>
  <dc:description/>
  <cp:lastModifiedBy>Mohammed Hudda</cp:lastModifiedBy>
  <cp:revision>1</cp:revision>
  <dcterms:created xsi:type="dcterms:W3CDTF">2016-08-05T09:37:00Z</dcterms:created>
  <dcterms:modified xsi:type="dcterms:W3CDTF">2016-08-05T09:42:00Z</dcterms:modified>
</cp:coreProperties>
</file>