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AB" w:rsidRPr="00282BDB" w:rsidRDefault="00282BDB" w:rsidP="007802AB">
      <w:pPr>
        <w:rPr>
          <w:rFonts w:cs="Courier New"/>
          <w:b/>
          <w:sz w:val="24"/>
          <w:szCs w:val="20"/>
        </w:rPr>
      </w:pPr>
      <w:r w:rsidRPr="00282BDB">
        <w:rPr>
          <w:rFonts w:cs="Courier New"/>
          <w:b/>
          <w:sz w:val="24"/>
          <w:szCs w:val="20"/>
        </w:rPr>
        <w:t>Table S</w:t>
      </w:r>
      <w:r w:rsidR="0044732D">
        <w:rPr>
          <w:rFonts w:cs="Courier New"/>
          <w:b/>
          <w:sz w:val="24"/>
          <w:szCs w:val="20"/>
        </w:rPr>
        <w:t>2</w:t>
      </w:r>
      <w:r w:rsidRPr="00282BDB">
        <w:rPr>
          <w:rFonts w:cs="Courier New"/>
          <w:b/>
          <w:sz w:val="24"/>
          <w:szCs w:val="20"/>
        </w:rPr>
        <w:t>.  Summary data for main outcome and ancillary outcome variables</w:t>
      </w:r>
    </w:p>
    <w:tbl>
      <w:tblPr>
        <w:tblStyle w:val="TableGrid"/>
        <w:tblpPr w:leftFromText="180" w:rightFromText="180" w:vertAnchor="page" w:horzAnchor="margin" w:tblpY="1672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5"/>
        <w:gridCol w:w="685"/>
        <w:gridCol w:w="685"/>
        <w:gridCol w:w="685"/>
        <w:gridCol w:w="685"/>
        <w:gridCol w:w="686"/>
        <w:gridCol w:w="403"/>
        <w:gridCol w:w="688"/>
        <w:gridCol w:w="689"/>
        <w:gridCol w:w="689"/>
        <w:gridCol w:w="689"/>
        <w:gridCol w:w="689"/>
        <w:gridCol w:w="689"/>
        <w:gridCol w:w="382"/>
        <w:gridCol w:w="668"/>
        <w:gridCol w:w="669"/>
        <w:gridCol w:w="669"/>
        <w:gridCol w:w="668"/>
        <w:gridCol w:w="669"/>
        <w:gridCol w:w="669"/>
      </w:tblGrid>
      <w:tr w:rsidR="00282BDB" w:rsidRPr="008C733E" w:rsidTr="00282BDB">
        <w:tc>
          <w:tcPr>
            <w:tcW w:w="2405" w:type="dxa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Control group</w:t>
            </w:r>
            <w:r>
              <w:rPr>
                <w:rFonts w:cs="Courier New"/>
                <w:b/>
                <w:sz w:val="20"/>
                <w:szCs w:val="20"/>
              </w:rPr>
              <w:t xml:space="preserve"> (mean (</w:t>
            </w:r>
            <w:proofErr w:type="spellStart"/>
            <w:r>
              <w:rPr>
                <w:rFonts w:cs="Courier New"/>
                <w:b/>
                <w:sz w:val="20"/>
                <w:szCs w:val="20"/>
              </w:rPr>
              <w:t>sd</w:t>
            </w:r>
            <w:proofErr w:type="spellEnd"/>
            <w:r>
              <w:rPr>
                <w:rFonts w:cs="Courier New"/>
                <w:b/>
                <w:sz w:val="20"/>
                <w:szCs w:val="20"/>
              </w:rPr>
              <w:t>))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4133" w:type="dxa"/>
            <w:gridSpan w:val="6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Postal group</w:t>
            </w:r>
            <w:r>
              <w:rPr>
                <w:rFonts w:cs="Courier New"/>
                <w:b/>
                <w:sz w:val="20"/>
                <w:szCs w:val="20"/>
              </w:rPr>
              <w:t xml:space="preserve"> (mean (</w:t>
            </w:r>
            <w:proofErr w:type="spellStart"/>
            <w:r>
              <w:rPr>
                <w:rFonts w:cs="Courier New"/>
                <w:b/>
                <w:sz w:val="20"/>
                <w:szCs w:val="20"/>
              </w:rPr>
              <w:t>sd</w:t>
            </w:r>
            <w:proofErr w:type="spellEnd"/>
            <w:r>
              <w:rPr>
                <w:rFonts w:cs="Courier New"/>
                <w:b/>
                <w:sz w:val="20"/>
                <w:szCs w:val="20"/>
              </w:rPr>
              <w:t>))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4012" w:type="dxa"/>
            <w:gridSpan w:val="6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Nurse group</w:t>
            </w:r>
            <w:r>
              <w:rPr>
                <w:rFonts w:cs="Courier New"/>
                <w:b/>
                <w:sz w:val="20"/>
                <w:szCs w:val="20"/>
              </w:rPr>
              <w:t xml:space="preserve"> (mean (</w:t>
            </w:r>
            <w:proofErr w:type="spellStart"/>
            <w:r>
              <w:rPr>
                <w:rFonts w:cs="Courier New"/>
                <w:b/>
                <w:sz w:val="20"/>
                <w:szCs w:val="20"/>
              </w:rPr>
              <w:t>sd</w:t>
            </w:r>
            <w:proofErr w:type="spellEnd"/>
            <w:r>
              <w:rPr>
                <w:rFonts w:cs="Courier New"/>
                <w:b/>
                <w:sz w:val="20"/>
                <w:szCs w:val="20"/>
              </w:rPr>
              <w:t>))</w:t>
            </w:r>
          </w:p>
        </w:tc>
      </w:tr>
      <w:tr w:rsidR="00282BDB" w:rsidRPr="008C733E" w:rsidTr="00282BDB">
        <w:tc>
          <w:tcPr>
            <w:tcW w:w="2405" w:type="dxa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Baseline</w:t>
            </w:r>
          </w:p>
        </w:tc>
        <w:tc>
          <w:tcPr>
            <w:tcW w:w="1370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3 months</w:t>
            </w:r>
          </w:p>
        </w:tc>
        <w:tc>
          <w:tcPr>
            <w:tcW w:w="1371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12 months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Baseline</w:t>
            </w:r>
          </w:p>
        </w:tc>
        <w:tc>
          <w:tcPr>
            <w:tcW w:w="1378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3 months</w:t>
            </w:r>
          </w:p>
        </w:tc>
        <w:tc>
          <w:tcPr>
            <w:tcW w:w="1378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12 months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right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Baseline</w:t>
            </w:r>
          </w:p>
        </w:tc>
        <w:tc>
          <w:tcPr>
            <w:tcW w:w="1337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3 months</w:t>
            </w:r>
          </w:p>
        </w:tc>
        <w:tc>
          <w:tcPr>
            <w:tcW w:w="1338" w:type="dxa"/>
            <w:gridSpan w:val="2"/>
            <w:tcMar>
              <w:left w:w="57" w:type="dxa"/>
              <w:right w:w="57" w:type="dxa"/>
            </w:tcMar>
          </w:tcPr>
          <w:p w:rsidR="00282BDB" w:rsidRPr="008C733E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8C733E">
              <w:rPr>
                <w:rFonts w:cs="Courier New"/>
                <w:b/>
                <w:sz w:val="20"/>
                <w:szCs w:val="20"/>
              </w:rPr>
              <w:t>12 months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b/>
                <w:sz w:val="20"/>
                <w:szCs w:val="20"/>
              </w:rPr>
              <w:t>Accelerometry data</w:t>
            </w:r>
            <w:r>
              <w:rPr>
                <w:rFonts w:cs="Courier New"/>
                <w:b/>
                <w:sz w:val="20"/>
                <w:szCs w:val="20"/>
              </w:rPr>
              <w:t xml:space="preserve"> (N)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338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323</w:t>
            </w:r>
          </w:p>
        </w:tc>
        <w:tc>
          <w:tcPr>
            <w:tcW w:w="4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312</w:t>
            </w:r>
          </w:p>
        </w:tc>
        <w:tc>
          <w:tcPr>
            <w:tcW w:w="3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346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321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Daily step count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7379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(2696)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7327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(2688)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7246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(2671)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7402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(2476)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8086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(3014)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8010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(2922)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7653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(2826)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8707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(3206)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8131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(3228)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Total weekly mins of MVPA in ≥10 minute bouts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84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(97)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87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(101)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89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(94)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92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(90)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136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(125)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129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(124)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105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(116)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164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(154)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138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(141)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Daily sedentary time (mins)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613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(68)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614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(70)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616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(72)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614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(71)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614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(74)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617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(71)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619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(78)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613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(77)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620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(79)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Daily wear time (mins)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789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(73)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795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(78)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791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(76)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787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(78)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798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(84)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(80)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797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(84)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(85)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807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(89)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  <w:r w:rsidRPr="00CC42B4">
              <w:rPr>
                <w:rFonts w:cs="Courier New"/>
                <w:b/>
                <w:sz w:val="20"/>
                <w:szCs w:val="20"/>
              </w:rPr>
              <w:t>Clinical measurements</w:t>
            </w:r>
            <w:r>
              <w:rPr>
                <w:rFonts w:cs="Courier New"/>
                <w:b/>
                <w:sz w:val="20"/>
                <w:szCs w:val="20"/>
              </w:rPr>
              <w:t xml:space="preserve"> (N)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338</w:t>
            </w:r>
          </w:p>
        </w:tc>
        <w:tc>
          <w:tcPr>
            <w:tcW w:w="6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323</w:t>
            </w:r>
          </w:p>
        </w:tc>
        <w:tc>
          <w:tcPr>
            <w:tcW w:w="4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color w:val="000000"/>
                <w:sz w:val="20"/>
                <w:szCs w:val="20"/>
              </w:rPr>
            </w:pPr>
            <w:r w:rsidRPr="00C112AF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color w:val="000000"/>
                <w:sz w:val="20"/>
                <w:szCs w:val="20"/>
              </w:rPr>
            </w:pPr>
            <w:r w:rsidRPr="00C112A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6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C112AF">
              <w:rPr>
                <w:color w:val="000000"/>
                <w:sz w:val="20"/>
                <w:szCs w:val="20"/>
              </w:rPr>
              <w:t>321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8C733E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BMI</w:t>
            </w:r>
            <w:r>
              <w:rPr>
                <w:rFonts w:cs="Courier New"/>
                <w:sz w:val="20"/>
                <w:szCs w:val="20"/>
              </w:rPr>
              <w:t xml:space="preserve"> (kg/m</w:t>
            </w:r>
            <w:r>
              <w:rPr>
                <w:rFonts w:cs="Courier New"/>
                <w:sz w:val="20"/>
                <w:szCs w:val="20"/>
                <w:vertAlign w:val="superscript"/>
              </w:rPr>
              <w:t>2</w:t>
            </w:r>
            <w:r>
              <w:rPr>
                <w:rFonts w:cs="Courier New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5.4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5.2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5.5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5.6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5.2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5.2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Fat mass (kg)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10.3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9.8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26.8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.0)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26.5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11.2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10.6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11.1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Waist circumference</w:t>
            </w:r>
            <w:r>
              <w:rPr>
                <w:rFonts w:cs="Courier New"/>
                <w:sz w:val="20"/>
                <w:szCs w:val="20"/>
              </w:rPr>
              <w:t xml:space="preserve"> (cm)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93.1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14.3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93.4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14.7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94.1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13.9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94.3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14.1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93.2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13.2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93.7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13.4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b/>
                <w:sz w:val="20"/>
                <w:szCs w:val="20"/>
              </w:rPr>
            </w:pPr>
            <w:r w:rsidRPr="00CC42B4">
              <w:rPr>
                <w:rFonts w:cs="Courier New"/>
                <w:b/>
                <w:sz w:val="20"/>
                <w:szCs w:val="20"/>
              </w:rPr>
              <w:t>Questionnaire data</w:t>
            </w:r>
            <w:r>
              <w:rPr>
                <w:rFonts w:cs="Courier New"/>
                <w:b/>
                <w:sz w:val="20"/>
                <w:szCs w:val="20"/>
              </w:rPr>
              <w:t xml:space="preserve"> (N)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335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316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318</w:t>
            </w:r>
          </w:p>
        </w:tc>
        <w:tc>
          <w:tcPr>
            <w:tcW w:w="4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335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312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311</w:t>
            </w:r>
          </w:p>
        </w:tc>
        <w:tc>
          <w:tcPr>
            <w:tcW w:w="3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342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112AF" w:rsidRDefault="00282BDB" w:rsidP="00282BDB">
            <w:pPr>
              <w:jc w:val="center"/>
              <w:rPr>
                <w:rFonts w:cs="Courier New"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C112AF">
              <w:rPr>
                <w:rFonts w:cs="Courier New"/>
                <w:sz w:val="20"/>
                <w:szCs w:val="20"/>
              </w:rPr>
              <w:t>319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HADS Anxiety score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3.9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HADS Depression score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2.9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EQ5D</w:t>
            </w:r>
            <w:r>
              <w:rPr>
                <w:rFonts w:cs="Courier New"/>
                <w:sz w:val="20"/>
                <w:szCs w:val="20"/>
              </w:rPr>
              <w:t xml:space="preserve"> score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Exercise self-efficacy</w:t>
            </w:r>
            <w:r w:rsidR="004719E9">
              <w:rPr>
                <w:rFonts w:cs="Courier New"/>
                <w:sz w:val="20"/>
                <w:szCs w:val="20"/>
              </w:rPr>
              <w:t xml:space="preserve"> score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942E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282BDB" w:rsidRPr="00CC42B4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.0)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942E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82BDB" w:rsidRPr="00CC42B4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6.7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942E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282BDB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7.1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282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7.2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282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6.7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282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.0)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282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7.3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282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6.7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942E43" w:rsidP="00282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7.1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  <w:r w:rsidRPr="00CC42B4">
              <w:rPr>
                <w:rFonts w:cs="Courier New"/>
                <w:sz w:val="20"/>
                <w:szCs w:val="20"/>
              </w:rPr>
              <w:t>Self-report pain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jc w:val="right"/>
              <w:rPr>
                <w:color w:val="000000"/>
                <w:sz w:val="20"/>
                <w:szCs w:val="20"/>
              </w:rPr>
            </w:pPr>
            <w:r w:rsidRPr="00CC42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bottom"/>
          </w:tcPr>
          <w:p w:rsidR="00282BDB" w:rsidRPr="00CC42B4" w:rsidRDefault="00282BDB" w:rsidP="00282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C42B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82BDB" w:rsidRPr="00CC42B4" w:rsidTr="00282BDB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2BDB" w:rsidRPr="00CC42B4" w:rsidRDefault="00282BDB" w:rsidP="00282BDB">
            <w:pPr>
              <w:rPr>
                <w:rFonts w:cs="Courier New"/>
                <w:sz w:val="20"/>
                <w:szCs w:val="20"/>
              </w:rPr>
            </w:pPr>
          </w:p>
        </w:tc>
      </w:tr>
    </w:tbl>
    <w:p w:rsidR="008C733E" w:rsidRDefault="008C733E" w:rsidP="007802AB">
      <w:pPr>
        <w:rPr>
          <w:rFonts w:cs="Courier New"/>
          <w:sz w:val="20"/>
          <w:szCs w:val="20"/>
        </w:rPr>
      </w:pPr>
    </w:p>
    <w:p w:rsidR="00282BDB" w:rsidRDefault="00282BDB" w:rsidP="008C733E">
      <w:pPr>
        <w:tabs>
          <w:tab w:val="left" w:pos="142"/>
          <w:tab w:val="left" w:pos="567"/>
          <w:tab w:val="right" w:pos="4536"/>
          <w:tab w:val="right" w:pos="5670"/>
          <w:tab w:val="right" w:pos="6804"/>
          <w:tab w:val="right" w:pos="8505"/>
          <w:tab w:val="right" w:pos="9639"/>
          <w:tab w:val="right" w:pos="10773"/>
          <w:tab w:val="right" w:pos="12474"/>
          <w:tab w:val="right" w:pos="14459"/>
        </w:tabs>
        <w:spacing w:after="0"/>
        <w:rPr>
          <w:rFonts w:cs="Calibri"/>
          <w:b/>
          <w:bCs/>
          <w:sz w:val="20"/>
          <w:lang w:eastAsia="en-GB"/>
        </w:rPr>
      </w:pPr>
    </w:p>
    <w:p w:rsidR="00FF0A2B" w:rsidRPr="00FF0A2B" w:rsidRDefault="008C733E" w:rsidP="00FF0A2B">
      <w:pPr>
        <w:tabs>
          <w:tab w:val="left" w:pos="142"/>
          <w:tab w:val="left" w:pos="567"/>
          <w:tab w:val="right" w:pos="4536"/>
          <w:tab w:val="right" w:pos="5670"/>
          <w:tab w:val="right" w:pos="6804"/>
          <w:tab w:val="right" w:pos="8505"/>
          <w:tab w:val="right" w:pos="9639"/>
          <w:tab w:val="right" w:pos="10773"/>
          <w:tab w:val="right" w:pos="12474"/>
          <w:tab w:val="right" w:pos="14459"/>
        </w:tabs>
        <w:spacing w:after="0" w:line="240" w:lineRule="auto"/>
        <w:rPr>
          <w:rFonts w:cs="Calibri"/>
          <w:bCs/>
          <w:sz w:val="18"/>
          <w:szCs w:val="18"/>
          <w:lang w:eastAsia="en-GB"/>
        </w:rPr>
      </w:pPr>
      <w:r w:rsidRPr="000636C6">
        <w:rPr>
          <w:rFonts w:cs="Calibri"/>
          <w:b/>
          <w:bCs/>
          <w:sz w:val="20"/>
          <w:lang w:eastAsia="en-GB"/>
        </w:rPr>
        <w:t>Footnotes</w:t>
      </w:r>
      <w:r w:rsidRPr="000636C6">
        <w:rPr>
          <w:rFonts w:cs="Calibri"/>
          <w:b/>
          <w:bCs/>
          <w:sz w:val="20"/>
          <w:lang w:eastAsia="en-GB"/>
        </w:rPr>
        <w:br/>
      </w:r>
      <w:r w:rsidR="00FF0A2B" w:rsidRPr="00FF0A2B">
        <w:rPr>
          <w:rFonts w:cs="Calibri"/>
          <w:sz w:val="18"/>
          <w:lang w:eastAsia="en-GB"/>
        </w:rPr>
        <w:t>Accelerometry data are adjusted for day of the week and day order of wearing the accelerometer with participant as a random effect in a multi-level model</w:t>
      </w:r>
      <w:r w:rsidR="00FF0A2B">
        <w:rPr>
          <w:rFonts w:cs="Calibri"/>
          <w:sz w:val="18"/>
          <w:lang w:eastAsia="en-GB"/>
        </w:rPr>
        <w:t>.</w:t>
      </w:r>
    </w:p>
    <w:p w:rsidR="00282BDB" w:rsidRDefault="008C733E" w:rsidP="00FF0A2B">
      <w:pPr>
        <w:tabs>
          <w:tab w:val="left" w:pos="142"/>
          <w:tab w:val="left" w:pos="567"/>
          <w:tab w:val="right" w:pos="4536"/>
          <w:tab w:val="right" w:pos="5670"/>
          <w:tab w:val="right" w:pos="6804"/>
          <w:tab w:val="right" w:pos="8505"/>
          <w:tab w:val="right" w:pos="9639"/>
          <w:tab w:val="right" w:pos="10773"/>
          <w:tab w:val="right" w:pos="12474"/>
          <w:tab w:val="right" w:pos="14459"/>
        </w:tabs>
        <w:spacing w:after="0" w:line="240" w:lineRule="auto"/>
        <w:rPr>
          <w:rFonts w:cs="Calibri"/>
          <w:bCs/>
          <w:sz w:val="18"/>
          <w:szCs w:val="18"/>
          <w:lang w:eastAsia="en-GB"/>
        </w:rPr>
      </w:pPr>
      <w:r w:rsidRPr="00733831">
        <w:rPr>
          <w:rFonts w:cs="Calibri"/>
          <w:bCs/>
          <w:sz w:val="18"/>
          <w:szCs w:val="18"/>
          <w:lang w:eastAsia="en-GB"/>
        </w:rPr>
        <w:t xml:space="preserve">At </w:t>
      </w:r>
      <w:r>
        <w:rPr>
          <w:rFonts w:cs="Calibri"/>
          <w:bCs/>
          <w:sz w:val="18"/>
          <w:szCs w:val="18"/>
          <w:lang w:eastAsia="en-GB"/>
        </w:rPr>
        <w:t>baseline, data were available for all participants for accelerometry variables, BMI and waist circumference</w:t>
      </w:r>
      <w:r w:rsidR="00282BDB">
        <w:rPr>
          <w:rFonts w:cs="Calibri"/>
          <w:bCs/>
          <w:sz w:val="18"/>
          <w:szCs w:val="18"/>
          <w:lang w:eastAsia="en-GB"/>
        </w:rPr>
        <w:t>.  Fat mass was available for 335, 337 and 346 participants in the control, postal and nurse groups respectively.</w:t>
      </w:r>
      <w:r w:rsidR="00FF0A2B">
        <w:rPr>
          <w:rFonts w:cs="Calibri"/>
          <w:bCs/>
          <w:sz w:val="18"/>
          <w:szCs w:val="18"/>
          <w:lang w:eastAsia="en-GB"/>
        </w:rPr>
        <w:t xml:space="preserve">  </w:t>
      </w:r>
      <w:r w:rsidR="00BA1A16">
        <w:rPr>
          <w:rFonts w:cs="Calibri"/>
          <w:bCs/>
          <w:sz w:val="18"/>
          <w:szCs w:val="18"/>
          <w:lang w:eastAsia="en-GB"/>
        </w:rPr>
        <w:t>There were no clinical measurements at 3 months.</w:t>
      </w:r>
      <w:r w:rsidR="00FF0A2B">
        <w:rPr>
          <w:rFonts w:cs="Calibri"/>
          <w:bCs/>
          <w:sz w:val="18"/>
          <w:szCs w:val="18"/>
          <w:lang w:eastAsia="en-GB"/>
        </w:rPr>
        <w:t xml:space="preserve">  </w:t>
      </w:r>
      <w:r w:rsidR="00282BDB">
        <w:rPr>
          <w:rFonts w:cs="Calibri"/>
          <w:bCs/>
          <w:sz w:val="18"/>
          <w:szCs w:val="18"/>
          <w:lang w:eastAsia="en-GB"/>
        </w:rPr>
        <w:t>At 12 months, fat mass was available in the control, postal and nurse groups respectively for 319, 308 and 320 participants.</w:t>
      </w:r>
    </w:p>
    <w:p w:rsidR="00FF0A2B" w:rsidRDefault="00282BDB" w:rsidP="00FF0A2B">
      <w:pPr>
        <w:tabs>
          <w:tab w:val="left" w:pos="142"/>
          <w:tab w:val="right" w:pos="5387"/>
          <w:tab w:val="right" w:pos="7938"/>
        </w:tabs>
        <w:spacing w:after="0" w:line="240" w:lineRule="auto"/>
        <w:ind w:right="-1"/>
        <w:rPr>
          <w:rFonts w:cs="Calibri"/>
          <w:bCs/>
          <w:sz w:val="18"/>
          <w:szCs w:val="18"/>
          <w:lang w:eastAsia="en-GB"/>
        </w:rPr>
      </w:pPr>
      <w:r>
        <w:rPr>
          <w:rFonts w:cs="Calibri"/>
          <w:bCs/>
          <w:sz w:val="18"/>
          <w:szCs w:val="18"/>
          <w:lang w:eastAsia="en-GB"/>
        </w:rPr>
        <w:t>Questionnaire variables were missing for varying numbers of participants at each time-point.</w:t>
      </w:r>
    </w:p>
    <w:p w:rsidR="00FF0A2B" w:rsidRPr="00172FFD" w:rsidRDefault="00FF0A2B" w:rsidP="00FF0A2B">
      <w:pPr>
        <w:tabs>
          <w:tab w:val="left" w:pos="142"/>
          <w:tab w:val="right" w:pos="5387"/>
          <w:tab w:val="right" w:pos="7938"/>
        </w:tabs>
        <w:spacing w:after="0" w:line="240" w:lineRule="auto"/>
        <w:ind w:right="-1"/>
        <w:rPr>
          <w:rFonts w:cs="Calibri"/>
          <w:bCs/>
          <w:sz w:val="18"/>
          <w:szCs w:val="18"/>
          <w:lang w:eastAsia="en-GB"/>
        </w:rPr>
      </w:pPr>
      <w:r w:rsidRPr="00172FFD">
        <w:rPr>
          <w:rFonts w:cs="Calibri"/>
          <w:bCs/>
          <w:sz w:val="18"/>
          <w:szCs w:val="18"/>
          <w:lang w:eastAsia="en-GB"/>
        </w:rPr>
        <w:t xml:space="preserve">Full references for </w:t>
      </w:r>
      <w:r>
        <w:rPr>
          <w:rFonts w:cs="Calibri"/>
          <w:bCs/>
          <w:sz w:val="18"/>
          <w:szCs w:val="18"/>
          <w:lang w:eastAsia="en-GB"/>
        </w:rPr>
        <w:t>HADS anxiety and depression score, EQ5D score and exercise self-efficacy</w:t>
      </w:r>
      <w:r w:rsidRPr="00172FFD">
        <w:rPr>
          <w:rFonts w:cs="Calibri"/>
          <w:bCs/>
          <w:sz w:val="18"/>
          <w:szCs w:val="18"/>
          <w:lang w:eastAsia="en-GB"/>
        </w:rPr>
        <w:t xml:space="preserve"> are given in the trial protocol </w:t>
      </w:r>
      <w:r>
        <w:rPr>
          <w:rFonts w:cs="Calibri"/>
          <w:bCs/>
          <w:sz w:val="18"/>
          <w:szCs w:val="18"/>
          <w:vertAlign w:val="superscript"/>
          <w:lang w:eastAsia="en-GB"/>
        </w:rPr>
        <w:t>2</w:t>
      </w:r>
      <w:r w:rsidR="0044732D">
        <w:rPr>
          <w:rFonts w:cs="Calibri"/>
          <w:bCs/>
          <w:sz w:val="18"/>
          <w:szCs w:val="18"/>
          <w:vertAlign w:val="superscript"/>
          <w:lang w:eastAsia="en-GB"/>
        </w:rPr>
        <w:t>3</w:t>
      </w:r>
      <w:bookmarkStart w:id="0" w:name="_GoBack"/>
      <w:bookmarkEnd w:id="0"/>
    </w:p>
    <w:p w:rsidR="00282BDB" w:rsidRDefault="00282BDB" w:rsidP="00FF0A2B">
      <w:pPr>
        <w:tabs>
          <w:tab w:val="left" w:pos="142"/>
          <w:tab w:val="left" w:pos="567"/>
          <w:tab w:val="right" w:pos="4536"/>
          <w:tab w:val="right" w:pos="5670"/>
          <w:tab w:val="right" w:pos="6804"/>
          <w:tab w:val="right" w:pos="8505"/>
          <w:tab w:val="right" w:pos="9639"/>
          <w:tab w:val="right" w:pos="10773"/>
          <w:tab w:val="right" w:pos="12474"/>
          <w:tab w:val="right" w:pos="14459"/>
        </w:tabs>
        <w:spacing w:after="0" w:line="240" w:lineRule="auto"/>
        <w:rPr>
          <w:rFonts w:cs="Calibri"/>
          <w:bCs/>
          <w:sz w:val="18"/>
          <w:szCs w:val="18"/>
          <w:lang w:eastAsia="en-GB"/>
        </w:rPr>
      </w:pPr>
    </w:p>
    <w:sectPr w:rsidR="00282BDB" w:rsidSect="00C36A9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8"/>
    <w:rsid w:val="001501FB"/>
    <w:rsid w:val="00282BDB"/>
    <w:rsid w:val="00362D50"/>
    <w:rsid w:val="00372B57"/>
    <w:rsid w:val="0044732D"/>
    <w:rsid w:val="004719E9"/>
    <w:rsid w:val="006747A8"/>
    <w:rsid w:val="00734414"/>
    <w:rsid w:val="007374CA"/>
    <w:rsid w:val="007802AB"/>
    <w:rsid w:val="00787E30"/>
    <w:rsid w:val="008C733E"/>
    <w:rsid w:val="00942E43"/>
    <w:rsid w:val="009A6A83"/>
    <w:rsid w:val="00BA1A16"/>
    <w:rsid w:val="00C112AF"/>
    <w:rsid w:val="00C36A94"/>
    <w:rsid w:val="00CC42B4"/>
    <w:rsid w:val="00D13841"/>
    <w:rsid w:val="00D34B5A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D0C2"/>
  <w15:chartTrackingRefBased/>
  <w15:docId w15:val="{F9A8AD80-6E75-43AD-9A1E-E342D46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Limb</dc:creator>
  <cp:keywords/>
  <dc:description/>
  <cp:lastModifiedBy>Tess's New HP</cp:lastModifiedBy>
  <cp:revision>4</cp:revision>
  <cp:lastPrinted>2016-10-04T14:21:00Z</cp:lastPrinted>
  <dcterms:created xsi:type="dcterms:W3CDTF">2016-10-05T12:41:00Z</dcterms:created>
  <dcterms:modified xsi:type="dcterms:W3CDTF">2016-10-05T13:24:00Z</dcterms:modified>
</cp:coreProperties>
</file>