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E55" w:rsidRDefault="005C1E89" w:rsidP="009275C2">
      <w:pPr>
        <w:spacing w:before="240" w:after="240" w:line="480" w:lineRule="auto"/>
        <w:rPr>
          <w:rFonts w:ascii="Calibri" w:hAnsi="Calibri" w:cs="Arial"/>
          <w:b/>
          <w:sz w:val="28"/>
          <w:lang w:val="en-US"/>
        </w:rPr>
      </w:pPr>
      <w:r>
        <w:rPr>
          <w:rFonts w:ascii="Calibri" w:hAnsi="Calibri" w:cs="Arial"/>
          <w:b/>
          <w:sz w:val="28"/>
          <w:lang w:val="en-US"/>
        </w:rPr>
        <w:t xml:space="preserve">Comparison of </w:t>
      </w:r>
      <w:r w:rsidR="00F14E55" w:rsidRPr="00F14E55">
        <w:rPr>
          <w:rFonts w:ascii="Calibri" w:hAnsi="Calibri" w:cs="Arial"/>
          <w:b/>
          <w:sz w:val="28"/>
          <w:lang w:val="en-US"/>
        </w:rPr>
        <w:t>Hypertrophic Cardiomyopathy</w:t>
      </w:r>
      <w:r>
        <w:rPr>
          <w:rFonts w:ascii="Calibri" w:hAnsi="Calibri" w:cs="Arial"/>
          <w:b/>
          <w:sz w:val="28"/>
          <w:lang w:val="en-US"/>
        </w:rPr>
        <w:t xml:space="preserve"> in Afro-Caribbean </w:t>
      </w:r>
      <w:r w:rsidR="001E48A3">
        <w:rPr>
          <w:rFonts w:ascii="Calibri" w:hAnsi="Calibri" w:cs="Arial"/>
          <w:b/>
          <w:sz w:val="28"/>
          <w:lang w:val="en-US"/>
        </w:rPr>
        <w:t>versus</w:t>
      </w:r>
      <w:r>
        <w:rPr>
          <w:rFonts w:ascii="Calibri" w:hAnsi="Calibri" w:cs="Arial"/>
          <w:b/>
          <w:sz w:val="28"/>
          <w:lang w:val="en-US"/>
        </w:rPr>
        <w:t xml:space="preserve"> White</w:t>
      </w:r>
      <w:r w:rsidR="00F14E55" w:rsidRPr="00F14E55">
        <w:rPr>
          <w:rFonts w:ascii="Calibri" w:hAnsi="Calibri" w:cs="Arial"/>
          <w:b/>
          <w:sz w:val="28"/>
          <w:lang w:val="en-US"/>
        </w:rPr>
        <w:t xml:space="preserve"> Patients in the United Kingdom</w:t>
      </w:r>
    </w:p>
    <w:p w:rsidR="00876DF0" w:rsidRPr="00353B62" w:rsidRDefault="007C5D0F" w:rsidP="009275C2">
      <w:pPr>
        <w:spacing w:before="240" w:after="240" w:line="480" w:lineRule="auto"/>
        <w:rPr>
          <w:rFonts w:ascii="Calibri" w:hAnsi="Calibri" w:cs="Arial"/>
          <w:vertAlign w:val="superscript"/>
          <w:lang w:val="en-US"/>
        </w:rPr>
      </w:pPr>
      <w:r w:rsidRPr="00353B62">
        <w:rPr>
          <w:rFonts w:ascii="Calibri" w:hAnsi="Calibri" w:cs="Arial"/>
          <w:lang w:val="en-US"/>
        </w:rPr>
        <w:t>Nabeel Sheikh</w:t>
      </w:r>
      <w:r w:rsidR="008E11B0" w:rsidRPr="00353B62">
        <w:rPr>
          <w:rFonts w:ascii="Calibri" w:hAnsi="Calibri" w:cs="Arial"/>
          <w:lang w:val="en-US"/>
        </w:rPr>
        <w:t>,</w:t>
      </w:r>
      <w:r w:rsidR="00D6724B" w:rsidRPr="00353B62">
        <w:rPr>
          <w:rFonts w:ascii="Calibri" w:hAnsi="Calibri" w:cs="Arial"/>
          <w:lang w:val="en-US"/>
        </w:rPr>
        <w:t xml:space="preserve"> MRCP</w:t>
      </w:r>
      <w:r w:rsidRPr="00353B62">
        <w:rPr>
          <w:rFonts w:ascii="Calibri" w:hAnsi="Calibri" w:cs="Arial"/>
          <w:vertAlign w:val="superscript"/>
          <w:lang w:val="en-US"/>
        </w:rPr>
        <w:t>1,2</w:t>
      </w:r>
      <w:r w:rsidR="00D6724B" w:rsidRPr="00353B62">
        <w:rPr>
          <w:rFonts w:ascii="Calibri" w:hAnsi="Calibri" w:cs="Arial"/>
          <w:lang w:val="en-US"/>
        </w:rPr>
        <w:t>;</w:t>
      </w:r>
      <w:r w:rsidRPr="00353B62">
        <w:rPr>
          <w:rFonts w:ascii="Calibri" w:hAnsi="Calibri" w:cs="Arial"/>
          <w:lang w:val="en-US"/>
        </w:rPr>
        <w:t xml:space="preserve"> Michael Papadakis</w:t>
      </w:r>
      <w:r w:rsidR="008E11B0" w:rsidRPr="00353B62">
        <w:rPr>
          <w:rFonts w:ascii="Calibri" w:hAnsi="Calibri" w:cs="Arial"/>
          <w:lang w:val="en-US"/>
        </w:rPr>
        <w:t>,</w:t>
      </w:r>
      <w:r w:rsidR="00D6724B" w:rsidRPr="00353B62">
        <w:rPr>
          <w:rFonts w:ascii="Calibri" w:hAnsi="Calibri" w:cs="Arial"/>
          <w:lang w:val="en-US"/>
        </w:rPr>
        <w:t xml:space="preserve"> MD</w:t>
      </w:r>
      <w:r w:rsidRPr="00353B62">
        <w:rPr>
          <w:rFonts w:ascii="Calibri" w:hAnsi="Calibri" w:cs="Arial"/>
          <w:vertAlign w:val="superscript"/>
          <w:lang w:val="en-US"/>
        </w:rPr>
        <w:t>1,2</w:t>
      </w:r>
      <w:r w:rsidR="00D6724B" w:rsidRPr="00353B62">
        <w:rPr>
          <w:rFonts w:ascii="Calibri" w:hAnsi="Calibri" w:cs="Arial"/>
          <w:lang w:val="en-US"/>
        </w:rPr>
        <w:t>;</w:t>
      </w:r>
      <w:r w:rsidR="006416E3" w:rsidRPr="00353B62">
        <w:rPr>
          <w:rFonts w:ascii="Calibri" w:hAnsi="Calibri" w:cs="Arial"/>
          <w:lang w:val="en-US"/>
        </w:rPr>
        <w:t xml:space="preserve"> </w:t>
      </w:r>
      <w:r w:rsidR="00AF050E" w:rsidRPr="00353B62">
        <w:rPr>
          <w:rFonts w:ascii="Calibri" w:hAnsi="Calibri" w:cs="Arial"/>
          <w:lang w:val="en-US"/>
        </w:rPr>
        <w:t>Vasileio</w:t>
      </w:r>
      <w:r w:rsidR="00110AF3" w:rsidRPr="00353B62">
        <w:rPr>
          <w:rFonts w:ascii="Calibri" w:hAnsi="Calibri" w:cs="Arial"/>
          <w:lang w:val="en-US"/>
        </w:rPr>
        <w:t>s F Panoulas</w:t>
      </w:r>
      <w:r w:rsidR="006416E3" w:rsidRPr="00353B62">
        <w:rPr>
          <w:rFonts w:ascii="Calibri" w:hAnsi="Calibri" w:cs="Arial"/>
          <w:lang w:val="en-US"/>
        </w:rPr>
        <w:t>,</w:t>
      </w:r>
      <w:r w:rsidR="00D6724B" w:rsidRPr="00353B62">
        <w:rPr>
          <w:rFonts w:ascii="Calibri" w:hAnsi="Calibri" w:cs="Arial"/>
          <w:lang w:val="en-US"/>
        </w:rPr>
        <w:t xml:space="preserve"> PhD</w:t>
      </w:r>
      <w:r w:rsidR="00C70986" w:rsidRPr="00353B62">
        <w:rPr>
          <w:rFonts w:ascii="Calibri" w:hAnsi="Calibri" w:cs="Arial"/>
          <w:vertAlign w:val="superscript"/>
          <w:lang w:val="en-US"/>
        </w:rPr>
        <w:t>3</w:t>
      </w:r>
      <w:r w:rsidR="00D6724B" w:rsidRPr="00353B62">
        <w:rPr>
          <w:rFonts w:ascii="Calibri" w:hAnsi="Calibri" w:cs="Arial"/>
          <w:lang w:val="en-US"/>
        </w:rPr>
        <w:t>;</w:t>
      </w:r>
      <w:r w:rsidR="00110AF3" w:rsidRPr="00353B62">
        <w:rPr>
          <w:rFonts w:ascii="Calibri" w:hAnsi="Calibri" w:cs="Arial"/>
          <w:lang w:val="en-US"/>
        </w:rPr>
        <w:t xml:space="preserve"> </w:t>
      </w:r>
      <w:r w:rsidR="006416E3" w:rsidRPr="00353B62">
        <w:rPr>
          <w:rFonts w:ascii="Calibri" w:hAnsi="Calibri" w:cs="Arial"/>
          <w:lang w:val="en-US"/>
        </w:rPr>
        <w:t>Keerthi Prakash,</w:t>
      </w:r>
      <w:r w:rsidR="00D6724B" w:rsidRPr="00353B62">
        <w:rPr>
          <w:rFonts w:ascii="Calibri" w:hAnsi="Calibri" w:cs="Arial"/>
          <w:lang w:val="en-US"/>
        </w:rPr>
        <w:t xml:space="preserve"> MRCP</w:t>
      </w:r>
      <w:r w:rsidR="006416E3" w:rsidRPr="00353B62">
        <w:rPr>
          <w:rFonts w:ascii="Calibri" w:hAnsi="Calibri" w:cs="Arial"/>
          <w:vertAlign w:val="superscript"/>
          <w:lang w:val="en-US"/>
        </w:rPr>
        <w:t>1,2</w:t>
      </w:r>
      <w:r w:rsidR="00D6724B" w:rsidRPr="00353B62">
        <w:rPr>
          <w:rFonts w:ascii="Calibri" w:hAnsi="Calibri" w:cs="Arial"/>
          <w:lang w:val="en-US"/>
        </w:rPr>
        <w:t>;</w:t>
      </w:r>
      <w:r w:rsidR="006416E3" w:rsidRPr="00353B62">
        <w:rPr>
          <w:rFonts w:ascii="Calibri" w:hAnsi="Calibri" w:cs="Arial"/>
          <w:lang w:val="en-US"/>
        </w:rPr>
        <w:t xml:space="preserve"> </w:t>
      </w:r>
      <w:r w:rsidR="00561374" w:rsidRPr="00353B62">
        <w:rPr>
          <w:rFonts w:ascii="Calibri" w:hAnsi="Calibri" w:cs="Arial"/>
          <w:lang w:val="en-US"/>
        </w:rPr>
        <w:t>Lynne Millar,</w:t>
      </w:r>
      <w:r w:rsidR="00D6724B" w:rsidRPr="00353B62">
        <w:rPr>
          <w:rFonts w:ascii="Calibri" w:hAnsi="Calibri" w:cs="Arial"/>
          <w:lang w:val="en-US"/>
        </w:rPr>
        <w:t xml:space="preserve"> MRCP</w:t>
      </w:r>
      <w:r w:rsidR="00561374" w:rsidRPr="00353B62">
        <w:rPr>
          <w:rFonts w:ascii="Calibri" w:hAnsi="Calibri" w:cs="Arial"/>
          <w:vertAlign w:val="superscript"/>
          <w:lang w:val="en-US"/>
        </w:rPr>
        <w:t>1,2</w:t>
      </w:r>
      <w:r w:rsidR="00D6724B" w:rsidRPr="00353B62">
        <w:rPr>
          <w:rFonts w:ascii="Calibri" w:hAnsi="Calibri" w:cs="Arial"/>
          <w:lang w:val="en-US"/>
        </w:rPr>
        <w:t>;</w:t>
      </w:r>
      <w:r w:rsidR="00561374" w:rsidRPr="00353B62">
        <w:rPr>
          <w:rFonts w:ascii="Calibri" w:hAnsi="Calibri" w:cs="Arial"/>
          <w:lang w:val="en-US"/>
        </w:rPr>
        <w:t xml:space="preserve"> </w:t>
      </w:r>
      <w:r w:rsidRPr="00353B62">
        <w:rPr>
          <w:rFonts w:ascii="Calibri" w:hAnsi="Calibri" w:cs="Arial"/>
          <w:lang w:val="en-US"/>
        </w:rPr>
        <w:t>Paolo Adami,</w:t>
      </w:r>
      <w:r w:rsidR="00D6724B" w:rsidRPr="00353B62">
        <w:rPr>
          <w:rFonts w:ascii="Calibri" w:hAnsi="Calibri" w:cs="Arial"/>
          <w:lang w:val="en-US"/>
        </w:rPr>
        <w:t xml:space="preserve"> </w:t>
      </w:r>
      <w:r w:rsidR="00353B62" w:rsidRPr="00353B62">
        <w:rPr>
          <w:rFonts w:ascii="Calibri" w:hAnsi="Calibri" w:cs="Arial"/>
          <w:lang w:val="en-US"/>
        </w:rPr>
        <w:t>M</w:t>
      </w:r>
      <w:r w:rsidR="00D6724B" w:rsidRPr="00353B62">
        <w:rPr>
          <w:rFonts w:ascii="Calibri" w:hAnsi="Calibri" w:cs="Arial"/>
          <w:lang w:val="en-US"/>
        </w:rPr>
        <w:t>D</w:t>
      </w:r>
      <w:r w:rsidR="00C70986" w:rsidRPr="00353B62">
        <w:rPr>
          <w:rFonts w:ascii="Calibri" w:hAnsi="Calibri" w:cs="Arial"/>
          <w:vertAlign w:val="superscript"/>
          <w:lang w:val="en-US"/>
        </w:rPr>
        <w:t>4</w:t>
      </w:r>
      <w:r w:rsidR="00D6724B" w:rsidRPr="00353B62">
        <w:rPr>
          <w:rFonts w:ascii="Calibri" w:hAnsi="Calibri" w:cs="Arial"/>
          <w:lang w:val="en-US"/>
        </w:rPr>
        <w:t>;</w:t>
      </w:r>
      <w:r w:rsidRPr="00353B62">
        <w:rPr>
          <w:rFonts w:ascii="Calibri" w:hAnsi="Calibri" w:cs="Arial"/>
          <w:lang w:val="en-US"/>
        </w:rPr>
        <w:t xml:space="preserve"> </w:t>
      </w:r>
      <w:r w:rsidR="00E37C94" w:rsidRPr="00353B62">
        <w:rPr>
          <w:rFonts w:ascii="Calibri" w:hAnsi="Calibri" w:cs="Arial"/>
          <w:lang w:val="en-US"/>
        </w:rPr>
        <w:t>Abbas Zaidi,</w:t>
      </w:r>
      <w:r w:rsidR="00D6724B" w:rsidRPr="00353B62">
        <w:rPr>
          <w:rFonts w:ascii="Calibri" w:hAnsi="Calibri" w:cs="Arial"/>
          <w:lang w:val="en-US"/>
        </w:rPr>
        <w:t xml:space="preserve"> MD</w:t>
      </w:r>
      <w:r w:rsidR="00E37C94" w:rsidRPr="00353B62">
        <w:rPr>
          <w:rFonts w:ascii="Calibri" w:hAnsi="Calibri" w:cs="Arial"/>
          <w:vertAlign w:val="superscript"/>
          <w:lang w:val="en-US"/>
        </w:rPr>
        <w:t>1,2</w:t>
      </w:r>
      <w:r w:rsidR="00D6724B" w:rsidRPr="00353B62">
        <w:rPr>
          <w:rFonts w:ascii="Calibri" w:hAnsi="Calibri" w:cs="Arial"/>
          <w:lang w:val="en-US"/>
        </w:rPr>
        <w:t>;</w:t>
      </w:r>
      <w:r w:rsidR="00E37C94" w:rsidRPr="00353B62">
        <w:rPr>
          <w:rFonts w:ascii="Calibri" w:hAnsi="Calibri" w:cs="Arial"/>
          <w:lang w:val="en-US"/>
        </w:rPr>
        <w:t xml:space="preserve"> </w:t>
      </w:r>
      <w:r w:rsidR="00110AF3" w:rsidRPr="00353B62">
        <w:rPr>
          <w:rFonts w:ascii="Calibri" w:hAnsi="Calibri" w:cs="Arial"/>
          <w:lang w:val="en-US"/>
        </w:rPr>
        <w:t>Sabiha Gati,</w:t>
      </w:r>
      <w:r w:rsidR="00D6724B" w:rsidRPr="00353B62">
        <w:rPr>
          <w:rFonts w:ascii="Calibri" w:hAnsi="Calibri" w:cs="Arial"/>
          <w:lang w:val="en-US"/>
        </w:rPr>
        <w:t xml:space="preserve"> MRCP</w:t>
      </w:r>
      <w:r w:rsidR="00110AF3" w:rsidRPr="00353B62">
        <w:rPr>
          <w:rFonts w:ascii="Calibri" w:hAnsi="Calibri" w:cs="Arial"/>
          <w:vertAlign w:val="superscript"/>
          <w:lang w:val="en-US"/>
        </w:rPr>
        <w:t>1,2</w:t>
      </w:r>
      <w:r w:rsidR="00D6724B" w:rsidRPr="00353B62">
        <w:rPr>
          <w:rFonts w:ascii="Calibri" w:hAnsi="Calibri" w:cs="Arial"/>
          <w:lang w:val="en-US"/>
        </w:rPr>
        <w:t>;</w:t>
      </w:r>
      <w:r w:rsidR="00110AF3" w:rsidRPr="00353B62">
        <w:rPr>
          <w:rFonts w:ascii="Calibri" w:hAnsi="Calibri" w:cs="Arial"/>
          <w:lang w:val="en-US"/>
        </w:rPr>
        <w:t xml:space="preserve"> </w:t>
      </w:r>
      <w:r w:rsidR="00EF7661" w:rsidRPr="00353B62">
        <w:rPr>
          <w:rFonts w:ascii="Calibri" w:hAnsi="Calibri" w:cs="Arial"/>
          <w:lang w:val="en-US"/>
        </w:rPr>
        <w:t>Mathew Wilson,</w:t>
      </w:r>
      <w:r w:rsidR="00D6724B" w:rsidRPr="00353B62">
        <w:rPr>
          <w:rFonts w:ascii="Calibri" w:hAnsi="Calibri" w:cs="Arial"/>
          <w:lang w:val="en-US"/>
        </w:rPr>
        <w:t xml:space="preserve"> PhD</w:t>
      </w:r>
      <w:r w:rsidR="00C70986" w:rsidRPr="00353B62">
        <w:rPr>
          <w:rFonts w:ascii="Calibri" w:hAnsi="Calibri" w:cs="Arial"/>
          <w:vertAlign w:val="superscript"/>
          <w:lang w:val="en-US"/>
        </w:rPr>
        <w:t>5</w:t>
      </w:r>
      <w:r w:rsidR="00D6724B" w:rsidRPr="00353B62">
        <w:rPr>
          <w:rFonts w:ascii="Calibri" w:hAnsi="Calibri" w:cs="Arial"/>
          <w:lang w:val="en-US"/>
        </w:rPr>
        <w:t>;</w:t>
      </w:r>
      <w:r w:rsidR="00EF7661" w:rsidRPr="00353B62">
        <w:rPr>
          <w:rFonts w:ascii="Calibri" w:hAnsi="Calibri" w:cs="Arial"/>
          <w:lang w:val="en-US"/>
        </w:rPr>
        <w:t xml:space="preserve"> </w:t>
      </w:r>
      <w:r w:rsidR="006416E3" w:rsidRPr="00353B62">
        <w:rPr>
          <w:rFonts w:ascii="Calibri" w:hAnsi="Calibri" w:cs="Arial"/>
          <w:lang w:val="en-US"/>
        </w:rPr>
        <w:t>Gerald Carr-White,</w:t>
      </w:r>
      <w:r w:rsidR="00D6724B" w:rsidRPr="00353B62">
        <w:rPr>
          <w:rFonts w:ascii="Calibri" w:hAnsi="Calibri" w:cs="Arial"/>
          <w:lang w:val="en-US"/>
        </w:rPr>
        <w:t xml:space="preserve"> PhD</w:t>
      </w:r>
      <w:r w:rsidR="00C70986" w:rsidRPr="00353B62">
        <w:rPr>
          <w:rFonts w:ascii="Calibri" w:hAnsi="Calibri" w:cs="Arial"/>
          <w:vertAlign w:val="superscript"/>
          <w:lang w:val="en-US"/>
        </w:rPr>
        <w:t>6</w:t>
      </w:r>
      <w:r w:rsidR="00D6724B" w:rsidRPr="00353B62">
        <w:rPr>
          <w:rFonts w:ascii="Calibri" w:hAnsi="Calibri" w:cs="Arial"/>
          <w:lang w:val="en-US"/>
        </w:rPr>
        <w:t>;</w:t>
      </w:r>
      <w:r w:rsidR="006416E3" w:rsidRPr="00353B62">
        <w:rPr>
          <w:rFonts w:ascii="Calibri" w:hAnsi="Calibri" w:cs="Arial"/>
          <w:lang w:val="en-US"/>
        </w:rPr>
        <w:t xml:space="preserve"> </w:t>
      </w:r>
      <w:r w:rsidR="00AF052E" w:rsidRPr="00353B62">
        <w:rPr>
          <w:rFonts w:ascii="Calibri" w:hAnsi="Calibri" w:cs="Arial"/>
          <w:lang w:val="en-US"/>
        </w:rPr>
        <w:t>Ma</w:t>
      </w:r>
      <w:r w:rsidR="00D732DB" w:rsidRPr="00353B62">
        <w:rPr>
          <w:rFonts w:ascii="Calibri" w:hAnsi="Calibri" w:cs="Arial"/>
          <w:lang w:val="en-US"/>
        </w:rPr>
        <w:t>ria</w:t>
      </w:r>
      <w:r w:rsidR="00AF052E" w:rsidRPr="00353B62">
        <w:rPr>
          <w:rFonts w:ascii="Calibri" w:hAnsi="Calibri" w:cs="Arial"/>
          <w:lang w:val="en-US"/>
        </w:rPr>
        <w:t xml:space="preserve"> </w:t>
      </w:r>
      <w:r w:rsidR="00D732DB" w:rsidRPr="00353B62">
        <w:rPr>
          <w:rFonts w:ascii="Calibri" w:hAnsi="Calibri" w:cs="Arial"/>
          <w:lang w:val="en-US"/>
        </w:rPr>
        <w:t xml:space="preserve">Teresa </w:t>
      </w:r>
      <w:r w:rsidR="00AF052E" w:rsidRPr="00353B62">
        <w:rPr>
          <w:rFonts w:ascii="Calibri" w:hAnsi="Calibri" w:cs="Arial"/>
          <w:lang w:val="en-US"/>
        </w:rPr>
        <w:t>Esteban Tom</w:t>
      </w:r>
      <w:r w:rsidR="00D732DB" w:rsidRPr="00353B62">
        <w:rPr>
          <w:rFonts w:ascii="Calibri" w:hAnsi="Calibri" w:cs="Arial"/>
          <w:lang w:val="en-US"/>
        </w:rPr>
        <w:t>é</w:t>
      </w:r>
      <w:r w:rsidR="00AF052E" w:rsidRPr="00353B62">
        <w:rPr>
          <w:rFonts w:ascii="Calibri" w:hAnsi="Calibri" w:cs="Arial"/>
          <w:lang w:val="en-US"/>
        </w:rPr>
        <w:t>,</w:t>
      </w:r>
      <w:r w:rsidR="00D6724B" w:rsidRPr="00353B62">
        <w:rPr>
          <w:rFonts w:ascii="Calibri" w:hAnsi="Calibri" w:cs="Arial"/>
          <w:lang w:val="en-US"/>
        </w:rPr>
        <w:t xml:space="preserve"> MD</w:t>
      </w:r>
      <w:r w:rsidR="00AF052E" w:rsidRPr="00353B62">
        <w:rPr>
          <w:rFonts w:ascii="Calibri" w:hAnsi="Calibri" w:cs="Arial"/>
          <w:vertAlign w:val="superscript"/>
          <w:lang w:val="en-US"/>
        </w:rPr>
        <w:t>1</w:t>
      </w:r>
      <w:r w:rsidR="00D6724B" w:rsidRPr="00353B62">
        <w:rPr>
          <w:rFonts w:ascii="Calibri" w:hAnsi="Calibri" w:cs="Arial"/>
          <w:lang w:val="en-US"/>
        </w:rPr>
        <w:t>;</w:t>
      </w:r>
      <w:r w:rsidR="00AF052E" w:rsidRPr="00353B62">
        <w:rPr>
          <w:rFonts w:ascii="Calibri" w:hAnsi="Calibri" w:cs="Arial"/>
          <w:lang w:val="en-US"/>
        </w:rPr>
        <w:t xml:space="preserve"> </w:t>
      </w:r>
      <w:r w:rsidR="00EA62B5" w:rsidRPr="00353B62">
        <w:rPr>
          <w:rFonts w:ascii="Calibri" w:hAnsi="Calibri" w:cs="Arial"/>
          <w:lang w:val="en-US"/>
        </w:rPr>
        <w:t xml:space="preserve">Elijah </w:t>
      </w:r>
      <w:r w:rsidR="006416E3" w:rsidRPr="00353B62">
        <w:rPr>
          <w:rFonts w:ascii="Calibri" w:hAnsi="Calibri" w:cs="Arial"/>
          <w:lang w:val="en-US"/>
        </w:rPr>
        <w:t xml:space="preserve">R </w:t>
      </w:r>
      <w:r w:rsidR="00EA62B5" w:rsidRPr="00353B62">
        <w:rPr>
          <w:rFonts w:ascii="Calibri" w:hAnsi="Calibri" w:cs="Arial"/>
          <w:lang w:val="en-US"/>
        </w:rPr>
        <w:t>Behr,</w:t>
      </w:r>
      <w:r w:rsidR="00D6724B" w:rsidRPr="00353B62">
        <w:rPr>
          <w:rFonts w:ascii="Calibri" w:hAnsi="Calibri" w:cs="Arial"/>
          <w:lang w:val="en-US"/>
        </w:rPr>
        <w:t xml:space="preserve"> MD</w:t>
      </w:r>
      <w:r w:rsidR="00342ED5" w:rsidRPr="00353B62">
        <w:rPr>
          <w:rFonts w:ascii="Calibri" w:hAnsi="Calibri" w:cs="Arial"/>
          <w:vertAlign w:val="superscript"/>
          <w:lang w:val="en-US"/>
        </w:rPr>
        <w:t>1</w:t>
      </w:r>
      <w:r w:rsidR="00D6724B" w:rsidRPr="00353B62">
        <w:rPr>
          <w:rFonts w:ascii="Calibri" w:hAnsi="Calibri" w:cs="Arial"/>
          <w:lang w:val="en-US"/>
        </w:rPr>
        <w:t>;</w:t>
      </w:r>
      <w:r w:rsidR="00EA62B5" w:rsidRPr="00353B62">
        <w:rPr>
          <w:rFonts w:ascii="Calibri" w:hAnsi="Calibri" w:cs="Arial"/>
          <w:lang w:val="en-US"/>
        </w:rPr>
        <w:t xml:space="preserve"> </w:t>
      </w:r>
      <w:r w:rsidRPr="00353B62">
        <w:rPr>
          <w:rFonts w:ascii="Calibri" w:hAnsi="Calibri" w:cs="Arial"/>
          <w:lang w:val="en-US"/>
        </w:rPr>
        <w:t>and Sanjay Sharma</w:t>
      </w:r>
      <w:r w:rsidR="00D6724B" w:rsidRPr="00353B62">
        <w:rPr>
          <w:rFonts w:ascii="Calibri" w:hAnsi="Calibri" w:cs="Arial"/>
          <w:lang w:val="en-US"/>
        </w:rPr>
        <w:t>, MD</w:t>
      </w:r>
      <w:r w:rsidR="00342ED5" w:rsidRPr="00353B62">
        <w:rPr>
          <w:rFonts w:ascii="Calibri" w:hAnsi="Calibri" w:cs="Arial"/>
          <w:lang w:val="en-US"/>
        </w:rPr>
        <w:t>.</w:t>
      </w:r>
      <w:r w:rsidR="00FD1D60" w:rsidRPr="00353B62">
        <w:rPr>
          <w:rFonts w:ascii="Calibri" w:hAnsi="Calibri" w:cs="Arial"/>
          <w:lang w:val="en-US"/>
        </w:rPr>
        <w:t>*</w:t>
      </w:r>
      <w:r w:rsidRPr="00353B62">
        <w:rPr>
          <w:rFonts w:ascii="Calibri" w:hAnsi="Calibri" w:cs="Arial"/>
          <w:vertAlign w:val="superscript"/>
          <w:lang w:val="en-US"/>
        </w:rPr>
        <w:t>1, 2</w:t>
      </w:r>
    </w:p>
    <w:p w:rsidR="006E78B7" w:rsidRDefault="00876DF0" w:rsidP="006E78B7">
      <w:pPr>
        <w:spacing w:line="480" w:lineRule="auto"/>
        <w:rPr>
          <w:rFonts w:ascii="Calibri" w:hAnsi="Calibri" w:cs="Arial"/>
          <w:lang w:val="en-US"/>
        </w:rPr>
      </w:pPr>
      <w:r w:rsidRPr="006E78B7">
        <w:rPr>
          <w:rFonts w:ascii="Calibri" w:hAnsi="Calibri" w:cs="Arial"/>
          <w:vertAlign w:val="superscript"/>
          <w:lang w:val="en-US"/>
        </w:rPr>
        <w:t>1</w:t>
      </w:r>
      <w:r w:rsidR="007C5D0F" w:rsidRPr="006E78B7">
        <w:rPr>
          <w:rFonts w:ascii="Calibri" w:hAnsi="Calibri" w:cs="Arial"/>
          <w:lang w:val="en-US"/>
        </w:rPr>
        <w:t>St George’s University of London, London, UK</w:t>
      </w:r>
    </w:p>
    <w:p w:rsidR="006E78B7" w:rsidRDefault="00876DF0" w:rsidP="006E78B7">
      <w:pPr>
        <w:spacing w:line="480" w:lineRule="auto"/>
        <w:rPr>
          <w:rFonts w:ascii="Calibri" w:hAnsi="Calibri" w:cs="Arial"/>
          <w:lang w:val="en-US"/>
        </w:rPr>
      </w:pPr>
      <w:r w:rsidRPr="006E78B7">
        <w:rPr>
          <w:rFonts w:ascii="Calibri" w:hAnsi="Calibri" w:cs="Arial"/>
          <w:vertAlign w:val="superscript"/>
          <w:lang w:val="en-US"/>
        </w:rPr>
        <w:t>2</w:t>
      </w:r>
      <w:r w:rsidR="007C5D0F" w:rsidRPr="006E78B7">
        <w:rPr>
          <w:rFonts w:ascii="Calibri" w:hAnsi="Calibri" w:cs="Arial"/>
          <w:lang w:val="en-US"/>
        </w:rPr>
        <w:t>University Hospital Lewisham, London, UK</w:t>
      </w:r>
    </w:p>
    <w:p w:rsidR="006E78B7" w:rsidRDefault="00876DF0" w:rsidP="006E78B7">
      <w:pPr>
        <w:spacing w:line="480" w:lineRule="auto"/>
        <w:rPr>
          <w:rFonts w:ascii="Calibri" w:hAnsi="Calibri" w:cs="Arial"/>
          <w:lang w:val="en-US"/>
        </w:rPr>
      </w:pPr>
      <w:r w:rsidRPr="006E78B7">
        <w:rPr>
          <w:rFonts w:ascii="Calibri" w:hAnsi="Calibri" w:cs="Arial"/>
          <w:vertAlign w:val="superscript"/>
          <w:lang w:val="en-US"/>
        </w:rPr>
        <w:t>3</w:t>
      </w:r>
      <w:r w:rsidR="00C70986" w:rsidRPr="006E78B7">
        <w:rPr>
          <w:rFonts w:ascii="Calibri" w:hAnsi="Calibri"/>
          <w:lang w:val="en-US"/>
        </w:rPr>
        <w:t>National Heart and Lung Institute, Imperial College London, London, UK</w:t>
      </w:r>
    </w:p>
    <w:p w:rsidR="006E78B7" w:rsidRDefault="00876DF0" w:rsidP="006E78B7">
      <w:pPr>
        <w:spacing w:line="480" w:lineRule="auto"/>
        <w:rPr>
          <w:rFonts w:ascii="Calibri" w:hAnsi="Calibri" w:cs="Arial"/>
          <w:lang w:val="en-US"/>
        </w:rPr>
      </w:pPr>
      <w:r w:rsidRPr="006E78B7">
        <w:rPr>
          <w:rFonts w:ascii="Calibri" w:hAnsi="Calibri" w:cs="Arial"/>
          <w:vertAlign w:val="superscript"/>
          <w:lang w:val="en-US"/>
        </w:rPr>
        <w:t>4</w:t>
      </w:r>
      <w:r w:rsidR="002547F3" w:rsidRPr="006E78B7">
        <w:rPr>
          <w:rFonts w:ascii="Calibri" w:hAnsi="Calibri"/>
          <w:lang w:val="en-US"/>
        </w:rPr>
        <w:t>Sapienza University of Rome, Rome, Italy</w:t>
      </w:r>
    </w:p>
    <w:p w:rsidR="006E78B7" w:rsidRDefault="00876DF0" w:rsidP="006E78B7">
      <w:pPr>
        <w:spacing w:line="480" w:lineRule="auto"/>
        <w:rPr>
          <w:rFonts w:ascii="Calibri" w:hAnsi="Calibri" w:cs="Arial"/>
          <w:lang w:val="en-US"/>
        </w:rPr>
      </w:pPr>
      <w:r w:rsidRPr="006E78B7">
        <w:rPr>
          <w:rFonts w:ascii="Calibri" w:hAnsi="Calibri" w:cs="Arial"/>
          <w:vertAlign w:val="superscript"/>
          <w:lang w:val="en-US"/>
        </w:rPr>
        <w:t>5</w:t>
      </w:r>
      <w:r w:rsidR="00C70986" w:rsidRPr="006E78B7">
        <w:rPr>
          <w:rFonts w:ascii="Calibri" w:hAnsi="Calibri"/>
          <w:lang w:val="en-US"/>
        </w:rPr>
        <w:t>Aspetar, Department of Sports Medicine, Qatar O</w:t>
      </w:r>
      <w:r w:rsidRPr="006E78B7">
        <w:rPr>
          <w:rFonts w:ascii="Calibri" w:hAnsi="Calibri"/>
          <w:lang w:val="en-US"/>
        </w:rPr>
        <w:t xml:space="preserve">rthopaedic and Sports Medicine </w:t>
      </w:r>
      <w:r w:rsidR="00C70986" w:rsidRPr="006E78B7">
        <w:rPr>
          <w:rFonts w:ascii="Calibri" w:hAnsi="Calibri"/>
          <w:lang w:val="en-US"/>
        </w:rPr>
        <w:t>Hospital, Doha, Qatar</w:t>
      </w:r>
    </w:p>
    <w:p w:rsidR="00EF7661" w:rsidRPr="006E78B7" w:rsidRDefault="00876DF0" w:rsidP="006E78B7">
      <w:pPr>
        <w:spacing w:line="480" w:lineRule="auto"/>
        <w:rPr>
          <w:rFonts w:ascii="Calibri" w:hAnsi="Calibri" w:cs="Arial"/>
          <w:lang w:val="en-US"/>
        </w:rPr>
      </w:pPr>
      <w:r w:rsidRPr="006E78B7">
        <w:rPr>
          <w:rFonts w:ascii="Calibri" w:hAnsi="Calibri" w:cs="Arial"/>
          <w:vertAlign w:val="superscript"/>
          <w:lang w:val="en-US"/>
        </w:rPr>
        <w:t>6</w:t>
      </w:r>
      <w:r w:rsidR="00C70986" w:rsidRPr="006E78B7">
        <w:rPr>
          <w:rFonts w:ascii="Calibri" w:hAnsi="Calibri" w:cs="Arial"/>
          <w:lang w:val="en-US"/>
        </w:rPr>
        <w:t>St. Thomas’ Hospital, London</w:t>
      </w:r>
      <w:r w:rsidR="00A7088F" w:rsidRPr="006E78B7">
        <w:rPr>
          <w:rFonts w:ascii="Calibri" w:hAnsi="Calibri" w:cs="Arial"/>
          <w:lang w:val="en-US"/>
        </w:rPr>
        <w:t>.</w:t>
      </w:r>
    </w:p>
    <w:p w:rsidR="00876DF0" w:rsidRPr="00353B62" w:rsidRDefault="00876DF0" w:rsidP="006C647A">
      <w:pPr>
        <w:rPr>
          <w:rFonts w:ascii="Calibri" w:hAnsi="Calibri"/>
          <w:b/>
          <w:lang w:val="en-US"/>
        </w:rPr>
      </w:pPr>
    </w:p>
    <w:p w:rsidR="000500D0" w:rsidRPr="00353B62" w:rsidRDefault="000500D0" w:rsidP="006C647A">
      <w:pPr>
        <w:rPr>
          <w:rFonts w:ascii="Calibri" w:hAnsi="Calibri"/>
          <w:b/>
          <w:lang w:val="en-US"/>
        </w:rPr>
      </w:pPr>
    </w:p>
    <w:p w:rsidR="007C5D0F" w:rsidRPr="00353B62" w:rsidRDefault="00FD1D60" w:rsidP="006C647A">
      <w:pPr>
        <w:spacing w:line="480" w:lineRule="auto"/>
        <w:rPr>
          <w:rFonts w:ascii="Calibri" w:hAnsi="Calibri"/>
          <w:lang w:val="en-US"/>
        </w:rPr>
      </w:pPr>
      <w:r w:rsidRPr="00353B62">
        <w:rPr>
          <w:rFonts w:ascii="Calibri" w:hAnsi="Calibri"/>
          <w:b/>
          <w:lang w:val="en-US"/>
        </w:rPr>
        <w:t>*</w:t>
      </w:r>
      <w:r w:rsidR="007C5D0F" w:rsidRPr="00353B62">
        <w:rPr>
          <w:rFonts w:ascii="Calibri" w:hAnsi="Calibri"/>
          <w:b/>
          <w:lang w:val="en-US"/>
        </w:rPr>
        <w:t>Address</w:t>
      </w:r>
      <w:r w:rsidR="00A032F1" w:rsidRPr="00353B62">
        <w:rPr>
          <w:rFonts w:ascii="Calibri" w:hAnsi="Calibri"/>
          <w:b/>
          <w:lang w:val="en-US"/>
        </w:rPr>
        <w:t xml:space="preserve"> for Correspondence</w:t>
      </w:r>
      <w:r w:rsidR="007C5D0F" w:rsidRPr="00353B62">
        <w:rPr>
          <w:rFonts w:ascii="Calibri" w:hAnsi="Calibri"/>
          <w:b/>
          <w:lang w:val="en-US"/>
        </w:rPr>
        <w:t>:</w:t>
      </w:r>
      <w:r w:rsidR="000500D0" w:rsidRPr="00353B62">
        <w:rPr>
          <w:rFonts w:ascii="Calibri" w:hAnsi="Calibri"/>
          <w:lang w:val="en-US"/>
        </w:rPr>
        <w:t xml:space="preserve"> </w:t>
      </w:r>
      <w:r w:rsidR="003C5BB3" w:rsidRPr="00353B62">
        <w:rPr>
          <w:rFonts w:ascii="Calibri" w:hAnsi="Calibri"/>
          <w:lang w:val="en-US"/>
        </w:rPr>
        <w:t xml:space="preserve">Professor Sanjay Sharma, </w:t>
      </w:r>
      <w:r w:rsidR="007C5D0F" w:rsidRPr="00353B62">
        <w:rPr>
          <w:rFonts w:ascii="Calibri" w:hAnsi="Calibri"/>
          <w:lang w:val="en-US"/>
        </w:rPr>
        <w:t>St.</w:t>
      </w:r>
      <w:r w:rsidR="003266F0" w:rsidRPr="00353B62">
        <w:rPr>
          <w:rFonts w:ascii="Calibri" w:hAnsi="Calibri"/>
          <w:lang w:val="en-US"/>
        </w:rPr>
        <w:t xml:space="preserve"> George’s University of London, Cardiovascular Sciences, Cranmer Terrace, </w:t>
      </w:r>
      <w:r w:rsidR="007C5D0F" w:rsidRPr="00353B62">
        <w:rPr>
          <w:rFonts w:ascii="Calibri" w:hAnsi="Calibri"/>
          <w:lang w:val="en-US"/>
        </w:rPr>
        <w:t>London</w:t>
      </w:r>
      <w:r w:rsidR="002547F3" w:rsidRPr="00353B62">
        <w:rPr>
          <w:rFonts w:ascii="Calibri" w:hAnsi="Calibri"/>
          <w:lang w:val="en-US"/>
        </w:rPr>
        <w:t xml:space="preserve"> SW17 0RE,</w:t>
      </w:r>
      <w:r w:rsidR="007C5D0F" w:rsidRPr="00353B62">
        <w:rPr>
          <w:rFonts w:ascii="Calibri" w:hAnsi="Calibri"/>
          <w:lang w:val="en-US"/>
        </w:rPr>
        <w:t xml:space="preserve"> United Kingdom.</w:t>
      </w:r>
    </w:p>
    <w:p w:rsidR="001E080A" w:rsidRDefault="00431642" w:rsidP="006C647A">
      <w:pPr>
        <w:spacing w:line="480" w:lineRule="auto"/>
        <w:rPr>
          <w:rFonts w:ascii="Calibri" w:hAnsi="Calibri"/>
          <w:lang w:val="en-US"/>
        </w:rPr>
      </w:pPr>
      <w:r>
        <w:rPr>
          <w:rFonts w:ascii="Calibri" w:hAnsi="Calibri"/>
          <w:lang w:val="en-US"/>
        </w:rPr>
        <w:t>Telephone: +</w:t>
      </w:r>
      <w:r w:rsidR="00872406" w:rsidRPr="00353B62">
        <w:rPr>
          <w:rFonts w:ascii="Calibri" w:hAnsi="Calibri"/>
          <w:lang w:val="en-US"/>
        </w:rPr>
        <w:t>44</w:t>
      </w:r>
      <w:r>
        <w:rPr>
          <w:rFonts w:ascii="Calibri" w:hAnsi="Calibri"/>
          <w:lang w:val="en-US"/>
        </w:rPr>
        <w:t xml:space="preserve"> </w:t>
      </w:r>
      <w:r w:rsidR="00872406" w:rsidRPr="00353B62">
        <w:rPr>
          <w:rFonts w:ascii="Calibri" w:hAnsi="Calibri"/>
          <w:lang w:val="en-US"/>
        </w:rPr>
        <w:t>(0)20872</w:t>
      </w:r>
      <w:r w:rsidR="00353B62">
        <w:rPr>
          <w:rFonts w:ascii="Calibri" w:hAnsi="Calibri"/>
          <w:lang w:val="en-US"/>
        </w:rPr>
        <w:t xml:space="preserve">55939; </w:t>
      </w:r>
      <w:r>
        <w:rPr>
          <w:rFonts w:ascii="Calibri" w:hAnsi="Calibri"/>
          <w:lang w:val="en-US"/>
        </w:rPr>
        <w:t>Fax: +</w:t>
      </w:r>
      <w:r w:rsidR="001E080A">
        <w:rPr>
          <w:rFonts w:ascii="Calibri" w:hAnsi="Calibri"/>
          <w:lang w:val="en-US"/>
        </w:rPr>
        <w:t>44</w:t>
      </w:r>
      <w:r>
        <w:rPr>
          <w:rFonts w:ascii="Calibri" w:hAnsi="Calibri"/>
          <w:lang w:val="en-US"/>
        </w:rPr>
        <w:t xml:space="preserve"> </w:t>
      </w:r>
      <w:r w:rsidR="001E080A">
        <w:rPr>
          <w:rFonts w:ascii="Calibri" w:hAnsi="Calibri"/>
          <w:lang w:val="en-US"/>
        </w:rPr>
        <w:t>(0)2087253328</w:t>
      </w:r>
    </w:p>
    <w:p w:rsidR="00F05713" w:rsidRPr="00353B62" w:rsidRDefault="001E080A" w:rsidP="006C647A">
      <w:pPr>
        <w:spacing w:line="480" w:lineRule="auto"/>
        <w:rPr>
          <w:rFonts w:ascii="Calibri" w:hAnsi="Calibri"/>
          <w:lang w:val="en-US"/>
        </w:rPr>
      </w:pPr>
      <w:r>
        <w:rPr>
          <w:rFonts w:ascii="Calibri" w:hAnsi="Calibri"/>
          <w:lang w:val="en-US"/>
        </w:rPr>
        <w:t>E-</w:t>
      </w:r>
      <w:r w:rsidR="00EF7661" w:rsidRPr="00353B62">
        <w:rPr>
          <w:rFonts w:ascii="Calibri" w:hAnsi="Calibri"/>
          <w:lang w:val="en-US"/>
        </w:rPr>
        <w:t xml:space="preserve">mail: </w:t>
      </w:r>
      <w:r w:rsidR="00F05713" w:rsidRPr="00353B62">
        <w:rPr>
          <w:rFonts w:ascii="Calibri" w:hAnsi="Calibri"/>
          <w:lang w:val="en-US"/>
        </w:rPr>
        <w:t>ssharma21@hotmail.com</w:t>
      </w:r>
    </w:p>
    <w:p w:rsidR="00F05713" w:rsidRPr="00353B62" w:rsidRDefault="00F05713" w:rsidP="006C647A">
      <w:pPr>
        <w:rPr>
          <w:rFonts w:ascii="Calibri" w:hAnsi="Calibri"/>
          <w:b/>
          <w:lang w:val="en-US"/>
        </w:rPr>
      </w:pPr>
    </w:p>
    <w:p w:rsidR="009275C2" w:rsidRDefault="009275C2" w:rsidP="00752452">
      <w:pPr>
        <w:rPr>
          <w:rFonts w:ascii="Calibri" w:hAnsi="Calibri"/>
          <w:lang w:val="en-US"/>
        </w:rPr>
      </w:pPr>
    </w:p>
    <w:p w:rsidR="0001181B" w:rsidRPr="00AB7323" w:rsidRDefault="00D3008B" w:rsidP="00D3008B">
      <w:pPr>
        <w:spacing w:line="480" w:lineRule="auto"/>
        <w:rPr>
          <w:rFonts w:ascii="Calibri" w:hAnsi="Calibri"/>
          <w:lang w:val="en-US"/>
        </w:rPr>
      </w:pPr>
      <w:r>
        <w:rPr>
          <w:rFonts w:ascii="Calibri" w:hAnsi="Calibri"/>
          <w:b/>
          <w:lang w:val="en-US"/>
        </w:rPr>
        <w:t>K</w:t>
      </w:r>
      <w:r w:rsidR="00AB7323">
        <w:rPr>
          <w:rFonts w:ascii="Calibri" w:hAnsi="Calibri"/>
          <w:b/>
          <w:lang w:val="en-US"/>
        </w:rPr>
        <w:t>ey Words</w:t>
      </w:r>
      <w:r w:rsidR="0001181B">
        <w:rPr>
          <w:rFonts w:ascii="Calibri" w:hAnsi="Calibri"/>
          <w:b/>
          <w:lang w:val="en-US"/>
        </w:rPr>
        <w:t>:</w:t>
      </w:r>
      <w:r w:rsidR="009275C2">
        <w:rPr>
          <w:rFonts w:ascii="Calibri" w:hAnsi="Calibri"/>
          <w:b/>
          <w:lang w:val="en-US"/>
        </w:rPr>
        <w:t xml:space="preserve"> </w:t>
      </w:r>
      <w:r w:rsidR="006B5D1F" w:rsidRPr="00AB7323">
        <w:rPr>
          <w:rFonts w:ascii="Calibri" w:hAnsi="Calibri"/>
          <w:lang w:val="en-US"/>
        </w:rPr>
        <w:t>Hypertrophic cardiomyopathy; echocardiography; electrocardiography</w:t>
      </w:r>
    </w:p>
    <w:p w:rsidR="006B5D1F" w:rsidRPr="004F680B" w:rsidRDefault="006B5D1F" w:rsidP="00D3008B">
      <w:pPr>
        <w:spacing w:line="480" w:lineRule="auto"/>
        <w:rPr>
          <w:rFonts w:ascii="Calibri" w:hAnsi="Calibri"/>
          <w:lang w:val="en-US"/>
        </w:rPr>
      </w:pPr>
    </w:p>
    <w:p w:rsidR="00D3008B" w:rsidRDefault="00D3008B" w:rsidP="00D3008B">
      <w:pPr>
        <w:spacing w:line="480" w:lineRule="auto"/>
        <w:rPr>
          <w:rFonts w:ascii="Calibri" w:hAnsi="Calibri"/>
          <w:lang w:val="en-US"/>
        </w:rPr>
      </w:pPr>
      <w:r>
        <w:rPr>
          <w:rFonts w:ascii="Calibri" w:hAnsi="Calibri"/>
          <w:b/>
          <w:lang w:val="en-US"/>
        </w:rPr>
        <w:t>M</w:t>
      </w:r>
      <w:r w:rsidR="00AB7323">
        <w:rPr>
          <w:rFonts w:ascii="Calibri" w:hAnsi="Calibri"/>
          <w:b/>
          <w:lang w:val="en-US"/>
        </w:rPr>
        <w:t>anuscript Word Count (Introduction to end of Discussion)</w:t>
      </w:r>
      <w:r w:rsidRPr="00353B62">
        <w:rPr>
          <w:rFonts w:ascii="Calibri" w:hAnsi="Calibri"/>
          <w:b/>
          <w:lang w:val="en-US"/>
        </w:rPr>
        <w:t xml:space="preserve">: </w:t>
      </w:r>
      <w:r w:rsidR="00F12497">
        <w:rPr>
          <w:rFonts w:ascii="Calibri" w:hAnsi="Calibri"/>
          <w:lang w:val="en-US"/>
        </w:rPr>
        <w:t>3,</w:t>
      </w:r>
      <w:r w:rsidR="003E3001">
        <w:rPr>
          <w:rFonts w:ascii="Calibri" w:hAnsi="Calibri"/>
          <w:lang w:val="en-US"/>
        </w:rPr>
        <w:t>007</w:t>
      </w:r>
    </w:p>
    <w:p w:rsidR="005852CA" w:rsidRPr="00DB6282" w:rsidRDefault="005852CA" w:rsidP="006C647A">
      <w:pPr>
        <w:tabs>
          <w:tab w:val="center" w:pos="4510"/>
        </w:tabs>
        <w:spacing w:line="480" w:lineRule="auto"/>
        <w:rPr>
          <w:rFonts w:ascii="Calibri" w:hAnsi="Calibri"/>
          <w:b/>
          <w:lang w:val="en-US"/>
        </w:rPr>
      </w:pPr>
      <w:r w:rsidRPr="00DB6282">
        <w:rPr>
          <w:rFonts w:ascii="Calibri" w:hAnsi="Calibri"/>
          <w:b/>
          <w:lang w:val="en-US"/>
        </w:rPr>
        <w:lastRenderedPageBreak/>
        <w:t>ABSTRACT</w:t>
      </w:r>
    </w:p>
    <w:p w:rsidR="005852CA" w:rsidRPr="00923CE9" w:rsidRDefault="005852CA" w:rsidP="006C647A">
      <w:pPr>
        <w:spacing w:line="480" w:lineRule="auto"/>
        <w:rPr>
          <w:rFonts w:ascii="Calibri" w:hAnsi="Calibri" w:cs="Arial"/>
          <w:lang w:val="en-US"/>
        </w:rPr>
      </w:pPr>
      <w:r w:rsidRPr="00923CE9">
        <w:rPr>
          <w:rFonts w:ascii="Calibri" w:hAnsi="Calibri"/>
          <w:b/>
          <w:lang w:val="en-US"/>
        </w:rPr>
        <w:t>B</w:t>
      </w:r>
      <w:r w:rsidR="00DB6282">
        <w:rPr>
          <w:rFonts w:ascii="Calibri" w:hAnsi="Calibri"/>
          <w:b/>
          <w:lang w:val="en-US"/>
        </w:rPr>
        <w:t>ackground</w:t>
      </w:r>
      <w:r w:rsidRPr="00923CE9">
        <w:rPr>
          <w:rFonts w:ascii="Calibri" w:hAnsi="Calibri"/>
          <w:b/>
          <w:lang w:val="en-US"/>
        </w:rPr>
        <w:t xml:space="preserve">: </w:t>
      </w:r>
      <w:r w:rsidR="006B09A7">
        <w:rPr>
          <w:rFonts w:ascii="Calibri" w:hAnsi="Calibri" w:cs="Arial"/>
          <w:lang w:val="en-US"/>
        </w:rPr>
        <w:t>This study investigated</w:t>
      </w:r>
      <w:r w:rsidRPr="00923CE9">
        <w:rPr>
          <w:rFonts w:ascii="Calibri" w:hAnsi="Calibri" w:cs="Arial"/>
          <w:lang w:val="en-US"/>
        </w:rPr>
        <w:t xml:space="preserve"> the influence of African/Afro-Caribbean (black) ethnicity on the clinical profile and </w:t>
      </w:r>
      <w:r w:rsidR="004E1B34" w:rsidRPr="004E1B34">
        <w:rPr>
          <w:rFonts w:ascii="Calibri" w:hAnsi="Calibri" w:cs="Arial"/>
          <w:highlight w:val="yellow"/>
          <w:lang w:val="en-US"/>
        </w:rPr>
        <w:t>outcomes in</w:t>
      </w:r>
      <w:r w:rsidRPr="00923CE9">
        <w:rPr>
          <w:rFonts w:ascii="Calibri" w:hAnsi="Calibri" w:cs="Arial"/>
          <w:lang w:val="en-US"/>
        </w:rPr>
        <w:t xml:space="preserve"> hypertrophic cardiomyopathy (HCM).</w:t>
      </w:r>
    </w:p>
    <w:p w:rsidR="005852CA" w:rsidRPr="00742DA4" w:rsidRDefault="005852CA" w:rsidP="00D429DA">
      <w:pPr>
        <w:spacing w:before="360" w:line="480" w:lineRule="auto"/>
        <w:rPr>
          <w:rFonts w:ascii="Calibri" w:hAnsi="Calibri" w:cs="AdvOTb7819099"/>
          <w:lang w:val="en-US" w:eastAsia="en-GB"/>
        </w:rPr>
      </w:pPr>
      <w:r w:rsidRPr="00742DA4">
        <w:rPr>
          <w:rFonts w:ascii="Calibri" w:hAnsi="Calibri"/>
          <w:b/>
          <w:lang w:val="en-US"/>
        </w:rPr>
        <w:t>M</w:t>
      </w:r>
      <w:r w:rsidR="00DB6282">
        <w:rPr>
          <w:rFonts w:ascii="Calibri" w:hAnsi="Calibri"/>
          <w:b/>
          <w:lang w:val="en-US"/>
        </w:rPr>
        <w:t>ethods</w:t>
      </w:r>
      <w:r w:rsidRPr="00742DA4">
        <w:rPr>
          <w:rFonts w:ascii="Calibri" w:hAnsi="Calibri"/>
          <w:b/>
          <w:lang w:val="en-US"/>
        </w:rPr>
        <w:t xml:space="preserve">: </w:t>
      </w:r>
      <w:r w:rsidRPr="00742DA4">
        <w:rPr>
          <w:rFonts w:ascii="Calibri" w:hAnsi="Calibri" w:cs="AdvOTb7819099"/>
          <w:lang w:val="en-US" w:eastAsia="en-GB"/>
        </w:rPr>
        <w:t xml:space="preserve"> </w:t>
      </w:r>
      <w:r w:rsidR="00100EA5" w:rsidRPr="00742DA4">
        <w:rPr>
          <w:rFonts w:ascii="Calibri" w:hAnsi="Calibri" w:cs="AdvOTb7819099"/>
          <w:lang w:val="en-US" w:eastAsia="en-GB"/>
        </w:rPr>
        <w:t>425</w:t>
      </w:r>
      <w:r w:rsidRPr="00742DA4">
        <w:rPr>
          <w:rFonts w:ascii="Calibri" w:hAnsi="Calibri" w:cs="AdvOTb7819099"/>
          <w:lang w:val="en-US" w:eastAsia="en-GB"/>
        </w:rPr>
        <w:t xml:space="preserve"> </w:t>
      </w:r>
      <w:r w:rsidR="00923CE9" w:rsidRPr="00742DA4">
        <w:rPr>
          <w:rFonts w:ascii="Calibri" w:hAnsi="Calibri" w:cs="AdvOTb7819099"/>
          <w:lang w:val="en-US" w:eastAsia="en-GB"/>
        </w:rPr>
        <w:t xml:space="preserve">consecutive </w:t>
      </w:r>
      <w:r w:rsidR="004647F1" w:rsidRPr="00742DA4">
        <w:rPr>
          <w:rFonts w:ascii="Calibri" w:hAnsi="Calibri" w:cs="AdvOTb7819099"/>
          <w:lang w:val="en-US" w:eastAsia="en-GB"/>
        </w:rPr>
        <w:t>HCM patients</w:t>
      </w:r>
      <w:r w:rsidRPr="00742DA4">
        <w:rPr>
          <w:rFonts w:ascii="Calibri" w:hAnsi="Calibri" w:cs="AdvOTb7819099"/>
          <w:lang w:val="en-US" w:eastAsia="en-GB"/>
        </w:rPr>
        <w:t xml:space="preserve"> (16</w:t>
      </w:r>
      <w:r w:rsidR="00100EA5" w:rsidRPr="00742DA4">
        <w:rPr>
          <w:rFonts w:ascii="Calibri" w:hAnsi="Calibri" w:cs="AdvOTb7819099"/>
          <w:lang w:val="en-US" w:eastAsia="en-GB"/>
        </w:rPr>
        <w:t>3</w:t>
      </w:r>
      <w:r w:rsidRPr="00742DA4">
        <w:rPr>
          <w:rFonts w:ascii="Calibri" w:hAnsi="Calibri" w:cs="AdvOTb7819099"/>
          <w:lang w:val="en-US" w:eastAsia="en-GB"/>
        </w:rPr>
        <w:t xml:space="preserve"> black and </w:t>
      </w:r>
      <w:r w:rsidR="00100EA5" w:rsidRPr="00742DA4">
        <w:rPr>
          <w:rFonts w:ascii="Calibri" w:hAnsi="Calibri" w:cs="AdvOTb7819099"/>
          <w:lang w:val="en-US" w:eastAsia="en-GB"/>
        </w:rPr>
        <w:t>262</w:t>
      </w:r>
      <w:r w:rsidRPr="00742DA4">
        <w:rPr>
          <w:rFonts w:ascii="Calibri" w:hAnsi="Calibri" w:cs="AdvOTb7819099"/>
          <w:lang w:val="en-US" w:eastAsia="en-GB"/>
        </w:rPr>
        <w:t xml:space="preserve"> </w:t>
      </w:r>
      <w:r w:rsidR="00AA2703">
        <w:rPr>
          <w:rFonts w:ascii="Calibri" w:hAnsi="Calibri" w:cs="AdvOTb7819099"/>
          <w:lang w:val="en-US" w:eastAsia="en-GB"/>
        </w:rPr>
        <w:t>Caucasian [</w:t>
      </w:r>
      <w:r w:rsidRPr="00742DA4">
        <w:rPr>
          <w:rFonts w:ascii="Calibri" w:hAnsi="Calibri" w:cs="AdvOTb7819099"/>
          <w:lang w:val="en-US" w:eastAsia="en-GB"/>
        </w:rPr>
        <w:t>white</w:t>
      </w:r>
      <w:r w:rsidR="00AA2703">
        <w:rPr>
          <w:rFonts w:ascii="Calibri" w:hAnsi="Calibri" w:cs="AdvOTb7819099"/>
          <w:lang w:val="en-US" w:eastAsia="en-GB"/>
        </w:rPr>
        <w:t>]</w:t>
      </w:r>
      <w:r w:rsidR="008E0EF2">
        <w:rPr>
          <w:rFonts w:ascii="Calibri" w:hAnsi="Calibri" w:cs="AdvOTb7819099"/>
          <w:lang w:val="en-US" w:eastAsia="en-GB"/>
        </w:rPr>
        <w:t>;</w:t>
      </w:r>
      <w:r w:rsidR="00CC718E">
        <w:rPr>
          <w:rFonts w:ascii="Calibri" w:hAnsi="Calibri" w:cs="AdvOTb7819099"/>
          <w:lang w:val="en-US" w:eastAsia="en-GB"/>
        </w:rPr>
        <w:t xml:space="preserve"> </w:t>
      </w:r>
      <w:r w:rsidRPr="00742DA4">
        <w:rPr>
          <w:rFonts w:ascii="Calibri" w:hAnsi="Calibri" w:cs="AdvOTb7819099"/>
          <w:lang w:val="en-US" w:eastAsia="en-GB"/>
        </w:rPr>
        <w:t xml:space="preserve">mean age </w:t>
      </w:r>
      <w:r w:rsidR="004A2B1B" w:rsidRPr="00742DA4">
        <w:rPr>
          <w:rFonts w:ascii="Calibri" w:hAnsi="Calibri" w:cs="Arial"/>
          <w:lang w:val="en-US"/>
        </w:rPr>
        <w:t>52.</w:t>
      </w:r>
      <w:r w:rsidR="007A13B2" w:rsidRPr="00742DA4">
        <w:rPr>
          <w:rFonts w:ascii="Calibri" w:hAnsi="Calibri" w:cs="Arial"/>
          <w:lang w:val="en-US"/>
        </w:rPr>
        <w:t>5</w:t>
      </w:r>
      <w:r w:rsidR="004A2B1B" w:rsidRPr="00742DA4">
        <w:rPr>
          <w:rFonts w:ascii="Calibri" w:hAnsi="Calibri" w:cs="Arial"/>
          <w:lang w:val="en-US"/>
        </w:rPr>
        <w:t>±16.6</w:t>
      </w:r>
      <w:r w:rsidRPr="00742DA4">
        <w:rPr>
          <w:rFonts w:ascii="Calibri" w:hAnsi="Calibri" w:cs="Arial"/>
          <w:lang w:val="en-US"/>
        </w:rPr>
        <w:t xml:space="preserve"> years</w:t>
      </w:r>
      <w:r w:rsidR="008E0EF2">
        <w:rPr>
          <w:rFonts w:ascii="Calibri" w:hAnsi="Calibri" w:cs="Arial"/>
          <w:lang w:val="en-US"/>
        </w:rPr>
        <w:t>)</w:t>
      </w:r>
      <w:r w:rsidRPr="00742DA4">
        <w:rPr>
          <w:rFonts w:ascii="Calibri" w:hAnsi="Calibri" w:cs="AdvOTb7819099"/>
          <w:lang w:val="en-US" w:eastAsia="en-GB"/>
        </w:rPr>
        <w:t xml:space="preserve"> were assessed at </w:t>
      </w:r>
      <w:r w:rsidR="002412A8" w:rsidRPr="00742DA4">
        <w:rPr>
          <w:rFonts w:ascii="Calibri" w:hAnsi="Calibri" w:cs="AdvOTb7819099"/>
          <w:lang w:val="en-US" w:eastAsia="en-GB"/>
        </w:rPr>
        <w:t>three</w:t>
      </w:r>
      <w:r w:rsidRPr="00742DA4">
        <w:rPr>
          <w:rFonts w:ascii="Calibri" w:hAnsi="Calibri" w:cs="AdvOTb7819099"/>
          <w:lang w:val="en-US" w:eastAsia="en-GB"/>
        </w:rPr>
        <w:t xml:space="preserve"> cardiomyopathy </w:t>
      </w:r>
      <w:r w:rsidR="00923CE9" w:rsidRPr="00742DA4">
        <w:rPr>
          <w:rFonts w:ascii="Calibri" w:hAnsi="Calibri" w:cs="AdvOTb7819099"/>
          <w:lang w:val="en-US" w:eastAsia="en-GB"/>
        </w:rPr>
        <w:t>centers</w:t>
      </w:r>
      <w:r w:rsidRPr="00742DA4">
        <w:rPr>
          <w:rFonts w:ascii="Calibri" w:hAnsi="Calibri" w:cs="AdvOTb7819099"/>
          <w:lang w:val="en-US" w:eastAsia="en-GB"/>
        </w:rPr>
        <w:t>. R</w:t>
      </w:r>
      <w:r w:rsidRPr="00742DA4">
        <w:rPr>
          <w:rFonts w:ascii="Calibri" w:hAnsi="Calibri"/>
          <w:lang w:val="en-US"/>
        </w:rPr>
        <w:t>epe</w:t>
      </w:r>
      <w:r w:rsidR="00BA6853">
        <w:rPr>
          <w:rFonts w:ascii="Calibri" w:hAnsi="Calibri"/>
          <w:lang w:val="en-US"/>
        </w:rPr>
        <w:t xml:space="preserve">at </w:t>
      </w:r>
      <w:r w:rsidR="008E0EF2">
        <w:rPr>
          <w:rFonts w:ascii="Calibri" w:hAnsi="Calibri"/>
          <w:lang w:val="en-US"/>
        </w:rPr>
        <w:t>assessments were performed 6-</w:t>
      </w:r>
      <w:r w:rsidR="00BA6853">
        <w:rPr>
          <w:rFonts w:ascii="Calibri" w:hAnsi="Calibri"/>
          <w:lang w:val="en-US"/>
        </w:rPr>
        <w:t xml:space="preserve">12 </w:t>
      </w:r>
      <w:r w:rsidR="003978C7">
        <w:rPr>
          <w:rFonts w:ascii="Calibri" w:hAnsi="Calibri"/>
          <w:lang w:val="en-US"/>
        </w:rPr>
        <w:t>monthly and m</w:t>
      </w:r>
      <w:r w:rsidR="006C647A">
        <w:rPr>
          <w:rFonts w:ascii="Calibri" w:hAnsi="Calibri" w:cs="AdvOTb7819099"/>
          <w:lang w:val="en-US" w:eastAsia="en-GB"/>
        </w:rPr>
        <w:t xml:space="preserve">ean follow-up </w:t>
      </w:r>
      <w:r w:rsidR="003978C7">
        <w:rPr>
          <w:rFonts w:ascii="Calibri" w:hAnsi="Calibri" w:cs="AdvOTb7819099"/>
          <w:lang w:val="en-US" w:eastAsia="en-GB"/>
        </w:rPr>
        <w:t>was</w:t>
      </w:r>
      <w:r w:rsidRPr="00742DA4">
        <w:rPr>
          <w:rFonts w:ascii="Calibri" w:hAnsi="Calibri" w:cs="AdvOTb7819099"/>
          <w:lang w:val="en-US" w:eastAsia="en-GB"/>
        </w:rPr>
        <w:t xml:space="preserve"> </w:t>
      </w:r>
      <w:r w:rsidR="00A84121" w:rsidRPr="00742DA4">
        <w:rPr>
          <w:rFonts w:ascii="Calibri" w:hAnsi="Calibri" w:cs="AdvOTb7819099"/>
          <w:lang w:val="en-US" w:eastAsia="en-GB"/>
        </w:rPr>
        <w:t>4.</w:t>
      </w:r>
      <w:r w:rsidR="00801EFF" w:rsidRPr="00742DA4">
        <w:rPr>
          <w:rFonts w:ascii="Calibri" w:hAnsi="Calibri" w:cs="AdvOTb7819099"/>
          <w:lang w:val="en-US" w:eastAsia="en-GB"/>
        </w:rPr>
        <w:t>3</w:t>
      </w:r>
      <w:r w:rsidR="00A84121" w:rsidRPr="00742DA4">
        <w:rPr>
          <w:rFonts w:ascii="Calibri" w:hAnsi="Calibri" w:cs="AdvOTb7819099"/>
          <w:lang w:val="en-US" w:eastAsia="en-GB"/>
        </w:rPr>
        <w:t>±3.</w:t>
      </w:r>
      <w:r w:rsidR="00801EFF" w:rsidRPr="00742DA4">
        <w:rPr>
          <w:rFonts w:ascii="Calibri" w:hAnsi="Calibri" w:cs="AdvOTb7819099"/>
          <w:lang w:val="en-US" w:eastAsia="en-GB"/>
        </w:rPr>
        <w:t>0</w:t>
      </w:r>
      <w:r w:rsidR="00AA5880">
        <w:rPr>
          <w:rFonts w:ascii="Calibri" w:hAnsi="Calibri" w:cs="AdvOTb7819099"/>
          <w:lang w:val="en-US" w:eastAsia="en-GB"/>
        </w:rPr>
        <w:t xml:space="preserve"> years. The p</w:t>
      </w:r>
      <w:r w:rsidRPr="00742DA4">
        <w:rPr>
          <w:rFonts w:ascii="Calibri" w:hAnsi="Calibri" w:cs="AdvOTb7819099"/>
          <w:lang w:val="en-US" w:eastAsia="en-GB"/>
        </w:rPr>
        <w:t>rimary outcome was a composite of cardiovascular death, cardiac arrest or appropriate device therapy.</w:t>
      </w:r>
    </w:p>
    <w:p w:rsidR="005852CA" w:rsidRPr="002F4337" w:rsidRDefault="005852CA" w:rsidP="00D429DA">
      <w:pPr>
        <w:spacing w:before="360" w:line="480" w:lineRule="auto"/>
        <w:rPr>
          <w:rFonts w:ascii="Calibri" w:hAnsi="Calibri" w:cs="Arial"/>
          <w:lang w:val="en-US"/>
        </w:rPr>
      </w:pPr>
      <w:r w:rsidRPr="00742DA4">
        <w:rPr>
          <w:rFonts w:ascii="Calibri" w:hAnsi="Calibri"/>
          <w:b/>
          <w:lang w:val="en-US"/>
        </w:rPr>
        <w:t>R</w:t>
      </w:r>
      <w:r w:rsidR="00DB6282">
        <w:rPr>
          <w:rFonts w:ascii="Calibri" w:hAnsi="Calibri"/>
          <w:b/>
          <w:lang w:val="en-US"/>
        </w:rPr>
        <w:t>esults</w:t>
      </w:r>
      <w:r w:rsidRPr="00742DA4">
        <w:rPr>
          <w:rFonts w:ascii="Calibri" w:hAnsi="Calibri"/>
          <w:b/>
          <w:lang w:val="en-US"/>
        </w:rPr>
        <w:t>:</w:t>
      </w:r>
      <w:r w:rsidRPr="00742DA4">
        <w:rPr>
          <w:rFonts w:ascii="Calibri" w:hAnsi="Calibri"/>
          <w:lang w:val="en-US"/>
        </w:rPr>
        <w:t xml:space="preserve"> </w:t>
      </w:r>
      <w:r w:rsidR="00264114">
        <w:rPr>
          <w:rFonts w:ascii="Calibri" w:hAnsi="Calibri"/>
          <w:lang w:val="en-US"/>
        </w:rPr>
        <w:t>A fortuitous diagnosis of HCM was more commonly made in bl</w:t>
      </w:r>
      <w:r w:rsidRPr="00742DA4">
        <w:rPr>
          <w:rFonts w:ascii="Calibri" w:hAnsi="Calibri"/>
          <w:lang w:val="en-US"/>
        </w:rPr>
        <w:t xml:space="preserve">ack </w:t>
      </w:r>
      <w:r w:rsidR="00264114">
        <w:rPr>
          <w:rFonts w:ascii="Calibri" w:hAnsi="Calibri"/>
          <w:lang w:val="en-US"/>
        </w:rPr>
        <w:t xml:space="preserve">compared to white </w:t>
      </w:r>
      <w:r w:rsidRPr="00742DA4">
        <w:rPr>
          <w:rFonts w:ascii="Calibri" w:hAnsi="Calibri"/>
          <w:lang w:val="en-US"/>
        </w:rPr>
        <w:t>patients (</w:t>
      </w:r>
      <w:r w:rsidR="00F70944" w:rsidRPr="00742DA4">
        <w:rPr>
          <w:rFonts w:ascii="Calibri" w:hAnsi="Calibri"/>
          <w:lang w:val="en-US"/>
        </w:rPr>
        <w:t>31.3</w:t>
      </w:r>
      <w:r w:rsidRPr="00742DA4">
        <w:rPr>
          <w:rFonts w:ascii="Calibri" w:hAnsi="Calibri"/>
          <w:lang w:val="en-US"/>
        </w:rPr>
        <w:t xml:space="preserve">% </w:t>
      </w:r>
      <w:r w:rsidR="00BA5C0B">
        <w:rPr>
          <w:rFonts w:ascii="Calibri" w:hAnsi="Calibri"/>
          <w:lang w:val="en-US"/>
        </w:rPr>
        <w:t>versus</w:t>
      </w:r>
      <w:r w:rsidRPr="00742DA4">
        <w:rPr>
          <w:rFonts w:ascii="Calibri" w:hAnsi="Calibri"/>
          <w:lang w:val="en-US"/>
        </w:rPr>
        <w:t xml:space="preserve"> 19.</w:t>
      </w:r>
      <w:r w:rsidR="00F70944" w:rsidRPr="00742DA4">
        <w:rPr>
          <w:rFonts w:ascii="Calibri" w:hAnsi="Calibri"/>
          <w:lang w:val="en-US"/>
        </w:rPr>
        <w:t>1</w:t>
      </w:r>
      <w:r w:rsidRPr="00742DA4">
        <w:rPr>
          <w:rFonts w:ascii="Calibri" w:hAnsi="Calibri"/>
          <w:lang w:val="en-US"/>
        </w:rPr>
        <w:t>%, p=0.00</w:t>
      </w:r>
      <w:r w:rsidR="00F70944" w:rsidRPr="00742DA4">
        <w:rPr>
          <w:rFonts w:ascii="Calibri" w:hAnsi="Calibri"/>
          <w:lang w:val="en-US"/>
        </w:rPr>
        <w:t>4</w:t>
      </w:r>
      <w:r w:rsidRPr="00742DA4">
        <w:rPr>
          <w:rFonts w:ascii="Calibri" w:hAnsi="Calibri"/>
          <w:lang w:val="en-US"/>
        </w:rPr>
        <w:t xml:space="preserve">). </w:t>
      </w:r>
      <w:r w:rsidRPr="00742DA4">
        <w:rPr>
          <w:rFonts w:ascii="Calibri" w:hAnsi="Calibri" w:cs="Arial"/>
          <w:lang w:val="en-US"/>
        </w:rPr>
        <w:t>An abnormal ECG</w:t>
      </w:r>
      <w:r w:rsidR="00BA6853">
        <w:rPr>
          <w:rFonts w:ascii="Calibri" w:hAnsi="Calibri" w:cs="Arial"/>
          <w:lang w:val="en-US"/>
        </w:rPr>
        <w:t xml:space="preserve"> at presentation was more frequent</w:t>
      </w:r>
      <w:r w:rsidRPr="00742DA4">
        <w:rPr>
          <w:rFonts w:ascii="Calibri" w:hAnsi="Calibri" w:cs="Arial"/>
          <w:lang w:val="en-US"/>
        </w:rPr>
        <w:t xml:space="preserve"> in black patients (98.2% </w:t>
      </w:r>
      <w:r w:rsidR="00BA5C0B">
        <w:rPr>
          <w:rFonts w:ascii="Calibri" w:hAnsi="Calibri" w:cs="Arial"/>
          <w:lang w:val="en-US"/>
        </w:rPr>
        <w:t>versus</w:t>
      </w:r>
      <w:r w:rsidRPr="00742DA4">
        <w:rPr>
          <w:rFonts w:ascii="Calibri" w:hAnsi="Calibri" w:cs="Arial"/>
          <w:lang w:val="en-US"/>
        </w:rPr>
        <w:t xml:space="preserve"> 90.</w:t>
      </w:r>
      <w:r w:rsidR="00F70944" w:rsidRPr="00742DA4">
        <w:rPr>
          <w:rFonts w:ascii="Calibri" w:hAnsi="Calibri" w:cs="Arial"/>
          <w:lang w:val="en-US"/>
        </w:rPr>
        <w:t>5</w:t>
      </w:r>
      <w:r w:rsidRPr="00742DA4">
        <w:rPr>
          <w:rFonts w:ascii="Calibri" w:hAnsi="Calibri" w:cs="Arial"/>
          <w:lang w:val="en-US"/>
        </w:rPr>
        <w:t>%, p=0.002</w:t>
      </w:r>
      <w:r w:rsidR="0089574C">
        <w:rPr>
          <w:rFonts w:ascii="Calibri" w:hAnsi="Calibri" w:cs="Arial"/>
          <w:lang w:val="en-US"/>
        </w:rPr>
        <w:t>), with T-wave inversion being a common</w:t>
      </w:r>
      <w:r w:rsidRPr="00742DA4">
        <w:rPr>
          <w:rFonts w:ascii="Calibri" w:hAnsi="Calibri" w:cs="Arial"/>
          <w:lang w:val="en-US"/>
        </w:rPr>
        <w:t xml:space="preserve"> feature (91.</w:t>
      </w:r>
      <w:r w:rsidR="00F70944" w:rsidRPr="00742DA4">
        <w:rPr>
          <w:rFonts w:ascii="Calibri" w:hAnsi="Calibri" w:cs="Arial"/>
          <w:lang w:val="en-US"/>
        </w:rPr>
        <w:t>4</w:t>
      </w:r>
      <w:r w:rsidRPr="00742DA4">
        <w:rPr>
          <w:rFonts w:ascii="Calibri" w:hAnsi="Calibri" w:cs="Arial"/>
          <w:lang w:val="en-US"/>
        </w:rPr>
        <w:t xml:space="preserve">% </w:t>
      </w:r>
      <w:r w:rsidR="00BA5C0B">
        <w:rPr>
          <w:rFonts w:ascii="Calibri" w:hAnsi="Calibri" w:cs="Arial"/>
          <w:lang w:val="en-US"/>
        </w:rPr>
        <w:t>versus</w:t>
      </w:r>
      <w:r w:rsidRPr="00742DA4">
        <w:rPr>
          <w:rFonts w:ascii="Calibri" w:hAnsi="Calibri" w:cs="Arial"/>
          <w:lang w:val="en-US"/>
        </w:rPr>
        <w:t xml:space="preserve"> 73.</w:t>
      </w:r>
      <w:r w:rsidR="00F70944" w:rsidRPr="00742DA4">
        <w:rPr>
          <w:rFonts w:ascii="Calibri" w:hAnsi="Calibri" w:cs="Arial"/>
          <w:lang w:val="en-US"/>
        </w:rPr>
        <w:t>0</w:t>
      </w:r>
      <w:r w:rsidRPr="00742DA4">
        <w:rPr>
          <w:rFonts w:ascii="Calibri" w:hAnsi="Calibri" w:cs="Arial"/>
          <w:lang w:val="en-US"/>
        </w:rPr>
        <w:t>%, p&lt;0.001). Asymmetric septal hypertrophy was the predominant pattern in both ethnic groups; however, apical (22.</w:t>
      </w:r>
      <w:r w:rsidR="00F70944" w:rsidRPr="00742DA4">
        <w:rPr>
          <w:rFonts w:ascii="Calibri" w:hAnsi="Calibri" w:cs="Arial"/>
          <w:lang w:val="en-US"/>
        </w:rPr>
        <w:t>2</w:t>
      </w:r>
      <w:r w:rsidRPr="00742DA4">
        <w:rPr>
          <w:rFonts w:ascii="Calibri" w:hAnsi="Calibri" w:cs="Arial"/>
          <w:lang w:val="en-US"/>
        </w:rPr>
        <w:t xml:space="preserve">% </w:t>
      </w:r>
      <w:r w:rsidR="00BA5C0B">
        <w:rPr>
          <w:rFonts w:ascii="Calibri" w:hAnsi="Calibri" w:cs="Arial"/>
          <w:lang w:val="en-US"/>
        </w:rPr>
        <w:t>versus</w:t>
      </w:r>
      <w:r w:rsidRPr="00742DA4">
        <w:rPr>
          <w:rFonts w:ascii="Calibri" w:hAnsi="Calibri" w:cs="Arial"/>
          <w:lang w:val="en-US"/>
        </w:rPr>
        <w:t xml:space="preserve"> 10.</w:t>
      </w:r>
      <w:r w:rsidR="00F70944" w:rsidRPr="00742DA4">
        <w:rPr>
          <w:rFonts w:ascii="Calibri" w:hAnsi="Calibri" w:cs="Arial"/>
          <w:lang w:val="en-US"/>
        </w:rPr>
        <w:t>7</w:t>
      </w:r>
      <w:r w:rsidRPr="00742DA4">
        <w:rPr>
          <w:rFonts w:ascii="Calibri" w:hAnsi="Calibri" w:cs="Arial"/>
          <w:lang w:val="en-US"/>
        </w:rPr>
        <w:t>%, p&lt;0.001) and concentric (9.</w:t>
      </w:r>
      <w:r w:rsidR="00F70944" w:rsidRPr="00742DA4">
        <w:rPr>
          <w:rFonts w:ascii="Calibri" w:hAnsi="Calibri" w:cs="Arial"/>
          <w:lang w:val="en-US"/>
        </w:rPr>
        <w:t>3</w:t>
      </w:r>
      <w:r w:rsidRPr="00742DA4">
        <w:rPr>
          <w:rFonts w:ascii="Calibri" w:hAnsi="Calibri" w:cs="Arial"/>
          <w:lang w:val="en-US"/>
        </w:rPr>
        <w:t xml:space="preserve">% </w:t>
      </w:r>
      <w:r w:rsidR="00BA5C0B">
        <w:rPr>
          <w:rFonts w:ascii="Calibri" w:hAnsi="Calibri" w:cs="Arial"/>
          <w:lang w:val="en-US"/>
        </w:rPr>
        <w:t>versus</w:t>
      </w:r>
      <w:r w:rsidRPr="00742DA4">
        <w:rPr>
          <w:rFonts w:ascii="Calibri" w:hAnsi="Calibri" w:cs="Arial"/>
          <w:lang w:val="en-US"/>
        </w:rPr>
        <w:t xml:space="preserve"> 1.5%, p&lt;0.001) </w:t>
      </w:r>
      <w:r w:rsidR="00264114">
        <w:rPr>
          <w:rFonts w:ascii="Calibri" w:hAnsi="Calibri" w:cs="Arial"/>
          <w:lang w:val="en-US"/>
        </w:rPr>
        <w:t>patter</w:t>
      </w:r>
      <w:r w:rsidR="008E0EF2">
        <w:rPr>
          <w:rFonts w:ascii="Calibri" w:hAnsi="Calibri" w:cs="Arial"/>
          <w:lang w:val="en-US"/>
        </w:rPr>
        <w:t>n</w:t>
      </w:r>
      <w:r w:rsidR="00264114">
        <w:rPr>
          <w:rFonts w:ascii="Calibri" w:hAnsi="Calibri" w:cs="Arial"/>
          <w:lang w:val="en-US"/>
        </w:rPr>
        <w:t>s were</w:t>
      </w:r>
      <w:r w:rsidRPr="00742DA4">
        <w:rPr>
          <w:rFonts w:ascii="Calibri" w:hAnsi="Calibri" w:cs="Arial"/>
          <w:lang w:val="en-US"/>
        </w:rPr>
        <w:t xml:space="preserve"> </w:t>
      </w:r>
      <w:r w:rsidR="0089574C">
        <w:rPr>
          <w:rFonts w:ascii="Calibri" w:hAnsi="Calibri" w:cs="Arial"/>
          <w:lang w:val="en-US"/>
        </w:rPr>
        <w:t>more prevalent</w:t>
      </w:r>
      <w:r w:rsidRPr="00742DA4">
        <w:rPr>
          <w:rFonts w:ascii="Calibri" w:hAnsi="Calibri" w:cs="Arial"/>
          <w:lang w:val="en-US"/>
        </w:rPr>
        <w:t xml:space="preserve"> in black patients. </w:t>
      </w:r>
      <w:r w:rsidR="00264114">
        <w:rPr>
          <w:rFonts w:ascii="Calibri" w:hAnsi="Calibri" w:cs="Arial"/>
          <w:lang w:val="en-US"/>
        </w:rPr>
        <w:t xml:space="preserve">Hypertension was </w:t>
      </w:r>
      <w:r w:rsidR="00C3019E">
        <w:rPr>
          <w:rFonts w:ascii="Calibri" w:hAnsi="Calibri" w:cs="Arial"/>
          <w:lang w:val="en-US"/>
        </w:rPr>
        <w:t xml:space="preserve">more </w:t>
      </w:r>
      <w:r w:rsidR="0089574C">
        <w:rPr>
          <w:rFonts w:ascii="Calibri" w:hAnsi="Calibri" w:cs="Arial"/>
          <w:lang w:val="en-US"/>
        </w:rPr>
        <w:t>frequent</w:t>
      </w:r>
      <w:r w:rsidR="008E0EF2">
        <w:rPr>
          <w:rFonts w:ascii="Calibri" w:hAnsi="Calibri" w:cs="Arial"/>
          <w:lang w:val="en-US"/>
        </w:rPr>
        <w:t xml:space="preserve"> in</w:t>
      </w:r>
      <w:r w:rsidR="00362702" w:rsidRPr="00742DA4">
        <w:rPr>
          <w:rFonts w:ascii="Calibri" w:hAnsi="Calibri" w:cs="Arial"/>
          <w:lang w:val="en-US"/>
        </w:rPr>
        <w:t xml:space="preserve"> black patients (58.3% </w:t>
      </w:r>
      <w:r w:rsidR="00BA5C0B">
        <w:rPr>
          <w:rFonts w:ascii="Calibri" w:hAnsi="Calibri" w:cs="Arial"/>
          <w:lang w:val="en-US"/>
        </w:rPr>
        <w:t>versus</w:t>
      </w:r>
      <w:r w:rsidR="00362702" w:rsidRPr="00742DA4">
        <w:rPr>
          <w:rFonts w:ascii="Calibri" w:hAnsi="Calibri" w:cs="Arial"/>
          <w:lang w:val="en-US"/>
        </w:rPr>
        <w:t xml:space="preserve"> 31.7%, p&lt;0.001). There were no ethnic differences in risk factor profile or primary outcome. </w:t>
      </w:r>
      <w:r w:rsidR="00264114">
        <w:rPr>
          <w:rFonts w:ascii="Calibri" w:hAnsi="Calibri" w:cs="Arial"/>
          <w:lang w:val="en-US"/>
        </w:rPr>
        <w:t>Independent p</w:t>
      </w:r>
      <w:r w:rsidRPr="00AD219A">
        <w:rPr>
          <w:rFonts w:ascii="Calibri" w:hAnsi="Calibri" w:cs="Arial"/>
          <w:lang w:val="en-US"/>
        </w:rPr>
        <w:t xml:space="preserve">redictors of the primary outcome </w:t>
      </w:r>
      <w:r w:rsidR="00F70944" w:rsidRPr="00AD219A">
        <w:rPr>
          <w:rFonts w:ascii="Calibri" w:hAnsi="Calibri" w:cs="Arial"/>
          <w:lang w:val="en-US"/>
        </w:rPr>
        <w:t>were</w:t>
      </w:r>
      <w:r w:rsidR="006B09A7">
        <w:rPr>
          <w:rFonts w:ascii="Calibri" w:hAnsi="Calibri" w:cs="Arial"/>
          <w:lang w:val="en-US"/>
        </w:rPr>
        <w:t xml:space="preserve"> </w:t>
      </w:r>
      <w:r w:rsidRPr="00AD219A">
        <w:rPr>
          <w:rFonts w:ascii="Calibri" w:hAnsi="Calibri" w:cs="Arial"/>
          <w:lang w:val="en-US"/>
        </w:rPr>
        <w:t>non-s</w:t>
      </w:r>
      <w:r w:rsidR="00AE4AE9">
        <w:rPr>
          <w:rFonts w:ascii="Calibri" w:hAnsi="Calibri" w:cs="Arial"/>
          <w:lang w:val="en-US"/>
        </w:rPr>
        <w:t>ustained ventricular tachycardia</w:t>
      </w:r>
      <w:r w:rsidR="00AD219A">
        <w:rPr>
          <w:rFonts w:ascii="Calibri" w:hAnsi="Calibri" w:cs="Arial"/>
          <w:lang w:val="en-US"/>
        </w:rPr>
        <w:t xml:space="preserve"> </w:t>
      </w:r>
      <w:r w:rsidR="00AE4AE9">
        <w:rPr>
          <w:rFonts w:ascii="Calibri" w:hAnsi="Calibri"/>
          <w:lang w:val="en-US"/>
        </w:rPr>
        <w:t>(</w:t>
      </w:r>
      <w:r w:rsidR="003978C7">
        <w:rPr>
          <w:rFonts w:ascii="Calibri" w:hAnsi="Calibri"/>
          <w:lang w:val="en-US"/>
        </w:rPr>
        <w:t>hazard ratio 6.03, 95% confidence interval</w:t>
      </w:r>
      <w:r w:rsidR="00AD219A" w:rsidRPr="00AD219A">
        <w:rPr>
          <w:rFonts w:ascii="Calibri" w:hAnsi="Calibri"/>
          <w:lang w:val="en-US"/>
        </w:rPr>
        <w:t xml:space="preserve"> 3.06-11.91, p=&lt;0.001)</w:t>
      </w:r>
      <w:r w:rsidRPr="00AD219A">
        <w:rPr>
          <w:rFonts w:ascii="Calibri" w:hAnsi="Calibri" w:cs="Arial"/>
          <w:lang w:val="en-US"/>
        </w:rPr>
        <w:t xml:space="preserve"> and hypertension</w:t>
      </w:r>
      <w:r w:rsidR="00F70944" w:rsidRPr="00AD219A">
        <w:rPr>
          <w:rFonts w:ascii="Calibri" w:hAnsi="Calibri" w:cs="Arial"/>
          <w:lang w:val="en-US"/>
        </w:rPr>
        <w:t xml:space="preserve"> at presentation</w:t>
      </w:r>
      <w:r w:rsidR="00AD219A">
        <w:rPr>
          <w:rFonts w:ascii="Calibri" w:hAnsi="Calibri" w:cs="Arial"/>
          <w:lang w:val="en-US"/>
        </w:rPr>
        <w:t xml:space="preserve"> </w:t>
      </w:r>
      <w:r w:rsidR="00AE4AE9">
        <w:rPr>
          <w:rFonts w:ascii="Calibri" w:hAnsi="Calibri"/>
          <w:lang w:val="en-US"/>
        </w:rPr>
        <w:t>(</w:t>
      </w:r>
      <w:r w:rsidR="003978C7">
        <w:rPr>
          <w:rFonts w:ascii="Calibri" w:hAnsi="Calibri"/>
          <w:lang w:val="en-US"/>
        </w:rPr>
        <w:t>hazard ratio</w:t>
      </w:r>
      <w:r w:rsidR="008038EC">
        <w:rPr>
          <w:rFonts w:ascii="Calibri" w:hAnsi="Calibri"/>
          <w:lang w:val="en-US"/>
        </w:rPr>
        <w:t xml:space="preserve"> 2.02, 95% </w:t>
      </w:r>
      <w:r w:rsidR="003978C7">
        <w:rPr>
          <w:rFonts w:ascii="Calibri" w:hAnsi="Calibri"/>
          <w:lang w:val="en-US"/>
        </w:rPr>
        <w:t>confidence interval</w:t>
      </w:r>
      <w:r w:rsidR="00AD219A" w:rsidRPr="00AD219A">
        <w:rPr>
          <w:rFonts w:ascii="Calibri" w:hAnsi="Calibri"/>
          <w:lang w:val="en-US"/>
        </w:rPr>
        <w:t xml:space="preserve"> 1.05-3.88, p=0.036)</w:t>
      </w:r>
      <w:r w:rsidR="00391B4C" w:rsidRPr="00AD219A">
        <w:rPr>
          <w:rFonts w:ascii="Calibri" w:hAnsi="Calibri" w:cs="Arial"/>
          <w:lang w:val="en-US"/>
        </w:rPr>
        <w:t xml:space="preserve">, </w:t>
      </w:r>
      <w:r w:rsidR="003978C7">
        <w:rPr>
          <w:rFonts w:ascii="Calibri" w:hAnsi="Calibri" w:cs="Arial"/>
          <w:lang w:val="en-US"/>
        </w:rPr>
        <w:t xml:space="preserve">with an </w:t>
      </w:r>
      <w:r w:rsidR="00AD219A">
        <w:rPr>
          <w:rFonts w:ascii="Calibri" w:hAnsi="Calibri" w:cs="Arial"/>
          <w:lang w:val="en-US"/>
        </w:rPr>
        <w:t xml:space="preserve">additive </w:t>
      </w:r>
      <w:r w:rsidR="00AD219A" w:rsidRPr="002F4337">
        <w:rPr>
          <w:rFonts w:ascii="Calibri" w:hAnsi="Calibri" w:cs="Arial"/>
          <w:lang w:val="en-US"/>
        </w:rPr>
        <w:t>effect.</w:t>
      </w:r>
    </w:p>
    <w:p w:rsidR="00133051" w:rsidRDefault="005852CA" w:rsidP="00D429DA">
      <w:pPr>
        <w:spacing w:before="360" w:line="480" w:lineRule="auto"/>
        <w:rPr>
          <w:rFonts w:ascii="Calibri" w:eastAsia="Kai" w:hAnsi="Calibri"/>
          <w:lang w:val="en-US"/>
        </w:rPr>
      </w:pPr>
      <w:r w:rsidRPr="00923CE9">
        <w:rPr>
          <w:rFonts w:ascii="Calibri" w:eastAsia="Kai" w:hAnsi="Calibri"/>
          <w:b/>
          <w:lang w:val="en-US"/>
        </w:rPr>
        <w:t>C</w:t>
      </w:r>
      <w:r w:rsidR="00DB6282">
        <w:rPr>
          <w:rFonts w:ascii="Calibri" w:eastAsia="Kai" w:hAnsi="Calibri"/>
          <w:b/>
          <w:lang w:val="en-US"/>
        </w:rPr>
        <w:t>onclusions</w:t>
      </w:r>
      <w:r w:rsidRPr="00923CE9">
        <w:rPr>
          <w:rFonts w:ascii="Calibri" w:eastAsia="Kai" w:hAnsi="Calibri"/>
          <w:b/>
          <w:lang w:val="en-US"/>
        </w:rPr>
        <w:t xml:space="preserve">: </w:t>
      </w:r>
      <w:r w:rsidRPr="00923CE9">
        <w:rPr>
          <w:rFonts w:ascii="Calibri" w:eastAsia="Kai" w:hAnsi="Calibri"/>
          <w:lang w:val="en-US"/>
        </w:rPr>
        <w:t>Ethnicity</w:t>
      </w:r>
      <w:r w:rsidR="003A3838">
        <w:rPr>
          <w:rFonts w:ascii="Calibri" w:eastAsia="Kai" w:hAnsi="Calibri"/>
          <w:lang w:val="en-US"/>
        </w:rPr>
        <w:t>-specific phenotypic expression</w:t>
      </w:r>
      <w:r w:rsidR="00264114">
        <w:rPr>
          <w:rFonts w:ascii="Calibri" w:eastAsia="Kai" w:hAnsi="Calibri"/>
          <w:lang w:val="en-US"/>
        </w:rPr>
        <w:t>s</w:t>
      </w:r>
      <w:r w:rsidRPr="00923CE9">
        <w:rPr>
          <w:rFonts w:ascii="Calibri" w:eastAsia="Kai" w:hAnsi="Calibri"/>
          <w:lang w:val="en-US"/>
        </w:rPr>
        <w:t xml:space="preserve"> and the high prevalence of hypertension </w:t>
      </w:r>
      <w:r w:rsidR="00264114">
        <w:rPr>
          <w:rFonts w:ascii="Calibri" w:eastAsia="Kai" w:hAnsi="Calibri"/>
          <w:lang w:val="en-US"/>
        </w:rPr>
        <w:t>potentially</w:t>
      </w:r>
      <w:r w:rsidRPr="00923CE9">
        <w:rPr>
          <w:rFonts w:ascii="Calibri" w:eastAsia="Kai" w:hAnsi="Calibri"/>
          <w:lang w:val="en-US"/>
        </w:rPr>
        <w:t xml:space="preserve"> result in under diagnosis of HCM in black patients. </w:t>
      </w:r>
      <w:r w:rsidR="00E10448">
        <w:rPr>
          <w:rFonts w:ascii="Calibri" w:hAnsi="Calibri" w:cs="Arial"/>
          <w:lang w:val="en-US"/>
        </w:rPr>
        <w:t>HCM in isolation</w:t>
      </w:r>
      <w:r w:rsidR="00E10448" w:rsidRPr="00923CE9">
        <w:rPr>
          <w:rFonts w:ascii="Calibri" w:hAnsi="Calibri" w:cs="Arial"/>
          <w:lang w:val="en-US"/>
        </w:rPr>
        <w:t xml:space="preserve"> is associated with a relatively benign course</w:t>
      </w:r>
      <w:r w:rsidR="00E10448">
        <w:rPr>
          <w:rFonts w:ascii="Calibri" w:hAnsi="Calibri" w:cs="Arial"/>
          <w:lang w:val="en-US"/>
        </w:rPr>
        <w:t xml:space="preserve"> in black patients</w:t>
      </w:r>
      <w:r w:rsidR="00CE10E9">
        <w:rPr>
          <w:rFonts w:ascii="Calibri" w:eastAsia="Kai" w:hAnsi="Calibri"/>
          <w:lang w:val="en-US"/>
        </w:rPr>
        <w:t>. However, h</w:t>
      </w:r>
      <w:r w:rsidRPr="00923CE9">
        <w:rPr>
          <w:rFonts w:ascii="Calibri" w:eastAsia="Kai" w:hAnsi="Calibri"/>
          <w:lang w:val="en-US"/>
        </w:rPr>
        <w:t xml:space="preserve">ypertension </w:t>
      </w:r>
      <w:r w:rsidR="008E0EF2">
        <w:rPr>
          <w:rFonts w:ascii="Calibri" w:eastAsia="Kai" w:hAnsi="Calibri"/>
          <w:lang w:val="en-US"/>
        </w:rPr>
        <w:t>has an adverse effect on outcome</w:t>
      </w:r>
      <w:r w:rsidR="00F70944" w:rsidRPr="00742DA4">
        <w:rPr>
          <w:rFonts w:ascii="Calibri" w:eastAsia="Kai" w:hAnsi="Calibri"/>
          <w:lang w:val="en-US"/>
        </w:rPr>
        <w:t xml:space="preserve"> </w:t>
      </w:r>
      <w:r w:rsidRPr="00742DA4">
        <w:rPr>
          <w:rFonts w:ascii="Calibri" w:eastAsia="Kai" w:hAnsi="Calibri"/>
          <w:lang w:val="en-US"/>
        </w:rPr>
        <w:t xml:space="preserve">and </w:t>
      </w:r>
      <w:r w:rsidR="00C32A6C">
        <w:rPr>
          <w:rFonts w:ascii="Calibri" w:eastAsia="Kai" w:hAnsi="Calibri"/>
          <w:lang w:val="en-US"/>
        </w:rPr>
        <w:t>requires</w:t>
      </w:r>
      <w:r w:rsidRPr="00742DA4">
        <w:rPr>
          <w:rFonts w:ascii="Calibri" w:eastAsia="Kai" w:hAnsi="Calibri"/>
          <w:lang w:val="en-US"/>
        </w:rPr>
        <w:t xml:space="preserve"> ag</w:t>
      </w:r>
      <w:r w:rsidR="0014029A" w:rsidRPr="00742DA4">
        <w:rPr>
          <w:rFonts w:ascii="Calibri" w:eastAsia="Kai" w:hAnsi="Calibri"/>
          <w:lang w:val="en-US"/>
        </w:rPr>
        <w:t>gressive</w:t>
      </w:r>
      <w:r w:rsidR="009D0DE6">
        <w:rPr>
          <w:rFonts w:ascii="Calibri" w:eastAsia="Kai" w:hAnsi="Calibri"/>
          <w:lang w:val="en-US"/>
        </w:rPr>
        <w:t xml:space="preserve"> management</w:t>
      </w:r>
      <w:r w:rsidR="00CE10E9">
        <w:rPr>
          <w:rFonts w:ascii="Calibri" w:eastAsia="Kai" w:hAnsi="Calibri"/>
          <w:lang w:val="en-US"/>
        </w:rPr>
        <w:t xml:space="preserve">, </w:t>
      </w:r>
      <w:r w:rsidR="00391B4C">
        <w:rPr>
          <w:rFonts w:ascii="Calibri" w:eastAsia="Kai" w:hAnsi="Calibri"/>
          <w:lang w:val="en-US"/>
        </w:rPr>
        <w:t>irrespective of ethnicity.</w:t>
      </w:r>
    </w:p>
    <w:p w:rsidR="005852CA" w:rsidRPr="00DB6282" w:rsidRDefault="001E48A3" w:rsidP="006C647A">
      <w:pPr>
        <w:spacing w:line="480" w:lineRule="auto"/>
        <w:rPr>
          <w:rFonts w:ascii="Calibri" w:hAnsi="Calibri"/>
          <w:b/>
          <w:lang w:val="en-US"/>
        </w:rPr>
      </w:pPr>
      <w:r w:rsidRPr="00DB6282">
        <w:rPr>
          <w:rFonts w:ascii="Calibri" w:hAnsi="Calibri"/>
          <w:b/>
          <w:lang w:val="en-US"/>
        </w:rPr>
        <w:t>I</w:t>
      </w:r>
      <w:r w:rsidR="005852CA" w:rsidRPr="00DB6282">
        <w:rPr>
          <w:rFonts w:ascii="Calibri" w:hAnsi="Calibri"/>
          <w:b/>
          <w:lang w:val="en-US"/>
        </w:rPr>
        <w:t>NTRODUCTION</w:t>
      </w:r>
    </w:p>
    <w:p w:rsidR="005852CA" w:rsidRPr="00D461C6" w:rsidRDefault="005852CA" w:rsidP="006C647A">
      <w:pPr>
        <w:spacing w:line="480" w:lineRule="auto"/>
        <w:rPr>
          <w:rFonts w:ascii="Calibri" w:hAnsi="Calibri" w:cs="Arial"/>
          <w:lang w:val="en-US"/>
        </w:rPr>
      </w:pPr>
      <w:r w:rsidRPr="001324DD">
        <w:rPr>
          <w:rFonts w:ascii="Calibri" w:hAnsi="Calibri" w:cs="Arial"/>
          <w:lang w:val="en-US"/>
        </w:rPr>
        <w:t>Hypertrophic cardiomyopathy (HCM) is re</w:t>
      </w:r>
      <w:r w:rsidR="000A3A51" w:rsidRPr="001324DD">
        <w:rPr>
          <w:rFonts w:ascii="Calibri" w:hAnsi="Calibri" w:cs="Arial"/>
          <w:lang w:val="en-US"/>
        </w:rPr>
        <w:t>cognized</w:t>
      </w:r>
      <w:r w:rsidRPr="001324DD">
        <w:rPr>
          <w:rFonts w:ascii="Calibri" w:hAnsi="Calibri" w:cs="Arial"/>
          <w:lang w:val="en-US"/>
        </w:rPr>
        <w:t xml:space="preserve"> for its diverse phenotypic expression</w:t>
      </w:r>
      <w:r w:rsidR="00C148F5">
        <w:rPr>
          <w:rFonts w:ascii="Calibri" w:hAnsi="Calibri" w:cs="Arial"/>
          <w:lang w:val="en-US"/>
        </w:rPr>
        <w:t>.</w:t>
      </w:r>
      <w:r w:rsidRPr="001324DD">
        <w:rPr>
          <w:rFonts w:ascii="Calibri" w:hAnsi="Calibri" w:cs="Arial"/>
          <w:lang w:val="en-US"/>
        </w:rPr>
        <w:fldChar w:fldCharType="begin" w:fldLock="1"/>
      </w:r>
      <w:r w:rsidR="00843D9D">
        <w:rPr>
          <w:rFonts w:ascii="Calibri" w:hAnsi="Calibri" w:cs="Arial"/>
          <w:lang w:val="en-US"/>
        </w:rPr>
        <w:instrText>ADDIN CSL_CITATION { "citationItems" : [ { "id" : "ITEM-1", "itemData" : { "DOI" : "10.1016/j.jacc.2014.05.003", "ISSN" : "1558-3597", "PMID" : "24998133", "abstract" : "Hypertrophic cardiomyopathy (HCM) is a common inherited heart disease with diverse phenotypic and genetic expression, clinical presentation, and natural history. HCM has been recognized for 55 years, but recently substantial advances in diagnosis and treatment options have evolved, as well as increased recognition of the disease in clinical practice. Nevertheless, most genetically and clinically affected individuals probably remain undiagnosed, largely free from disease-related complications, although HCM may progress along 1 or more of its major disease pathways (i.e., arrhythmic sudden death risk; progressive heart failure [HF] due to dynamic left ventricular [LV] outflow obstruction or due to systolic dysfunction in the absence of obstruction; or atrial fibrillation with risk of stroke). Effective treatments are available for each adverse HCM complication, including implantable cardioverter-defibrillators (ICDs) for sudden death prevention, heart transplantation for end-stage failure, surgical myectomy (or selectively, alcohol septal ablation) to alleviate HF symptoms by abolishing outflow obstruction, and catheter-based procedures to control atrial fibrillation. These and other strategies have now resulted in a low disease-related mortality rate of\u00a0&lt;1%/year. Therefore, HCM has emerged from an era of misunderstanding, stigma, and pessimism, experiencing vast changes in its clinical profile, and acquiring an effective and diverse management armamentarium. These advances have changed its natural history, with prevention of sudden death and reversal of HF, thereby restoring quality of life with extended (if not normal) longevity for most patients, and transforming HCM into a contemporary treatable cardiovascular disease.", "author" : [ { "dropping-particle" : "", "family" : "Maron", "given" : "Barry J", "non-dropping-particle" : "", "parse-names" : false, "suffix" : "" }, { "dropping-particle" : "", "family" : "Ommen", "given" : "Steve R", "non-dropping-particle" : "", "parse-names" : false, "suffix" : "" }, { "dropping-particle" : "", "family" : "Semsarian", "given" : "Christopher", "non-dropping-particle" : "", "parse-names" : false, "suffix" : "" }, { "dropping-particle" : "", "family" : "Spirito", "given" : "Paolo", "non-dropping-particle" : "", "parse-names" : false, "suffix" : "" }, { "dropping-particle" : "", "family" : "Olivotto", "given" : "Iacopo", "non-dropping-particle" : "", "parse-names" : false, "suffix" : "" }, { "dropping-particle" : "", "family" : "Maron", "given" : "Martin S", "non-dropping-particle" : "", "parse-names" : false, "suffix" : "" } ], "container-title" : "Journal of the American College of Cardiology", "id" : "ITEM-1", "issue" : "1", "issued" : { "date-parts" : [ [ "2014", "7", "8" ] ] }, "page" : "83-99", "title" : "Hypertrophic Cardiomyopathy: Present and Future, With Translation Into Contemporary Cardiovascular Medicine.", "type" : "article-journal", "volume" : "64" }, "uris" : [ "http://www.mendeley.com/documents/?uuid=90f89eec-c9f7-4144-8622-d905582d89d4" ] } ], "mendeley" : { "formattedCitation" : "[1]", "plainTextFormattedCitation" : "[1]", "previouslyFormattedCitation" : "[1]" }, "properties" : { "noteIndex" : 0 }, "schema" : "https://github.com/citation-style-language/schema/raw/master/csl-citation.json" }</w:instrText>
      </w:r>
      <w:r w:rsidRPr="001324DD">
        <w:rPr>
          <w:rFonts w:ascii="Calibri" w:hAnsi="Calibri" w:cs="Arial"/>
          <w:lang w:val="en-US"/>
        </w:rPr>
        <w:fldChar w:fldCharType="separate"/>
      </w:r>
      <w:r w:rsidR="00843D9D" w:rsidRPr="00843D9D">
        <w:rPr>
          <w:rFonts w:ascii="Calibri" w:hAnsi="Calibri" w:cs="Arial"/>
          <w:noProof/>
          <w:lang w:val="en-US"/>
        </w:rPr>
        <w:t>[1]</w:t>
      </w:r>
      <w:r w:rsidRPr="001324DD">
        <w:rPr>
          <w:rFonts w:ascii="Calibri" w:hAnsi="Calibri" w:cs="Arial"/>
          <w:lang w:val="en-US"/>
        </w:rPr>
        <w:fldChar w:fldCharType="end"/>
      </w:r>
      <w:r w:rsidRPr="001324DD">
        <w:rPr>
          <w:rFonts w:ascii="Calibri" w:hAnsi="Calibri" w:cs="Arial"/>
          <w:lang w:val="en-US"/>
        </w:rPr>
        <w:t xml:space="preserve"> The influence of ethnicity on </w:t>
      </w:r>
      <w:r w:rsidR="006E78B7" w:rsidRPr="006E78B7">
        <w:rPr>
          <w:rFonts w:ascii="Calibri" w:hAnsi="Calibri" w:cs="Arial"/>
          <w:highlight w:val="yellow"/>
          <w:lang w:val="en-US"/>
        </w:rPr>
        <w:t>clinical and morphological features</w:t>
      </w:r>
      <w:r w:rsidRPr="001324DD">
        <w:rPr>
          <w:rFonts w:ascii="Calibri" w:hAnsi="Calibri" w:cs="Arial"/>
          <w:lang w:val="en-US"/>
        </w:rPr>
        <w:t xml:space="preserve"> is unknown. Observations from athletes</w:t>
      </w:r>
      <w:r w:rsidRPr="001324DD">
        <w:rPr>
          <w:rFonts w:ascii="Calibri" w:hAnsi="Calibri" w:cs="Arial"/>
          <w:lang w:val="en-US"/>
        </w:rPr>
        <w:fldChar w:fldCharType="begin" w:fldLock="1"/>
      </w:r>
      <w:r w:rsidR="00843D9D">
        <w:rPr>
          <w:rFonts w:ascii="Calibri" w:hAnsi="Calibri" w:cs="Arial"/>
          <w:lang w:val="en-US"/>
        </w:rPr>
        <w:instrText>ADDIN CSL_CITATION { "citationItems" : [ { "id" : "ITEM-1", "itemData" : { "DOI" : "10.1016/j.jacc.2007.12.061", "ISSN" : "1558-3597", "PMID" : "18534273", "abstract" : "OBJECTIVES: The purpose of this study was to evaluate ethnic differences in left ventricular (LV) remodeling between highly-trained athletes of African/Afro-Caribbean (black) and Caucasian (white) athletes. BACKGROUND: The upper limits of left ventricular hypertrophy (LVH) are established in white athletes and aid the differentiation of physiologic LVH from hypertrophic cardiomyopathy (HCM). However, there are few data regarding LV remodeling in black athletes, in whom deaths from HCM are more prevalent. METHODS: Between 2003 and 2007, 300 nationally ranked black male athletes (mean age 20.5 years) underwent 12-lead electrocardiogram and 2-dimensional echocardiography. The results were compared with 150 black and white sedentary individuals and 300 highly-trained white male athletes matched for age, size, and sport. RESULTS: Black athletes exhibited greater LV wall thickness and cavity size compared with sedentary black and white individuals. Black athletes had greater LV wall thickness compared with white athletes (11.3 +/- 1.6 mm vs. 10 +/- 1.5 mm; p &lt; 0.001). In absolute terms, 54 black athletes (18%) had LV wall thickness &gt;12 mm compared with 12 white athletes (4%), and 3% of black athletes exhibited LV wall thickness &gt;/=15 mm compared with none of the white athletes. Black athletes with LVH displayed an enlarged LV cavity and normal diastolic function. CONCLUSIONS: Black athletes develop a greater magnitude of LVH compared with white athletes; therefore, extrapolation of conclusions derived from white athletes has the potential of generating false-positive diagnoses of HCM in black athletes.", "author" : [ { "dropping-particle" : "", "family" : "Basavarajaiah", "given" : "Sandeep", "non-dropping-particle" : "", "parse-names" : false, "suffix" : "" }, { "dropping-particle" : "", "family" : "Boraita", "given" : "Araceli", "non-dropping-particle" : "", "parse-names" : false, "suffix" : "" }, { "dropping-particle" : "", "family" : "Whyte", "given" : "Gregory", "non-dropping-particle" : "", "parse-names" : false, "suffix" : "" }, { "dropping-particle" : "", "family" : "Wilson", "given" : "Mathew", "non-dropping-particle" : "", "parse-names" : false, "suffix" : "" }, { "dropping-particle" : "", "family" : "Carby", "given" : "Lorna", "non-dropping-particle" : "", "parse-names" : false, "suffix" : "" }, { "dropping-particle" : "", "family" : "Shah", "given" : "Ajay", "non-dropping-particle" : "", "parse-names" : false, "suffix" : "" }, { "dropping-particle" : "", "family" : "Sharma", "given" : "Sanjay", "non-dropping-particle" : "", "parse-names" : false, "suffix" : "" } ], "container-title" : "Journal of the American College of Cardiology", "id" : "ITEM-1", "issue" : "23", "issued" : { "date-parts" : [ [ "2008", "6" ] ] }, "page" : "2256-62", "title" : "Ethnic differences in left ventricular remodeling in highly-trained athletes relevance to differentiating physiologic left ventricular hypertrophy from hypertrophic cardiomyopathy.", "type" : "article-journal", "volume" : "51" }, "uris" : [ "http://www.mendeley.com/documents/?uuid=a17db6a1-79e2-4a9e-a74c-62c4952236ae" ] }, { "id" : "ITEM-2", "itemData" : { "DOI" : "10.1093/eurheartj/ehr140", "ISSN" : "1522-9645", "PMID" : "21613263", "abstract" : "Aims Athletic training in male black athletes (BAs) is associated with marked ECG repolarization changes that overlap with hypertrophic cardiomyopathy (HCM). Differentiating between the two entities is prudent since BAs exhibit a higher prevalence of exercise-related sudden death from HCM compared with white athletes (WAs). Methods and results Between 1996 and 2010, 904 BAs underwent serial cardiac evaluations including ECG and echocardiography. Athletes exhibiting T-wave inversions were investigated further for HCM. Results were compared with 1819 WAs, 119 black controls (BCs), and 52 black HCM patients. Athletes were followed up for 69.7 \u00b1 29.6 months. T-wave inversions were present in 82.7% HCM patients, 22.8% BAs, 10.1% BCs, and 3.7% WAs. In athletes, the major determinant of T-wave inversions was black ethnicity. T-wave inversions in BAs (12.7%) were predominantly confined to contiguous anterior leads (V1-V4). Only 4.1% of BAs exhibited T-wave inversions in the lateral leads. In contrast, both BCs and HCM patients exhibited lower prevalence of T-wave inversions in leads V1-V4 (4.2 and 3.8%, respectively) with most T-wave inversions in HCM patients (76.9%) involving the lateral leads. During follow-up one BA survived cardiac arrest and two athletes (one BA, one WA) were diagnosed with HCM. All three exhibited T-wave inversions in the lateral leads. Conclusions T-wave inversions in leads V1-V4 appear to represent an ethnic variant of 'athlete's heart'. Conversely, T-wave inversions in the lateral leads may represent the initial expression of underlying cardiomyopathy and merit further evaluation and regular surveillance.", "author" : [ { "dropping-particle" : "", "family" : "Papadakis", "given" : "Michael", "non-dropping-particle" : "", "parse-names" : false, "suffix" : "" }, { "dropping-particle" : "", "family" : "Carre", "given" : "Francois", "non-dropping-particle" : "", "parse-names" : false, "suffix" : "" }, { "dropping-particle" : "", "family" : "Kervio", "given" : "Gaelle", "non-dropping-particle" : "", "parse-names" : false, "suffix" : "" }, { "dropping-particle" : "", "family" : "Rawlins", "given" : "John", "non-dropping-particle" : "", "parse-names" : false, "suffix" : "" }, { "dropping-particle" : "", "family" : "Panoulas", "given" : "Vasileios F", "non-dropping-particle" : "", "parse-names" : false, "suffix" : "" }, { "dropping-particle" : "", "family" : "Chandra", "given" : "Navin", "non-dropping-particle" : "", "parse-names" : false, "suffix" : "" }, { "dropping-particle" : "", "family" : "Basavarajaiah", "given" : "Sandeep", "non-dropping-particle" : "", "parse-names" : false, "suffix" : "" }, { "dropping-particle" : "", "family" : "Carby", "given" : "Lorna", "non-dropping-particle" : "", "parse-names" : false, "suffix" : "" }, { "dropping-particle" : "", "family" : "Fonseca", "given" : "Tiago", "non-dropping-particle" : "", "parse-names" : false, "suffix" : "" }, { "dropping-particle" : "", "family" : "Sharma", "given" : "Sanjay", "non-dropping-particle" : "", "parse-names" : false, "suffix" : "" } ], "container-title" : "European Heart Journal", "id" : "ITEM-2", "issue" : "18", "issued" : { "date-parts" : [ [ "2011", "5", "25" ] ] }, "page" : "2304-2313", "title" : "The prevalence, distribution, and clinical outcomes of electrocardiographic repolarization patterns in male athletes of African/Afro-Caribbean origin.", "type" : "article-journal", "volume" : "32" }, "uris" : [ "http://www.mendeley.com/documents/?uuid=be93a90e-4530-4f43-84e5-f9de73587e79" ] } ], "mendeley" : { "formattedCitation" : "[2,3]", "plainTextFormattedCitation" : "[2,3]", "previouslyFormattedCitation" : "[2,3]" }, "properties" : { "noteIndex" : 0 }, "schema" : "https://github.com/citation-style-language/schema/raw/master/csl-citation.json" }</w:instrText>
      </w:r>
      <w:r w:rsidRPr="001324DD">
        <w:rPr>
          <w:rFonts w:ascii="Calibri" w:hAnsi="Calibri" w:cs="Arial"/>
          <w:lang w:val="en-US"/>
        </w:rPr>
        <w:fldChar w:fldCharType="separate"/>
      </w:r>
      <w:r w:rsidR="00843D9D" w:rsidRPr="00843D9D">
        <w:rPr>
          <w:rFonts w:ascii="Calibri" w:hAnsi="Calibri" w:cs="Arial"/>
          <w:noProof/>
          <w:lang w:val="en-US"/>
        </w:rPr>
        <w:t>[2,3]</w:t>
      </w:r>
      <w:r w:rsidRPr="001324DD">
        <w:rPr>
          <w:rFonts w:ascii="Calibri" w:hAnsi="Calibri" w:cs="Arial"/>
          <w:lang w:val="en-US"/>
        </w:rPr>
        <w:fldChar w:fldCharType="end"/>
      </w:r>
      <w:r w:rsidR="00C148F5">
        <w:rPr>
          <w:rFonts w:ascii="Calibri" w:hAnsi="Calibri" w:cs="Arial"/>
          <w:lang w:val="en-US"/>
        </w:rPr>
        <w:t xml:space="preserve"> and hypertensive patients</w:t>
      </w:r>
      <w:r w:rsidRPr="001324DD">
        <w:rPr>
          <w:rFonts w:ascii="Calibri" w:hAnsi="Calibri" w:cs="Arial"/>
          <w:lang w:val="en-US"/>
        </w:rPr>
        <w:fldChar w:fldCharType="begin" w:fldLock="1"/>
      </w:r>
      <w:r w:rsidR="00843D9D">
        <w:rPr>
          <w:rFonts w:ascii="Calibri" w:hAnsi="Calibri" w:cs="Arial"/>
          <w:lang w:val="en-US"/>
        </w:rPr>
        <w:instrText>ADDIN CSL_CITATION { "citationItems" : [ { "id" : "ITEM-1", "itemData" : { "author" : [ { "dropping-particle" : "", "family" : "Mayet", "given" : "Jamil", "non-dropping-particle" : "", "parse-names" : false, "suffix" : "" }, { "dropping-particle" : "", "family" : "Shahi", "given" : "Manjit", "non-dropping-particle" : "", "parse-names" : false, "suffix" : "" }, { "dropping-particle" : "", "family" : "Foale", "given" : "RA", "non-dropping-particle" : "", "parse-names" : false, "suffix" : "" } ], "container-title" : "British Medical Journal", "id" : "ITEM-1", "issued" : { "date-parts" : [ [ "1994" ] ] }, "page" : "1011-1014", "title" : "Racial differences in cardiac structure and function in essential hypertension.", "type" : "article-journal", "volume" : "308" }, "uris" : [ "http://www.mendeley.com/documents/?uuid=ebff33c2-c96f-4a27-9742-d4576885cc84" ] }, { "id" : "ITEM-2", "itemData" : { "DOI" : "10.1161/01.HYP.0000128738.94190.9f", "ISSN" : "1524-4563", "PMID" : "15123573", "abstract" : "The degree to which ethnic differences in left ventricular structure among hypertensive adults are independent of clinical and hemodynamic factors remains uncertain. We assessed whether left ventricular mass and geometry differ between black and white hypertensives after accounting for differences in such factors. Our study group comprised 1060 black and 580 white hypertensive participants free of valvular or coronary disease in a population-based cohort. Blood pressure was measured during a clinic visit and echocardiography was performed using standardized protocols. After controlling for clinical and hemodynamic parameters (cardiac index, peripheral resistance index, and pulse pressure/stroke index), both left ventricular mass and relative wall thickness were higher in blacks than whites (173.9+/-30.9 versus 168.3+/-24.3 grams, P=0.006, and 0.355+/-0.055 versus 0.340+/-0.055 grams, P&lt;0.001). Similarly, the adjusted risk of having left ventricular hypertrophy, whether indexed by height(2.7) or by body surface area, was greater for blacks than for whites (odds ratio: 1.80; 95% CI: 1.29 to 2.51; and odds ratio: 2.50; 95% CI: 1.58 to 3.96, respectively), and this was also true for concentric geometry (odds ratio: 2.28; 95% CI: 1.22 to 4.25). Further adjustment for relatedness in this genetic epidemiological study did not attenuate these differences. Our findings confirm the strong association between black ethnicity and increased left ventricular mass and relative wall thickness in hypertensive adults and demonstrate that these differences are independent of standard clinical and hemodynamic parameters. Whether such differences relate to distinct ambulatory pressure profiles or an ethnic propensity to cardiac hypertrophy requires further investigation.", "author" : [ { "dropping-particle" : "", "family" : "Kizer", "given" : "Jorge R", "non-dropping-particle" : "", "parse-names" : false, "suffix" : "" }, { "dropping-particle" : "", "family" : "Arnett", "given" : "Donna K", "non-dropping-particle" : "", "parse-names" : false, "suffix" : "" }, { "dropping-particle" : "", "family" : "Bella", "given" : "Jonathan N", "non-dropping-particle" : "", "parse-names" : false, "suffix" : "" }, { "dropping-particle" : "", "family" : "Paranicas", "given" : "Mary", "non-dropping-particle" : "", "parse-names" : false, "suffix" : "" }, { "dropping-particle" : "", "family" : "Rao", "given" : "D C", "non-dropping-particle" : "", "parse-names" : false, "suffix" : "" }, { "dropping-particle" : "", "family" : "Province", "given" : "Michael a", "non-dropping-particle" : "", "parse-names" : false, "suffix" : "" }, { "dropping-particle" : "", "family" : "Oberman", "given" : "Albert", "non-dropping-particle" : "", "parse-names" : false, "suffix" : "" }, { "dropping-particle" : "", "family" : "Kitzman", "given" : "Dalane W", "non-dropping-particle" : "", "parse-names" : false, "suffix" : "" }, { "dropping-particle" : "", "family" : "Hopkins", "given" : "Paul N", "non-dropping-particle" : "", "parse-names" : false, "suffix" : "" }, { "dropping-particle" : "", "family" : "Liu", "given" : "Jennifer E", "non-dropping-particle" : "", "parse-names" : false, "suffix" : "" }, { "dropping-particle" : "", "family" : "Devereux", "given" : "Richard B", "non-dropping-particle" : "", "parse-names" : false, "suffix" : "" } ], "container-title" : "Hypertension", "id" : "ITEM-2", "issue" : "6", "issued" : { "date-parts" : [ [ "2004", "6" ] ] }, "page" : "1182-8", "title" : "Differences in left ventricular structure between black and white hypertensive adults: the Hypertension Genetic Epidemiology Network study.", "type" : "article-journal", "volume" : "43" }, "uris" : [ "http://www.mendeley.com/documents/?uuid=cf315719-d79c-48dc-a7bd-b655ad75da9d" ] } ], "mendeley" : { "formattedCitation" : "[4,5]", "plainTextFormattedCitation" : "[4,5]", "previouslyFormattedCitation" : "[4,5]" }, "properties" : { "noteIndex" : 0 }, "schema" : "https://github.com/citation-style-language/schema/raw/master/csl-citation.json" }</w:instrText>
      </w:r>
      <w:r w:rsidRPr="001324DD">
        <w:rPr>
          <w:rFonts w:ascii="Calibri" w:hAnsi="Calibri" w:cs="Arial"/>
          <w:lang w:val="en-US"/>
        </w:rPr>
        <w:fldChar w:fldCharType="separate"/>
      </w:r>
      <w:r w:rsidR="00843D9D" w:rsidRPr="00843D9D">
        <w:rPr>
          <w:rFonts w:ascii="Calibri" w:hAnsi="Calibri" w:cs="Arial"/>
          <w:noProof/>
          <w:lang w:val="en-US"/>
        </w:rPr>
        <w:t>[4,5]</w:t>
      </w:r>
      <w:r w:rsidRPr="001324DD">
        <w:rPr>
          <w:rFonts w:ascii="Calibri" w:hAnsi="Calibri" w:cs="Arial"/>
          <w:lang w:val="en-US"/>
        </w:rPr>
        <w:fldChar w:fldCharType="end"/>
      </w:r>
      <w:r w:rsidRPr="001324DD">
        <w:rPr>
          <w:rFonts w:ascii="Calibri" w:hAnsi="Calibri" w:cs="Arial"/>
          <w:lang w:val="en-US"/>
        </w:rPr>
        <w:t xml:space="preserve"> reveal a high prevalence of ECG </w:t>
      </w:r>
      <w:r w:rsidR="00895ED4" w:rsidRPr="001324DD">
        <w:rPr>
          <w:rFonts w:ascii="Calibri" w:hAnsi="Calibri" w:cs="Arial"/>
          <w:lang w:val="en-US"/>
        </w:rPr>
        <w:t>repolarization</w:t>
      </w:r>
      <w:r w:rsidRPr="001324DD">
        <w:rPr>
          <w:rFonts w:ascii="Calibri" w:hAnsi="Calibri" w:cs="Arial"/>
          <w:lang w:val="en-US"/>
        </w:rPr>
        <w:t xml:space="preserve"> changes and left ventricular hypertrophy (LVH) in individuals of African/A</w:t>
      </w:r>
      <w:r w:rsidR="009D0DE6" w:rsidRPr="001324DD">
        <w:rPr>
          <w:rFonts w:ascii="Calibri" w:hAnsi="Calibri" w:cs="Arial"/>
          <w:lang w:val="en-US"/>
        </w:rPr>
        <w:t>fro-Caribbean (black) ethnicity.</w:t>
      </w:r>
      <w:r w:rsidRPr="001324DD">
        <w:rPr>
          <w:rFonts w:ascii="Calibri" w:hAnsi="Calibri" w:cs="Arial"/>
          <w:lang w:val="en-US"/>
        </w:rPr>
        <w:t xml:space="preserve"> </w:t>
      </w:r>
      <w:r w:rsidR="000A3A51" w:rsidRPr="001324DD">
        <w:rPr>
          <w:rFonts w:ascii="Calibri" w:hAnsi="Calibri" w:cs="Arial"/>
          <w:lang w:val="en-US"/>
        </w:rPr>
        <w:t xml:space="preserve">This combination </w:t>
      </w:r>
      <w:r w:rsidRPr="001324DD">
        <w:rPr>
          <w:rFonts w:ascii="Calibri" w:hAnsi="Calibri" w:cs="Arial"/>
          <w:lang w:val="en-US"/>
        </w:rPr>
        <w:t>creates</w:t>
      </w:r>
      <w:r w:rsidR="000A3A51" w:rsidRPr="001324DD">
        <w:rPr>
          <w:rFonts w:ascii="Calibri" w:hAnsi="Calibri" w:cs="Arial"/>
          <w:lang w:val="en-US"/>
        </w:rPr>
        <w:t xml:space="preserve"> diagnostic</w:t>
      </w:r>
      <w:r w:rsidRPr="001324DD">
        <w:rPr>
          <w:rFonts w:ascii="Calibri" w:hAnsi="Calibri" w:cs="Arial"/>
          <w:lang w:val="en-US"/>
        </w:rPr>
        <w:t xml:space="preserve"> ch</w:t>
      </w:r>
      <w:r w:rsidR="00092369" w:rsidRPr="001324DD">
        <w:rPr>
          <w:rFonts w:ascii="Calibri" w:hAnsi="Calibri" w:cs="Arial"/>
          <w:lang w:val="en-US"/>
        </w:rPr>
        <w:t xml:space="preserve">allenges </w:t>
      </w:r>
      <w:r w:rsidR="00C32A6C" w:rsidRPr="001324DD">
        <w:rPr>
          <w:rFonts w:ascii="Calibri" w:hAnsi="Calibri" w:cs="Arial"/>
          <w:lang w:val="en-US"/>
        </w:rPr>
        <w:t xml:space="preserve">with respect to </w:t>
      </w:r>
      <w:r w:rsidR="00092369" w:rsidRPr="001324DD">
        <w:rPr>
          <w:rFonts w:ascii="Calibri" w:hAnsi="Calibri" w:cs="Arial"/>
          <w:lang w:val="en-US"/>
        </w:rPr>
        <w:t xml:space="preserve"> the </w:t>
      </w:r>
      <w:r w:rsidR="000A3A51" w:rsidRPr="001324DD">
        <w:rPr>
          <w:rFonts w:ascii="Calibri" w:hAnsi="Calibri" w:cs="Arial"/>
          <w:lang w:val="en-US"/>
        </w:rPr>
        <w:t>differen</w:t>
      </w:r>
      <w:r w:rsidR="009D0DE6" w:rsidRPr="001324DD">
        <w:rPr>
          <w:rFonts w:ascii="Calibri" w:hAnsi="Calibri" w:cs="Arial"/>
          <w:lang w:val="en-US"/>
        </w:rPr>
        <w:t>tiation of morphologically mild</w:t>
      </w:r>
      <w:r w:rsidRPr="001324DD">
        <w:rPr>
          <w:rFonts w:ascii="Calibri" w:hAnsi="Calibri" w:cs="Arial"/>
          <w:lang w:val="en-US"/>
        </w:rPr>
        <w:t xml:space="preserve"> HCM </w:t>
      </w:r>
      <w:r w:rsidR="009D0DE6" w:rsidRPr="001324DD">
        <w:rPr>
          <w:rFonts w:ascii="Calibri" w:hAnsi="Calibri" w:cs="Arial"/>
          <w:lang w:val="en-US"/>
        </w:rPr>
        <w:t>from</w:t>
      </w:r>
      <w:r w:rsidRPr="001324DD">
        <w:rPr>
          <w:rFonts w:ascii="Calibri" w:hAnsi="Calibri" w:cs="Arial"/>
          <w:lang w:val="en-US"/>
        </w:rPr>
        <w:t xml:space="preserve"> </w:t>
      </w:r>
      <w:r w:rsidR="00C3019E">
        <w:rPr>
          <w:rFonts w:ascii="Calibri" w:hAnsi="Calibri" w:cs="Arial"/>
          <w:lang w:val="en-US"/>
        </w:rPr>
        <w:t xml:space="preserve">other </w:t>
      </w:r>
      <w:r w:rsidRPr="001324DD">
        <w:rPr>
          <w:rFonts w:ascii="Calibri" w:hAnsi="Calibri" w:cs="Arial"/>
          <w:lang w:val="en-US"/>
        </w:rPr>
        <w:t>cau</w:t>
      </w:r>
      <w:r w:rsidR="00C148F5">
        <w:rPr>
          <w:rFonts w:ascii="Calibri" w:hAnsi="Calibri" w:cs="Arial"/>
          <w:lang w:val="en-US"/>
        </w:rPr>
        <w:t>ses of LVH in this ethnic group.</w:t>
      </w:r>
      <w:r w:rsidRPr="001324DD">
        <w:rPr>
          <w:rFonts w:ascii="Calibri" w:hAnsi="Calibri"/>
          <w:lang w:val="en-US"/>
        </w:rPr>
        <w:fldChar w:fldCharType="begin" w:fldLock="1"/>
      </w:r>
      <w:r w:rsidR="00843D9D">
        <w:rPr>
          <w:rFonts w:ascii="Calibri" w:hAnsi="Calibri"/>
          <w:lang w:val="en-US"/>
        </w:rPr>
        <w:instrText>ADDIN CSL_CITATION { "citationItems" : [ { "id" : "ITEM-1", "itemData" : { "DOI" : "10.1016/j.jacc.2008.01.065", "ISSN" : "1558-3597", "PMID" : "18534272", "abstract" : "OBJECTIVES: The purpose of this study was to establish an electrocardiographic (ECG) profile in a biracial population of highly-trained American football players. BACKGROUND: Intense physical training can induce cardiac structural and functional changes (\"athlete's heart\"), including 12-lead ECG alterations. That race might play a role in determining ECG patterns has been suggested, although not studied in a large athletic population comparing black and white athletes. METHODS: Electrocardiographic analysis of 1,959 elite male athletes attending the National Football League Invitational Camp from 2000 to 2005 was performed. Subjects were classified by race and player position and judged free of structural heart disease. RESULTS: Abnormal ECG patterns were present in 480 (25%) athletes and were significantly more common among black players (n = 396; 30%) compared with white players (n = 78; 13%) or other races (n = 6; 15%) (p &lt; 0.0001). Distinctly abnormal ECG patterns, suggestive of cardiac disease, were also more common in blacks (n = 76; 6%) than whites (n = 11; 2%) (p = 0.0005). In multivariable analysis, black race was an independent predictor of abnormal ECGs (risk ratio [RR] 2.03, 95% confidence interval [CI] 1.56 to 2.64, p &lt; 0.0001), including patterns judged distinctly abnormal (RR 2.59, 95% CI 1.18 to 5.67, p = 0.02). Abnormal ECGs were also related to player position: most frequent in wide receivers (n = 91; 35%) and least common in quarterbacks (n = 16; 14%) and place kickers (n = 8; 11%). Echocardiograms, obtained in 203 athletes (10%), did not show structural cardiac abnormalities. CONCLUSIONS: Electrocardiographic abnormalities were 2-fold more common in black than in white highly-trained male American football players, with race an independent determinant of ECG pattern. These findings have important implications for pre-participation cardiovascular screening of athletes with ECGs.", "author" : [ { "dropping-particle" : "", "family" : "Magalski", "given" : "Anthony", "non-dropping-particle" : "", "parse-names" : false, "suffix" : "" }, { "dropping-particle" : "", "family" : "Maron", "given" : "Barry J", "non-dropping-particle" : "", "parse-names" : false, "suffix" : "" }, { "dropping-particle" : "", "family" : "Main", "given" : "Michael L", "non-dropping-particle" : "", "parse-names" : false, "suffix" : "" }, { "dropping-particle" : "", "family" : "McCoy", "given" : "Marcia", "non-dropping-particle" : "", "parse-names" : false, "suffix" : "" }, { "dropping-particle" : "", "family" : "Florez", "given" : "Angela", "non-dropping-particle" : "", "parse-names" : false, "suffix" : "" }, { "dropping-particle" : "", "family" : "Reid", "given" : "Kimberly J", "non-dropping-particle" : "", "parse-names" : false, "suffix" : "" }, { "dropping-particle" : "", "family" : "Epps", "given" : "Harold W", "non-dropping-particle" : "", "parse-names" : false, "suffix" : "" }, { "dropping-particle" : "", "family" : "Bates", "given" : "John", "non-dropping-particle" : "", "parse-names" : false, "suffix" : "" }, { "dropping-particle" : "", "family" : "Browne", "given" : "Jon E", "non-dropping-particle" : "", "parse-names" : false, "suffix" : "" } ], "container-title" : "Journal of the American College of Cardiology", "id" : "ITEM-1", "issue" : "23", "issued" : { "date-parts" : [ [ "2008", "6" ] ] }, "page" : "2250-5", "title" : "Relation of race to electrocardiographic patterns in elite American football players.", "type" : "article-journal", "volume" : "51" }, "uris" : [ "http://www.mendeley.com/documents/?uuid=30159f0c-d084-4b3f-990d-3377104c5480" ] }, { "id" : "ITEM-2", "itemData" : { "DOI" : "10.1016/j.jacc.2007.12.061", "ISSN" : "1558-3597", "PMID" : "18534273", "abstract" : "OBJECTIVES: The purpose of this study was to evaluate ethnic differences in left ventricular (LV) remodeling between highly-trained athletes of African/Afro-Caribbean (black) and Caucasian (white) athletes. BACKGROUND: The upper limits of left ventricular hypertrophy (LVH) are established in white athletes and aid the differentiation of physiologic LVH from hypertrophic cardiomyopathy (HCM). However, there are few data regarding LV remodeling in black athletes, in whom deaths from HCM are more prevalent. METHODS: Between 2003 and 2007, 300 nationally ranked black male athletes (mean age 20.5 years) underwent 12-lead electrocardiogram and 2-dimensional echocardiography. The results were compared with 150 black and white sedentary individuals and 300 highly-trained white male athletes matched for age, size, and sport. RESULTS: Black athletes exhibited greater LV wall thickness and cavity size compared with sedentary black and white individuals. Black athletes had greater LV wall thickness compared with white athletes (11.3 +/- 1.6 mm vs. 10 +/- 1.5 mm; p &lt; 0.001). In absolute terms, 54 black athletes (18%) had LV wall thickness &gt;12 mm compared with 12 white athletes (4%), and 3% of black athletes exhibited LV wall thickness &gt;/=15 mm compared with none of the white athletes. Black athletes with LVH displayed an enlarged LV cavity and normal diastolic function. CONCLUSIONS: Black athletes develop a greater magnitude of LVH compared with white athletes; therefore, extrapolation of conclusions derived from white athletes has the potential of generating false-positive diagnoses of HCM in black athletes.", "author" : [ { "dropping-particle" : "", "family" : "Basavarajaiah", "given" : "Sandeep", "non-dropping-particle" : "", "parse-names" : false, "suffix" : "" }, { "dropping-particle" : "", "family" : "Boraita", "given" : "Araceli", "non-dropping-particle" : "", "parse-names" : false, "suffix" : "" }, { "dropping-particle" : "", "family" : "Whyte", "given" : "Gregory", "non-dropping-particle" : "", "parse-names" : false, "suffix" : "" }, { "dropping-particle" : "", "family" : "Wilson", "given" : "Mathew", "non-dropping-particle" : "", "parse-names" : false, "suffix" : "" }, { "dropping-particle" : "", "family" : "Carby", "given" : "Lorna", "non-dropping-particle" : "", "parse-names" : false, "suffix" : "" }, { "dropping-particle" : "", "family" : "Shah", "given" : "Ajay", "non-dropping-particle" : "", "parse-names" : false, "suffix" : "" }, { "dropping-particle" : "", "family" : "Sharma", "given" : "Sanjay", "non-dropping-particle" : "", "parse-names" : false, "suffix" : "" } ], "container-title" : "Journal of the American College of Cardiology", "id" : "ITEM-2", "issue" : "23", "issued" : { "date-parts" : [ [ "2008", "6" ] ] }, "page" : "2256-62", "title" : "Ethnic differences in left ventricular remodeling in highly-trained athletes relevance to differentiating physiologic left ventricular hypertrophy from hypertrophic cardiomyopathy.", "type" : "article-journal", "volume" : "51" }, "uris" : [ "http://www.mendeley.com/documents/?uuid=a17db6a1-79e2-4a9e-a74c-62c4952236ae" ] }, { "id" : "ITEM-3", "itemData" : { "DOI" : "10.1161/01.HYP.0000128738.94190.9f", "ISSN" : "1524-4563", "PMID" : "15123573", "abstract" : "The degree to which ethnic differences in left ventricular structure among hypertensive adults are independent of clinical and hemodynamic factors remains uncertain. We assessed whether left ventricular mass and geometry differ between black and white hypertensives after accounting for differences in such factors. Our study group comprised 1060 black and 580 white hypertensive participants free of valvular or coronary disease in a population-based cohort. Blood pressure was measured during a clinic visit and echocardiography was performed using standardized protocols. After controlling for clinical and hemodynamic parameters (cardiac index, peripheral resistance index, and pulse pressure/stroke index), both left ventricular mass and relative wall thickness were higher in blacks than whites (173.9+/-30.9 versus 168.3+/-24.3 grams, P=0.006, and 0.355+/-0.055 versus 0.340+/-0.055 grams, P&lt;0.001). Similarly, the adjusted risk of having left ventricular hypertrophy, whether indexed by height(2.7) or by body surface area, was greater for blacks than for whites (odds ratio: 1.80; 95% CI: 1.29 to 2.51; and odds ratio: 2.50; 95% CI: 1.58 to 3.96, respectively), and this was also true for concentric geometry (odds ratio: 2.28; 95% CI: 1.22 to 4.25). Further adjustment for relatedness in this genetic epidemiological study did not attenuate these differences. Our findings confirm the strong association between black ethnicity and increased left ventricular mass and relative wall thickness in hypertensive adults and demonstrate that these differences are independent of standard clinical and hemodynamic parameters. Whether such differences relate to distinct ambulatory pressure profiles or an ethnic propensity to cardiac hypertrophy requires further investigation.", "author" : [ { "dropping-particle" : "", "family" : "Kizer", "given" : "Jorge R", "non-dropping-particle" : "", "parse-names" : false, "suffix" : "" }, { "dropping-particle" : "", "family" : "Arnett", "given" : "Donna K", "non-dropping-particle" : "", "parse-names" : false, "suffix" : "" }, { "dropping-particle" : "", "family" : "Bella", "given" : "Jonathan N", "non-dropping-particle" : "", "parse-names" : false, "suffix" : "" }, { "dropping-particle" : "", "family" : "Paranicas", "given" : "Mary", "non-dropping-particle" : "", "parse-names" : false, "suffix" : "" }, { "dropping-particle" : "", "family" : "Rao", "given" : "D C", "non-dropping-particle" : "", "parse-names" : false, "suffix" : "" }, { "dropping-particle" : "", "family" : "Province", "given" : "Michael a", "non-dropping-particle" : "", "parse-names" : false, "suffix" : "" }, { "dropping-particle" : "", "family" : "Oberman", "given" : "Albert", "non-dropping-particle" : "", "parse-names" : false, "suffix" : "" }, { "dropping-particle" : "", "family" : "Kitzman", "given" : "Dalane W", "non-dropping-particle" : "", "parse-names" : false, "suffix" : "" }, { "dropping-particle" : "", "family" : "Hopkins", "given" : "Paul N", "non-dropping-particle" : "", "parse-names" : false, "suffix" : "" }, { "dropping-particle" : "", "family" : "Liu", "given" : "Jennifer E", "non-dropping-particle" : "", "parse-names" : false, "suffix" : "" }, { "dropping-particle" : "", "family" : "Devereux", "given" : "Richard B", "non-dropping-particle" : "", "parse-names" : false, "suffix" : "" } ], "container-title" : "Hypertension", "id" : "ITEM-3", "issue" : "6", "issued" : { "date-parts" : [ [ "2004", "6" ] ] }, "page" : "1182-8", "title" : "Differences in left ventricular structure between black and white hypertensive adults: the Hypertension Genetic Epidemiology Network study.", "type" : "article-journal", "volume" : "43" }, "uris" : [ "http://www.mendeley.com/documents/?uuid=cf315719-d79c-48dc-a7bd-b655ad75da9d" ] }, { "id" : "ITEM-4", "itemData" : { "DOI" : "10.1161/01.HYP.0000169972.96201.8e", "ISSN" : "1524-4563", "PMID" : "15939807", "abstract" : "Although recent studies have suggested that blacks compared with whites have an increased prevalence of left ventricular hypertrophy, it remains uncertain whether this is true despite adjustment for body composition (fat mass and fat-free mass) and when assessed by cardiac MRI in the general population. The Dallas Heart Study is a population-based study of Dallas County in which 1335 black and 858 white participants 30 to 67 years of age underwent detailed assessment including dual-energy x-ray absorptiometry scan to measure body composition and cardiac MRI. Left ventricular hypertrophy, whether defined by indexation to body surface area (P&lt;0.001), fat-free mass (P=0.002), or height2.7 (P&lt;0.001) was 2- to 3-fold more common in black versus white women. Similar results were seen when comparing black and white men (P&lt;0.001 when left ventricular hypertrophy was indexed to body surface area or height2.7 and P=0.05 when indexed to fat-free mass). Ethnic disparities in left ventricular mass persisted in multivariable models despite adjustment for fat mass, fat-free mass, systolic blood pressure, age, gender, and measures of socioeconomic status. We conclude that blacks compared with whites have increased left ventricular mass and a 2- to 3-fold higher prevalence of left ventricular hypertrophy in the general population, as assessed by cardiac MRI. The ethnic differences in left ventricular mass are independent of differences in body composition.", "author" : [ { "dropping-particle" : "", "family" : "Drazner", "given" : "Mark H", "non-dropping-particle" : "", "parse-names" : false, "suffix" : "" }, { "dropping-particle" : "", "family" : "Dries", "given" : "Daniel L", "non-dropping-particle" : "", "parse-names" : false, "suffix" : "" }, { "dropping-particle" : "", "family" : "Peshock", "given" : "Ronald M", "non-dropping-particle" : "", "parse-names" : false, "suffix" : "" }, { "dropping-particle" : "", "family" : "Cooper", "given" : "Richard S", "non-dropping-particle" : "", "parse-names" : false, "suffix" : "" }, { "dropping-particle" : "", "family" : "Klassen", "given" : "Chris", "non-dropping-particle" : "", "parse-names" : false, "suffix" : "" }, { "dropping-particle" : "", "family" : "Kazi", "given" : "Farhana", "non-dropping-particle" : "", "parse-names" : false, "suffix" : "" }, { "dropping-particle" : "", "family" : "Willett", "given" : "DuWayne", "non-dropping-particle" : "", "parse-names" : false, "suffix" : "" }, { "dropping-particle" : "", "family" : "Victor", "given" : "Ronald G", "non-dropping-particle" : "", "parse-names" : false, "suffix" : "" } ], "container-title" : "Hypertension", "id" : "ITEM-4", "issue" : "1", "issued" : { "date-parts" : [ [ "2005", "7" ] ] }, "page" : "124-9", "title" : "Left ventricular hypertrophy is more prevalent in blacks than whites in the general population: the Dallas Heart Study.", "type" : "article-journal", "volume" : "46" }, "uris" : [ "http://www.mendeley.com/documents/?uuid=e81e93da-b9e6-4cf3-a6c3-0e4ec41d81eb" ] }, { "id" : "ITEM-5", "itemData" : { "ISSN" : "0002-9149", "PMID" : "8147301", "abstract" : "In the United States population, black men have higher prevalence rates of electrocardiographic (ECG) high QRS voltage, more ST-segment and T-wave abnormalities, and more ECG left ventricular hypertrophy (LVH) than do white men. Reasons for these differences have not been fully elucidated. The prevalence rate of ECG LVH and associated characteristics were compared in black and white men in the Chicago Heart Association Detection Project in Industry population study. Data were from 1,391 black men and 19,126 white men (age range 20 to 64 years) employed by 84 Chicago organizations. ECG LVH was defined by the presence of both high QRS (Minnesota code 3.3) and ST-T abnormality (code 4.1-4.3 or 5.1-5.3). Black men had a significantly higher prevalence rate of ECG LVH than did white men in each 15-year age group (15.9 vs 2.4, 14.6 vs 2.8, and 35.7 vs 12.5/1,000 in the 20- to 34-, 35- to 49-, and 50-to 64-year age groups, respectively; p &lt; 0.01 for each comparison). Multiple logistic regression analyses indicated that systolic blood pressure and age were associated positively with ECG LVH (p &lt; 0.01) in both black and white men. Men with history of hypertension and receiving drug treatment had a greater likelihood of having ECG LVH than did those with history of hypertension but not receiving drug treatment, possibly because those with more severe hypertension were more likely to have been prescribed medication. Serum cholesterol, cigarettes smoked/day, 1-hour post-load plasma glucose and education were not consistently related to ECG LVH.(ABSTRACT TRUNCATED AT 250 WORDS)", "author" : [ { "dropping-particle" : "", "family" : "Xie", "given" : "X", "non-dropping-particle" : "", "parse-names" : false, "suffix" : "" }, { "dropping-particle" : "", "family" : "Liu", "given" : "K", "non-dropping-particle" : "", "parse-names" : false, "suffix" : "" }, { "dropping-particle" : "", "family" : "Stamler", "given" : "J", "non-dropping-particle" : "", "parse-names" : false, "suffix" : "" }, { "dropping-particle" : "", "family" : "Stamler", "given" : "R", "non-dropping-particle" : "", "parse-names" : false, "suffix" : "" } ], "container-title" : "The American journal of cardiology", "id" : "ITEM-5", "issue" : "8", "issued" : { "date-parts" : [ [ "1994", "3" ] ] }, "page" : "564-7", "title" : "Ethnic differences in electrocardiographic left ventricular hypertrophy in young and middle-aged employed American men.", "type" : "article-journal", "volume" : "73" }, "uris" : [ "http://www.mendeley.com/documents/?uuid=741a1b87-1ab2-4082-a592-ff3bedb8d189" ] } ], "mendeley" : { "formattedCitation" : "[2,5\u20138]", "plainTextFormattedCitation" : "[2,5\u20138]", "previouslyFormattedCitation" : "[2,5\u20138]" }, "properties" : { "noteIndex" : 0 }, "schema" : "https://github.com/citation-style-language/schema/raw/master/csl-citation.json" }</w:instrText>
      </w:r>
      <w:r w:rsidRPr="001324DD">
        <w:rPr>
          <w:rFonts w:ascii="Calibri" w:hAnsi="Calibri"/>
          <w:lang w:val="en-US"/>
        </w:rPr>
        <w:fldChar w:fldCharType="separate"/>
      </w:r>
      <w:r w:rsidR="00843D9D" w:rsidRPr="00843D9D">
        <w:rPr>
          <w:rFonts w:ascii="Calibri" w:hAnsi="Calibri"/>
          <w:noProof/>
          <w:lang w:val="en-US"/>
        </w:rPr>
        <w:t>[2,5–8]</w:t>
      </w:r>
      <w:r w:rsidRPr="001324DD">
        <w:rPr>
          <w:rFonts w:ascii="Calibri" w:hAnsi="Calibri"/>
          <w:lang w:val="en-US"/>
        </w:rPr>
        <w:fldChar w:fldCharType="end"/>
      </w:r>
      <w:r w:rsidRPr="001324DD">
        <w:rPr>
          <w:rFonts w:ascii="Calibri" w:hAnsi="Calibri" w:cs="Arial"/>
          <w:lang w:val="en-US"/>
        </w:rPr>
        <w:t xml:space="preserve"> The issue is confounded by the high prevalence of hypertension in the black population</w:t>
      </w:r>
      <w:r w:rsidR="00C148F5">
        <w:rPr>
          <w:rFonts w:ascii="Calibri" w:hAnsi="Calibri" w:cs="Arial"/>
          <w:lang w:val="en-US"/>
        </w:rPr>
        <w:t>,</w:t>
      </w:r>
      <w:r w:rsidRPr="001324DD">
        <w:rPr>
          <w:rFonts w:ascii="Calibri" w:hAnsi="Calibri" w:cs="Arial"/>
          <w:lang w:val="en-US"/>
        </w:rPr>
        <w:fldChar w:fldCharType="begin" w:fldLock="1"/>
      </w:r>
      <w:r w:rsidR="00843D9D">
        <w:rPr>
          <w:rFonts w:ascii="Calibri" w:hAnsi="Calibri" w:cs="Arial"/>
          <w:lang w:val="en-US"/>
        </w:rPr>
        <w:instrText>ADDIN CSL_CITATION { "citationItems" : [ { "id" : "ITEM-1", "itemData" : { "DOI" : "10.1097/01.hjh.0000042898.83309.0a", "ISSN" : "0263-6352", "PMID" : "12473859", "abstract" : "OBJECTIVE: To evaluate the prevalence, distribution, awareness, treatment and control of hypertension in an Afro-Caribbean population, and their relationship to 4-year survival. DESIGN Population-based prospective cohort study.\n\nSETTING AND PARTICIPANTS: Simple random sample of Barbados-born citizens (4709 persons; 84% participation), with 4-year follow-up.\n\nINTERVENTIONS: None.\n\nMAIN OUTCOME MEASURES: Hypertension prevalence, awareness, treatment and control were evaluated at baseline. Four-year cumulative mortality was assessed by the product-limit method and relative risk of mortality by the Cox proportional hazards method.\n\nRESULTS: Mean systolic (SBP) and diastolic (DBP) blood pressure were higher among black than white participants. In the black population, age-specific prevalence of hypertension increased from 32.7% in men and 34.0% in women at 40-49 years of age to 63.4% in men and 85.5% in women at ages 80 years and older, with an overall prevalence of 55.4%. Hypertension awareness, treatment and control rates were 62.5, 53.8 and 18.5%, respectively. Compared to DBP 80 mmHg, the presence of a DBP between 80 and 84 mmHg, 100-109 mmHg and &gt; or = 110 mmHg was associated with adjusted death rate ratios of 1.6, 1.7 and 2.0, respectively. Systolic blood pressure was not related to the risk of cardiovascular mortality, after adjustment for age or other potential confounders. Hypertensives were at modestly increased risk of 4-year cardiovascular mortality [RR = 1.4; 95% confidence inteval (CI) (1.0, 2.0)], while treated uncontrolled hypertensives were at increased risk of all cause [RR = 1.4; 95% CI (1.0, 1.9)] and cardiovascular [RR = 1.6; 95% CI (1.1, 2.5)] mortality.\n\nCONCLUSIONS: High rates of hypertension in this population coexist with conservative levels of treatment and low rates of blood pressure control. In contrast to other reports, elevated SBP was not independently associated with increased risk of cardiovascular mortality. The modest impact of elevated blood pressure might partly explain the comparatively lower hypertension-related mortality rates in populations of Caribbean-origin. Treated uncontrolled hypertensives are at increased risk of early mortality, signaling the need for strict blood pressure control in this group.", "author" : [ { "dropping-particle" : "", "family" : "Hennis", "given" : "Anselm", "non-dropping-particle" : "", "parse-names" : false, "suffix" : "" }, { "dropping-particle" : "", "family" : "Wu", "given" : "Suh-Yuh", "non-dropping-particle" : "", "parse-names" : false, "suffix" : "" }, { "dropping-particle" : "", "family" : "Nemesure", "given" : "Barbara", "non-dropping-particle" : "", "parse-names" : false, "suffix" : "" }, { "dropping-particle" : "", "family" : "Leske", "given" : "M Cristina", "non-dropping-particle" : "", "parse-names" : false, "suffix" : "" } ], "container-title" : "Journal of hypertension", "id" : "ITEM-1", "issue" : "12", "issued" : { "date-parts" : [ [ "2002", "12" ] ] }, "page" : "2363-9", "title" : "Hypertension prevalence, control and survivorship in an Afro-Caribbean population.", "type" : "article-journal", "volume" : "20" }, "uris" : [ "http://www.mendeley.com/documents/?uuid=9af3cfd3-78cb-496b-a123-a48190cdbeb0" ] }, { "id" : "ITEM-2", "itemData" : { "DOI" : "10.1016/j.accreview.2005.06.027", "ISBN" : "0098-7484", "ISSN" : "10621458", "PMID" : "15811979", "abstract" : "CONTEXT: Few cardiovascular outcome data are available for blacks with hypertension treated with angiotensin-converting enzyme (ACE) inhibitors or calcium channel blockers (CCBs). OBJECTIVE: To determine whether an ACE inhibitor or CCB is superior to a thiazide-type diuretic in reducing cardiovascular disease (CVD) incidence in racial subgroups. DESIGN, SETTING, AND PARTICIPANTS: Prespecified subgroup analysis of ALLHAT, a randomized, double-blind, active-controlled, clinical outcome trial conducted between February 1994 and March 2002 in 33,357 hypertensive US and Canadian patients aged 55 years or older (35% black) with at least 1 other cardiovascular risk factor. INTERVENTIONS: Antihypertensive regimens initiated with a CCB (amlodipine) or an ACE inhibitor (lisinopril) vs a thiazide-type diuretic (chlorthalidone). Other medications were added to achieve goal blood pressures (BPs) less than 140/90 mm Hg. MAIN OUTCOME MEASURES: The primary outcome was combined fatal coronary heart disease (CHD) or nonfatal myocardial infarction (MI), analyzed by intention-to-treat. Secondary outcomes included all-cause mortality, stroke, combined CVD (CHD death, nonfatal MI, stroke, angina, coronary revascularization, heart failure [HF], or peripheral vascular disease), and end-stage renal disease. RESULTS: No significant difference was found between treatment groups for the primary CHD outcome in either racial subgroup. For amlodipine vs chlorthalidone only, HF was the only prespecified clinical outcome that differed significantly (overall: relative risk [RR], 1.37; 95% confidence interval [CI], 1.24-1.51; blacks: RR, 1.46; 95% CI, 1.24-1.73; nonblacks: RR, 1.32; 95% CI, 1.17-1.49; P&lt;.001 for each comparison) with no difference in treatment effects by race (P = .38 for interaction). For lisinopril vs chlorthalidone, results differed by race for systolic BP (greater decrease in blacks with chlorthalidone), stroke, and combined CVD outcomes (P&lt;.001, P = .01, and P = .04, respectively, for interactions). In blacks and nonblacks, respectively, the RRs for stroke were 1.40 (95% CI, 1.17-1.68) and 1.00 (95% CI, 0.85-1.17) and for combined CVD were 1.19 (95% CI, 1.09-1.30) and 1.06 (95% CI, 1.00-1.13). For HF, the RRs were 1.30 (95% CI, 1.10-1.54) and 1.13 (95% CI, 1.00-1.28), with no significant interaction by race. Time-dependent BP adjustment did not significantly alter differences in outcome for lisinopril vs chlorthalidone in blacks. CONCLUSIONS: In blacks and nonblack \u2026", "author" : [ { "dropping-particle" : "", "family" : "Wright", "given" : "Jackson T", "non-dropping-particle" : "", "parse-names" : false, "suffix" : "" }, { "dropping-particle" : "", "family" : "Dunn", "given" : "J Kay", "non-dropping-particle" : "", "parse-names" : false, "suffix" : "" }, { "dropping-particle" : "", "family" : "Cutler", "given" : "Jeffrey a", "non-dropping-particle" : "", "parse-names" : false, "suffix" : "" }, { "dropping-particle" : "", "family" : "Davis", "given" : "Barry R", "non-dropping-particle" : "", "parse-names" : false, "suffix" : "" }, { "dropping-particle" : "", "family" : "Cushman", "given" : "William C", "non-dropping-particle" : "", "parse-names" : false, "suffix" : "" }, { "dropping-particle" : "", "family" : "Ford", "given" : "Charles E", "non-dropping-particle" : "", "parse-names" : false, "suffix" : "" }, { "dropping-particle" : "", "family" : "Haywood", "given" : "L Julian", "non-dropping-particle" : "", "parse-names" : false, "suffix" : "" }, { "dropping-particle" : "", "family" : "Leenen", "given" : "Frans H H", "non-dropping-particle" : "", "parse-names" : false, "suffix" : "" }, { "dropping-particle" : "", "family" : "Margolis", "given" : "Karen L", "non-dropping-particle" : "", "parse-names" : false, "suffix" : "" }, { "dropping-particle" : "", "family" : "Papademetriou", "given" : "Vasilios", "non-dropping-particle" : "", "parse-names" : false, "suffix" : "" }, { "dropping-particle" : "", "family" : "Probstfield", "given" : "Jeffrey L", "non-dropping-particle" : "", "parse-names" : false, "suffix" : "" }, { "dropping-particle" : "", "family" : "Whelton", "given" : "Paul K", "non-dropping-particle" : "", "parse-names" : false, "suffix" : "" }, { "dropping-particle" : "", "family" : "Habib", "given" : "Gabriel B", "non-dropping-particle" : "", "parse-names" : false, "suffix" : "" } ], "container-title" : "JAMA : the journal of the American Medical Association", "id" : "ITEM-2", "issue" : "13", "issued" : { "date-parts" : [ [ "2005" ] ] }, "page" : "1595-1608", "title" : "Outcomes in hypertensive black and nonblack patients treated with chlorthalidone, amlodipine, and lisinopril.", "type" : "article-journal", "volume" : "293" }, "uris" : [ "http://www.mendeley.com/documents/?uuid=600994db-ed08-44b1-9626-7338dc4e1576" ] } ], "mendeley" : { "formattedCitation" : "[9,10]", "plainTextFormattedCitation" : "[9,10]", "previouslyFormattedCitation" : "[9,10]" }, "properties" : { "noteIndex" : 0 }, "schema" : "https://github.com/citation-style-language/schema/raw/master/csl-citation.json" }</w:instrText>
      </w:r>
      <w:r w:rsidRPr="001324DD">
        <w:rPr>
          <w:rFonts w:ascii="Calibri" w:hAnsi="Calibri" w:cs="Arial"/>
          <w:lang w:val="en-US"/>
        </w:rPr>
        <w:fldChar w:fldCharType="separate"/>
      </w:r>
      <w:r w:rsidR="00843D9D" w:rsidRPr="00843D9D">
        <w:rPr>
          <w:rFonts w:ascii="Calibri" w:hAnsi="Calibri" w:cs="Arial"/>
          <w:noProof/>
          <w:lang w:val="en-US"/>
        </w:rPr>
        <w:t>[9,10]</w:t>
      </w:r>
      <w:r w:rsidRPr="001324DD">
        <w:rPr>
          <w:rFonts w:ascii="Calibri" w:hAnsi="Calibri" w:cs="Arial"/>
          <w:lang w:val="en-US"/>
        </w:rPr>
        <w:fldChar w:fldCharType="end"/>
      </w:r>
      <w:r w:rsidRPr="001324DD">
        <w:rPr>
          <w:rFonts w:ascii="Calibri" w:hAnsi="Calibri" w:cs="Arial"/>
          <w:lang w:val="en-US"/>
        </w:rPr>
        <w:t xml:space="preserve"> which has been associated with poor outcomes i</w:t>
      </w:r>
      <w:r w:rsidR="00D26294" w:rsidRPr="001324DD">
        <w:rPr>
          <w:rFonts w:ascii="Calibri" w:hAnsi="Calibri" w:cs="Arial"/>
          <w:lang w:val="en-US"/>
        </w:rPr>
        <w:t>n Caucasian (white)</w:t>
      </w:r>
      <w:r w:rsidR="00C148F5">
        <w:rPr>
          <w:rFonts w:ascii="Calibri" w:hAnsi="Calibri" w:cs="Arial"/>
          <w:lang w:val="en-US"/>
        </w:rPr>
        <w:t xml:space="preserve"> HCM cohorts.</w:t>
      </w:r>
      <w:r w:rsidRPr="001324DD">
        <w:rPr>
          <w:rFonts w:ascii="Calibri" w:hAnsi="Calibri" w:cs="Arial"/>
          <w:lang w:val="en-US"/>
        </w:rPr>
        <w:fldChar w:fldCharType="begin" w:fldLock="1"/>
      </w:r>
      <w:r w:rsidR="00843D9D">
        <w:rPr>
          <w:rFonts w:ascii="Calibri" w:hAnsi="Calibri" w:cs="Arial"/>
          <w:lang w:val="en-US"/>
        </w:rPr>
        <w:instrText>ADDIN CSL_CITATION { "citationItems" : [ { "id" : "ITEM-1", "itemData" : { "DOI" : "10.1161/01.CIR.92.9.2488", "ISBN" : "0009-7322 (Print)\r0009-7322", "ISSN" : "0009-7322", "PMID" : "7586349", "abstract" : "BACKGROUND: Hypertrophic cardiomyopathy is a disease entity characterized by marked heterogeneity in morphology and natural history. Most of our knowledge of the natural history of this disorder derives from the study of hospital-based populations and is influenced by referral bias. Therefore, this population-based study was undertaken to examine the natural history of hypertrophic cardiomyopathy among unselected residents of Olmsted County, Minnesota. METHODS AND RESULTS: Patients with hypertrophic cardiomyopathy, confirmed by echocardiography, were identified by use of the resources of the Rochester Epidemiology Project. Patients with the echocardiographic features of hypertrophic cardiomyopathy but with long-standing hypertension requiring drug therapy were categorized as having hypertensive hypertrophic cardiomyopathy. Baseline clinical details and follow-up events were obtained by retrospective chart review. Thirty-seven patients were diagnosed with hypertrophic cardiomyopathy and 24 with hypertensive hypertrophic cardiomyopathy. Eight additional patients were first diagnosed at autopsy. The mean age of the 37 patients with hypertrophic cardiomyopathy was 59 +/- 20 years (range, 1 week to 92 years); the mean ventricular septal thickness was 17.5 +/- 3 mm. Follow-up was obtained for a median of 7.7 years (range, 45 days to 17.2 years). The 1- and 5-year survival rates were 95% and 92%, respectively; these rates did not differ from those of an age- and sex-matched population (P = NS). The annual risk of cardiac death was 0.7%. The mean age of patients with hypertensive hypertrophic cardiomyopathy was 79 +/- 8 years (range, 62 to 91 years), and the mean ventricular septal thickness was 19 +/- 2.5 mm. Follow-up was obtained for a median of 2.8 years (range, 4 days to 16.7 years). The 1- and 5-year survival rates were 75% and 43%, respectively, which differed sharply from the expected rates of 94% and 70% (P = .0028). The annual risk of cardiac death was 5%. Atrial fibrillation and evidence for myocardial infarction on ECG, use of digoxin and diuretics, and a high New York Heart Association functional class at presentation were all associated with decreased survival by multivariate analysis for both groups combined. A history of myocardial infarction, atrial fibrillation, and mitral annual calcification at presentation were associated with cardiac death. CONCLUSIONS: Hypertrophic cardiomyopathy is a more benign disease than previously reported from tert\u2026", "author" : [ { "dropping-particle" : "", "family" : "Cannan", "given" : "C R", "non-dropping-particle" : "", "parse-names" : false, "suffix" : "" }, { "dropping-particle" : "", "family" : "Reeder", "given" : "G S", "non-dropping-particle" : "", "parse-names" : false, "suffix" : "" }, { "dropping-particle" : "", "family" : "Bailey", "given" : "K R", "non-dropping-particle" : "", "parse-names" : false, "suffix" : "" }, { "dropping-particle" : "", "family" : "Melton", "given" : "L J", "non-dropping-particle" : "", "parse-names" : false, "suffix" : "" }, { "dropping-particle" : "", "family" : "Gersh", "given" : "B J", "non-dropping-particle" : "", "parse-names" : false, "suffix" : "" } ], "container-title" : "Circulation", "id" : "ITEM-1", "issue" : "9", "issued" : { "date-parts" : [ [ "1995" ] ] }, "page" : "2488-2495", "title" : "Natural history of hypertrophic cardiomyopathy. A population-based study, 1976 through 1990.", "type" : "article-journal", "volume" : "92" }, "uris" : [ "http://www.mendeley.com/documents/?uuid=a09c147c-ec0c-497d-bcc7-dd882f2ba640" ] } ], "mendeley" : { "formattedCitation" : "[11]", "plainTextFormattedCitation" : "[11]", "previouslyFormattedCitation" : "[11]" }, "properties" : { "noteIndex" : 0 }, "schema" : "https://github.com/citation-style-language/schema/raw/master/csl-citation.json" }</w:instrText>
      </w:r>
      <w:r w:rsidRPr="001324DD">
        <w:rPr>
          <w:rFonts w:ascii="Calibri" w:hAnsi="Calibri" w:cs="Arial"/>
          <w:lang w:val="en-US"/>
        </w:rPr>
        <w:fldChar w:fldCharType="separate"/>
      </w:r>
      <w:r w:rsidR="00843D9D" w:rsidRPr="00843D9D">
        <w:rPr>
          <w:rFonts w:ascii="Calibri" w:hAnsi="Calibri" w:cs="Arial"/>
          <w:noProof/>
          <w:lang w:val="en-US"/>
        </w:rPr>
        <w:t>[11]</w:t>
      </w:r>
      <w:r w:rsidRPr="001324DD">
        <w:rPr>
          <w:rFonts w:ascii="Calibri" w:hAnsi="Calibri" w:cs="Arial"/>
          <w:lang w:val="en-US"/>
        </w:rPr>
        <w:fldChar w:fldCharType="end"/>
      </w:r>
      <w:r w:rsidRPr="001324DD">
        <w:rPr>
          <w:rFonts w:ascii="Calibri" w:hAnsi="Calibri" w:cs="Arial"/>
          <w:lang w:val="en-US"/>
        </w:rPr>
        <w:t xml:space="preserve"> Furthermore, reports from the US reveal</w:t>
      </w:r>
      <w:r w:rsidR="00FB504F" w:rsidRPr="001324DD">
        <w:rPr>
          <w:rFonts w:ascii="Calibri" w:hAnsi="Calibri" w:cs="Arial"/>
          <w:lang w:val="en-US"/>
        </w:rPr>
        <w:t xml:space="preserve"> that deaths from HCM are more prevalent</w:t>
      </w:r>
      <w:r w:rsidRPr="001324DD">
        <w:rPr>
          <w:rFonts w:ascii="Calibri" w:hAnsi="Calibri" w:cs="Arial"/>
          <w:lang w:val="en-US"/>
        </w:rPr>
        <w:t xml:space="preserve"> among</w:t>
      </w:r>
      <w:r w:rsidRPr="00923CE9">
        <w:rPr>
          <w:rFonts w:ascii="Calibri" w:hAnsi="Calibri" w:cs="Arial"/>
          <w:lang w:val="en-US"/>
        </w:rPr>
        <w:t xml:space="preserve"> black athletes</w:t>
      </w:r>
      <w:r w:rsidR="00C148F5">
        <w:rPr>
          <w:rFonts w:ascii="Calibri" w:hAnsi="Calibri" w:cs="Arial"/>
          <w:lang w:val="en-US"/>
        </w:rPr>
        <w:t>,</w:t>
      </w:r>
      <w:r w:rsidRPr="00923CE9">
        <w:rPr>
          <w:rFonts w:ascii="Calibri" w:hAnsi="Calibri" w:cs="Arial"/>
          <w:lang w:val="en-US"/>
        </w:rPr>
        <w:fldChar w:fldCharType="begin" w:fldLock="1"/>
      </w:r>
      <w:r w:rsidR="00843D9D">
        <w:rPr>
          <w:rFonts w:ascii="Calibri" w:hAnsi="Calibri" w:cs="Arial"/>
          <w:lang w:val="en-US"/>
        </w:rPr>
        <w:instrText>ADDIN CSL_CITATION { "citationItems" : [ { "id" : "ITEM-1", "itemData" : { "ISSN" : "0735-1097", "PMID" : "12651044", "abstract" : "OBJECTIVES: The goal of this study was to determine the impact of race on identification of hypertrophic cardiomyopathy (HCM). BACKGROUND: Sudden death in young competitive athletes is due to a variety of cardiovascular diseases (CVDs) and, most commonly, HCM. These catastrophes have become an important issue for African Americans, although HCM has been previously regarded as rare in this segment of the U.S. population. METHODS: We studied the relationship of race to the prevalence of CVDs causing sudden death in our national athlete registry, and compared these findings with a representative multicenter hospital-based cohort of patients with HCM. RESULTS: Of 584 athlete deaths, 286 were documented to be due to CVD at ages 17 +/- 3 years; 156 (55%) were white, and 120 (42%) were African American. Most were male (90%), and 67% participated in basketball and football. Among the 286 cardiovascular deaths, most were due to HCM (n = 102; 36%) or anomalous coronary artery of wrong sinus origin (n = 37; 13%). Of the athletes who died of HCM, 42 (41%) were white, but 56 (55%) were African American. In contrast, of 1,986 clinically identified HCM patients, only 158 (8%) were African American (p &lt; 0.001). CONCLUSIONS: In this autopsy series, HCM represented a common cause of sudden death in young and previously undiagnosed African American male athletes, in sharp contrast with the infrequent clinical identification of HCM in a hospital-based population (i.e., by seven-fold). This discrepancy suggests that many HCM cases go unrecognized in the African American community, underscoring the need for enhanced clinical recognition of HCM to create the opportunity for preventive measures to be employed in high-risk patients with this complex disease.", "author" : [ { "dropping-particle" : "", "family" : "Maron", "given" : "Barry J", "non-dropping-particle" : "", "parse-names" : false, "suffix" : "" }, { "dropping-particle" : "", "family" : "Carney", "given" : "Kevin P", "non-dropping-particle" : "", "parse-names" : false, "suffix" : "" }, { "dropping-particle" : "", "family" : "Lever", "given" : "Harry M", "non-dropping-particle" : "", "parse-names" : false, "suffix" : "" }, { "dropping-particle" : "", "family" : "Lewis", "given" : "Jannet F", "non-dropping-particle" : "", "parse-names" : false, "suffix" : "" }, { "dropping-particle" : "", "family" : "Barac", "given" : "Ivan", "non-dropping-particle" : "", "parse-names" : false, "suffix" : "" }, { "dropping-particle" : "", "family" : "Casey", "given" : "Susan A", "non-dropping-particle" : "", "parse-names" : false, "suffix" : "" }, { "dropping-particle" : "V", "family" : "Sherrid", "given" : "Mark", "non-dropping-particle" : "", "parse-names" : false, "suffix" : "" } ], "container-title" : "Journal of the American College of Cardiology", "id" : "ITEM-1", "issue" : "6", "issued" : { "date-parts" : [ [ "2003", "3" ] ] }, "page" : "974-80", "title" : "Relationship of race to sudden cardiac death in competitive athletes with hypertrophic cardiomyopathy.", "type" : "article-journal", "volume" : "41" }, "uris" : [ "http://www.mendeley.com/documents/?uuid=82748aa0-4135-4d00-bbcd-84c5f52cd62d" ] } ], "mendeley" : { "formattedCitation" : "[12]", "plainTextFormattedCitation" : "[12]", "previouslyFormattedCitation" : "[12]" }, "properties" : { "noteIndex" : 0 }, "schema" : "https://github.com/citation-style-language/schema/raw/master/csl-citation.json" }</w:instrText>
      </w:r>
      <w:r w:rsidRPr="00923CE9">
        <w:rPr>
          <w:rFonts w:ascii="Calibri" w:hAnsi="Calibri" w:cs="Arial"/>
          <w:lang w:val="en-US"/>
        </w:rPr>
        <w:fldChar w:fldCharType="separate"/>
      </w:r>
      <w:r w:rsidR="00843D9D" w:rsidRPr="00843D9D">
        <w:rPr>
          <w:rFonts w:ascii="Calibri" w:hAnsi="Calibri" w:cs="Arial"/>
          <w:noProof/>
          <w:lang w:val="en-US"/>
        </w:rPr>
        <w:t>[12]</w:t>
      </w:r>
      <w:r w:rsidRPr="00923CE9">
        <w:rPr>
          <w:rFonts w:ascii="Calibri" w:hAnsi="Calibri" w:cs="Arial"/>
          <w:lang w:val="en-US"/>
        </w:rPr>
        <w:fldChar w:fldCharType="end"/>
      </w:r>
      <w:r w:rsidRPr="00923CE9">
        <w:rPr>
          <w:rFonts w:ascii="Calibri" w:hAnsi="Calibri" w:cs="Arial"/>
          <w:lang w:val="en-US"/>
        </w:rPr>
        <w:t xml:space="preserve"> raising the possibility that HCM may exhibit a more malignant course in black in</w:t>
      </w:r>
      <w:r w:rsidR="00FB504F">
        <w:rPr>
          <w:rFonts w:ascii="Calibri" w:hAnsi="Calibri" w:cs="Arial"/>
          <w:lang w:val="en-US"/>
        </w:rPr>
        <w:t>dividuals. This study sought to address differences in</w:t>
      </w:r>
      <w:r w:rsidRPr="00923CE9">
        <w:rPr>
          <w:rFonts w:ascii="Calibri" w:hAnsi="Calibri" w:cs="Arial"/>
          <w:lang w:val="en-US"/>
        </w:rPr>
        <w:t xml:space="preserve"> </w:t>
      </w:r>
      <w:r w:rsidR="00EA5682">
        <w:rPr>
          <w:rFonts w:ascii="Calibri" w:hAnsi="Calibri" w:cs="Arial"/>
          <w:lang w:val="en-US"/>
        </w:rPr>
        <w:t xml:space="preserve">the </w:t>
      </w:r>
      <w:r w:rsidRPr="00923CE9">
        <w:rPr>
          <w:rFonts w:ascii="Calibri" w:hAnsi="Calibri" w:cs="Arial"/>
          <w:lang w:val="en-US"/>
        </w:rPr>
        <w:t>clinical phenotype, risk factor profi</w:t>
      </w:r>
      <w:r w:rsidR="00FB504F">
        <w:rPr>
          <w:rFonts w:ascii="Calibri" w:hAnsi="Calibri" w:cs="Arial"/>
          <w:lang w:val="en-US"/>
        </w:rPr>
        <w:t xml:space="preserve">le and </w:t>
      </w:r>
      <w:r w:rsidR="006E78B7" w:rsidRPr="006E78B7">
        <w:rPr>
          <w:rFonts w:ascii="Calibri" w:hAnsi="Calibri" w:cs="Arial"/>
          <w:highlight w:val="yellow"/>
          <w:lang w:val="en-US"/>
        </w:rPr>
        <w:t>outcome</w:t>
      </w:r>
      <w:r w:rsidR="00FB504F">
        <w:rPr>
          <w:rFonts w:ascii="Calibri" w:hAnsi="Calibri" w:cs="Arial"/>
          <w:lang w:val="en-US"/>
        </w:rPr>
        <w:t xml:space="preserve"> of HCM between black and</w:t>
      </w:r>
      <w:r w:rsidRPr="00923CE9">
        <w:rPr>
          <w:rFonts w:ascii="Calibri" w:hAnsi="Calibri" w:cs="Arial"/>
          <w:lang w:val="en-US"/>
        </w:rPr>
        <w:t xml:space="preserve"> white patients.</w:t>
      </w:r>
    </w:p>
    <w:p w:rsidR="00D461C6" w:rsidRDefault="00D461C6" w:rsidP="006C647A">
      <w:pPr>
        <w:spacing w:line="480" w:lineRule="auto"/>
        <w:rPr>
          <w:rFonts w:ascii="Calibri" w:hAnsi="Calibri"/>
          <w:lang w:val="en-US"/>
        </w:rPr>
      </w:pPr>
    </w:p>
    <w:p w:rsidR="0041526A" w:rsidRDefault="0041526A" w:rsidP="006C647A">
      <w:pPr>
        <w:spacing w:line="480" w:lineRule="auto"/>
        <w:rPr>
          <w:rFonts w:ascii="Calibri" w:hAnsi="Calibri"/>
          <w:lang w:val="en-US"/>
        </w:rPr>
      </w:pPr>
    </w:p>
    <w:p w:rsidR="00D461C6" w:rsidRPr="00DB6282" w:rsidRDefault="005852CA" w:rsidP="006C647A">
      <w:pPr>
        <w:spacing w:line="480" w:lineRule="auto"/>
        <w:rPr>
          <w:rFonts w:ascii="Calibri" w:hAnsi="Calibri"/>
          <w:b/>
          <w:lang w:val="en-US"/>
        </w:rPr>
      </w:pPr>
      <w:r w:rsidRPr="00DB6282">
        <w:rPr>
          <w:rFonts w:ascii="Calibri" w:hAnsi="Calibri"/>
          <w:b/>
          <w:lang w:val="en-US"/>
        </w:rPr>
        <w:t>METHODS</w:t>
      </w:r>
    </w:p>
    <w:p w:rsidR="005852CA" w:rsidRPr="000E13EB" w:rsidRDefault="005852CA" w:rsidP="006C647A">
      <w:pPr>
        <w:spacing w:line="480" w:lineRule="auto"/>
        <w:rPr>
          <w:rFonts w:ascii="Calibri" w:hAnsi="Calibri"/>
          <w:b/>
          <w:lang w:val="en-US"/>
        </w:rPr>
      </w:pPr>
      <w:r w:rsidRPr="000E13EB">
        <w:rPr>
          <w:rFonts w:ascii="Calibri" w:hAnsi="Calibri"/>
          <w:b/>
          <w:lang w:val="en-US"/>
        </w:rPr>
        <w:t>P</w:t>
      </w:r>
      <w:r w:rsidR="00DB6282">
        <w:rPr>
          <w:rFonts w:ascii="Calibri" w:hAnsi="Calibri"/>
          <w:b/>
          <w:lang w:val="en-US"/>
        </w:rPr>
        <w:t>atient Selection and Definitions</w:t>
      </w:r>
    </w:p>
    <w:p w:rsidR="005852CA" w:rsidRDefault="005852CA" w:rsidP="006C647A">
      <w:pPr>
        <w:spacing w:line="480" w:lineRule="auto"/>
        <w:rPr>
          <w:rFonts w:ascii="Calibri" w:hAnsi="Calibri" w:cs="AdvOTb7819099"/>
          <w:lang w:val="en-US" w:eastAsia="en-GB"/>
        </w:rPr>
      </w:pPr>
      <w:r w:rsidRPr="000E13EB">
        <w:rPr>
          <w:rFonts w:ascii="Calibri" w:hAnsi="Calibri" w:cs="AdvOTb7819099"/>
          <w:lang w:val="en-US" w:eastAsia="en-GB"/>
        </w:rPr>
        <w:t>Between 2001 and 2014, 4</w:t>
      </w:r>
      <w:r w:rsidR="00465161" w:rsidRPr="000E13EB">
        <w:rPr>
          <w:rFonts w:ascii="Calibri" w:hAnsi="Calibri" w:cs="AdvOTb7819099"/>
          <w:lang w:val="en-US" w:eastAsia="en-GB"/>
        </w:rPr>
        <w:t>25</w:t>
      </w:r>
      <w:r w:rsidRPr="000E13EB">
        <w:rPr>
          <w:rFonts w:ascii="Calibri" w:hAnsi="Calibri" w:cs="AdvOTb7819099"/>
          <w:lang w:val="en-US" w:eastAsia="en-GB"/>
        </w:rPr>
        <w:t xml:space="preserve"> </w:t>
      </w:r>
      <w:r w:rsidR="00096589" w:rsidRPr="000E13EB">
        <w:rPr>
          <w:rFonts w:ascii="Calibri" w:hAnsi="Calibri" w:cs="AdvOTb7819099"/>
          <w:lang w:val="en-US" w:eastAsia="en-GB"/>
        </w:rPr>
        <w:t xml:space="preserve">consecutive </w:t>
      </w:r>
      <w:r w:rsidRPr="000E13EB">
        <w:rPr>
          <w:rFonts w:ascii="Calibri" w:hAnsi="Calibri" w:cs="AdvOTb7819099"/>
          <w:lang w:val="en-US" w:eastAsia="en-GB"/>
        </w:rPr>
        <w:t>patients with HCM (26</w:t>
      </w:r>
      <w:r w:rsidR="00465161" w:rsidRPr="000E13EB">
        <w:rPr>
          <w:rFonts w:ascii="Calibri" w:hAnsi="Calibri" w:cs="AdvOTb7819099"/>
          <w:lang w:val="en-US" w:eastAsia="en-GB"/>
        </w:rPr>
        <w:t>2</w:t>
      </w:r>
      <w:r w:rsidRPr="000E13EB">
        <w:rPr>
          <w:rFonts w:ascii="Calibri" w:hAnsi="Calibri" w:cs="AdvOTb7819099"/>
          <w:lang w:val="en-US" w:eastAsia="en-GB"/>
        </w:rPr>
        <w:t xml:space="preserve"> [61.</w:t>
      </w:r>
      <w:r w:rsidR="00465161" w:rsidRPr="000E13EB">
        <w:rPr>
          <w:rFonts w:ascii="Calibri" w:hAnsi="Calibri" w:cs="AdvOTb7819099"/>
          <w:lang w:val="en-US" w:eastAsia="en-GB"/>
        </w:rPr>
        <w:t>6</w:t>
      </w:r>
      <w:r w:rsidRPr="000E13EB">
        <w:rPr>
          <w:rFonts w:ascii="Calibri" w:hAnsi="Calibri" w:cs="AdvOTb7819099"/>
          <w:lang w:val="en-US" w:eastAsia="en-GB"/>
        </w:rPr>
        <w:t>%] white and 16</w:t>
      </w:r>
      <w:r w:rsidR="00465161" w:rsidRPr="000E13EB">
        <w:rPr>
          <w:rFonts w:ascii="Calibri" w:hAnsi="Calibri" w:cs="AdvOTb7819099"/>
          <w:lang w:val="en-US" w:eastAsia="en-GB"/>
        </w:rPr>
        <w:t>3 [38.4</w:t>
      </w:r>
      <w:r w:rsidRPr="000E13EB">
        <w:rPr>
          <w:rFonts w:ascii="Calibri" w:hAnsi="Calibri" w:cs="AdvOTb7819099"/>
          <w:lang w:val="en-US" w:eastAsia="en-GB"/>
        </w:rPr>
        <w:t>%] black) were assessed in three specialist cardiomyopathy c</w:t>
      </w:r>
      <w:r w:rsidR="00742DA4" w:rsidRPr="000E13EB">
        <w:rPr>
          <w:rFonts w:ascii="Calibri" w:hAnsi="Calibri" w:cs="AdvOTb7819099"/>
          <w:lang w:val="en-US" w:eastAsia="en-GB"/>
        </w:rPr>
        <w:t>linics in London</w:t>
      </w:r>
      <w:r w:rsidRPr="000E13EB">
        <w:rPr>
          <w:rFonts w:ascii="Calibri" w:hAnsi="Calibri" w:cs="AdvOTb7819099"/>
          <w:lang w:val="en-US" w:eastAsia="en-GB"/>
        </w:rPr>
        <w:t xml:space="preserve">, </w:t>
      </w:r>
      <w:r w:rsidR="0032683B">
        <w:rPr>
          <w:rFonts w:ascii="Calibri" w:hAnsi="Calibri" w:cs="AdvOTb7819099"/>
          <w:lang w:val="en-US" w:eastAsia="en-GB"/>
        </w:rPr>
        <w:t xml:space="preserve">UK, </w:t>
      </w:r>
      <w:r w:rsidRPr="000E13EB">
        <w:rPr>
          <w:rFonts w:ascii="Calibri" w:hAnsi="Calibri" w:cs="AdvOTb7819099"/>
          <w:lang w:val="en-US" w:eastAsia="en-GB"/>
        </w:rPr>
        <w:t>which serve regions wi</w:t>
      </w:r>
      <w:r w:rsidR="006D0207">
        <w:rPr>
          <w:rFonts w:ascii="Calibri" w:hAnsi="Calibri" w:cs="AdvOTb7819099"/>
          <w:lang w:val="en-US" w:eastAsia="en-GB"/>
        </w:rPr>
        <w:t>th a diverse ethnic composition</w:t>
      </w:r>
      <w:r w:rsidR="00464B1F" w:rsidRPr="00464B1F">
        <w:rPr>
          <w:rFonts w:ascii="Calibri" w:hAnsi="Calibri" w:cs="AdvOTb7819099"/>
          <w:lang w:val="en-US" w:eastAsia="en-GB"/>
        </w:rPr>
        <w:t>.</w:t>
      </w:r>
      <w:r w:rsidR="00464B1F">
        <w:rPr>
          <w:rFonts w:ascii="Calibri" w:hAnsi="Calibri" w:cs="AdvOTb7819099"/>
          <w:lang w:val="en-US" w:eastAsia="en-GB"/>
        </w:rPr>
        <w:t xml:space="preserve"> </w:t>
      </w:r>
      <w:r w:rsidR="000E4A81" w:rsidRPr="000E4A81">
        <w:rPr>
          <w:rFonts w:ascii="Calibri" w:hAnsi="Calibri" w:cs="AdvOTb7819099"/>
          <w:highlight w:val="yellow"/>
          <w:lang w:val="en-US" w:eastAsia="en-GB"/>
        </w:rPr>
        <w:t>Ethnicity was self-assigned by patients and none were of mixed ethnicity.</w:t>
      </w:r>
      <w:r w:rsidR="000E4A81">
        <w:rPr>
          <w:rFonts w:ascii="Calibri" w:hAnsi="Calibri" w:cs="AdvOTb7819099"/>
          <w:lang w:val="en-US" w:eastAsia="en-GB"/>
        </w:rPr>
        <w:t xml:space="preserve"> </w:t>
      </w:r>
      <w:r w:rsidRPr="000E13EB">
        <w:rPr>
          <w:rFonts w:ascii="Calibri" w:hAnsi="Calibri" w:cs="AdvOTb7819099"/>
          <w:lang w:val="en-US" w:eastAsia="en-GB"/>
        </w:rPr>
        <w:t xml:space="preserve">Patients </w:t>
      </w:r>
      <w:r w:rsidR="00C81243">
        <w:rPr>
          <w:rFonts w:ascii="Calibri" w:hAnsi="Calibri" w:cs="AdvOTb7819099"/>
          <w:lang w:val="en-US" w:eastAsia="en-GB"/>
        </w:rPr>
        <w:t xml:space="preserve">were diagnosed after either: </w:t>
      </w:r>
      <w:r w:rsidRPr="000E13EB">
        <w:rPr>
          <w:rFonts w:ascii="Calibri" w:hAnsi="Calibri" w:cs="AdvOTb7819099"/>
          <w:lang w:val="en-US" w:eastAsia="en-GB"/>
        </w:rPr>
        <w:t>1) primary care referral for symptoms a</w:t>
      </w:r>
      <w:r w:rsidR="00C81243">
        <w:rPr>
          <w:rFonts w:ascii="Calibri" w:hAnsi="Calibri" w:cs="AdvOTb7819099"/>
          <w:lang w:val="en-US" w:eastAsia="en-GB"/>
        </w:rPr>
        <w:t>nd/or</w:t>
      </w:r>
      <w:r w:rsidR="00782C34">
        <w:rPr>
          <w:rFonts w:ascii="Calibri" w:hAnsi="Calibri" w:cs="AdvOTb7819099"/>
          <w:lang w:val="en-US" w:eastAsia="en-GB"/>
        </w:rPr>
        <w:t xml:space="preserve"> the detection of</w:t>
      </w:r>
      <w:r w:rsidR="00C81243">
        <w:rPr>
          <w:rFonts w:ascii="Calibri" w:hAnsi="Calibri" w:cs="AdvOTb7819099"/>
          <w:lang w:val="en-US" w:eastAsia="en-GB"/>
        </w:rPr>
        <w:t xml:space="preserve"> a murmur on examination; </w:t>
      </w:r>
      <w:r w:rsidRPr="000E13EB">
        <w:rPr>
          <w:rFonts w:ascii="Calibri" w:hAnsi="Calibri" w:cs="AdvOTb7819099"/>
          <w:lang w:val="en-US" w:eastAsia="en-GB"/>
        </w:rPr>
        <w:t xml:space="preserve">2) </w:t>
      </w:r>
      <w:r w:rsidR="000E13EB" w:rsidRPr="000E13EB">
        <w:rPr>
          <w:rFonts w:ascii="Calibri" w:hAnsi="Calibri" w:cs="AdvOTb7819099"/>
          <w:lang w:val="en-US" w:eastAsia="en-GB"/>
        </w:rPr>
        <w:t xml:space="preserve">investigation for an abnormal ECG; </w:t>
      </w:r>
      <w:r w:rsidRPr="000E13EB">
        <w:rPr>
          <w:rFonts w:ascii="Calibri" w:hAnsi="Calibri" w:cs="AdvOTb7819099"/>
          <w:lang w:val="en-US" w:eastAsia="en-GB"/>
        </w:rPr>
        <w:t xml:space="preserve">3) </w:t>
      </w:r>
      <w:r w:rsidR="000E13EB" w:rsidRPr="000E13EB">
        <w:rPr>
          <w:rFonts w:ascii="Calibri" w:hAnsi="Calibri" w:cs="AdvOTb7819099"/>
          <w:lang w:val="en-US" w:eastAsia="en-GB"/>
        </w:rPr>
        <w:t>cascade s</w:t>
      </w:r>
      <w:r w:rsidR="00AF3B04">
        <w:rPr>
          <w:rFonts w:ascii="Calibri" w:hAnsi="Calibri" w:cs="AdvOTb7819099"/>
          <w:lang w:val="en-US" w:eastAsia="en-GB"/>
        </w:rPr>
        <w:t>creening of family members of patients</w:t>
      </w:r>
      <w:r w:rsidR="000E13EB" w:rsidRPr="000E13EB">
        <w:rPr>
          <w:rFonts w:ascii="Calibri" w:hAnsi="Calibri" w:cs="AdvOTb7819099"/>
          <w:lang w:val="en-US" w:eastAsia="en-GB"/>
        </w:rPr>
        <w:t xml:space="preserve"> with HCM; </w:t>
      </w:r>
      <w:r w:rsidRPr="000E13EB">
        <w:rPr>
          <w:rFonts w:ascii="Calibri" w:hAnsi="Calibri" w:cs="AdvOTb7819099"/>
          <w:lang w:val="en-US" w:eastAsia="en-GB"/>
        </w:rPr>
        <w:t>4) referral from another hospital</w:t>
      </w:r>
      <w:r w:rsidR="00C81243">
        <w:rPr>
          <w:rFonts w:ascii="Calibri" w:hAnsi="Calibri" w:cs="AdvOTb7819099"/>
          <w:lang w:val="en-US" w:eastAsia="en-GB"/>
        </w:rPr>
        <w:t xml:space="preserve"> for specialist evaluation; or </w:t>
      </w:r>
      <w:r w:rsidRPr="000E13EB">
        <w:rPr>
          <w:rFonts w:ascii="Calibri" w:hAnsi="Calibri" w:cs="AdvOTb7819099"/>
          <w:lang w:val="en-US" w:eastAsia="en-GB"/>
        </w:rPr>
        <w:t>5) presentation with cardiac arrest.</w:t>
      </w:r>
    </w:p>
    <w:p w:rsidR="0041526A" w:rsidRDefault="0041526A" w:rsidP="006C647A">
      <w:pPr>
        <w:spacing w:line="480" w:lineRule="auto"/>
        <w:rPr>
          <w:rFonts w:ascii="Calibri" w:hAnsi="Calibri" w:cs="AdvOTb7819099"/>
          <w:lang w:val="en-US" w:eastAsia="en-GB"/>
        </w:rPr>
      </w:pPr>
    </w:p>
    <w:p w:rsidR="005852CA" w:rsidRPr="000E13EB" w:rsidRDefault="005852CA" w:rsidP="006C647A">
      <w:pPr>
        <w:spacing w:line="480" w:lineRule="auto"/>
        <w:rPr>
          <w:rFonts w:ascii="Calibri" w:hAnsi="Calibri"/>
          <w:lang w:val="en-US"/>
        </w:rPr>
      </w:pPr>
      <w:r w:rsidRPr="000E13EB">
        <w:rPr>
          <w:rFonts w:ascii="Calibri" w:hAnsi="Calibri"/>
          <w:lang w:val="en-US"/>
        </w:rPr>
        <w:t>HCM was diagnosed on the basis of LVH ≥15mm in any myocardial segment on echocardiography and/or cardiac magnetic resonance imaging (CMRI), in the absence of another condition capable of prod</w:t>
      </w:r>
      <w:r w:rsidR="00C148F5">
        <w:rPr>
          <w:rFonts w:ascii="Calibri" w:hAnsi="Calibri"/>
          <w:lang w:val="en-US"/>
        </w:rPr>
        <w:t>ucing the same magnitude of LVH.</w:t>
      </w:r>
      <w:r w:rsidRPr="000E13EB">
        <w:rPr>
          <w:rFonts w:ascii="Calibri" w:hAnsi="Calibri"/>
          <w:lang w:val="en-US"/>
        </w:rPr>
        <w:fldChar w:fldCharType="begin" w:fldLock="1"/>
      </w:r>
      <w:r w:rsidR="00843D9D">
        <w:rPr>
          <w:rFonts w:ascii="Calibri" w:hAnsi="Calibri"/>
          <w:lang w:val="en-US"/>
        </w:rPr>
        <w:instrText>ADDIN CSL_CITATION { "citationItems" : [ { "id" : "ITEM-1", "itemData" : { "DOI" : "10.1016/j.jacc.2011.06.011", "ISSN" : "1558-3597", "PMID" : "22075469", "author" : [ { "dropping-particle" : "", "family" : "Gersh", "given" : "Bernard J", "non-dropping-particle" : "", "parse-names" : false, "suffix" : "" }, { "dropping-particle" : "", "family" : "Maron", "given" : "Barry J", "non-dropping-particle" : "", "parse-names" : false, "suffix" : "" }, { "dropping-particle" : "", "family" : "Bonow", "given" : "Robert O", "non-dropping-particle" : "", "parse-names" : false, "suffix" : "" }, { "dropping-particle" : "", "family" : "Dearani", "given" : "Joseph A", "non-dropping-particle" : "", "parse-names" : false, "suffix" : "" }, { "dropping-particle" : "", "family" : "Fifer", "given" : "Michael A", "non-dropping-particle" : "", "parse-names" : false, "suffix" : "" }, { "dropping-particle" : "", "family" : "Link", "given" : "Mark S", "non-dropping-particle" : "", "parse-names" : false, "suffix" : "" }, { "dropping-particle" : "", "family" : "Naidu", "given" : "Srihari S", "non-dropping-particle" : "", "parse-names" : false, "suffix" : "" }, { "dropping-particle" : "", "family" : "Nishimura", "given" : "Rick A", "non-dropping-particle" : "", "parse-names" : false, "suffix" : "" }, { "dropping-particle" : "", "family" : "Ommen", "given" : "Steve R", "non-dropping-particle" : "", "parse-names" : false, "suffix" : "" }, { "dropping-particle" : "", "family" : "Rakowski", "given" : "Harry", "non-dropping-particle" : "", "parse-names" : false, "suffix" : "" }, { "dropping-particle" : "", "family" : "Seidman", "given" : "Christine E", "non-dropping-particle" : "", "parse-names" : false, "suffix" : "" }, { "dropping-particle" : "", "family" : "Towbin", "given" : "Jeffrey A", "non-dropping-particle" : "", "parse-names" : false, "suffix" : "" }, { "dropping-particle" : "", "family" : "Udelson", "given" : "James E", "non-dropping-particle" : "", "parse-names" : false, "suffix" : "" }, { "dropping-particle" : "", "family" : "Yancy", "given" : "Clyde W", "non-dropping-particle" : "", "parse-names" : false, "suffix" : "" } ], "container-title" : "Journal of the American College of Cardiology", "id" : "ITEM-1", "issue" : "25", "issued" : { "date-parts" : [ [ "2011", "12", "13" ] ] }, "page" : "e212-60", "title" : "2011 ACCF/AHA Guideline for the Diagnosis and Treatment of Hypertrophic Cardiomyopathy", "type" : "article-journal", "volume" : "58" }, "uris" : [ "http://www.mendeley.com/documents/?uuid=5faf8bfc-7b5e-4fc7-a7ba-50632effe14f" ] } ], "mendeley" : { "formattedCitation" : "[13]", "plainTextFormattedCitation" : "[13]", "previouslyFormattedCitation" : "[13]" }, "properties" : { "noteIndex" : 0 }, "schema" : "https://github.com/citation-style-language/schema/raw/master/csl-citation.json" }</w:instrText>
      </w:r>
      <w:r w:rsidRPr="000E13EB">
        <w:rPr>
          <w:rFonts w:ascii="Calibri" w:hAnsi="Calibri"/>
          <w:lang w:val="en-US"/>
        </w:rPr>
        <w:fldChar w:fldCharType="separate"/>
      </w:r>
      <w:r w:rsidR="00843D9D" w:rsidRPr="00843D9D">
        <w:rPr>
          <w:rFonts w:ascii="Calibri" w:hAnsi="Calibri"/>
          <w:noProof/>
          <w:lang w:val="en-US"/>
        </w:rPr>
        <w:t>[13]</w:t>
      </w:r>
      <w:r w:rsidRPr="000E13EB">
        <w:rPr>
          <w:rFonts w:ascii="Calibri" w:hAnsi="Calibri"/>
          <w:lang w:val="en-US"/>
        </w:rPr>
        <w:fldChar w:fldCharType="end"/>
      </w:r>
      <w:r w:rsidRPr="000E13EB">
        <w:rPr>
          <w:rFonts w:ascii="Calibri" w:hAnsi="Calibri"/>
          <w:lang w:val="en-US"/>
        </w:rPr>
        <w:t xml:space="preserve"> </w:t>
      </w:r>
      <w:r w:rsidR="00FC41D6" w:rsidRPr="008E0EF2">
        <w:rPr>
          <w:rFonts w:ascii="Calibri" w:hAnsi="Calibri"/>
          <w:lang w:val="en-US"/>
        </w:rPr>
        <w:t>Patterns of LVH were categorized according to the location of the myocardial segment revealing the greatest degree of hypertrophy on echocardiography and/or CMRI. Concentric LVH was categorized as global myocardial hypertrophy with &lt;2mm difference between adjacent segments.</w:t>
      </w:r>
      <w:r w:rsidR="00FC41D6">
        <w:rPr>
          <w:rFonts w:ascii="Calibri" w:hAnsi="Calibri"/>
          <w:lang w:val="en-US"/>
        </w:rPr>
        <w:t xml:space="preserve"> </w:t>
      </w:r>
      <w:r w:rsidRPr="000E13EB">
        <w:rPr>
          <w:rFonts w:ascii="Calibri" w:hAnsi="Calibri"/>
          <w:lang w:val="en-US"/>
        </w:rPr>
        <w:t>In cases of mild (&lt;15mm) LVH (n=6</w:t>
      </w:r>
      <w:r w:rsidR="00465161" w:rsidRPr="000E13EB">
        <w:rPr>
          <w:rFonts w:ascii="Calibri" w:hAnsi="Calibri"/>
          <w:lang w:val="en-US"/>
        </w:rPr>
        <w:t>0</w:t>
      </w:r>
      <w:r w:rsidRPr="000E13EB">
        <w:rPr>
          <w:rFonts w:ascii="Calibri" w:hAnsi="Calibri"/>
          <w:lang w:val="en-US"/>
        </w:rPr>
        <w:t>; 14.</w:t>
      </w:r>
      <w:r w:rsidR="00465161" w:rsidRPr="000E13EB">
        <w:rPr>
          <w:rFonts w:ascii="Calibri" w:hAnsi="Calibri"/>
          <w:lang w:val="en-US"/>
        </w:rPr>
        <w:t>1</w:t>
      </w:r>
      <w:r w:rsidRPr="000E13EB">
        <w:rPr>
          <w:rFonts w:ascii="Calibri" w:hAnsi="Calibri"/>
          <w:lang w:val="en-US"/>
        </w:rPr>
        <w:t xml:space="preserve">%), HCM was diagnosed in the context of </w:t>
      </w:r>
      <w:r w:rsidR="00094C33" w:rsidRPr="000E13EB">
        <w:rPr>
          <w:rFonts w:ascii="Calibri" w:hAnsi="Calibri"/>
          <w:lang w:val="en-US"/>
        </w:rPr>
        <w:t xml:space="preserve">supportive features, including: </w:t>
      </w:r>
      <w:r w:rsidR="00094C33">
        <w:rPr>
          <w:rFonts w:ascii="Calibri" w:hAnsi="Calibri"/>
          <w:lang w:val="en-US"/>
        </w:rPr>
        <w:t xml:space="preserve">1) </w:t>
      </w:r>
      <w:r w:rsidRPr="000E13EB">
        <w:rPr>
          <w:rFonts w:ascii="Calibri" w:hAnsi="Calibri"/>
          <w:lang w:val="en-US"/>
        </w:rPr>
        <w:t>an established pathogenic gene mutation (n=3</w:t>
      </w:r>
      <w:r w:rsidR="00465161" w:rsidRPr="000E13EB">
        <w:rPr>
          <w:rFonts w:ascii="Calibri" w:hAnsi="Calibri"/>
          <w:lang w:val="en-US"/>
        </w:rPr>
        <w:t>0</w:t>
      </w:r>
      <w:r w:rsidR="00C81243">
        <w:rPr>
          <w:rFonts w:ascii="Calibri" w:hAnsi="Calibri"/>
          <w:lang w:val="en-US"/>
        </w:rPr>
        <w:t xml:space="preserve">); </w:t>
      </w:r>
      <w:r w:rsidR="00094C33">
        <w:rPr>
          <w:rFonts w:ascii="Calibri" w:hAnsi="Calibri"/>
          <w:lang w:val="en-US"/>
        </w:rPr>
        <w:t>2)</w:t>
      </w:r>
      <w:r w:rsidRPr="000E13EB">
        <w:rPr>
          <w:rFonts w:ascii="Calibri" w:hAnsi="Calibri"/>
          <w:lang w:val="en-US"/>
        </w:rPr>
        <w:t xml:space="preserve"> a family history of HCM or </w:t>
      </w:r>
      <w:r w:rsidR="00D26294">
        <w:rPr>
          <w:rFonts w:ascii="Calibri" w:hAnsi="Calibri"/>
          <w:lang w:val="en-US"/>
        </w:rPr>
        <w:t>sudden cardiac death (</w:t>
      </w:r>
      <w:r w:rsidRPr="000E13EB">
        <w:rPr>
          <w:rFonts w:ascii="Calibri" w:hAnsi="Calibri"/>
          <w:lang w:val="en-US"/>
        </w:rPr>
        <w:t>SCD</w:t>
      </w:r>
      <w:r w:rsidR="00D26294">
        <w:rPr>
          <w:rFonts w:ascii="Calibri" w:hAnsi="Calibri"/>
          <w:lang w:val="en-US"/>
        </w:rPr>
        <w:t>)</w:t>
      </w:r>
      <w:r w:rsidRPr="000E13EB">
        <w:rPr>
          <w:rFonts w:ascii="Calibri" w:hAnsi="Calibri"/>
          <w:lang w:val="en-US"/>
        </w:rPr>
        <w:t xml:space="preserve"> in a first-degree relative (n=1</w:t>
      </w:r>
      <w:r w:rsidR="00465161" w:rsidRPr="000E13EB">
        <w:rPr>
          <w:rFonts w:ascii="Calibri" w:hAnsi="Calibri"/>
          <w:lang w:val="en-US"/>
        </w:rPr>
        <w:t>7</w:t>
      </w:r>
      <w:r w:rsidR="00C81243">
        <w:rPr>
          <w:rFonts w:ascii="Calibri" w:hAnsi="Calibri"/>
          <w:lang w:val="en-US"/>
        </w:rPr>
        <w:t xml:space="preserve">); </w:t>
      </w:r>
      <w:r w:rsidR="00094C33">
        <w:rPr>
          <w:rFonts w:ascii="Calibri" w:hAnsi="Calibri"/>
          <w:lang w:val="en-US"/>
        </w:rPr>
        <w:t>3)</w:t>
      </w:r>
      <w:r w:rsidRPr="000E13EB">
        <w:rPr>
          <w:rFonts w:ascii="Calibri" w:hAnsi="Calibri"/>
          <w:lang w:val="en-US"/>
        </w:rPr>
        <w:t xml:space="preserve"> LVH confined </w:t>
      </w:r>
      <w:r w:rsidR="00465161" w:rsidRPr="000E13EB">
        <w:rPr>
          <w:rFonts w:ascii="Calibri" w:hAnsi="Calibri"/>
          <w:lang w:val="en-US"/>
        </w:rPr>
        <w:t>to the apical segments (n=12</w:t>
      </w:r>
      <w:r w:rsidRPr="000E13EB">
        <w:rPr>
          <w:rFonts w:ascii="Calibri" w:hAnsi="Calibri"/>
          <w:lang w:val="en-US"/>
        </w:rPr>
        <w:t>)</w:t>
      </w:r>
      <w:r w:rsidR="00094C33">
        <w:rPr>
          <w:rFonts w:ascii="Calibri" w:hAnsi="Calibri"/>
          <w:lang w:val="en-US"/>
        </w:rPr>
        <w:t>;</w:t>
      </w:r>
      <w:r w:rsidRPr="000E13EB">
        <w:rPr>
          <w:rFonts w:ascii="Calibri" w:hAnsi="Calibri"/>
          <w:lang w:val="en-US"/>
        </w:rPr>
        <w:t xml:space="preserve"> </w:t>
      </w:r>
      <w:r w:rsidR="00094C33">
        <w:rPr>
          <w:rFonts w:ascii="Calibri" w:hAnsi="Calibri"/>
          <w:lang w:val="en-US"/>
        </w:rPr>
        <w:t xml:space="preserve">4) </w:t>
      </w:r>
      <w:r w:rsidRPr="000E13EB">
        <w:rPr>
          <w:rFonts w:ascii="Calibri" w:hAnsi="Calibri"/>
          <w:lang w:val="en-US"/>
        </w:rPr>
        <w:t xml:space="preserve">presentation with cardiac arrest in the presence of mild </w:t>
      </w:r>
      <w:r w:rsidR="009C510C" w:rsidRPr="000E13EB">
        <w:rPr>
          <w:rFonts w:ascii="Calibri" w:hAnsi="Calibri"/>
          <w:lang w:val="en-US"/>
        </w:rPr>
        <w:t>asymmetric</w:t>
      </w:r>
      <w:r w:rsidRPr="000E13EB">
        <w:rPr>
          <w:rFonts w:ascii="Calibri" w:hAnsi="Calibri"/>
          <w:lang w:val="en-US"/>
        </w:rPr>
        <w:t xml:space="preserve"> septal hypertrophy </w:t>
      </w:r>
      <w:r w:rsidR="00CC4D1A">
        <w:rPr>
          <w:rFonts w:ascii="Calibri" w:hAnsi="Calibri"/>
          <w:lang w:val="en-US"/>
        </w:rPr>
        <w:t xml:space="preserve">and unobstructed coronary arteries </w:t>
      </w:r>
      <w:r w:rsidRPr="000E13EB">
        <w:rPr>
          <w:rFonts w:ascii="Calibri" w:hAnsi="Calibri"/>
          <w:lang w:val="en-US"/>
        </w:rPr>
        <w:t>(n=1).</w:t>
      </w:r>
    </w:p>
    <w:p w:rsidR="005852CA" w:rsidRPr="000E13EB" w:rsidRDefault="005852CA" w:rsidP="006C647A">
      <w:pPr>
        <w:spacing w:line="480" w:lineRule="auto"/>
        <w:rPr>
          <w:rFonts w:ascii="Calibri" w:hAnsi="Calibri"/>
          <w:lang w:val="en-US"/>
        </w:rPr>
      </w:pPr>
    </w:p>
    <w:p w:rsidR="00F32F98" w:rsidRDefault="00417611" w:rsidP="00F32F98">
      <w:pPr>
        <w:autoSpaceDE w:val="0"/>
        <w:autoSpaceDN w:val="0"/>
        <w:adjustRightInd w:val="0"/>
        <w:spacing w:line="480" w:lineRule="auto"/>
        <w:rPr>
          <w:rFonts w:ascii="Calibri" w:hAnsi="Calibri"/>
          <w:lang w:val="en-US"/>
        </w:rPr>
      </w:pPr>
      <w:r w:rsidRPr="00167C0E">
        <w:rPr>
          <w:rFonts w:ascii="Calibri" w:hAnsi="Calibri"/>
          <w:lang w:val="en-US"/>
        </w:rPr>
        <w:t xml:space="preserve">Hypertension was </w:t>
      </w:r>
      <w:r w:rsidR="005852CA" w:rsidRPr="00167C0E">
        <w:rPr>
          <w:rFonts w:ascii="Calibri" w:hAnsi="Calibri"/>
          <w:lang w:val="en-US"/>
        </w:rPr>
        <w:t xml:space="preserve">defined </w:t>
      </w:r>
      <w:r w:rsidRPr="00167C0E">
        <w:rPr>
          <w:rFonts w:ascii="Calibri" w:hAnsi="Calibri" w:cs="Arial"/>
          <w:lang w:eastAsia="en-GB"/>
        </w:rPr>
        <w:t>according to the</w:t>
      </w:r>
      <w:r w:rsidR="00A63356" w:rsidRPr="00167C0E">
        <w:rPr>
          <w:rFonts w:ascii="Calibri" w:hAnsi="Calibri" w:cs="Arial"/>
          <w:lang w:eastAsia="en-GB"/>
        </w:rPr>
        <w:t xml:space="preserve"> </w:t>
      </w:r>
      <w:r w:rsidRPr="00167C0E">
        <w:rPr>
          <w:rFonts w:ascii="Calibri" w:hAnsi="Calibri" w:cs="Arial"/>
          <w:lang w:eastAsia="en-GB"/>
        </w:rPr>
        <w:t>Seventh Joint National Committee (JNC 7)</w:t>
      </w:r>
      <w:r w:rsidR="00A63356" w:rsidRPr="00167C0E">
        <w:rPr>
          <w:rFonts w:ascii="Calibri" w:hAnsi="Calibri" w:cs="Arial"/>
          <w:lang w:eastAsia="en-GB"/>
        </w:rPr>
        <w:t xml:space="preserve"> criteria</w:t>
      </w:r>
      <w:r w:rsidRPr="00167C0E">
        <w:rPr>
          <w:rFonts w:ascii="Calibri" w:hAnsi="Calibri" w:cs="Arial"/>
          <w:lang w:eastAsia="en-GB"/>
        </w:rPr>
        <w:fldChar w:fldCharType="begin" w:fldLock="1"/>
      </w:r>
      <w:r w:rsidR="00843D9D">
        <w:rPr>
          <w:rFonts w:ascii="Calibri" w:hAnsi="Calibri" w:cs="Arial"/>
          <w:lang w:eastAsia="en-GB"/>
        </w:rPr>
        <w:instrText>ADDIN CSL_CITATION { "citationItems" : [ { "id" : "ITEM-1", "itemData" : { "DOI" : "10.1161/01.HYP.0000107251.49515.c2", "ISBN" : "1524-4563 (Electronic)", "ISSN" : "0194911X", "PMID" : "14656957", "abstract" : "The National High Blood Pressure Education Program presents the complete Seventh Report of the Joint National Committee on Prevention, Detection, Evaluation, and Treatment of High Blood Pressure. Like its predecessors, the purpose is to provide an evidence-based approach to the prevention and management of hypertension. The key messages of this report are these: in those older than age 50, systolic blood pressure (BP) of greater than 140 mm Hg is a more important cardiovascular disease (CVD) risk factor than diastolic BP; beginning at 115/75 mm Hg, CVD risk doubles for each increment of 20/10 mm Hg; those who are normotensive at 55 years of age will have a 90% lifetime risk of developing hypertension; prehypertensive individuals (systolic BP 120-139 mm Hg or diastolic BP 80-89 mm Hg) require health-promoting lifestyle modifications to prevent the progressive rise in blood pressure and CVD; for uncomplicated hypertension, thiazide diuretic should be used in drug treatment for most, either alone or combined with drugs from other classes; this report delineates specific high-risk conditions that are compelling indications for the use of other antihypertensive drug classes (angiotensin-converting enzyme inhibitors, angiotensin-receptor blockers, beta-blockers, calcium channel blockers); two or more antihypertensive medications will be required to achieve goal BP (&lt;140/90 mm Hg, or &lt;130/80 mm Hg) for patients with diabetes and chronic kidney disease; for patients whose BP is more than 20 mm Hg above the systolic BP goal or more than 10 mm Hg above the diastolic BP goal, initiation of therapy using two agents, one of which usually will be a thiazide diuretic, should be considered; regardless of therapy or care, hypertension will be controlled only if patients are motivated to stay on their treatment plan. Positive experiences, trust in the clinician, and empathy improve patient motivation and satisfaction. This report serves as a guide, and the committee continues to recognize that the responsible physician's judgment remains paramount.", "author" : [ { "dropping-particle" : "V.", "family" : "Chobanian", "given" : "Aram", "non-dropping-particle" : "", "parse-names" : false, "suffix" : "" }, { "dropping-particle" : "", "family" : "Bakris", "given" : "George L.", "non-dropping-particle" : "", "parse-names" : false, "suffix" : "" }, { "dropping-particle" : "", "family" : "Black", "given" : "Henry R.", "non-dropping-particle" : "", "parse-names" : false, "suffix" : "" }, { "dropping-particle" : "", "family" : "Cushman", "given" : "William C.", "non-dropping-particle" : "", "parse-names" : false, "suffix" : "" }, { "dropping-particle" : "", "family" : "Green", "given" : "Lee A.", "non-dropping-particle" : "", "parse-names" : false, "suffix" : "" }, { "dropping-particle" : "", "family" : "Izzo", "given" : "Joseph L.", "non-dropping-particle" : "", "parse-names" : false, "suffix" : "" }, { "dropping-particle" : "", "family" : "Jones", "given" : "Daniel W.", "non-dropping-particle" : "", "parse-names" : false, "suffix" : "" }, { "dropping-particle" : "", "family" : "Materson", "given" : "Barry J.", "non-dropping-particle" : "", "parse-names" : false, "suffix" : "" }, { "dropping-particle" : "", "family" : "Oparil", "given" : "Suzanne", "non-dropping-particle" : "", "parse-names" : false, "suffix" : "" }, { "dropping-particle" : "", "family" : "Wright", "given" : "Jackson T.", "non-dropping-particle" : "", "parse-names" : false, "suffix" : "" }, { "dropping-particle" : "", "family" : "Roccella", "given" : "Edward J.", "non-dropping-particle" : "", "parse-names" : false, "suffix" : "" } ], "container-title" : "Hypertension", "id" : "ITEM-1", "issue" : "6", "issued" : { "date-parts" : [ [ "2003" ] ] }, "page" : "1206-1252", "title" : "Seventh report of the Joint National Committee on Prevention, Detection, Evaluation, and Treatment of High Blood Pressure", "type" : "article-journal", "volume" : "42" }, "uris" : [ "http://www.mendeley.com/documents/?uuid=f122833c-4c0a-495f-8026-32d3867ee800" ] } ], "mendeley" : { "formattedCitation" : "[14]", "plainTextFormattedCitation" : "[14]", "previouslyFormattedCitation" : "[14]" }, "properties" : { "noteIndex" : 0 }, "schema" : "https://github.com/citation-style-language/schema/raw/master/csl-citation.json" }</w:instrText>
      </w:r>
      <w:r w:rsidRPr="00167C0E">
        <w:rPr>
          <w:rFonts w:ascii="Calibri" w:hAnsi="Calibri" w:cs="Arial"/>
          <w:lang w:eastAsia="en-GB"/>
        </w:rPr>
        <w:fldChar w:fldCharType="separate"/>
      </w:r>
      <w:r w:rsidR="00843D9D" w:rsidRPr="00843D9D">
        <w:rPr>
          <w:rFonts w:ascii="Calibri" w:hAnsi="Calibri" w:cs="Arial"/>
          <w:noProof/>
          <w:lang w:eastAsia="en-GB"/>
        </w:rPr>
        <w:t>[14]</w:t>
      </w:r>
      <w:r w:rsidRPr="00167C0E">
        <w:rPr>
          <w:rFonts w:ascii="Calibri" w:hAnsi="Calibri" w:cs="Arial"/>
          <w:lang w:eastAsia="en-GB"/>
        </w:rPr>
        <w:fldChar w:fldCharType="end"/>
      </w:r>
      <w:r w:rsidR="00A63356" w:rsidRPr="00782C34">
        <w:rPr>
          <w:rFonts w:ascii="Arial" w:hAnsi="Arial" w:cs="Arial"/>
          <w:lang w:eastAsia="en-GB"/>
        </w:rPr>
        <w:t xml:space="preserve"> </w:t>
      </w:r>
      <w:r w:rsidR="005852CA" w:rsidRPr="00782C34">
        <w:rPr>
          <w:rFonts w:ascii="Calibri" w:hAnsi="Calibri"/>
          <w:lang w:val="en-US"/>
        </w:rPr>
        <w:t>a</w:t>
      </w:r>
      <w:r w:rsidRPr="00782C34">
        <w:rPr>
          <w:rFonts w:ascii="Calibri" w:hAnsi="Calibri"/>
          <w:lang w:val="en-US"/>
        </w:rPr>
        <w:t xml:space="preserve">s a </w:t>
      </w:r>
      <w:r w:rsidR="005852CA" w:rsidRPr="00782C34">
        <w:rPr>
          <w:rFonts w:ascii="Calibri" w:hAnsi="Calibri"/>
          <w:lang w:val="en-US"/>
        </w:rPr>
        <w:t>blood pres</w:t>
      </w:r>
      <w:r w:rsidR="00C0018E" w:rsidRPr="00782C34">
        <w:rPr>
          <w:rFonts w:ascii="Calibri" w:hAnsi="Calibri"/>
          <w:lang w:val="en-US"/>
        </w:rPr>
        <w:t xml:space="preserve">sure (BP) of </w:t>
      </w:r>
      <w:r w:rsidRPr="00782C34">
        <w:rPr>
          <w:rFonts w:ascii="Calibri" w:hAnsi="Calibri"/>
          <w:lang w:val="en-US"/>
        </w:rPr>
        <w:t>≥</w:t>
      </w:r>
      <w:r w:rsidR="00C0018E" w:rsidRPr="00782C34">
        <w:rPr>
          <w:rFonts w:ascii="Calibri" w:hAnsi="Calibri"/>
          <w:lang w:val="en-US"/>
        </w:rPr>
        <w:t xml:space="preserve">140/90mmHg </w:t>
      </w:r>
      <w:r w:rsidRPr="00167C0E">
        <w:rPr>
          <w:rFonts w:ascii="Calibri" w:hAnsi="Calibri"/>
          <w:lang w:val="en-US"/>
        </w:rPr>
        <w:t xml:space="preserve">on </w:t>
      </w:r>
      <w:r w:rsidR="00CC4D1A" w:rsidRPr="00167C0E">
        <w:rPr>
          <w:rFonts w:ascii="Calibri" w:hAnsi="Calibri"/>
          <w:lang w:val="en-US"/>
        </w:rPr>
        <w:t>an</w:t>
      </w:r>
      <w:r w:rsidRPr="00167C0E">
        <w:rPr>
          <w:rFonts w:ascii="Calibri" w:hAnsi="Calibri"/>
          <w:lang w:val="en-US"/>
        </w:rPr>
        <w:t xml:space="preserve"> average of ≥2 properly measured seated BP readings</w:t>
      </w:r>
      <w:r>
        <w:rPr>
          <w:rFonts w:ascii="Calibri" w:hAnsi="Calibri"/>
          <w:lang w:val="en-US"/>
        </w:rPr>
        <w:t xml:space="preserve"> </w:t>
      </w:r>
      <w:r w:rsidR="00C0018E" w:rsidRPr="00BB7FFD">
        <w:rPr>
          <w:rFonts w:ascii="Calibri" w:hAnsi="Calibri"/>
          <w:lang w:val="en-US"/>
        </w:rPr>
        <w:t xml:space="preserve">and/or </w:t>
      </w:r>
      <w:r w:rsidR="00E01B14">
        <w:rPr>
          <w:rFonts w:ascii="Calibri" w:hAnsi="Calibri"/>
          <w:lang w:val="en-US"/>
        </w:rPr>
        <w:t>patients on</w:t>
      </w:r>
      <w:r w:rsidR="005852CA" w:rsidRPr="00BB7FFD">
        <w:rPr>
          <w:rFonts w:ascii="Calibri" w:hAnsi="Calibri"/>
          <w:lang w:val="en-US"/>
        </w:rPr>
        <w:t xml:space="preserve"> establ</w:t>
      </w:r>
      <w:r>
        <w:rPr>
          <w:rFonts w:ascii="Calibri" w:hAnsi="Calibri"/>
          <w:lang w:val="en-US"/>
        </w:rPr>
        <w:t xml:space="preserve">ished antihypertensive therapy. </w:t>
      </w:r>
      <w:r w:rsidRPr="00BB7FFD">
        <w:rPr>
          <w:rFonts w:ascii="Calibri" w:hAnsi="Calibri"/>
          <w:lang w:val="en-US"/>
        </w:rPr>
        <w:t>Among patients with hypertension (n=178; 41.9%),</w:t>
      </w:r>
      <w:r w:rsidR="00CE54CE">
        <w:rPr>
          <w:rFonts w:ascii="Calibri" w:hAnsi="Calibri"/>
          <w:lang w:val="en-US"/>
        </w:rPr>
        <w:t xml:space="preserve"> </w:t>
      </w:r>
      <w:r w:rsidR="00094C33" w:rsidRPr="00BB7FFD">
        <w:rPr>
          <w:rFonts w:ascii="Calibri" w:hAnsi="Calibri"/>
          <w:lang w:val="en-US"/>
        </w:rPr>
        <w:t>HCM was diagnosed</w:t>
      </w:r>
      <w:r w:rsidR="000E13EB" w:rsidRPr="00BB7FFD">
        <w:rPr>
          <w:rFonts w:ascii="Calibri" w:hAnsi="Calibri"/>
          <w:lang w:val="en-US"/>
        </w:rPr>
        <w:t xml:space="preserve"> in the </w:t>
      </w:r>
      <w:r w:rsidR="00094C33" w:rsidRPr="00BB7FFD">
        <w:rPr>
          <w:rFonts w:ascii="Calibri" w:hAnsi="Calibri"/>
          <w:lang w:val="en-US"/>
        </w:rPr>
        <w:t xml:space="preserve">presence </w:t>
      </w:r>
      <w:r w:rsidR="00404854">
        <w:rPr>
          <w:rFonts w:ascii="Calibri" w:hAnsi="Calibri"/>
          <w:lang w:val="en-US"/>
        </w:rPr>
        <w:t>of severe LVH ≥20mm (n=36</w:t>
      </w:r>
      <w:r w:rsidR="00094C33" w:rsidRPr="00BB7FFD">
        <w:rPr>
          <w:rFonts w:ascii="Calibri" w:hAnsi="Calibri"/>
          <w:lang w:val="en-US"/>
        </w:rPr>
        <w:t xml:space="preserve">) or in the </w:t>
      </w:r>
      <w:r w:rsidR="000E13EB" w:rsidRPr="00BB7FFD">
        <w:rPr>
          <w:rFonts w:ascii="Calibri" w:hAnsi="Calibri"/>
          <w:lang w:val="en-US"/>
        </w:rPr>
        <w:t xml:space="preserve">context of LVH ≥15mm in any myocardial segment and </w:t>
      </w:r>
      <w:r w:rsidR="005852CA" w:rsidRPr="00BB7FFD">
        <w:rPr>
          <w:rFonts w:ascii="Calibri" w:hAnsi="Calibri"/>
          <w:lang w:val="en-US"/>
        </w:rPr>
        <w:t>s</w:t>
      </w:r>
      <w:r w:rsidR="00E01B14">
        <w:rPr>
          <w:rFonts w:ascii="Calibri" w:hAnsi="Calibri"/>
          <w:lang w:val="en-US"/>
        </w:rPr>
        <w:t xml:space="preserve">upportive features, including: </w:t>
      </w:r>
      <w:r w:rsidR="005852CA" w:rsidRPr="00BB7FFD">
        <w:rPr>
          <w:rFonts w:ascii="Calibri" w:hAnsi="Calibri"/>
          <w:lang w:val="en-US"/>
        </w:rPr>
        <w:t>1) an established pathogenic gene mutation (n=3</w:t>
      </w:r>
      <w:r w:rsidR="00F13A9A" w:rsidRPr="00BB7FFD">
        <w:rPr>
          <w:rFonts w:ascii="Calibri" w:hAnsi="Calibri"/>
          <w:lang w:val="en-US"/>
        </w:rPr>
        <w:t>1</w:t>
      </w:r>
      <w:r w:rsidR="00E01B14">
        <w:rPr>
          <w:rFonts w:ascii="Calibri" w:hAnsi="Calibri"/>
          <w:lang w:val="en-US"/>
        </w:rPr>
        <w:t xml:space="preserve">); </w:t>
      </w:r>
      <w:r w:rsidR="005852CA" w:rsidRPr="00BB7FFD">
        <w:rPr>
          <w:rFonts w:ascii="Calibri" w:hAnsi="Calibri"/>
          <w:lang w:val="en-US"/>
        </w:rPr>
        <w:t>2) a family history of HCM or SCD in a first-degree relative (n=32)</w:t>
      </w:r>
      <w:r w:rsidR="000E13EB" w:rsidRPr="00BB7FFD">
        <w:rPr>
          <w:rFonts w:ascii="Calibri" w:hAnsi="Calibri"/>
          <w:lang w:val="en-US"/>
        </w:rPr>
        <w:t xml:space="preserve">; </w:t>
      </w:r>
      <w:r w:rsidR="000E13EB" w:rsidRPr="00167C0E">
        <w:rPr>
          <w:rFonts w:ascii="Calibri" w:hAnsi="Calibri"/>
          <w:lang w:val="en-US"/>
        </w:rPr>
        <w:t xml:space="preserve">3) </w:t>
      </w:r>
      <w:r w:rsidR="00C95ACA" w:rsidRPr="00167C0E">
        <w:rPr>
          <w:rFonts w:ascii="Calibri" w:hAnsi="Calibri"/>
          <w:lang w:val="en-US"/>
        </w:rPr>
        <w:t xml:space="preserve">non-concentric, </w:t>
      </w:r>
      <w:r w:rsidR="00757BCD" w:rsidRPr="00167C0E">
        <w:rPr>
          <w:rFonts w:ascii="Calibri" w:hAnsi="Calibri"/>
          <w:lang w:val="en-US"/>
        </w:rPr>
        <w:t xml:space="preserve">segmental patterns of </w:t>
      </w:r>
      <w:r w:rsidR="00404854" w:rsidRPr="00167C0E">
        <w:rPr>
          <w:rFonts w:ascii="Calibri" w:hAnsi="Calibri"/>
          <w:lang w:val="en-US"/>
        </w:rPr>
        <w:t>LVH</w:t>
      </w:r>
      <w:r w:rsidR="00C95ACA" w:rsidRPr="00167C0E">
        <w:rPr>
          <w:rFonts w:ascii="Calibri" w:hAnsi="Calibri"/>
          <w:lang w:val="en-US"/>
        </w:rPr>
        <w:t xml:space="preserve"> </w:t>
      </w:r>
      <w:r w:rsidR="000E13EB" w:rsidRPr="00167C0E">
        <w:rPr>
          <w:rFonts w:ascii="Calibri" w:hAnsi="Calibri"/>
          <w:lang w:val="en-US"/>
        </w:rPr>
        <w:t>confined</w:t>
      </w:r>
      <w:r w:rsidR="005852CA" w:rsidRPr="00167C0E">
        <w:rPr>
          <w:rFonts w:ascii="Calibri" w:hAnsi="Calibri"/>
          <w:lang w:val="en-US"/>
        </w:rPr>
        <w:t xml:space="preserve"> to the apical </w:t>
      </w:r>
      <w:r w:rsidR="00E01B14" w:rsidRPr="00167C0E">
        <w:rPr>
          <w:rFonts w:ascii="Calibri" w:hAnsi="Calibri"/>
          <w:lang w:val="en-US"/>
        </w:rPr>
        <w:t>segments (</w:t>
      </w:r>
      <w:r w:rsidR="005852CA" w:rsidRPr="00167C0E">
        <w:rPr>
          <w:rFonts w:ascii="Calibri" w:hAnsi="Calibri"/>
          <w:lang w:val="en-US"/>
        </w:rPr>
        <w:t>n=35</w:t>
      </w:r>
      <w:r w:rsidR="00AF709C" w:rsidRPr="00167C0E">
        <w:rPr>
          <w:rFonts w:ascii="Calibri" w:hAnsi="Calibri"/>
          <w:lang w:val="en-US"/>
        </w:rPr>
        <w:t>)</w:t>
      </w:r>
      <w:r w:rsidR="00E01B14" w:rsidRPr="00167C0E">
        <w:rPr>
          <w:rFonts w:ascii="Calibri" w:hAnsi="Calibri"/>
          <w:lang w:val="en-US"/>
        </w:rPr>
        <w:t>, mid-septum (</w:t>
      </w:r>
      <w:r w:rsidR="005852CA" w:rsidRPr="00167C0E">
        <w:rPr>
          <w:rFonts w:ascii="Calibri" w:hAnsi="Calibri"/>
          <w:lang w:val="en-US"/>
        </w:rPr>
        <w:t>n</w:t>
      </w:r>
      <w:r w:rsidR="00800DEF" w:rsidRPr="00167C0E">
        <w:rPr>
          <w:rFonts w:ascii="Calibri" w:hAnsi="Calibri"/>
          <w:lang w:val="en-US"/>
        </w:rPr>
        <w:t>=24),</w:t>
      </w:r>
      <w:r w:rsidR="00C95ACA" w:rsidRPr="00167C0E">
        <w:rPr>
          <w:rFonts w:ascii="Calibri" w:hAnsi="Calibri"/>
          <w:lang w:val="en-US"/>
        </w:rPr>
        <w:t xml:space="preserve"> </w:t>
      </w:r>
      <w:r w:rsidR="00800DEF" w:rsidRPr="00167C0E">
        <w:rPr>
          <w:rFonts w:ascii="Calibri" w:hAnsi="Calibri"/>
          <w:lang w:val="en-US"/>
        </w:rPr>
        <w:t xml:space="preserve">or </w:t>
      </w:r>
      <w:r w:rsidR="00757BCD" w:rsidRPr="00167C0E">
        <w:rPr>
          <w:rFonts w:ascii="Calibri" w:hAnsi="Calibri"/>
          <w:lang w:val="en-US"/>
        </w:rPr>
        <w:t xml:space="preserve">anterior wall </w:t>
      </w:r>
      <w:r w:rsidR="00C95ACA" w:rsidRPr="00167C0E">
        <w:rPr>
          <w:rFonts w:ascii="Calibri" w:hAnsi="Calibri"/>
          <w:lang w:val="en-US"/>
        </w:rPr>
        <w:t>(</w:t>
      </w:r>
      <w:r w:rsidR="00757BCD" w:rsidRPr="00167C0E">
        <w:rPr>
          <w:rFonts w:ascii="Calibri" w:hAnsi="Calibri"/>
          <w:lang w:val="en-US"/>
        </w:rPr>
        <w:t>n=</w:t>
      </w:r>
      <w:r w:rsidR="00E01B14" w:rsidRPr="00167C0E">
        <w:rPr>
          <w:rFonts w:ascii="Calibri" w:hAnsi="Calibri"/>
          <w:lang w:val="en-US"/>
        </w:rPr>
        <w:t xml:space="preserve">3); </w:t>
      </w:r>
      <w:r w:rsidR="00782C34" w:rsidRPr="00167C0E">
        <w:rPr>
          <w:rFonts w:ascii="Calibri" w:hAnsi="Calibri"/>
          <w:lang w:val="en-US"/>
        </w:rPr>
        <w:t xml:space="preserve">and </w:t>
      </w:r>
      <w:r w:rsidR="00800DEF" w:rsidRPr="00167C0E">
        <w:rPr>
          <w:rFonts w:ascii="Calibri" w:hAnsi="Calibri"/>
          <w:lang w:val="en-US"/>
        </w:rPr>
        <w:t>4) systolic anterior motion of the mitral valve leaflets (n=17).</w:t>
      </w:r>
      <w:r w:rsidR="00F32F98">
        <w:rPr>
          <w:rFonts w:ascii="Calibri" w:hAnsi="Calibri"/>
          <w:lang w:val="en-US"/>
        </w:rPr>
        <w:fldChar w:fldCharType="begin" w:fldLock="1"/>
      </w:r>
      <w:r w:rsidR="00843D9D">
        <w:rPr>
          <w:rFonts w:ascii="Calibri" w:hAnsi="Calibri"/>
          <w:lang w:val="en-US"/>
        </w:rPr>
        <w:instrText>ADDIN CSL_CITATION { "citationItems" : [ { "id" : "ITEM-1", "itemData" : { "DOI" : "10.1016/0735-1097(95)00390-8", "ISSN" : "0735-1097", "PMID" : "7594106", "abstract" : "OBJECTIVES: This study sought to achieve an understanding of the true structural heterogeneity of hypertrophic cardiomyopathy.\n\nBACKGROUND: The diversity and clinical significance of the morphologic expression of hypertrophic cardiomyopathy have not been fully defined within this broad disease spectrum.\n\nMETHODS: Patterns of left ventricular hypertrophy were characterized by two-dimensional echocardiography in a large study cohort of 600 patients (7 to 79 years old, mean age 45; 393 [66%] men) consecutively studied at two referral centers.\n\nRESULTS: Left ventricular wall thickness was 15 to 52 mm (mean [+/- SD] 22.3 +/- 5). A multitude of patterns of asymmetric left ventricular hypertrophy were identified, with the most common showing diffuse involvement of substantial portions of both ventricular septum and free wall. Of 16 possible patterns of left ventricular hypertrophy, 12 (78%) were identified among the 600 patients. Hypertrophy most commonly involved two left ventricular segments (228 patients [38%]) or three or more segments (202 patients [34%]), but was also localized to one segment in a substantial number of patients (170 [28%]). The anterior portion of the ventricular septum was the region of the left ventricle that most frequently showed thickening (573 patients [96%]), and was also the predominant site of hypertrophy in most patients (492 patients [83%]). Patterns of wall thickening that were either concentric (i.e., symmetric) or confined to the apex were particularly uncommon (in 1% each).\n\nCONCLUSIONS: 1) In hypertrophic cardiomyopathy, the distribution of left ventricular hypertrophy is characteristically asymmetric and particularly heterogeneous, encompassing most possible patterns of wall thickening, from extensive and diffuse to mild and segmental, and with no single morphologic expression considered typical or classic. 2) A greater extent of left ventricular hypertrophy was associated with younger age and more marked mitral valve systolic anterior motion and outflow obstruction but showed no relation to either magnitude of symptoms or gender.", "author" : [ { "dropping-particle" : "", "family" : "Klues", "given" : "H G", "non-dropping-particle" : "", "parse-names" : false, "suffix" : "" }, { "dropping-particle" : "", "family" : "Schiffers", "given" : "a", "non-dropping-particle" : "", "parse-names" : false, "suffix" : "" }, { "dropping-particle" : "", "family" : "Maron", "given" : "B J", "non-dropping-particle" : "", "parse-names" : false, "suffix" : "" } ], "container-title" : "Journal of the American College of Cardiology", "id" : "ITEM-1", "issue" : "7", "issued" : { "date-parts" : [ [ "1995", "12" ] ] }, "page" : "1699-708", "title" : "Phenotypic spectrum and patterns of left ventricular hypertrophy in hypertrophic cardiomyopathy: morphologic observations and significance as assessed by two-dimensional echocardiography in 600 patients.", "type" : "article-journal", "volume" : "26" }, "uris" : [ "http://www.mendeley.com/documents/?uuid=1d605243-9263-45e4-8b34-944119bd2541" ] }, { "id" : "ITEM-2", "itemData" : { "DOI" : "10.4065/81.4.459", "ISBN" : "0025-6196 (Print)\\r0025-6196 (Linking)", "ISSN" : "00256196", "PMID" : "16610565", "abstract" : "OBJECTIVE: To examine the relationship among age, septal morphological subtype, and presence of hypertrophic cardiomyopathy (HCM)-associated myofilament mutations. PATIENTS AND METHODS: Comprehensive mutation analysis of the 8 HCM susceptibility genes that encode the myofilaments of the cardiac sarcomere was performed previously in 382 unrelated patients with HCM. Blinded to genotype status, we used echocardiography to characterize the left ventricular morphological features. Multivariate regression was used to assess the relationship among morphological subtypes, clinical data, and genetic variables. RESULTS: The mean +/- SD age of the patients was 41.6+/-19.0 years, with 126 patients 50 years or older at initial diagnosis. The septal morphological subtype was sigmold in 181 (47%), reverse in 132 (35%), apical variant in 37 (10%), and neutral in 32 (8%). The HCM-associated myofilament mutations were Identified in 143 patients (37%). Multivariate analysis showed that the reverse curvature septal morphological subtype was a strong predictor of genotype-positive status (odds ratio, 21; P&lt;.001). Overall, the yield of HCM genetic testing was 79% in the setting of reverse curvature HCM but only 8% in sigmold septal HCM. CONCLUSION: In stark contrast to HCM in young patients, elderly patients with HCM display a predominantly sigmoid septal morphological subtype and uncommonly have perturbations of known HCM susceptibility genes. Independent of age, septal morphological subtype strongly predicts the presence or absence of HCM-associated myofilament mutations and may enable echocardiography-guided genetic testing for HCM.", "author" : [ { "dropping-particle" : "", "family" : "Binder", "given" : "Josepha", "non-dropping-particle" : "", "parse-names" : false, "suffix" : "" }, { "dropping-particle" : "", "family" : "Ommen", "given" : "Steve R", "non-dropping-particle" : "", "parse-names" : false, "suffix" : "" }, { "dropping-particle" : "", "family" : "Gersh", "given" : "Bernard J", "non-dropping-particle" : "", "parse-names" : false, "suffix" : "" }, { "dropping-particle" : "", "family" : "Driest", "given" : "Sara L", "non-dropping-particle" : "Van", "parse-names" : false, "suffix" : "" }, { "dropping-particle" : "", "family" : "Tajik", "given" : "a Jamil", "non-dropping-particle" : "", "parse-names" : false, "suffix" : "" }, { "dropping-particle" : "", "family" : "Nishimura", "given" : "Rick a", "non-dropping-particle" : "", "parse-names" : false, "suffix" : "" }, { "dropping-particle" : "", "family" : "Ackerman", "given" : "Michael J", "non-dropping-particle" : "", "parse-names" : false, "suffix" : "" } ], "container-title" : "Mayo Clinic proceedings. Mayo Clinic", "id" : "ITEM-2", "issue" : "April", "issued" : { "date-parts" : [ [ "2006" ] ] }, "page" : "459-467", "title" : "Echocardiography-guided genetic testing in hypertrophic cardiomyopathy: septal morphological features predict the presence of myofilament mutations.", "type" : "article-journal", "volume" : "81" }, "uris" : [ "http://www.mendeley.com/documents/?uuid=d39baa0e-d1c6-4a9b-81a1-7090b9180acf" ] }, { "id" : "ITEM-3", "itemData" : { "DOI" : "10.1016/j.jacc.2011.06.011", "ISSN" : "1558-3597", "PMID" : "22075469", "author" : [ { "dropping-particle" : "", "family" : "Gersh", "given" : "Bernard J", "non-dropping-particle" : "", "parse-names" : false, "suffix" : "" }, { "dropping-particle" : "", "family" : "Maron", "given" : "Barry J", "non-dropping-particle" : "", "parse-names" : false, "suffix" : "" }, { "dropping-particle" : "", "family" : "Bonow", "given" : "Robert O", "non-dropping-particle" : "", "parse-names" : false, "suffix" : "" }, { "dropping-particle" : "", "family" : "Dearani", "given" : "Joseph A", "non-dropping-particle" : "", "parse-names" : false, "suffix" : "" }, { "dropping-particle" : "", "family" : "Fifer", "given" : "Michael A", "non-dropping-particle" : "", "parse-names" : false, "suffix" : "" }, { "dropping-particle" : "", "family" : "Link", "given" : "Mark S", "non-dropping-particle" : "", "parse-names" : false, "suffix" : "" }, { "dropping-particle" : "", "family" : "Naidu", "given" : "Srihari S", "non-dropping-particle" : "", "parse-names" : false, "suffix" : "" }, { "dropping-particle" : "", "family" : "Nishimura", "given" : "Rick A", "non-dropping-particle" : "", "parse-names" : false, "suffix" : "" }, { "dropping-particle" : "", "family" : "Ommen", "given" : "Steve R", "non-dropping-particle" : "", "parse-names" : false, "suffix" : "" }, { "dropping-particle" : "", "family" : "Rakowski", "given" : "Harry", "non-dropping-particle" : "", "parse-names" : false, "suffix" : "" }, { "dropping-particle" : "", "family" : "Seidman", "given" : "Christine E", "non-dropping-particle" : "", "parse-names" : false, "suffix" : "" }, { "dropping-particle" : "", "family" : "Towbin", "given" : "Jeffrey A", "non-dropping-particle" : "", "parse-names" : false, "suffix" : "" }, { "dropping-particle" : "", "family" : "Udelson", "given" : "James E", "non-dropping-particle" : "", "parse-names" : false, "suffix" : "" }, { "dropping-particle" : "", "family" : "Yancy", "given" : "Clyde W", "non-dropping-particle" : "", "parse-names" : false, "suffix" : "" } ], "container-title" : "Journal of the American College of Cardiology", "id" : "ITEM-3", "issue" : "25", "issued" : { "date-parts" : [ [ "2011", "12", "13" ] ] }, "page" : "e212-60", "title" : "2011 ACCF/AHA Guideline for the Diagnosis and Treatment of Hypertrophic Cardiomyopathy", "type" : "article-journal", "volume" : "58" }, "uris" : [ "http://www.mendeley.com/documents/?uuid=5faf8bfc-7b5e-4fc7-a7ba-50632effe14f" ] }, { "id" : "ITEM-4", "itemData" : { "author" : [ { "dropping-particle" : "", "family" : "Elliott", "given" : "Perry M", "non-dropping-particle" : "", "parse-names" : false, "suffix" : "" }, { "dropping-particle" : "", "family" : "Anastasakis", "given" : "Aris", "non-dropping-particle" : "", "parse-names" : false, "suffix" : "" }, { "dropping-particle" : "", "family" : "Borger", "given" : "Michael A", "non-dropping-particle" : "", "parse-names" : false, "suffix" : "" }, { "dropping-particle" : "", "family" : "Borggrefe", "given" : "Martin", "non-dropping-particle" : "", "parse-names" : false, "suffix" : "" }, { "dropping-particle" : "", "family" : "Cecchi", "given" : "Franco", "non-dropping-particle" : "", "parse-names" : false, "suffix" : "" }, { "dropping-particle" : "", "family" : "Charron", "given" : "Philippe", "non-dropping-particle" : "", "parse-names" : false, "suffix" : "" }, { "dropping-particle" : "", "family" : "Hagege", "given" : "Albert Alain", "non-dropping-particle" : "", "parse-names" : false, "suffix" : "" }, { "dropping-particle" : "", "family" : "Lafont", "given" : "Antoine", "non-dropping-particle" : "", "parse-names" : false, "suffix" : "" }, { "dropping-particle" : "", "family" : "Limongelli", "given" : "Giuseppe", "non-dropping-particle" : "", "parse-names" : false, "suffix" : "" }, { "dropping-particle" : "", "family" : "Mahrholdt", "given" : "Heiko", "non-dropping-particle" : "", "parse-names" : false, "suffix" : "" }, { "dropping-particle" : "", "family" : "McKenna", "given" : "William J", "non-dropping-particle" : "", "parse-names" : false, "suffix" : "" }, { "dropping-particle" : "", "family" : "Mogensen", "given" : "Jens", "non-dropping-particle" : "", "parse-names" : false, "suffix" : "" }, { "dropping-particle" : "", "family" : "Nihoyannopoulos", "given" : "Petros", "non-dropping-particle" : "", "parse-names" : false, "suffix" : "" }, { "dropping-particle" : "", "family" : "Nistri", "given" : "Stefano", "non-dropping-particle" : "", "parse-names" : false, "suffix" : "" }, { "dropping-particle" : "", "family" : "Pieper", "given" : "Petronella G", "non-dropping-particle" : "", "parse-names" : false, "suffix" : "" }, { "dropping-particle" : "", "family" : "Pieske", "given" : "Burkert", "non-dropping-particle" : "", "parse-names" : false, "suffix" : "" }, { "dropping-particle" : "", "family" : "Rapezzi", "given" : "Claudio", "non-dropping-particle" : "", "parse-names" : false, "suffix" : "" }, { "dropping-particle" : "", "family" : "Rutten", "given" : "Frans H", "non-dropping-particle" : "", "parse-names" : false, "suffix" : "" }, { "dropping-particle" : "", "family" : "Tillmanns", "given" : "Christoph", "non-dropping-particle" : "", "parse-names" : false, "suffix" : "" }, { "dropping-particle" : "", "family" : "Watkins", "given" : "Hugh", "non-dropping-particle" : "", "parse-names" : false, "suffix" : "" } ], "container-title" : "European Heart Journal", "id" : "ITEM-4", "issue" : "39", "issued" : { "date-parts" : [ [ "2014" ] ] }, "page" : "2733-2779", "title" : "2014 ESC Guidelines on diagnosis and management of hypertrophic cardiomyopathy", "type" : "article-journal", "volume" : "35" }, "uris" : [ "http://www.mendeley.com/documents/?uuid=c5b8ac14-3a52-476e-8472-d1774c0eb725" ] } ], "mendeley" : { "formattedCitation" : "[13,15\u201317]", "plainTextFormattedCitation" : "[13,15\u201317]", "previouslyFormattedCitation" : "[13,15\u201317]" }, "properties" : { "noteIndex" : 0 }, "schema" : "https://github.com/citation-style-language/schema/raw/master/csl-citation.json" }</w:instrText>
      </w:r>
      <w:r w:rsidR="00F32F98">
        <w:rPr>
          <w:rFonts w:ascii="Calibri" w:hAnsi="Calibri"/>
          <w:lang w:val="en-US"/>
        </w:rPr>
        <w:fldChar w:fldCharType="separate"/>
      </w:r>
      <w:r w:rsidR="00843D9D" w:rsidRPr="00843D9D">
        <w:rPr>
          <w:rFonts w:ascii="Calibri" w:hAnsi="Calibri"/>
          <w:noProof/>
          <w:lang w:val="en-US"/>
        </w:rPr>
        <w:t>[13,15–17]</w:t>
      </w:r>
      <w:r w:rsidR="00F32F98">
        <w:rPr>
          <w:rFonts w:ascii="Calibri" w:hAnsi="Calibri"/>
          <w:lang w:val="en-US"/>
        </w:rPr>
        <w:fldChar w:fldCharType="end"/>
      </w:r>
    </w:p>
    <w:p w:rsidR="0041526A" w:rsidRDefault="0041526A" w:rsidP="00F32F98">
      <w:pPr>
        <w:autoSpaceDE w:val="0"/>
        <w:autoSpaceDN w:val="0"/>
        <w:adjustRightInd w:val="0"/>
        <w:spacing w:line="480" w:lineRule="auto"/>
        <w:rPr>
          <w:rFonts w:ascii="Calibri" w:hAnsi="Calibri"/>
          <w:b/>
          <w:lang w:val="en-US"/>
        </w:rPr>
      </w:pPr>
    </w:p>
    <w:p w:rsidR="0041526A" w:rsidRDefault="0041526A" w:rsidP="00F32F98">
      <w:pPr>
        <w:autoSpaceDE w:val="0"/>
        <w:autoSpaceDN w:val="0"/>
        <w:adjustRightInd w:val="0"/>
        <w:spacing w:line="480" w:lineRule="auto"/>
        <w:rPr>
          <w:rFonts w:ascii="Calibri" w:hAnsi="Calibri"/>
          <w:b/>
          <w:lang w:val="en-US"/>
        </w:rPr>
      </w:pPr>
    </w:p>
    <w:p w:rsidR="005852CA" w:rsidRPr="00923CE9" w:rsidRDefault="00DB6282" w:rsidP="00F32F98">
      <w:pPr>
        <w:autoSpaceDE w:val="0"/>
        <w:autoSpaceDN w:val="0"/>
        <w:adjustRightInd w:val="0"/>
        <w:spacing w:line="480" w:lineRule="auto"/>
        <w:rPr>
          <w:rFonts w:ascii="Calibri" w:hAnsi="Calibri"/>
          <w:b/>
          <w:lang w:val="en-US"/>
        </w:rPr>
      </w:pPr>
      <w:r>
        <w:rPr>
          <w:rFonts w:ascii="Calibri" w:hAnsi="Calibri"/>
          <w:b/>
          <w:lang w:val="en-US"/>
        </w:rPr>
        <w:t>Clinical Evaluation</w:t>
      </w:r>
    </w:p>
    <w:p w:rsidR="005852CA" w:rsidRPr="00923CE9" w:rsidRDefault="00AF3B04" w:rsidP="006C647A">
      <w:pPr>
        <w:spacing w:line="480" w:lineRule="auto"/>
        <w:rPr>
          <w:rFonts w:ascii="Calibri" w:hAnsi="Calibri"/>
          <w:lang w:val="en-US"/>
        </w:rPr>
      </w:pPr>
      <w:r>
        <w:rPr>
          <w:rFonts w:ascii="Calibri" w:hAnsi="Calibri"/>
          <w:lang w:val="en-US"/>
        </w:rPr>
        <w:t>All patients</w:t>
      </w:r>
      <w:r w:rsidR="005852CA" w:rsidRPr="00AF709C">
        <w:rPr>
          <w:rFonts w:ascii="Calibri" w:hAnsi="Calibri"/>
          <w:lang w:val="en-US"/>
        </w:rPr>
        <w:t xml:space="preserve"> were </w:t>
      </w:r>
      <w:r w:rsidR="00F87415">
        <w:rPr>
          <w:rFonts w:ascii="Calibri" w:hAnsi="Calibri"/>
          <w:lang w:val="en-US"/>
        </w:rPr>
        <w:t xml:space="preserve">investigated </w:t>
      </w:r>
      <w:r w:rsidR="005852CA" w:rsidRPr="00AF709C">
        <w:rPr>
          <w:rFonts w:ascii="Calibri" w:hAnsi="Calibri"/>
          <w:lang w:val="en-US"/>
        </w:rPr>
        <w:t>with history, physical examination, 12-lead ECG, 2-dimensional echo</w:t>
      </w:r>
      <w:r w:rsidR="00FC0E62">
        <w:rPr>
          <w:rFonts w:ascii="Calibri" w:hAnsi="Calibri"/>
          <w:lang w:val="en-US"/>
        </w:rPr>
        <w:t xml:space="preserve">cardiography, exercise testing and </w:t>
      </w:r>
      <w:r w:rsidR="005852CA" w:rsidRPr="00AF709C">
        <w:rPr>
          <w:rFonts w:ascii="Calibri" w:hAnsi="Calibri"/>
          <w:lang w:val="en-US"/>
        </w:rPr>
        <w:t>24-h</w:t>
      </w:r>
      <w:r w:rsidR="00EC73DB">
        <w:rPr>
          <w:rFonts w:ascii="Calibri" w:hAnsi="Calibri"/>
          <w:lang w:val="en-US"/>
        </w:rPr>
        <w:t>our ambulatory ECG monitoring. 246</w:t>
      </w:r>
      <w:r w:rsidR="004E0C19" w:rsidRPr="00AF709C">
        <w:rPr>
          <w:rFonts w:ascii="Calibri" w:hAnsi="Calibri"/>
          <w:lang w:val="en-US"/>
        </w:rPr>
        <w:t xml:space="preserve"> (</w:t>
      </w:r>
      <w:r w:rsidR="005852CA" w:rsidRPr="00AF709C">
        <w:rPr>
          <w:rFonts w:ascii="Calibri" w:hAnsi="Calibri"/>
          <w:lang w:val="en-US"/>
        </w:rPr>
        <w:t>58%</w:t>
      </w:r>
      <w:r w:rsidR="004E0C19" w:rsidRPr="00AF709C">
        <w:rPr>
          <w:rFonts w:ascii="Calibri" w:hAnsi="Calibri"/>
          <w:lang w:val="en-US"/>
        </w:rPr>
        <w:t>)</w:t>
      </w:r>
      <w:r w:rsidR="005852CA" w:rsidRPr="00AF709C">
        <w:rPr>
          <w:rFonts w:ascii="Calibri" w:hAnsi="Calibri"/>
          <w:lang w:val="en-US"/>
        </w:rPr>
        <w:t xml:space="preserve"> patients</w:t>
      </w:r>
      <w:r w:rsidR="00F87415">
        <w:rPr>
          <w:rFonts w:ascii="Calibri" w:hAnsi="Calibri"/>
          <w:lang w:val="en-US"/>
        </w:rPr>
        <w:t xml:space="preserve"> also underwent </w:t>
      </w:r>
      <w:r w:rsidR="00EC73DB">
        <w:rPr>
          <w:rFonts w:ascii="Calibri" w:hAnsi="Calibri"/>
          <w:lang w:val="en-US"/>
        </w:rPr>
        <w:t>CMRI</w:t>
      </w:r>
      <w:r w:rsidR="005852CA" w:rsidRPr="00AF709C">
        <w:rPr>
          <w:rFonts w:ascii="Calibri" w:hAnsi="Calibri"/>
          <w:lang w:val="en-US"/>
        </w:rPr>
        <w:t>. A proportio</w:t>
      </w:r>
      <w:r>
        <w:rPr>
          <w:rFonts w:ascii="Calibri" w:hAnsi="Calibri"/>
          <w:lang w:val="en-US"/>
        </w:rPr>
        <w:t>n of patients</w:t>
      </w:r>
      <w:r w:rsidR="005852CA" w:rsidRPr="00AF709C">
        <w:rPr>
          <w:rFonts w:ascii="Calibri" w:hAnsi="Calibri"/>
          <w:lang w:val="en-US"/>
        </w:rPr>
        <w:t xml:space="preserve"> (</w:t>
      </w:r>
      <w:r w:rsidR="004E0C19" w:rsidRPr="00AF709C">
        <w:rPr>
          <w:rFonts w:ascii="Calibri" w:hAnsi="Calibri"/>
          <w:lang w:val="en-US"/>
        </w:rPr>
        <w:t>63 [</w:t>
      </w:r>
      <w:r w:rsidR="004E0C19" w:rsidRPr="00AF709C">
        <w:rPr>
          <w:rFonts w:ascii="Calibri" w:hAnsi="Calibri" w:cs="Arial"/>
          <w:lang w:val="en-US"/>
        </w:rPr>
        <w:t>38.7</w:t>
      </w:r>
      <w:r w:rsidR="005852CA" w:rsidRPr="00AF709C">
        <w:rPr>
          <w:rFonts w:ascii="Calibri" w:hAnsi="Calibri" w:cs="Arial"/>
          <w:lang w:val="en-US"/>
        </w:rPr>
        <w:t>%</w:t>
      </w:r>
      <w:r w:rsidR="004E0C19" w:rsidRPr="00AF709C">
        <w:rPr>
          <w:rFonts w:ascii="Calibri" w:hAnsi="Calibri" w:cs="Arial"/>
          <w:lang w:val="en-US"/>
        </w:rPr>
        <w:t>]</w:t>
      </w:r>
      <w:r w:rsidR="005852CA" w:rsidRPr="00AF709C">
        <w:rPr>
          <w:rFonts w:ascii="Calibri" w:hAnsi="Calibri" w:cs="Arial"/>
          <w:lang w:val="en-US"/>
        </w:rPr>
        <w:t xml:space="preserve"> black and </w:t>
      </w:r>
      <w:r w:rsidR="004E0C19" w:rsidRPr="00AF709C">
        <w:rPr>
          <w:rFonts w:ascii="Calibri" w:hAnsi="Calibri" w:cs="Arial"/>
          <w:lang w:val="en-US"/>
        </w:rPr>
        <w:t>132 [</w:t>
      </w:r>
      <w:r w:rsidR="00801EFF" w:rsidRPr="00AF709C">
        <w:rPr>
          <w:rFonts w:ascii="Calibri" w:hAnsi="Calibri" w:cs="Arial"/>
          <w:lang w:val="en-US"/>
        </w:rPr>
        <w:t>50.4</w:t>
      </w:r>
      <w:r w:rsidR="005852CA" w:rsidRPr="00AF709C">
        <w:rPr>
          <w:rFonts w:ascii="Calibri" w:hAnsi="Calibri" w:cs="Arial"/>
          <w:lang w:val="en-US"/>
        </w:rPr>
        <w:t>%</w:t>
      </w:r>
      <w:r w:rsidR="004E0C19" w:rsidRPr="00AF709C">
        <w:rPr>
          <w:rFonts w:ascii="Calibri" w:hAnsi="Calibri" w:cs="Arial"/>
          <w:lang w:val="en-US"/>
        </w:rPr>
        <w:t>]</w:t>
      </w:r>
      <w:r w:rsidR="005852CA" w:rsidRPr="00AF709C">
        <w:rPr>
          <w:rFonts w:ascii="Calibri" w:hAnsi="Calibri" w:cs="Arial"/>
          <w:lang w:val="en-US"/>
        </w:rPr>
        <w:t xml:space="preserve"> white) </w:t>
      </w:r>
      <w:r w:rsidR="00167C0E">
        <w:rPr>
          <w:rFonts w:ascii="Calibri" w:hAnsi="Calibri"/>
          <w:lang w:val="en-US"/>
        </w:rPr>
        <w:t xml:space="preserve">underwent </w:t>
      </w:r>
      <w:r w:rsidR="00167C0E" w:rsidRPr="00AF709C">
        <w:rPr>
          <w:rFonts w:ascii="Calibri" w:hAnsi="Calibri"/>
          <w:lang w:val="en-US"/>
        </w:rPr>
        <w:t>gene</w:t>
      </w:r>
      <w:r w:rsidR="005852CA" w:rsidRPr="00AF709C">
        <w:rPr>
          <w:rFonts w:ascii="Calibri" w:hAnsi="Calibri"/>
          <w:lang w:val="en-US"/>
        </w:rPr>
        <w:t xml:space="preserve"> testing. All patients </w:t>
      </w:r>
      <w:r w:rsidR="001061CC">
        <w:rPr>
          <w:rFonts w:ascii="Calibri" w:hAnsi="Calibri"/>
          <w:lang w:val="en-US"/>
        </w:rPr>
        <w:t xml:space="preserve">had </w:t>
      </w:r>
      <w:r w:rsidR="005852CA" w:rsidRPr="00AF709C">
        <w:rPr>
          <w:rFonts w:ascii="Calibri" w:hAnsi="Calibri"/>
          <w:lang w:val="en-US"/>
        </w:rPr>
        <w:t xml:space="preserve">repeat assessment on a 6-12 monthly basis. Analysis relating to electrocardiographic and structural data was performed on the presenting </w:t>
      </w:r>
      <w:r w:rsidR="00B74348">
        <w:rPr>
          <w:rFonts w:ascii="Calibri" w:hAnsi="Calibri"/>
          <w:lang w:val="en-US"/>
        </w:rPr>
        <w:t>investigations</w:t>
      </w:r>
      <w:r w:rsidR="005419B4">
        <w:rPr>
          <w:rFonts w:ascii="Calibri" w:hAnsi="Calibri"/>
          <w:lang w:val="en-US"/>
        </w:rPr>
        <w:t xml:space="preserve"> </w:t>
      </w:r>
      <w:r w:rsidR="00BD6209" w:rsidRPr="00BD6209">
        <w:rPr>
          <w:rFonts w:ascii="Calibri" w:hAnsi="Calibri"/>
          <w:highlight w:val="yellow"/>
          <w:lang w:val="en-US"/>
        </w:rPr>
        <w:t>by NS</w:t>
      </w:r>
      <w:r w:rsidR="00BD6209">
        <w:rPr>
          <w:rFonts w:ascii="Calibri" w:hAnsi="Calibri"/>
          <w:highlight w:val="yellow"/>
          <w:lang w:val="en-US"/>
        </w:rPr>
        <w:t>, MP</w:t>
      </w:r>
      <w:r w:rsidR="00BD6209" w:rsidRPr="00BD6209">
        <w:rPr>
          <w:rFonts w:ascii="Calibri" w:hAnsi="Calibri"/>
          <w:highlight w:val="yellow"/>
          <w:lang w:val="en-US"/>
        </w:rPr>
        <w:t xml:space="preserve"> and SS who were blinded to the ethnicity of the patient</w:t>
      </w:r>
      <w:r w:rsidR="007D4DC9">
        <w:rPr>
          <w:rFonts w:ascii="Calibri" w:hAnsi="Calibri"/>
          <w:lang w:val="en-US"/>
        </w:rPr>
        <w:t xml:space="preserve">. </w:t>
      </w:r>
      <w:r w:rsidR="001061CC">
        <w:rPr>
          <w:rFonts w:ascii="Calibri" w:hAnsi="Calibri"/>
          <w:lang w:val="en-US"/>
        </w:rPr>
        <w:t>D</w:t>
      </w:r>
      <w:r w:rsidR="001061CC" w:rsidRPr="00BB7FFD">
        <w:rPr>
          <w:rFonts w:ascii="Calibri" w:hAnsi="Calibri"/>
          <w:lang w:val="en-US"/>
        </w:rPr>
        <w:t>ata from study entry to the</w:t>
      </w:r>
      <w:r w:rsidR="001061CC" w:rsidRPr="00BB7FFD">
        <w:rPr>
          <w:rFonts w:ascii="Calibri" w:hAnsi="Calibri" w:cs="times-roman"/>
          <w:lang w:val="en-US" w:eastAsia="en-GB"/>
        </w:rPr>
        <w:t xml:space="preserve"> last contact in clinic or death were used</w:t>
      </w:r>
      <w:r w:rsidR="001061CC" w:rsidRPr="00BB7FFD">
        <w:rPr>
          <w:rFonts w:ascii="Calibri" w:hAnsi="Calibri"/>
          <w:lang w:val="en-US"/>
        </w:rPr>
        <w:t xml:space="preserve"> </w:t>
      </w:r>
      <w:r w:rsidR="001061CC">
        <w:rPr>
          <w:rFonts w:ascii="Calibri" w:hAnsi="Calibri"/>
          <w:lang w:val="en-US"/>
        </w:rPr>
        <w:t xml:space="preserve">for the </w:t>
      </w:r>
      <w:r w:rsidR="007D4DC9" w:rsidRPr="00BB7FFD">
        <w:rPr>
          <w:rFonts w:ascii="Calibri" w:hAnsi="Calibri"/>
          <w:lang w:val="en-US"/>
        </w:rPr>
        <w:t>purposes of risk stratification</w:t>
      </w:r>
      <w:r w:rsidR="00167C0E">
        <w:rPr>
          <w:rFonts w:ascii="Calibri" w:hAnsi="Calibri"/>
          <w:lang w:val="en-US"/>
        </w:rPr>
        <w:t xml:space="preserve"> and outcomes</w:t>
      </w:r>
      <w:r w:rsidR="005852CA" w:rsidRPr="00BB7FFD">
        <w:rPr>
          <w:rFonts w:ascii="Calibri" w:hAnsi="Calibri" w:cs="times-roman"/>
          <w:lang w:val="en-US" w:eastAsia="en-GB"/>
        </w:rPr>
        <w:t xml:space="preserve">. </w:t>
      </w:r>
      <w:r w:rsidR="004B5ADB">
        <w:rPr>
          <w:rFonts w:ascii="Calibri" w:hAnsi="Calibri" w:cs="times-roman"/>
          <w:lang w:val="en-US" w:eastAsia="en-GB"/>
        </w:rPr>
        <w:t>Mea</w:t>
      </w:r>
      <w:r w:rsidR="00234E4E">
        <w:rPr>
          <w:rFonts w:ascii="Calibri" w:hAnsi="Calibri" w:cs="times-roman"/>
          <w:lang w:val="en-US" w:eastAsia="en-GB"/>
        </w:rPr>
        <w:t>n</w:t>
      </w:r>
      <w:r w:rsidR="004B5ADB">
        <w:rPr>
          <w:rFonts w:ascii="Calibri" w:hAnsi="Calibri" w:cs="times-roman"/>
          <w:lang w:val="en-US" w:eastAsia="en-GB"/>
        </w:rPr>
        <w:t xml:space="preserve"> f</w:t>
      </w:r>
      <w:r w:rsidR="005852CA" w:rsidRPr="00BB7FFD">
        <w:rPr>
          <w:rFonts w:ascii="Calibri" w:hAnsi="Calibri" w:cs="times-roman"/>
          <w:lang w:val="en-US" w:eastAsia="en-GB"/>
        </w:rPr>
        <w:t xml:space="preserve">ollow-up </w:t>
      </w:r>
      <w:r w:rsidR="00801EFF" w:rsidRPr="00BB7FFD">
        <w:rPr>
          <w:rFonts w:ascii="Calibri" w:hAnsi="Calibri" w:cs="times-roman"/>
          <w:lang w:val="en-US" w:eastAsia="en-GB"/>
        </w:rPr>
        <w:t>durati</w:t>
      </w:r>
      <w:r w:rsidR="007D4DC9" w:rsidRPr="00BB7FFD">
        <w:rPr>
          <w:rFonts w:ascii="Calibri" w:hAnsi="Calibri" w:cs="times-roman"/>
          <w:lang w:val="en-US" w:eastAsia="en-GB"/>
        </w:rPr>
        <w:t>on</w:t>
      </w:r>
      <w:r w:rsidR="00801EFF" w:rsidRPr="00BB7FFD">
        <w:rPr>
          <w:rFonts w:ascii="Calibri" w:hAnsi="Calibri" w:cs="times-roman"/>
          <w:lang w:val="en-US" w:eastAsia="en-GB"/>
        </w:rPr>
        <w:t xml:space="preserve"> was 4.3±3.0</w:t>
      </w:r>
      <w:r w:rsidR="005852CA" w:rsidRPr="00BB7FFD">
        <w:rPr>
          <w:rFonts w:ascii="Calibri" w:hAnsi="Calibri" w:cs="times-roman"/>
          <w:lang w:val="en-US" w:eastAsia="en-GB"/>
        </w:rPr>
        <w:t xml:space="preserve"> years (range </w:t>
      </w:r>
      <w:r w:rsidR="00801EFF" w:rsidRPr="00BB7FFD">
        <w:rPr>
          <w:rFonts w:ascii="Calibri" w:hAnsi="Calibri" w:cs="times-roman"/>
          <w:lang w:val="en-US" w:eastAsia="en-GB"/>
        </w:rPr>
        <w:t>6</w:t>
      </w:r>
      <w:r w:rsidR="005852CA" w:rsidRPr="00BB7FFD">
        <w:rPr>
          <w:rFonts w:ascii="Calibri" w:hAnsi="Calibri" w:cs="times-roman"/>
          <w:lang w:val="en-US" w:eastAsia="en-GB"/>
        </w:rPr>
        <w:t xml:space="preserve"> months to </w:t>
      </w:r>
      <w:r w:rsidR="00801EFF" w:rsidRPr="00BB7FFD">
        <w:rPr>
          <w:rFonts w:ascii="Calibri" w:hAnsi="Calibri" w:cs="times-roman"/>
          <w:lang w:val="en-US" w:eastAsia="en-GB"/>
        </w:rPr>
        <w:t>13</w:t>
      </w:r>
      <w:r w:rsidR="005852CA" w:rsidRPr="00BB7FFD">
        <w:rPr>
          <w:rFonts w:ascii="Calibri" w:hAnsi="Calibri" w:cs="times-roman"/>
          <w:lang w:val="en-US" w:eastAsia="en-GB"/>
        </w:rPr>
        <w:t xml:space="preserve"> years).</w:t>
      </w:r>
    </w:p>
    <w:p w:rsidR="00B62426" w:rsidRPr="00923CE9" w:rsidRDefault="00B62426" w:rsidP="006C647A">
      <w:pPr>
        <w:spacing w:line="480" w:lineRule="auto"/>
        <w:rPr>
          <w:rFonts w:ascii="Calibri" w:hAnsi="Calibri"/>
          <w:lang w:val="en-US"/>
        </w:rPr>
      </w:pPr>
    </w:p>
    <w:p w:rsidR="00B62426" w:rsidRPr="004D3546" w:rsidRDefault="00B62426" w:rsidP="006C647A">
      <w:pPr>
        <w:spacing w:line="480" w:lineRule="auto"/>
        <w:rPr>
          <w:rFonts w:ascii="Calibri" w:hAnsi="Calibri"/>
          <w:u w:val="single"/>
          <w:lang w:val="en-US"/>
        </w:rPr>
      </w:pPr>
      <w:r w:rsidRPr="004D3546">
        <w:rPr>
          <w:rFonts w:ascii="Calibri" w:hAnsi="Calibri"/>
          <w:u w:val="single"/>
          <w:lang w:val="en-US"/>
        </w:rPr>
        <w:t>12-L</w:t>
      </w:r>
      <w:r w:rsidR="00DB6282" w:rsidRPr="004D3546">
        <w:rPr>
          <w:rFonts w:ascii="Calibri" w:hAnsi="Calibri"/>
          <w:u w:val="single"/>
          <w:lang w:val="en-US"/>
        </w:rPr>
        <w:t>ead Electrocardiography</w:t>
      </w:r>
    </w:p>
    <w:p w:rsidR="00B62426" w:rsidRDefault="00B62426" w:rsidP="006C647A">
      <w:pPr>
        <w:spacing w:line="480" w:lineRule="auto"/>
        <w:rPr>
          <w:rFonts w:ascii="Calibri" w:hAnsi="Calibri"/>
          <w:color w:val="000000"/>
          <w:lang w:val="en-US"/>
        </w:rPr>
      </w:pPr>
      <w:r w:rsidRPr="00167C0E">
        <w:rPr>
          <w:rFonts w:ascii="Calibri" w:hAnsi="Calibri"/>
          <w:color w:val="000000"/>
          <w:lang w:val="en-US"/>
        </w:rPr>
        <w:t>Standard 12-lead electrocardiography was performed with individuals in the supine position</w:t>
      </w:r>
      <w:r w:rsidR="002B76A9" w:rsidRPr="00167C0E">
        <w:rPr>
          <w:rFonts w:ascii="Calibri" w:hAnsi="Calibri"/>
          <w:color w:val="000000"/>
          <w:lang w:val="en-US"/>
        </w:rPr>
        <w:t>.</w:t>
      </w:r>
      <w:r w:rsidRPr="00167C0E">
        <w:rPr>
          <w:rFonts w:ascii="Calibri" w:hAnsi="Calibri"/>
          <w:color w:val="000000"/>
          <w:lang w:val="en-US"/>
        </w:rPr>
        <w:t xml:space="preserve"> T-wave inversion</w:t>
      </w:r>
      <w:r w:rsidR="00EC73DB">
        <w:rPr>
          <w:rFonts w:ascii="Calibri" w:hAnsi="Calibri"/>
          <w:color w:val="000000"/>
          <w:lang w:val="en-US"/>
        </w:rPr>
        <w:t xml:space="preserve"> of ≥</w:t>
      </w:r>
      <w:r w:rsidR="00167C0E" w:rsidRPr="00167C0E">
        <w:rPr>
          <w:rFonts w:ascii="Calibri" w:hAnsi="Calibri"/>
          <w:color w:val="000000"/>
          <w:lang w:val="en-US"/>
        </w:rPr>
        <w:t>-0.1 mV</w:t>
      </w:r>
      <w:r w:rsidRPr="00167C0E">
        <w:rPr>
          <w:rFonts w:ascii="Calibri" w:hAnsi="Calibri"/>
          <w:color w:val="000000"/>
          <w:lang w:val="en-US"/>
        </w:rPr>
        <w:t xml:space="preserve"> in </w:t>
      </w:r>
      <w:r w:rsidR="0077001F" w:rsidRPr="00167C0E">
        <w:rPr>
          <w:rFonts w:ascii="Calibri" w:hAnsi="Calibri"/>
          <w:color w:val="000000"/>
          <w:lang w:val="en-US"/>
        </w:rPr>
        <w:t>two</w:t>
      </w:r>
      <w:r w:rsidRPr="00167C0E">
        <w:rPr>
          <w:rFonts w:ascii="Calibri" w:hAnsi="Calibri"/>
          <w:color w:val="000000"/>
          <w:lang w:val="en-US"/>
        </w:rPr>
        <w:t xml:space="preserve"> or more contiguous leads w</w:t>
      </w:r>
      <w:r w:rsidR="009D009C" w:rsidRPr="00167C0E">
        <w:rPr>
          <w:rFonts w:ascii="Calibri" w:hAnsi="Calibri"/>
          <w:color w:val="000000"/>
          <w:lang w:val="en-US"/>
        </w:rPr>
        <w:t>as</w:t>
      </w:r>
      <w:r w:rsidRPr="00167C0E">
        <w:rPr>
          <w:rFonts w:ascii="Calibri" w:hAnsi="Calibri"/>
          <w:color w:val="000000"/>
          <w:lang w:val="en-US"/>
        </w:rPr>
        <w:t xml:space="preserve"> considered significant other than in leads V1</w:t>
      </w:r>
      <w:r w:rsidR="009D009C" w:rsidRPr="00167C0E">
        <w:rPr>
          <w:rFonts w:ascii="Calibri" w:hAnsi="Calibri"/>
          <w:color w:val="000000"/>
          <w:lang w:val="en-US"/>
        </w:rPr>
        <w:t>, aVR</w:t>
      </w:r>
      <w:r w:rsidRPr="00167C0E">
        <w:rPr>
          <w:rFonts w:ascii="Calibri" w:hAnsi="Calibri"/>
          <w:color w:val="000000"/>
          <w:lang w:val="en-US"/>
        </w:rPr>
        <w:t xml:space="preserve"> and III. </w:t>
      </w:r>
      <w:r w:rsidR="000F053F" w:rsidRPr="00167C0E">
        <w:rPr>
          <w:rFonts w:ascii="Calibri" w:hAnsi="Calibri"/>
          <w:color w:val="000000"/>
          <w:lang w:val="en-US"/>
        </w:rPr>
        <w:t>Deep T-wave inversion</w:t>
      </w:r>
      <w:r w:rsidR="00270D1F" w:rsidRPr="00167C0E">
        <w:rPr>
          <w:rFonts w:ascii="Calibri" w:hAnsi="Calibri"/>
          <w:color w:val="000000"/>
          <w:lang w:val="en-US"/>
        </w:rPr>
        <w:t xml:space="preserve"> </w:t>
      </w:r>
      <w:r w:rsidR="000F053F" w:rsidRPr="00167C0E">
        <w:rPr>
          <w:rFonts w:ascii="Calibri" w:hAnsi="Calibri"/>
          <w:color w:val="000000"/>
          <w:lang w:val="en-US"/>
        </w:rPr>
        <w:t>was</w:t>
      </w:r>
      <w:r w:rsidR="00270D1F" w:rsidRPr="00167C0E">
        <w:rPr>
          <w:rFonts w:ascii="Calibri" w:hAnsi="Calibri"/>
          <w:color w:val="000000"/>
          <w:lang w:val="en-US"/>
        </w:rPr>
        <w:t xml:space="preserve"> defined as a T-wave deflection </w:t>
      </w:r>
      <w:r w:rsidR="00EC73DB">
        <w:rPr>
          <w:rFonts w:ascii="Calibri" w:hAnsi="Calibri"/>
          <w:color w:val="000000"/>
          <w:lang w:val="en-US"/>
        </w:rPr>
        <w:t xml:space="preserve">of </w:t>
      </w:r>
      <w:r w:rsidR="00270D1F" w:rsidRPr="00167C0E">
        <w:rPr>
          <w:rFonts w:ascii="Calibri" w:hAnsi="Calibri"/>
          <w:color w:val="000000"/>
          <w:lang w:val="en-US"/>
        </w:rPr>
        <w:t xml:space="preserve">≥-0.2 mV. </w:t>
      </w:r>
      <w:r w:rsidR="00167C0E">
        <w:rPr>
          <w:rFonts w:ascii="Calibri" w:hAnsi="Calibri"/>
          <w:color w:val="000000"/>
          <w:lang w:val="en-US"/>
        </w:rPr>
        <w:t>ST-segment shift</w:t>
      </w:r>
      <w:r w:rsidR="00167C0E" w:rsidRPr="00167C0E">
        <w:rPr>
          <w:rFonts w:ascii="Calibri" w:hAnsi="Calibri"/>
          <w:color w:val="000000"/>
          <w:lang w:val="en-US"/>
        </w:rPr>
        <w:t xml:space="preserve"> </w:t>
      </w:r>
      <w:r w:rsidR="00EC73DB">
        <w:rPr>
          <w:rFonts w:ascii="Calibri" w:hAnsi="Calibri"/>
          <w:color w:val="000000"/>
          <w:lang w:val="en-US"/>
        </w:rPr>
        <w:t xml:space="preserve">of </w:t>
      </w:r>
      <w:r w:rsidR="00167C0E" w:rsidRPr="00167C0E">
        <w:rPr>
          <w:rFonts w:ascii="Calibri" w:hAnsi="Calibri"/>
          <w:color w:val="000000"/>
          <w:lang w:val="en-US"/>
        </w:rPr>
        <w:t>≥</w:t>
      </w:r>
      <w:r w:rsidR="00167C0E">
        <w:rPr>
          <w:rFonts w:ascii="Calibri" w:hAnsi="Calibri"/>
          <w:color w:val="000000"/>
          <w:lang w:val="en-US"/>
        </w:rPr>
        <w:t>-</w:t>
      </w:r>
      <w:r w:rsidR="00167C0E" w:rsidRPr="00167C0E">
        <w:rPr>
          <w:rFonts w:ascii="Calibri" w:hAnsi="Calibri"/>
          <w:color w:val="000000"/>
          <w:lang w:val="en-US"/>
        </w:rPr>
        <w:t>0.1 mV in ≥2 contiguous leads</w:t>
      </w:r>
      <w:r w:rsidR="00167C0E">
        <w:rPr>
          <w:rFonts w:ascii="Calibri" w:hAnsi="Calibri"/>
          <w:color w:val="000000"/>
          <w:lang w:val="en-US"/>
        </w:rPr>
        <w:t xml:space="preserve"> was considered significant</w:t>
      </w:r>
      <w:r w:rsidR="00167C0E" w:rsidRPr="00167C0E">
        <w:rPr>
          <w:rFonts w:ascii="Calibri" w:hAnsi="Calibri"/>
          <w:color w:val="000000"/>
          <w:lang w:val="en-US"/>
        </w:rPr>
        <w:t xml:space="preserve">. </w:t>
      </w:r>
      <w:r w:rsidR="00270D1F" w:rsidRPr="00167C0E">
        <w:rPr>
          <w:rFonts w:ascii="Calibri" w:hAnsi="Calibri"/>
          <w:color w:val="000000"/>
          <w:lang w:val="en-US"/>
        </w:rPr>
        <w:t>Left ventricular hypertrophy was identified using the Sokolow–Lyon criterion.</w:t>
      </w:r>
      <w:r w:rsidR="000F053F" w:rsidRPr="00167C0E">
        <w:rPr>
          <w:rFonts w:ascii="Calibri" w:hAnsi="Calibri"/>
          <w:color w:val="000000"/>
          <w:lang w:val="en-US"/>
        </w:rPr>
        <w:fldChar w:fldCharType="begin" w:fldLock="1"/>
      </w:r>
      <w:r w:rsidR="00843D9D">
        <w:rPr>
          <w:rFonts w:ascii="Calibri" w:hAnsi="Calibri"/>
          <w:color w:val="000000"/>
          <w:lang w:val="en-US"/>
        </w:rPr>
        <w:instrText>ADDIN CSL_CITATION { "citationItems" : [ { "id" : "ITEM-1", "itemData" : { "author" : [ { "dropping-particle" : "", "family" : "Sokolow", "given" : "Maurice", "non-dropping-particle" : "", "parse-names" : false, "suffix" : "" }, { "dropping-particle" : "", "family" : "Lyon", "given" : "Thomas", "non-dropping-particle" : "", "parse-names" : false, "suffix" : "" } ], "container-title" : "American Heart Journal", "id" : "ITEM-1", "issue" : "2", "issued" : { "date-parts" : [ [ "1949" ] ] }, "page" : "161-186", "title" : "The ventricular complex in left ventricular hypertrophy as obtained by unipolar precordial and limb leads", "type" : "article-journal", "volume" : "37" }, "uris" : [ "http://www.mendeley.com/documents/?uuid=0be63d1b-0092-469d-b00e-e0cf71b8ca95" ] } ], "mendeley" : { "formattedCitation" : "[18]", "plainTextFormattedCitation" : "[18]", "previouslyFormattedCitation" : "[18]" }, "properties" : { "noteIndex" : 0 }, "schema" : "https://github.com/citation-style-language/schema/raw/master/csl-citation.json" }</w:instrText>
      </w:r>
      <w:r w:rsidR="000F053F" w:rsidRPr="00167C0E">
        <w:rPr>
          <w:rFonts w:ascii="Calibri" w:hAnsi="Calibri"/>
          <w:color w:val="000000"/>
          <w:lang w:val="en-US"/>
        </w:rPr>
        <w:fldChar w:fldCharType="separate"/>
      </w:r>
      <w:r w:rsidR="00843D9D" w:rsidRPr="00843D9D">
        <w:rPr>
          <w:rFonts w:ascii="Calibri" w:hAnsi="Calibri"/>
          <w:noProof/>
          <w:color w:val="000000"/>
          <w:lang w:val="en-US"/>
        </w:rPr>
        <w:t>[18]</w:t>
      </w:r>
      <w:r w:rsidR="000F053F" w:rsidRPr="00167C0E">
        <w:rPr>
          <w:rFonts w:ascii="Calibri" w:hAnsi="Calibri"/>
          <w:color w:val="000000"/>
          <w:lang w:val="en-US"/>
        </w:rPr>
        <w:fldChar w:fldCharType="end"/>
      </w:r>
      <w:r w:rsidR="00270D1F" w:rsidRPr="00167C0E">
        <w:rPr>
          <w:rFonts w:ascii="Calibri" w:hAnsi="Calibri"/>
          <w:color w:val="000000"/>
          <w:lang w:val="en-US"/>
        </w:rPr>
        <w:t xml:space="preserve"> Q-waves were c</w:t>
      </w:r>
      <w:r w:rsidR="00EC73DB">
        <w:rPr>
          <w:rFonts w:ascii="Calibri" w:hAnsi="Calibri"/>
          <w:color w:val="000000"/>
          <w:lang w:val="en-US"/>
        </w:rPr>
        <w:t>onsidered pathological if ≥0.04 s</w:t>
      </w:r>
      <w:r w:rsidR="00270D1F" w:rsidRPr="00167C0E">
        <w:rPr>
          <w:rFonts w:ascii="Calibri" w:hAnsi="Calibri"/>
          <w:color w:val="000000"/>
          <w:lang w:val="en-US"/>
        </w:rPr>
        <w:t xml:space="preserve"> in duration or ≥25% of t</w:t>
      </w:r>
      <w:r w:rsidR="00030036" w:rsidRPr="00167C0E">
        <w:rPr>
          <w:rFonts w:ascii="Calibri" w:hAnsi="Calibri"/>
          <w:color w:val="000000"/>
          <w:lang w:val="en-US"/>
        </w:rPr>
        <w:t>he height of the ensuing R-wave</w:t>
      </w:r>
      <w:r w:rsidR="00270D1F" w:rsidRPr="00167C0E">
        <w:rPr>
          <w:rFonts w:ascii="Calibri" w:hAnsi="Calibri"/>
          <w:color w:val="000000"/>
          <w:lang w:val="en-US"/>
        </w:rPr>
        <w:t>.</w:t>
      </w:r>
    </w:p>
    <w:p w:rsidR="000F053F" w:rsidRDefault="000F053F" w:rsidP="006C647A">
      <w:pPr>
        <w:spacing w:line="480" w:lineRule="auto"/>
        <w:rPr>
          <w:rFonts w:ascii="Calibri" w:hAnsi="Calibri"/>
          <w:color w:val="FF0000"/>
          <w:lang w:val="en-US"/>
        </w:rPr>
      </w:pPr>
    </w:p>
    <w:p w:rsidR="00B62426" w:rsidRPr="004D3546" w:rsidRDefault="00604C0D" w:rsidP="006C647A">
      <w:pPr>
        <w:spacing w:line="480" w:lineRule="auto"/>
        <w:rPr>
          <w:rFonts w:ascii="Calibri" w:hAnsi="Calibri"/>
          <w:u w:val="single"/>
          <w:lang w:val="en-US"/>
        </w:rPr>
      </w:pPr>
      <w:r w:rsidRPr="004D3546">
        <w:rPr>
          <w:rFonts w:ascii="Calibri" w:hAnsi="Calibri"/>
          <w:u w:val="single"/>
          <w:lang w:val="en-US"/>
        </w:rPr>
        <w:t>Echocardiography</w:t>
      </w:r>
    </w:p>
    <w:p w:rsidR="00B62426" w:rsidRPr="00923CE9" w:rsidRDefault="00B62426" w:rsidP="006C647A">
      <w:pPr>
        <w:spacing w:line="480" w:lineRule="auto"/>
        <w:rPr>
          <w:rFonts w:ascii="Calibri" w:hAnsi="Calibri"/>
          <w:lang w:val="en-US"/>
        </w:rPr>
      </w:pPr>
      <w:r w:rsidRPr="00923CE9">
        <w:rPr>
          <w:rFonts w:ascii="Calibri" w:hAnsi="Calibri"/>
          <w:lang w:val="en-US"/>
        </w:rPr>
        <w:t xml:space="preserve">Standard views of the heart were obtained and </w:t>
      </w:r>
      <w:r w:rsidR="00895ED4" w:rsidRPr="00923CE9">
        <w:rPr>
          <w:rFonts w:ascii="Calibri" w:hAnsi="Calibri"/>
          <w:lang w:val="en-US"/>
        </w:rPr>
        <w:t>analyzed</w:t>
      </w:r>
      <w:r w:rsidRPr="00923CE9">
        <w:rPr>
          <w:rFonts w:ascii="Calibri" w:hAnsi="Calibri"/>
          <w:lang w:val="en-US"/>
        </w:rPr>
        <w:t xml:space="preserve"> in accordance with European Society of Echocardiography</w:t>
      </w:r>
      <w:r w:rsidR="00C148F5">
        <w:rPr>
          <w:rFonts w:ascii="Calibri" w:hAnsi="Calibri"/>
          <w:lang w:val="en-US"/>
        </w:rPr>
        <w:t>.</w:t>
      </w:r>
      <w:r w:rsidRPr="00923CE9">
        <w:rPr>
          <w:rFonts w:ascii="Calibri" w:hAnsi="Calibri"/>
          <w:lang w:val="en-US"/>
        </w:rPr>
        <w:fldChar w:fldCharType="begin" w:fldLock="1"/>
      </w:r>
      <w:r w:rsidR="00843D9D">
        <w:rPr>
          <w:rFonts w:ascii="Calibri" w:hAnsi="Calibri"/>
          <w:lang w:val="en-US"/>
        </w:rPr>
        <w:instrText>ADDIN CSL_CITATION { "citationItems" : [ { "id" : "ITEM-1", "itemData" : { "DOI" : "10.1016/j.euje.2005.12.014", "ISSN" : "1525-2167", "PMID" : "16458610", "abstract" : "Quantification of cardiac chamber size, ventricular mass and function ranks among the most clinically important and most frequently requested tasks of echocardiography. Over the last decades, echocardiographic methods and techniques have improved and expanded dramatically, due to the introduction of higher frequency transducers, harmonic imaging, fully digital machines, left-sided contrast agents, and other technological advancements. Furthermore, echocardiography due to its portability and versatility is now used in emergency rooms, operating rooms, and intensive care units. Standardization of measurements in echocardiography has been inconsistent and less successful, compared to other imaging techniques and consequently, echocardiographic measurements are sometimes perceived as less reliable. Therefore, the American Society of Echocardiography, working together with the European Association of Echocardiography, a branch of the European Society of Cardiology, has critically reviewed the literature and updated the recommendations for quantifying cardiac chambers using echocardiography. This document reviews the technical aspects on how to perform quantitative chamber measurements of morphology and function, which is a component of every complete echocardiographic examination.", "author" : [ { "dropping-particle" : "", "family" : "Lang", "given" : "Roberto M", "non-dropping-particle" : "", "parse-names" : false, "suffix" : "" }, { "dropping-particle" : "", "family" : "Bierig", "given" : "Michelle", "non-dropping-particle" : "", "parse-names" : false, "suffix" : "" }, { "dropping-particle" : "", "family" : "Devereux", "given" : "Richard B", "non-dropping-particle" : "", "parse-names" : false, "suffix" : "" }, { "dropping-particle" : "", "family" : "Flachskampf", "given" : "Frank A", "non-dropping-particle" : "", "parse-names" : false, "suffix" : "" }, { "dropping-particle" : "", "family" : "Foster", "given" : "Elyse", "non-dropping-particle" : "", "parse-names" : false, "suffix" : "" }, { "dropping-particle" : "", "family" : "Pellikka", "given" : "Patricia A", "non-dropping-particle" : "", "parse-names" : false, "suffix" : "" }, { "dropping-particle" : "", "family" : "Picard", "given" : "Michael H", "non-dropping-particle" : "", "parse-names" : false, "suffix" : "" }, { "dropping-particle" : "", "family" : "Roman", "given" : "Mary J", "non-dropping-particle" : "", "parse-names" : false, "suffix" : "" }, { "dropping-particle" : "", "family" : "Seward", "given" : "James", "non-dropping-particle" : "", "parse-names" : false, "suffix" : "" }, { "dropping-particle" : "", "family" : "Shanewise", "given" : "Jack", "non-dropping-particle" : "", "parse-names" : false, "suffix" : "" }, { "dropping-particle" : "", "family" : "Solomon", "given" : "Scott", "non-dropping-particle" : "", "parse-names" : false, "suffix" : "" }, { "dropping-particle" : "", "family" : "Spencer", "given" : "Kirk T", "non-dropping-particle" : "", "parse-names" : false, "suffix" : "" }, { "dropping-particle" : "", "family" : "St John Sutton", "given" : "Martin", "non-dropping-particle" : "", "parse-names" : false, "suffix" : "" }, { "dropping-particle" : "", "family" : "Stewart", "given" : "William", "non-dropping-particle" : "", "parse-names" : false, "suffix" : "" } ], "container-title" : "European Journal of Echocardiography", "id" : "ITEM-1", "issue" : "2", "issued" : { "date-parts" : [ [ "2006", "3" ] ] }, "page" : "79-108", "title" : "Recommendations for chamber quantification.", "type" : "article-journal", "volume" : "7" }, "uris" : [ "http://www.mendeley.com/documents/?uuid=dd6ae11e-5674-4eb8-97b9-5177427c3a1e" ] } ], "mendeley" : { "formattedCitation" : "[19]", "plainTextFormattedCitation" : "[19]", "previouslyFormattedCitation" : "[19]" }, "properties" : { "noteIndex" : 0 }, "schema" : "https://github.com/citation-style-language/schema/raw/master/csl-citation.json" }</w:instrText>
      </w:r>
      <w:r w:rsidRPr="00923CE9">
        <w:rPr>
          <w:rFonts w:ascii="Calibri" w:hAnsi="Calibri"/>
          <w:lang w:val="en-US"/>
        </w:rPr>
        <w:fldChar w:fldCharType="separate"/>
      </w:r>
      <w:r w:rsidR="00843D9D" w:rsidRPr="00843D9D">
        <w:rPr>
          <w:rFonts w:ascii="Calibri" w:hAnsi="Calibri"/>
          <w:noProof/>
          <w:lang w:val="en-US"/>
        </w:rPr>
        <w:t>[19]</w:t>
      </w:r>
      <w:r w:rsidRPr="00923CE9">
        <w:rPr>
          <w:rFonts w:ascii="Calibri" w:hAnsi="Calibri"/>
          <w:lang w:val="en-US"/>
        </w:rPr>
        <w:fldChar w:fldCharType="end"/>
      </w:r>
      <w:r w:rsidR="00183715">
        <w:rPr>
          <w:rFonts w:ascii="Calibri" w:hAnsi="Calibri"/>
          <w:lang w:val="en-US"/>
        </w:rPr>
        <w:t xml:space="preserve"> Left</w:t>
      </w:r>
      <w:r w:rsidR="00B56BAA">
        <w:rPr>
          <w:rFonts w:ascii="Calibri" w:hAnsi="Calibri"/>
          <w:lang w:val="en-US"/>
        </w:rPr>
        <w:t xml:space="preserve"> ventricular</w:t>
      </w:r>
      <w:r w:rsidRPr="00923CE9">
        <w:rPr>
          <w:rFonts w:ascii="Calibri" w:hAnsi="Calibri"/>
          <w:lang w:val="en-US"/>
        </w:rPr>
        <w:t xml:space="preserve"> ejection f</w:t>
      </w:r>
      <w:r w:rsidR="0067647E">
        <w:rPr>
          <w:rFonts w:ascii="Calibri" w:hAnsi="Calibri"/>
          <w:lang w:val="en-US"/>
        </w:rPr>
        <w:t xml:space="preserve">raction </w:t>
      </w:r>
      <w:r w:rsidR="0096715C">
        <w:rPr>
          <w:rFonts w:ascii="Calibri" w:hAnsi="Calibri"/>
          <w:lang w:val="en-US"/>
        </w:rPr>
        <w:t>was calc</w:t>
      </w:r>
      <w:r w:rsidR="0067647E">
        <w:rPr>
          <w:rFonts w:ascii="Calibri" w:hAnsi="Calibri"/>
          <w:lang w:val="en-US"/>
        </w:rPr>
        <w:t>ulated</w:t>
      </w:r>
      <w:r w:rsidR="00C148F5">
        <w:rPr>
          <w:rFonts w:ascii="Calibri" w:hAnsi="Calibri"/>
          <w:lang w:val="en-US"/>
        </w:rPr>
        <w:t xml:space="preserve"> using Simpson’s method.</w:t>
      </w:r>
      <w:r w:rsidRPr="00923CE9">
        <w:rPr>
          <w:rFonts w:ascii="Calibri" w:hAnsi="Calibri"/>
          <w:lang w:val="en-US"/>
        </w:rPr>
        <w:fldChar w:fldCharType="begin" w:fldLock="1"/>
      </w:r>
      <w:r w:rsidR="00843D9D">
        <w:rPr>
          <w:rFonts w:ascii="Calibri" w:hAnsi="Calibri"/>
          <w:lang w:val="en-US"/>
        </w:rPr>
        <w:instrText>ADDIN CSL_CITATION { "citationItems" : [ { "id" : "ITEM-1", "itemData" : { "ISSN" : "0194-911X", "PMID" : "2948914", "abstract" : "Because of its simplicity, widespread availability, relatively low cost, and lack of adverse effects, M-mode echocardiography has become the most widely used technique for measurement of human left ventricular mass. Necropsy comparison studies have yielded formulas for anatomically accurate estimation of left ventricular mass in patients with normally shaped ventricles using left ventricular measurements by either Penn or American Society of Echocardiography conventions, but M-mode methods are less accurate in abnormally shaped ventricles. The standard error of M-mode echocardiographic left ventricular mass measurements is approximately 40 g under difficult clinical recording conditions and 30 g or less for research studies of stable subjects. Interstudy variability of mass estimates appeared somewhat lower, resulting in 95% confidence limits for serial change up to 58 g for individual subjects and up to 10 g for study populations of 34 patients or more. The accuracy of M-mode echocardiography for measurement of left ventricular mass is similar to that of contrast angiography but may be exceeded by newer methods with greater cost or radiation exposure, including magnetic resonance imaging, cine-computed tomography, and three-dimensional echocardiographic reconstruction. Identification of left ventricular hypertrophy needs to take into account the influence of sex and body size, the variables that most influence normal ventricular mass, with provisional criteria for recognition of hypertrophy being left ventricular mass index over 134 g/m2 in men and above 110 g/m2 in women.", "author" : [ { "dropping-particle" : "", "family" : "Devereux", "given" : "R B", "non-dropping-particle" : "", "parse-names" : false, "suffix" : "" } ], "container-title" : "Hypertension", "id" : "ITEM-1", "issue" : "2 Pt 2", "issued" : { "date-parts" : [ [ "1987", "2" ] ] }, "page" : "II19-26", "title" : "Detection of left ventricular hypertrophy by M-mode echocardiography. Anatomic validation, standardization, and comparison to other methods.", "type" : "article-journal", "volume" : "9" }, "uris" : [ "http://www.mendeley.com/documents/?uuid=c1aed6a5-e1f4-4627-89f4-c0d28d66f3a8" ] } ], "mendeley" : { "formattedCitation" : "[20]", "plainTextFormattedCitation" : "[20]", "previouslyFormattedCitation" : "[20]" }, "properties" : { "noteIndex" : 0 }, "schema" : "https://github.com/citation-style-language/schema/raw/master/csl-citation.json" }</w:instrText>
      </w:r>
      <w:r w:rsidRPr="00923CE9">
        <w:rPr>
          <w:rFonts w:ascii="Calibri" w:hAnsi="Calibri"/>
          <w:lang w:val="en-US"/>
        </w:rPr>
        <w:fldChar w:fldCharType="separate"/>
      </w:r>
      <w:r w:rsidR="00843D9D" w:rsidRPr="00843D9D">
        <w:rPr>
          <w:rFonts w:ascii="Calibri" w:hAnsi="Calibri"/>
          <w:noProof/>
          <w:lang w:val="en-US"/>
        </w:rPr>
        <w:t>[20]</w:t>
      </w:r>
      <w:r w:rsidRPr="00923CE9">
        <w:rPr>
          <w:rFonts w:ascii="Calibri" w:hAnsi="Calibri"/>
          <w:lang w:val="en-US"/>
        </w:rPr>
        <w:fldChar w:fldCharType="end"/>
      </w:r>
      <w:r w:rsidRPr="00923CE9">
        <w:rPr>
          <w:rFonts w:ascii="Calibri" w:hAnsi="Calibri"/>
          <w:lang w:val="en-US"/>
        </w:rPr>
        <w:t xml:space="preserve"> Indices of diastolic function were assessed in the apical 4-chamber view with pul</w:t>
      </w:r>
      <w:r w:rsidR="002B76A9" w:rsidRPr="00923CE9">
        <w:rPr>
          <w:rFonts w:ascii="Calibri" w:hAnsi="Calibri"/>
          <w:lang w:val="en-US"/>
        </w:rPr>
        <w:t>sed-wave Doppler across the mitral valve</w:t>
      </w:r>
      <w:r w:rsidRPr="00923CE9">
        <w:rPr>
          <w:rFonts w:ascii="Calibri" w:hAnsi="Calibri"/>
          <w:lang w:val="en-US"/>
        </w:rPr>
        <w:t xml:space="preserve"> and tissue Doppler imaging of the septal and lateral mitral valve annulus</w:t>
      </w:r>
      <w:r w:rsidR="00C148F5">
        <w:rPr>
          <w:rFonts w:ascii="Calibri" w:hAnsi="Calibri"/>
          <w:lang w:val="en-US"/>
        </w:rPr>
        <w:t>.</w:t>
      </w:r>
      <w:r w:rsidRPr="00923CE9">
        <w:rPr>
          <w:rFonts w:ascii="Calibri" w:hAnsi="Calibri"/>
          <w:lang w:val="en-US"/>
        </w:rPr>
        <w:fldChar w:fldCharType="begin" w:fldLock="1"/>
      </w:r>
      <w:r w:rsidR="00843D9D">
        <w:rPr>
          <w:rFonts w:ascii="Calibri" w:hAnsi="Calibri"/>
          <w:lang w:val="en-US"/>
        </w:rPr>
        <w:instrText>ADDIN CSL_CITATION { "citationItems" : [ { "id" : "ITEM-1", "itemData" : { "DOI" : "10.1067/mje.2002.120202", "ISSN" : "08947317", "author" : [ { "dropping-particle" : "", "family" : "Qui\u00f1ones", "given" : "Miguel a.", "non-dropping-particle" : "", "parse-names" : false, "suffix" : "" }, { "dropping-particle" : "", "family" : "Otto", "given" : "Catherine M.", "non-dropping-particle" : "", "parse-names" : false, "suffix" : "" }, { "dropping-particle" : "", "family" : "Stoddard", "given" : "Marcus", "non-dropping-particle" : "", "parse-names" : false, "suffix" : "" }, { "dropping-particle" : "", "family" : "Waggoner", "given" : "Alan", "non-dropping-particle" : "", "parse-names" : false, "suffix" : "" }, { "dropping-particle" : "", "family" : "Zoghbi", "given" : "William a.", "non-dropping-particle" : "", "parse-names" : false, "suffix" : "" } ], "container-title" : "Journal of the American Society of Echocardiography", "id" : "ITEM-1", "issue" : "2", "issued" : { "date-parts" : [ [ "2002", "2" ] ] }, "page" : "167-184", "title" : "Recommendations for quantification of Doppler echocardiography", "type" : "article-journal", "volume" : "15" }, "uris" : [ "http://www.mendeley.com/documents/?uuid=a4f268ed-38e2-4a1c-b99a-01222a807cf9" ] } ], "mendeley" : { "formattedCitation" : "[21]", "plainTextFormattedCitation" : "[21]", "previouslyFormattedCitation" : "[21]" }, "properties" : { "noteIndex" : 0 }, "schema" : "https://github.com/citation-style-language/schema/raw/master/csl-citation.json" }</w:instrText>
      </w:r>
      <w:r w:rsidRPr="00923CE9">
        <w:rPr>
          <w:rFonts w:ascii="Calibri" w:hAnsi="Calibri"/>
          <w:lang w:val="en-US"/>
        </w:rPr>
        <w:fldChar w:fldCharType="separate"/>
      </w:r>
      <w:r w:rsidR="00843D9D" w:rsidRPr="00843D9D">
        <w:rPr>
          <w:rFonts w:ascii="Calibri" w:hAnsi="Calibri"/>
          <w:noProof/>
          <w:lang w:val="en-US"/>
        </w:rPr>
        <w:t>[21]</w:t>
      </w:r>
      <w:r w:rsidRPr="00923CE9">
        <w:rPr>
          <w:rFonts w:ascii="Calibri" w:hAnsi="Calibri"/>
          <w:lang w:val="en-US"/>
        </w:rPr>
        <w:fldChar w:fldCharType="end"/>
      </w:r>
    </w:p>
    <w:p w:rsidR="00B62426" w:rsidRPr="00923CE9" w:rsidRDefault="00B62426" w:rsidP="006C647A">
      <w:pPr>
        <w:spacing w:line="480" w:lineRule="auto"/>
        <w:rPr>
          <w:rFonts w:ascii="Calibri" w:hAnsi="Calibri"/>
          <w:color w:val="FF0000"/>
          <w:lang w:val="en-US"/>
        </w:rPr>
      </w:pPr>
    </w:p>
    <w:p w:rsidR="00B62426" w:rsidRPr="004D3546" w:rsidRDefault="00B62426" w:rsidP="006C647A">
      <w:pPr>
        <w:spacing w:line="480" w:lineRule="auto"/>
        <w:rPr>
          <w:rFonts w:ascii="Calibri" w:hAnsi="Calibri"/>
          <w:u w:val="single"/>
          <w:lang w:val="en-US"/>
        </w:rPr>
      </w:pPr>
      <w:r w:rsidRPr="004D3546">
        <w:rPr>
          <w:rFonts w:ascii="Calibri" w:hAnsi="Calibri"/>
          <w:u w:val="single"/>
          <w:lang w:val="en-US"/>
        </w:rPr>
        <w:t>E</w:t>
      </w:r>
      <w:r w:rsidR="00604C0D" w:rsidRPr="004D3546">
        <w:rPr>
          <w:rFonts w:ascii="Calibri" w:hAnsi="Calibri"/>
          <w:u w:val="single"/>
          <w:lang w:val="en-US"/>
        </w:rPr>
        <w:t>xercise Stress Testing</w:t>
      </w:r>
    </w:p>
    <w:p w:rsidR="00B62426" w:rsidRPr="00923CE9" w:rsidRDefault="00DA5CF3" w:rsidP="006C647A">
      <w:pPr>
        <w:spacing w:line="480" w:lineRule="auto"/>
        <w:rPr>
          <w:rFonts w:ascii="Calibri" w:hAnsi="Calibri"/>
          <w:lang w:val="en-US"/>
        </w:rPr>
      </w:pPr>
      <w:r>
        <w:rPr>
          <w:rFonts w:ascii="Calibri" w:hAnsi="Calibri"/>
          <w:lang w:val="en-US"/>
        </w:rPr>
        <w:t>All patients</w:t>
      </w:r>
      <w:r w:rsidR="00B62426" w:rsidRPr="00923CE9">
        <w:rPr>
          <w:rFonts w:ascii="Calibri" w:hAnsi="Calibri"/>
          <w:lang w:val="en-US"/>
        </w:rPr>
        <w:t xml:space="preserve"> w</w:t>
      </w:r>
      <w:r w:rsidR="00424D9E">
        <w:rPr>
          <w:rFonts w:ascii="Calibri" w:hAnsi="Calibri"/>
          <w:lang w:val="en-US"/>
        </w:rPr>
        <w:t>ere exercised to</w:t>
      </w:r>
      <w:r w:rsidR="00B62426" w:rsidRPr="00923CE9">
        <w:rPr>
          <w:rFonts w:ascii="Calibri" w:hAnsi="Calibri"/>
          <w:lang w:val="en-US"/>
        </w:rPr>
        <w:t xml:space="preserve"> exhaustion using the standard Bruce protocol on a</w:t>
      </w:r>
      <w:r w:rsidR="00C148F5">
        <w:rPr>
          <w:rFonts w:ascii="Calibri" w:hAnsi="Calibri"/>
          <w:lang w:val="en-US"/>
        </w:rPr>
        <w:t>n upright treadmill stress test.</w:t>
      </w:r>
      <w:r w:rsidR="00B62426" w:rsidRPr="00923CE9">
        <w:rPr>
          <w:rFonts w:ascii="Calibri" w:hAnsi="Calibri"/>
          <w:lang w:val="en-US"/>
        </w:rPr>
        <w:fldChar w:fldCharType="begin" w:fldLock="1"/>
      </w:r>
      <w:r w:rsidR="00843D9D">
        <w:rPr>
          <w:rFonts w:ascii="Calibri" w:hAnsi="Calibri"/>
          <w:lang w:val="en-US"/>
        </w:rPr>
        <w:instrText>ADDIN CSL_CITATION { "citationItems" : [ { "id" : "ITEM-1", "itemData" : { "PMID" : "5156892", "author" : [ { "dropping-particle" : "", "family" : "Bruce", "given" : "R A", "non-dropping-particle" : "", "parse-names" : false, "suffix" : "" } ], "container-title" : "Ann Clin Res", "id" : "ITEM-1", "issue" : "6", "issued" : { "date-parts" : [ [ "1971" ] ] }, "page" : "323-332", "title" : "Exercise testing of patients with coronary heart disease. Principles and normal standards for evaluation.", "type" : "article-journal", "volume" : "3" }, "uris" : [ "http://www.mendeley.com/documents/?uuid=5382d9f9-a4e1-4c9b-8967-f01198d1fdb8" ] } ], "mendeley" : { "formattedCitation" : "[22]", "plainTextFormattedCitation" : "[22]", "previouslyFormattedCitation" : "[22]" }, "properties" : { "noteIndex" : 0 }, "schema" : "https://github.com/citation-style-language/schema/raw/master/csl-citation.json" }</w:instrText>
      </w:r>
      <w:r w:rsidR="00B62426" w:rsidRPr="00923CE9">
        <w:rPr>
          <w:rFonts w:ascii="Calibri" w:hAnsi="Calibri"/>
          <w:lang w:val="en-US"/>
        </w:rPr>
        <w:fldChar w:fldCharType="separate"/>
      </w:r>
      <w:r w:rsidR="00843D9D" w:rsidRPr="00843D9D">
        <w:rPr>
          <w:rFonts w:ascii="Calibri" w:hAnsi="Calibri"/>
          <w:noProof/>
          <w:lang w:val="en-US"/>
        </w:rPr>
        <w:t>[22]</w:t>
      </w:r>
      <w:r w:rsidR="00B62426" w:rsidRPr="00923CE9">
        <w:rPr>
          <w:rFonts w:ascii="Calibri" w:hAnsi="Calibri"/>
          <w:lang w:val="en-US"/>
        </w:rPr>
        <w:fldChar w:fldCharType="end"/>
      </w:r>
      <w:r w:rsidR="00B62426" w:rsidRPr="00923CE9">
        <w:rPr>
          <w:rFonts w:ascii="Calibri" w:hAnsi="Calibri"/>
          <w:lang w:val="en-US"/>
        </w:rPr>
        <w:t xml:space="preserve"> Blood pressure measurements and ECG readings were taken at </w:t>
      </w:r>
      <w:r w:rsidR="0077001F" w:rsidRPr="00923CE9">
        <w:rPr>
          <w:rFonts w:ascii="Calibri" w:hAnsi="Calibri"/>
          <w:lang w:val="en-US"/>
        </w:rPr>
        <w:t>one-minute</w:t>
      </w:r>
      <w:r w:rsidR="00B62426" w:rsidRPr="00923CE9">
        <w:rPr>
          <w:rFonts w:ascii="Calibri" w:hAnsi="Calibri"/>
          <w:lang w:val="en-US"/>
        </w:rPr>
        <w:t xml:space="preserve"> intervals and </w:t>
      </w:r>
      <w:r w:rsidR="00895ED4" w:rsidRPr="00923CE9">
        <w:rPr>
          <w:rFonts w:ascii="Calibri" w:hAnsi="Calibri"/>
          <w:lang w:val="en-US"/>
        </w:rPr>
        <w:t>analyzed</w:t>
      </w:r>
      <w:r w:rsidR="00424D9E">
        <w:rPr>
          <w:rFonts w:ascii="Calibri" w:hAnsi="Calibri"/>
          <w:lang w:val="en-US"/>
        </w:rPr>
        <w:t xml:space="preserve"> specifically for</w:t>
      </w:r>
      <w:r w:rsidR="00B62426" w:rsidRPr="00923CE9">
        <w:rPr>
          <w:rFonts w:ascii="Calibri" w:hAnsi="Calibri"/>
          <w:lang w:val="en-US"/>
        </w:rPr>
        <w:t xml:space="preserve"> arrhythmias. A systol</w:t>
      </w:r>
      <w:r w:rsidR="00B74348">
        <w:rPr>
          <w:rFonts w:ascii="Calibri" w:hAnsi="Calibri"/>
          <w:lang w:val="en-US"/>
        </w:rPr>
        <w:t>ic BP</w:t>
      </w:r>
      <w:r w:rsidR="009D2F49" w:rsidRPr="00923CE9">
        <w:rPr>
          <w:rFonts w:ascii="Calibri" w:hAnsi="Calibri"/>
          <w:lang w:val="en-US"/>
        </w:rPr>
        <w:t xml:space="preserve"> rise</w:t>
      </w:r>
      <w:r w:rsidR="00B62426" w:rsidRPr="00923CE9">
        <w:rPr>
          <w:rFonts w:ascii="Calibri" w:hAnsi="Calibri"/>
          <w:lang w:val="en-US"/>
        </w:rPr>
        <w:t xml:space="preserve"> of &gt;25mmHg from baseline to peak exercise was considered normal</w:t>
      </w:r>
      <w:r w:rsidR="00C148F5">
        <w:rPr>
          <w:rFonts w:ascii="Calibri" w:hAnsi="Calibri"/>
          <w:lang w:val="en-US"/>
        </w:rPr>
        <w:t>.</w:t>
      </w:r>
      <w:r w:rsidR="00B62426" w:rsidRPr="00923CE9">
        <w:rPr>
          <w:rFonts w:ascii="Calibri" w:hAnsi="Calibri"/>
          <w:lang w:val="en-US"/>
        </w:rPr>
        <w:fldChar w:fldCharType="begin" w:fldLock="1"/>
      </w:r>
      <w:r w:rsidR="00843D9D">
        <w:rPr>
          <w:rFonts w:ascii="Calibri" w:hAnsi="Calibri"/>
          <w:lang w:val="en-US"/>
        </w:rPr>
        <w:instrText>ADDIN CSL_CITATION { "citationItems" : [ { "id" : "ITEM-1", "itemData" : { "DOI" : "10.1161/01.CIR.82.6.1995", "ISSN" : "0009-7322", "PMID" : "2242524", "abstract" : "To investigate the incidence of abnormal exercise blood pressure responses in hypertrophic cardiomyopathy (HCM) and the potential role of hemodynamic instability as a mechanism of sudden death, 129 consecutive patients with HCM underwent maximal symptom-limited treadmill exercise testing with blood pressure recording. Four patterns of blood pressure response were observed. Forty-three patients had significant exercise hypotension, with either a continuous fall in systolic blood pressure (n = 5) from the start of exercise or a sudden fall in systolic blood pressure (20-100 mm Hg; mean, 40 mm Hg) from the peak value (n = 38), 23 patients had a normal response during exercise but an abnormal blood pressure response in the recovery period, and the remaining 62 patients demonstrated a normal blood pressure response. Patients with exercise hypotension were younger (33 14 versus 46 14 years) and more of them had a family history of HCM and sudden death compared with those with a normal blood pressure response (15 of 43 versus 6 of 62 patients). Similarly, the 23 patients with abnormal recovery blood pressure responses were younger (43 16 versus 46 14 years) and had a higher incidence of a family history of sudden death (10 of 24 versus 6 of 62 patients). Left ventricular cavity dimensions were smaller in those with exercise hypotension, but 11 other clinical, echocardiographic, and arrhythmic variables were similar. To assess the mechanism of exercise hypotension, 14 patients who demonstrated exercise hypotension and 14 symptomatic patients with a normal exercise blood pressure response underwent invasive hemodynamic exercise testing.", "author" : [ { "dropping-particle" : "", "family" : "Frenneaux", "given" : "M. P.", "non-dropping-particle" : "", "parse-names" : false, "suffix" : "" }, { "dropping-particle" : "", "family" : "Counihan", "given" : "P. J.", "non-dropping-particle" : "", "parse-names" : false, "suffix" : "" }, { "dropping-particle" : "", "family" : "Caforio", "given" : "a. L.", "non-dropping-particle" : "", "parse-names" : false, "suffix" : "" }, { "dropping-particle" : "", "family" : "Chikamori", "given" : "T.", "non-dropping-particle" : "", "parse-names" : false, "suffix" : "" }, { "dropping-particle" : "", "family" : "McKenna", "given" : "W. J.", "non-dropping-particle" : "", "parse-names" : false, "suffix" : "" } ], "container-title" : "Circulation", "id" : "ITEM-1", "issue" : "6", "issued" : { "date-parts" : [ [ "1990", "12", "1" ] ] }, "page" : "1995-2002", "title" : "Abnormal blood pressure response during exercise in hypertrophic cardiomyopathy.", "type" : "article-journal", "volume" : "82" }, "uris" : [ "http://www.mendeley.com/documents/?uuid=56811ea5-e381-4e72-a161-53c1a7c7dbab" ] } ], "mendeley" : { "formattedCitation" : "[23]", "plainTextFormattedCitation" : "[23]", "previouslyFormattedCitation" : "[23]" }, "properties" : { "noteIndex" : 0 }, "schema" : "https://github.com/citation-style-language/schema/raw/master/csl-citation.json" }</w:instrText>
      </w:r>
      <w:r w:rsidR="00B62426" w:rsidRPr="00923CE9">
        <w:rPr>
          <w:rFonts w:ascii="Calibri" w:hAnsi="Calibri"/>
          <w:lang w:val="en-US"/>
        </w:rPr>
        <w:fldChar w:fldCharType="separate"/>
      </w:r>
      <w:r w:rsidR="00843D9D" w:rsidRPr="00843D9D">
        <w:rPr>
          <w:rFonts w:ascii="Calibri" w:hAnsi="Calibri"/>
          <w:noProof/>
          <w:lang w:val="en-US"/>
        </w:rPr>
        <w:t>[23]</w:t>
      </w:r>
      <w:r w:rsidR="00B62426" w:rsidRPr="00923CE9">
        <w:rPr>
          <w:rFonts w:ascii="Calibri" w:hAnsi="Calibri"/>
          <w:lang w:val="en-US"/>
        </w:rPr>
        <w:fldChar w:fldCharType="end"/>
      </w:r>
    </w:p>
    <w:p w:rsidR="00971D85" w:rsidRDefault="00971D85" w:rsidP="006C647A">
      <w:pPr>
        <w:spacing w:line="480" w:lineRule="auto"/>
        <w:rPr>
          <w:rFonts w:ascii="Calibri" w:hAnsi="Calibri"/>
          <w:b/>
          <w:lang w:val="en-US"/>
        </w:rPr>
      </w:pPr>
    </w:p>
    <w:p w:rsidR="00B62426" w:rsidRPr="004D3546" w:rsidRDefault="00B62426" w:rsidP="006C647A">
      <w:pPr>
        <w:spacing w:line="480" w:lineRule="auto"/>
        <w:rPr>
          <w:rFonts w:ascii="Calibri" w:hAnsi="Calibri"/>
          <w:u w:val="single"/>
          <w:lang w:val="en-US"/>
        </w:rPr>
      </w:pPr>
      <w:r w:rsidRPr="004D3546">
        <w:rPr>
          <w:rFonts w:ascii="Calibri" w:hAnsi="Calibri"/>
          <w:u w:val="single"/>
          <w:lang w:val="en-US"/>
        </w:rPr>
        <w:t>24-</w:t>
      </w:r>
      <w:r w:rsidR="00604C0D" w:rsidRPr="004D3546">
        <w:rPr>
          <w:rFonts w:ascii="Calibri" w:hAnsi="Calibri"/>
          <w:u w:val="single"/>
          <w:lang w:val="en-US"/>
        </w:rPr>
        <w:t>Hour Ambulatory ECG Monitoring</w:t>
      </w:r>
    </w:p>
    <w:p w:rsidR="00B62426" w:rsidRPr="00923CE9" w:rsidRDefault="00B62426" w:rsidP="006C647A">
      <w:pPr>
        <w:spacing w:line="480" w:lineRule="auto"/>
        <w:rPr>
          <w:rFonts w:ascii="Calibri" w:hAnsi="Calibri"/>
          <w:lang w:val="en-US"/>
        </w:rPr>
      </w:pPr>
      <w:r w:rsidRPr="00923CE9">
        <w:rPr>
          <w:rFonts w:ascii="Calibri" w:hAnsi="Calibri"/>
          <w:lang w:val="en-US"/>
        </w:rPr>
        <w:t>Ambulatory 24-hour ECG monitoring was perfor</w:t>
      </w:r>
      <w:r w:rsidR="00424D9E">
        <w:rPr>
          <w:rFonts w:ascii="Calibri" w:hAnsi="Calibri"/>
          <w:lang w:val="en-US"/>
        </w:rPr>
        <w:t>med specifically to detect</w:t>
      </w:r>
      <w:r w:rsidRPr="00923CE9">
        <w:rPr>
          <w:rFonts w:ascii="Calibri" w:hAnsi="Calibri"/>
          <w:lang w:val="en-US"/>
        </w:rPr>
        <w:t xml:space="preserve"> s</w:t>
      </w:r>
      <w:r w:rsidR="00E01B14">
        <w:rPr>
          <w:rFonts w:ascii="Calibri" w:hAnsi="Calibri"/>
          <w:lang w:val="en-US"/>
        </w:rPr>
        <w:t>upra</w:t>
      </w:r>
      <w:r w:rsidRPr="00923CE9">
        <w:rPr>
          <w:rFonts w:ascii="Calibri" w:hAnsi="Calibri"/>
          <w:lang w:val="en-US"/>
        </w:rPr>
        <w:t>ventricular</w:t>
      </w:r>
      <w:r w:rsidR="00A61132">
        <w:rPr>
          <w:rFonts w:ascii="Calibri" w:hAnsi="Calibri"/>
          <w:lang w:val="en-US"/>
        </w:rPr>
        <w:t xml:space="preserve"> and/or ventricular arrhythmias.</w:t>
      </w:r>
      <w:r w:rsidRPr="00923CE9">
        <w:rPr>
          <w:rFonts w:ascii="Calibri" w:hAnsi="Calibri"/>
          <w:lang w:val="en-US"/>
        </w:rPr>
        <w:fldChar w:fldCharType="begin" w:fldLock="1"/>
      </w:r>
      <w:r w:rsidR="00843D9D">
        <w:rPr>
          <w:rFonts w:ascii="Calibri" w:hAnsi="Calibri"/>
          <w:lang w:val="en-US"/>
        </w:rPr>
        <w:instrText>ADDIN CSL_CITATION { "citationItems" : [ { "id" : "ITEM-1", "itemData" : { "DOI" : "10.1016/S0735-1097(03)00827-1", "ISSN" : "07351097", "author" : [ { "dropping-particle" : "", "family" : "Monserrat", "given" : "Lorenzo", "non-dropping-particle" : "", "parse-names" : false, "suffix" : "" }, { "dropping-particle" : "", "family" : "Elliott", "given" : "Perry M", "non-dropping-particle" : "", "parse-names" : false, "suffix" : "" }, { "dropping-particle" : "", "family" : "Gimeno", "given" : "Juan R", "non-dropping-particle" : "", "parse-names" : false, "suffix" : "" }, { "dropping-particle" : "", "family" : "Sharma", "given" : "Sanjay", "non-dropping-particle" : "", "parse-names" : false, "suffix" : "" }, { "dropping-particle" : "", "family" : "Penas-Lado", "given" : "Manuel", "non-dropping-particle" : "", "parse-names" : false, "suffix" : "" }, { "dropping-particle" : "", "family" : "McKenna", "given" : "William J", "non-dropping-particle" : "", "parse-names" : false, "suffix" : "" } ], "container-title" : "J Am Coll Cardiol", "id" : "ITEM-1", "issue" : "5", "issued" : { "date-parts" : [ [ "2003", "9" ] ] }, "page" : "873-879", "title" : "Non-sustained ventricular tachycardia in hypertrophic cardiomyopathy: an independent marker of sudden death risk in young patients", "type" : "article-journal", "volume" : "42" }, "uris" : [ "http://www.mendeley.com/documents/?uuid=1bcec709-c287-4c5a-9e2b-5284165863b5" ] } ], "mendeley" : { "formattedCitation" : "[24]", "plainTextFormattedCitation" : "[24]", "previouslyFormattedCitation" : "[24]" }, "properties" : { "noteIndex" : 0 }, "schema" : "https://github.com/citation-style-language/schema/raw/master/csl-citation.json" }</w:instrText>
      </w:r>
      <w:r w:rsidRPr="00923CE9">
        <w:rPr>
          <w:rFonts w:ascii="Calibri" w:hAnsi="Calibri"/>
          <w:lang w:val="en-US"/>
        </w:rPr>
        <w:fldChar w:fldCharType="separate"/>
      </w:r>
      <w:r w:rsidR="00843D9D" w:rsidRPr="00843D9D">
        <w:rPr>
          <w:rFonts w:ascii="Calibri" w:hAnsi="Calibri"/>
          <w:noProof/>
          <w:lang w:val="en-US"/>
        </w:rPr>
        <w:t>[24]</w:t>
      </w:r>
      <w:r w:rsidRPr="00923CE9">
        <w:rPr>
          <w:rFonts w:ascii="Calibri" w:hAnsi="Calibri"/>
          <w:lang w:val="en-US"/>
        </w:rPr>
        <w:fldChar w:fldCharType="end"/>
      </w:r>
      <w:r w:rsidRPr="00923CE9">
        <w:rPr>
          <w:rFonts w:ascii="Calibri" w:hAnsi="Calibri"/>
          <w:lang w:val="en-US"/>
        </w:rPr>
        <w:t xml:space="preserve"> All individuals were enco</w:t>
      </w:r>
      <w:r w:rsidR="007C16B0" w:rsidRPr="00923CE9">
        <w:rPr>
          <w:rFonts w:ascii="Calibri" w:hAnsi="Calibri"/>
          <w:lang w:val="en-US"/>
        </w:rPr>
        <w:t>uraged to continue their</w:t>
      </w:r>
      <w:r w:rsidR="00424D9E">
        <w:rPr>
          <w:rFonts w:ascii="Calibri" w:hAnsi="Calibri"/>
          <w:lang w:val="en-US"/>
        </w:rPr>
        <w:t xml:space="preserve"> daily activities during monitoring</w:t>
      </w:r>
      <w:r w:rsidRPr="00923CE9">
        <w:rPr>
          <w:rFonts w:ascii="Calibri" w:hAnsi="Calibri"/>
          <w:lang w:val="en-US"/>
        </w:rPr>
        <w:t>.</w:t>
      </w:r>
      <w:r w:rsidR="0077001F" w:rsidRPr="00923CE9">
        <w:rPr>
          <w:rFonts w:ascii="Calibri" w:hAnsi="Calibri"/>
          <w:lang w:val="en-US"/>
        </w:rPr>
        <w:t xml:space="preserve"> Non-sustained ventricular tachycardia (NSVT) was defined as three or more consecutive ventricular </w:t>
      </w:r>
      <w:r w:rsidR="00B74BB8" w:rsidRPr="00923CE9">
        <w:rPr>
          <w:rFonts w:ascii="Calibri" w:hAnsi="Calibri"/>
          <w:lang w:val="en-US"/>
        </w:rPr>
        <w:t xml:space="preserve">beats at a rate of </w:t>
      </w:r>
      <w:r w:rsidR="00B74BB8" w:rsidRPr="003577CF">
        <w:rPr>
          <w:rFonts w:ascii="Calibri" w:hAnsi="Calibri"/>
          <w:lang w:val="en-US"/>
        </w:rPr>
        <w:t>&gt;</w:t>
      </w:r>
      <w:r w:rsidR="0077001F" w:rsidRPr="003577CF">
        <w:rPr>
          <w:rFonts w:ascii="Calibri" w:hAnsi="Calibri"/>
          <w:lang w:val="en-US"/>
        </w:rPr>
        <w:t>1</w:t>
      </w:r>
      <w:r w:rsidR="002F72C4" w:rsidRPr="003577CF">
        <w:rPr>
          <w:rFonts w:ascii="Calibri" w:hAnsi="Calibri"/>
          <w:lang w:val="en-US"/>
        </w:rPr>
        <w:t>20</w:t>
      </w:r>
      <w:r w:rsidR="00EC73DB">
        <w:rPr>
          <w:rFonts w:ascii="Calibri" w:hAnsi="Calibri"/>
          <w:lang w:val="en-US"/>
        </w:rPr>
        <w:t xml:space="preserve"> beats per </w:t>
      </w:r>
      <w:r w:rsidR="0077001F" w:rsidRPr="00923CE9">
        <w:rPr>
          <w:rFonts w:ascii="Calibri" w:hAnsi="Calibri"/>
          <w:lang w:val="en-US"/>
        </w:rPr>
        <w:t>min</w:t>
      </w:r>
      <w:r w:rsidR="00EC73DB">
        <w:rPr>
          <w:rFonts w:ascii="Calibri" w:hAnsi="Calibri"/>
          <w:lang w:val="en-US"/>
        </w:rPr>
        <w:t>ute</w:t>
      </w:r>
      <w:r w:rsidR="0077001F" w:rsidRPr="00923CE9">
        <w:rPr>
          <w:rFonts w:ascii="Calibri" w:hAnsi="Calibri"/>
          <w:lang w:val="en-US"/>
        </w:rPr>
        <w:t xml:space="preserve"> </w:t>
      </w:r>
      <w:r w:rsidR="00B74BB8" w:rsidRPr="00923CE9">
        <w:rPr>
          <w:rFonts w:ascii="Calibri" w:hAnsi="Calibri"/>
          <w:lang w:val="en-US"/>
        </w:rPr>
        <w:t>with a duration of &lt;</w:t>
      </w:r>
      <w:r w:rsidR="0077001F" w:rsidRPr="00923CE9">
        <w:rPr>
          <w:rFonts w:ascii="Calibri" w:hAnsi="Calibri"/>
          <w:lang w:val="en-US"/>
        </w:rPr>
        <w:t>30 seconds.</w:t>
      </w:r>
    </w:p>
    <w:p w:rsidR="00B62426" w:rsidRPr="00923CE9" w:rsidRDefault="00B62426" w:rsidP="006C647A">
      <w:pPr>
        <w:spacing w:line="480" w:lineRule="auto"/>
        <w:rPr>
          <w:rFonts w:ascii="Calibri" w:hAnsi="Calibri"/>
          <w:color w:val="FF0000"/>
          <w:lang w:val="en-US"/>
        </w:rPr>
      </w:pPr>
    </w:p>
    <w:p w:rsidR="00B62426" w:rsidRPr="004D3546" w:rsidRDefault="00B62426" w:rsidP="006C647A">
      <w:pPr>
        <w:spacing w:line="480" w:lineRule="auto"/>
        <w:rPr>
          <w:rFonts w:ascii="Calibri" w:hAnsi="Calibri"/>
          <w:u w:val="single"/>
          <w:lang w:val="en-US"/>
        </w:rPr>
      </w:pPr>
      <w:r w:rsidRPr="004D3546">
        <w:rPr>
          <w:rFonts w:ascii="Calibri" w:hAnsi="Calibri"/>
          <w:u w:val="single"/>
          <w:lang w:val="en-US"/>
        </w:rPr>
        <w:t>C</w:t>
      </w:r>
      <w:r w:rsidR="00604C0D" w:rsidRPr="004D3546">
        <w:rPr>
          <w:rFonts w:ascii="Calibri" w:hAnsi="Calibri"/>
          <w:u w:val="single"/>
          <w:lang w:val="en-US"/>
        </w:rPr>
        <w:t>ardiac</w:t>
      </w:r>
      <w:r w:rsidRPr="004D3546">
        <w:rPr>
          <w:rFonts w:ascii="Calibri" w:hAnsi="Calibri"/>
          <w:u w:val="single"/>
          <w:lang w:val="en-US"/>
        </w:rPr>
        <w:t xml:space="preserve"> </w:t>
      </w:r>
      <w:r w:rsidR="00604C0D" w:rsidRPr="004D3546">
        <w:rPr>
          <w:rFonts w:ascii="Calibri" w:hAnsi="Calibri"/>
          <w:u w:val="single"/>
          <w:lang w:val="en-US"/>
        </w:rPr>
        <w:t>Magnetic Resonance Imaging</w:t>
      </w:r>
    </w:p>
    <w:p w:rsidR="00B62426" w:rsidRPr="004D3546" w:rsidRDefault="0077001F" w:rsidP="004D3546">
      <w:pPr>
        <w:autoSpaceDE w:val="0"/>
        <w:autoSpaceDN w:val="0"/>
        <w:adjustRightInd w:val="0"/>
        <w:spacing w:line="480" w:lineRule="auto"/>
        <w:rPr>
          <w:rFonts w:ascii="Calibri" w:hAnsi="Calibri" w:cs="times-roman"/>
          <w:lang w:val="en-US" w:eastAsia="en-GB"/>
        </w:rPr>
      </w:pPr>
      <w:r w:rsidRPr="00923CE9">
        <w:rPr>
          <w:rFonts w:ascii="Calibri" w:hAnsi="Calibri" w:cs="times-roman"/>
          <w:lang w:val="en-US" w:eastAsia="en-GB"/>
        </w:rPr>
        <w:t>C</w:t>
      </w:r>
      <w:r w:rsidR="00E01B14" w:rsidRPr="000E13EB">
        <w:rPr>
          <w:rFonts w:ascii="Calibri" w:hAnsi="Calibri"/>
          <w:lang w:val="en-US"/>
        </w:rPr>
        <w:t>ardiac magnetic resonance imaging</w:t>
      </w:r>
      <w:r w:rsidR="00B62426" w:rsidRPr="00923CE9">
        <w:rPr>
          <w:rFonts w:ascii="Calibri" w:hAnsi="Calibri" w:cs="times-roman"/>
          <w:lang w:val="en-US" w:eastAsia="en-GB"/>
        </w:rPr>
        <w:t xml:space="preserve"> was performed </w:t>
      </w:r>
      <w:r w:rsidR="009D009C" w:rsidRPr="00923CE9">
        <w:rPr>
          <w:rFonts w:ascii="Calibri" w:hAnsi="Calibri" w:cs="times-roman"/>
          <w:lang w:val="en-US" w:eastAsia="en-GB"/>
        </w:rPr>
        <w:t>using methods</w:t>
      </w:r>
      <w:r w:rsidR="00B74348">
        <w:rPr>
          <w:rFonts w:ascii="Calibri" w:hAnsi="Calibri" w:cs="times-roman"/>
          <w:lang w:val="en-US" w:eastAsia="en-GB"/>
        </w:rPr>
        <w:t xml:space="preserve"> previously described</w:t>
      </w:r>
      <w:r w:rsidR="00B62426" w:rsidRPr="00923CE9">
        <w:rPr>
          <w:rFonts w:ascii="Calibri" w:hAnsi="Calibri" w:cs="times-roman"/>
          <w:lang w:val="en-US" w:eastAsia="en-GB"/>
        </w:rPr>
        <w:t xml:space="preserve"> and </w:t>
      </w:r>
      <w:r w:rsidR="00895ED4" w:rsidRPr="00923CE9">
        <w:rPr>
          <w:rFonts w:ascii="Calibri" w:hAnsi="Calibri" w:cs="times-roman"/>
          <w:lang w:val="en-US" w:eastAsia="en-GB"/>
        </w:rPr>
        <w:t>analyzed</w:t>
      </w:r>
      <w:r w:rsidR="00A61132">
        <w:rPr>
          <w:rFonts w:ascii="Calibri" w:hAnsi="Calibri" w:cs="times-roman"/>
          <w:lang w:val="en-US" w:eastAsia="en-GB"/>
        </w:rPr>
        <w:t xml:space="preserve"> with semi-automated software.</w:t>
      </w:r>
      <w:r w:rsidR="00C81243">
        <w:rPr>
          <w:rFonts w:ascii="Calibri" w:hAnsi="Calibri" w:cs="times-roman"/>
          <w:vertAlign w:val="superscript"/>
          <w:lang w:val="en-US" w:eastAsia="en-GB"/>
        </w:rPr>
        <w:fldChar w:fldCharType="begin" w:fldLock="1"/>
      </w:r>
      <w:r w:rsidR="00843D9D">
        <w:rPr>
          <w:rFonts w:ascii="Calibri" w:hAnsi="Calibri" w:cs="times-roman"/>
          <w:vertAlign w:val="superscript"/>
          <w:lang w:val="en-US" w:eastAsia="en-GB"/>
        </w:rPr>
        <w:instrText>ADDIN CSL_CITATION { "citationItems" : [ { "id" : "ITEM-1", "itemData" : { "DOI" : "10.1161/CIRCULATIONAHA.109.917211", "ISSN" : "1524-4539", "PMID" : "20176985", "abstract" : "BACKGROUND: Ethnicity is an important determinant of cardiovascular adaptation in athletes. Studies in black male athletes reveal a higher prevalence of electric repolarization and left ventricular hypertrophy than observed in white males; these frequently overlap with those observed in cardiomyopathy and have important implications in the preparticipation cardiac screening era. There are no reports on cardiac adaptation in highly trained black females, who comprise an increasing population of elite competitors. METHODS AND RESULTS: Between 2004 and 2009, 240 nationally ranked black female athletes (mean age 21+/-4.6 years old) underwent 12-lead ECG and 2-dimensional echocardiography. The results were compared with 200 white female athletes of similar age and size participating in similar sports. Black athletes demonstrated greater left ventricular wall thickness (9.2+/-1.2 versus 8.6+/-1.2 mm, P&lt;0.001) and left ventricular mass (187.2+/-42 versus 172.3+/-42 g, P=0.008) than white athletes. Eight black athletes (3%) exhibited a left ventricular wall thickness &gt;11 mm (12 to 13 mm) compared with none of the white athletes. All athletes revealed normal indices of systolic and diastolic function. Black athletes exhibited a higher prevalence of T-wave inversions (14% versus 2%, P&lt;0.001) and ST-segment elevation (11% versus 1%, P&lt;0.001) than white athletes. Deep T-wave inversions (-0.2 mV) were observed only in black athletes and were confined to the anterior leads (V(1) through V(3)). CONCLUSIONS: Systematic physical exercise in black female athletes is associated with greater left ventricular hypertrophy and higher prevalence of repolarization changes than in white female athletes of similar age and size participating in identical sporting disciplines. However, a maximal left ventricular wall thickness &gt;13 mm or deep T-wave inversions in the inferior and lateral leads are rare and warrant further investigation.", "author" : [ { "dropping-particle" : "", "family" : "Rawlins", "given" : "J", "non-dropping-particle" : "", "parse-names" : false, "suffix" : "" }, { "dropping-particle" : "", "family" : "Carre", "given" : "F", "non-dropping-particle" : "", "parse-names" : false, "suffix" : "" }, { "dropping-particle" : "", "family" : "Kervio", "given" : "G", "non-dropping-particle" : "", "parse-names" : false, "suffix" : "" }, { "dropping-particle" : "", "family" : "Papadakis", "given" : "M", "non-dropping-particle" : "", "parse-names" : false, "suffix" : "" }, { "dropping-particle" : "", "family" : "Chandra", "given" : "N", "non-dropping-particle" : "", "parse-names" : false, "suffix" : "" }, { "dropping-particle" : "", "family" : "Edwards", "given" : "C", "non-dropping-particle" : "", "parse-names" : false, "suffix" : "" }, { "dropping-particle" : "", "family" : "Whyte", "given" : "G P", "non-dropping-particle" : "", "parse-names" : false, "suffix" : "" }, { "dropping-particle" : "", "family" : "Sharma", "given" : "S", "non-dropping-particle" : "", "parse-names" : false, "suffix" : "" } ], "container-title" : "Circulation", "id" : "ITEM-1", "issue" : "9", "issued" : { "date-parts" : [ [ "2010", "3" ] ] }, "page" : "1078-85", "title" : "Ethnic differences in physiological cardiac adaptation to intense physical exercise in highly trained female athletes.", "type" : "article-journal", "volume" : "121" }, "uris" : [ "http://www.mendeley.com/documents/?uuid=8ce85293-bda1-4278-a8ee-65d9b99d0c5a" ] }, { "id" : "ITEM-2", "itemData" : { "DOI" : "10.1016/j.ahj.2003.10.005", "ISSN" : "1097-6744", "PMID" : "14760316", "abstract" : "BACKGROUND: Cardiovascular magnetic resonance (CMR) has shown excellent results for interstudy reproducibility in the assessment of left ventricular (LV) parameters. However, interstudy reproducibility data for the more complex-shaped right ventricle in a large study group have not yet been reported. We sought to determine the interstudy reproducibility of measurements of right ventricular (RV) volumes, function, and mass with CMR and compare it with correspondent LV values. METHODS: Sixty subjects (47 men; 20 healthy volunteers, 20 patients with heart failure, 20 patients with ventricular hypertrophy) underwent 2 CMR studies for assessment of RV measurements with a minimum time interval between each study. RESULTS: The overall interstudy reproducibility (range between groups) for the RV was 6.2% (4.2%-7.8%) for end-diastolic volume, 14.1% (8.1%-18.1%) for end-systolic volume, 8.3% (4.3%-10.4%) for ejection fraction (EF), and 8.7% (7.8%-9.4%) for RV mass. RV reproducibility was not as good as for the LV for all measures in all 3 groups, but this was only statistically significant for EF (P &lt;.01). CONCLUSIONS: CMR showed good interstudy reproducibility for RV function parameters in healthy subjects, patients with heart failure, and patients with hypertrophy, which suggests that CMR is reliable for serial RV assessment. These data can be used to power sample sizes for longitudinal research studies of RV volume and function. The reproducibility values were similar to, but generally lower than, the reproducibility values for the LV in the same study population, which indicates that sample sizes for RV studies are in general larger than those for LV studies.", "author" : [ { "dropping-particle" : "", "family" : "Grothues", "given" : "Frank", "non-dropping-particle" : "", "parse-names" : false, "suffix" : "" }, { "dropping-particle" : "", "family" : "Moon", "given" : "James C", "non-dropping-particle" : "", "parse-names" : false, "suffix" : "" }, { "dropping-particle" : "", "family" : "Bellenger", "given" : "Nicholas G", "non-dropping-particle" : "", "parse-names" : false, "suffix" : "" }, { "dropping-particle" : "", "family" : "Smith", "given" : "Gillian S", "non-dropping-particle" : "", "parse-names" : false, "suffix" : "" }, { "dropping-particle" : "", "family" : "Klein", "given" : "Helmut U", "non-dropping-particle" : "", "parse-names" : false, "suffix" : "" }, { "dropping-particle" : "", "family" : "Pennell", "given" : "Dudley J", "non-dropping-particle" : "", "parse-names" : false, "suffix" : "" } ], "container-title" : "Am Heart J", "id" : "ITEM-2", "issue" : "2", "issued" : { "date-parts" : [ [ "2004", "2" ] ] }, "page" : "218-23", "title" : "Interstudy reproducibility of right ventricular volumes, function, and mass with cardiovascular magnetic resonance.", "type" : "article-journal", "volume" : "147" }, "uris" : [ "http://www.mendeley.com/documents/?uuid=066d58b2-2110-4d46-8938-32edd212e0b2" ] }, { "id" : "ITEM-3", "itemData" : { "ISSN" : "0002-9149", "PMID" : "12088775", "abstract" : "Fast breath-hold cardiovascular magnetic resonance (CMR) shows excellent results for interstudy reproducibility of left ventricular (LV) volumes, ejection fraction, and mass, which are thought to be superior to results of 2-dimensional echocardiography. However, there is no direct comparison of the interstudy reproducibility of both methods in the same subjects. A total of 60 subjects (normal volunteers [n = 20], or patients with heart failure [n = 20] or LV hypertrophy [n = 20]) underwent 2 CMRs and 2 echocardiographic studies for assessment of LV volumes, function, and mass. The interstudy reproducibility coefficient of variability was superior for CMR in all groups for all parameters. Statistical significance was reached for end-systolic volume (4.4% to 9.2% vs 13.7% to 20.3%, p &lt;0.001), ejection fraction (2.4% to 7.3% vs 8.6% to 19.4%, p &lt;0.001), and mass (2.8% to 4.8% vs 11.6% to 15.7% p &lt;0.001), with a trend for end-diastolic volume (2.9% to 4.9% vs 5.5% to 10.5%, p = 0.17). The superior interstudy reproducibility resulted in considerably lower calculated sample sizes (reductions of 55% to 93%) required by CMR compared with echocardiography to show clinically relevant changes in LV dimensions and function. Thus, CMR has excellent interstudy reproducibility in normal, dilated, and hypertrophic hearts, and is superior to 2-dimensional echocardiography.", "author" : [ { "dropping-particle" : "", "family" : "Grothues", "given" : "Frank", "non-dropping-particle" : "", "parse-names" : false, "suffix" : "" }, { "dropping-particle" : "", "family" : "Smith", "given" : "Gillian C", "non-dropping-particle" : "", "parse-names" : false, "suffix" : "" }, { "dropping-particle" : "", "family" : "Moon", "given" : "James C", "non-dropping-particle" : "", "parse-names" : false, "suffix" : "" }, { "dropping-particle" : "", "family" : "Bellenger", "given" : "Nicholas G", "non-dropping-particle" : "", "parse-names" : false, "suffix" : "" }, { "dropping-particle" : "", "family" : "Collins", "given" : "Peter", "non-dropping-particle" : "", "parse-names" : false, "suffix" : "" }, { "dropping-particle" : "", "family" : "Klein", "given" : "Helmut U", "non-dropping-particle" : "", "parse-names" : false, "suffix" : "" }, { "dropping-particle" : "", "family" : "Pennell", "given" : "Dudley J", "non-dropping-particle" : "", "parse-names" : false, "suffix" : "" } ], "container-title" : "Am J Cardiol", "id" : "ITEM-3", "issue" : "1", "issued" : { "date-parts" : [ [ "2002", "7" ] ] }, "page" : "29-34", "title" : "Comparison of interstudy reproducibility of cardiovascular magnetic resonance with two-dimensional echocardiography in normal subjects and in patients with heart failure or left ventricular hypertrophy.", "type" : "article-journal", "volume" : "90" }, "uris" : [ "http://www.mendeley.com/documents/?uuid=53313035-9ff8-419b-989c-8c86922fbd52" ] } ], "mendeley" : { "formattedCitation" : "[25\u201327]", "plainTextFormattedCitation" : "[25\u201327]", "previouslyFormattedCitation" : "[25\u201327]" }, "properties" : { "noteIndex" : 0 }, "schema" : "https://github.com/citation-style-language/schema/raw/master/csl-citation.json" }</w:instrText>
      </w:r>
      <w:r w:rsidR="00C81243">
        <w:rPr>
          <w:rFonts w:ascii="Calibri" w:hAnsi="Calibri" w:cs="times-roman"/>
          <w:vertAlign w:val="superscript"/>
          <w:lang w:val="en-US" w:eastAsia="en-GB"/>
        </w:rPr>
        <w:fldChar w:fldCharType="separate"/>
      </w:r>
      <w:r w:rsidR="00843D9D" w:rsidRPr="00843D9D">
        <w:rPr>
          <w:rFonts w:ascii="Calibri" w:hAnsi="Calibri" w:cs="times-roman"/>
          <w:noProof/>
          <w:lang w:val="en-US" w:eastAsia="en-GB"/>
        </w:rPr>
        <w:t>[25–27]</w:t>
      </w:r>
      <w:r w:rsidR="00C81243">
        <w:rPr>
          <w:rFonts w:ascii="Calibri" w:hAnsi="Calibri" w:cs="times-roman"/>
          <w:vertAlign w:val="superscript"/>
          <w:lang w:val="en-US" w:eastAsia="en-GB"/>
        </w:rPr>
        <w:fldChar w:fldCharType="end"/>
      </w:r>
      <w:r w:rsidR="00B62426" w:rsidRPr="00923CE9">
        <w:rPr>
          <w:rFonts w:ascii="Calibri" w:hAnsi="Calibri" w:cs="times-roman"/>
          <w:lang w:val="en-US" w:eastAsia="en-GB"/>
        </w:rPr>
        <w:t xml:space="preserve"> All volumes and masses were indexed for age and body surface area</w:t>
      </w:r>
      <w:r w:rsidR="00B56BAA">
        <w:rPr>
          <w:rFonts w:ascii="Calibri" w:hAnsi="Calibri" w:cs="times-roman"/>
          <w:lang w:val="en-US" w:eastAsia="en-GB"/>
        </w:rPr>
        <w:t xml:space="preserve">. Late gadolinium </w:t>
      </w:r>
      <w:r w:rsidRPr="00923CE9">
        <w:rPr>
          <w:rFonts w:ascii="Calibri" w:hAnsi="Calibri" w:cs="times-roman"/>
          <w:lang w:val="en-US" w:eastAsia="en-GB"/>
        </w:rPr>
        <w:t>images were acquired after intravenous gadolinium-DTPA</w:t>
      </w:r>
      <w:r w:rsidR="00EF0DA1" w:rsidRPr="00923CE9">
        <w:rPr>
          <w:rFonts w:ascii="Calibri" w:hAnsi="Calibri" w:cs="times-roman"/>
          <w:lang w:val="en-US" w:eastAsia="en-GB"/>
        </w:rPr>
        <w:t xml:space="preserve"> administration</w:t>
      </w:r>
      <w:r w:rsidR="00807469">
        <w:rPr>
          <w:rFonts w:ascii="Calibri" w:hAnsi="Calibri" w:cs="times-roman"/>
          <w:lang w:val="en-US" w:eastAsia="en-GB"/>
        </w:rPr>
        <w:t>.</w:t>
      </w:r>
      <w:r w:rsidR="000750D6" w:rsidRPr="00923CE9">
        <w:rPr>
          <w:rFonts w:ascii="Calibri" w:hAnsi="Calibri" w:cs="times-roman"/>
          <w:vertAlign w:val="superscript"/>
          <w:lang w:val="en-US" w:eastAsia="en-GB"/>
        </w:rPr>
        <w:fldChar w:fldCharType="begin" w:fldLock="1"/>
      </w:r>
      <w:r w:rsidR="00843D9D">
        <w:rPr>
          <w:rFonts w:ascii="Calibri" w:hAnsi="Calibri" w:cs="times-roman"/>
          <w:vertAlign w:val="superscript"/>
          <w:lang w:val="en-US" w:eastAsia="en-GB"/>
        </w:rPr>
        <w:instrText>ADDIN CSL_CITATION { "citationItems" : [ { "id" : "ITEM-1", "itemData" : { "DOI" : "10.1161/CIRCULATIONAHA.109.917211", "ISSN" : "1524-4539", "PMID" : "20176985", "abstract" : "BACKGROUND: Ethnicity is an important determinant of cardiovascular adaptation in athletes. Studies in black male athletes reveal a higher prevalence of electric repolarization and left ventricular hypertrophy than observed in white males; these frequently overlap with those observed in cardiomyopathy and have important implications in the preparticipation cardiac screening era. There are no reports on cardiac adaptation in highly trained black females, who comprise an increasing population of elite competitors. METHODS AND RESULTS: Between 2004 and 2009, 240 nationally ranked black female athletes (mean age 21+/-4.6 years old) underwent 12-lead ECG and 2-dimensional echocardiography. The results were compared with 200 white female athletes of similar age and size participating in similar sports. Black athletes demonstrated greater left ventricular wall thickness (9.2+/-1.2 versus 8.6+/-1.2 mm, P&lt;0.001) and left ventricular mass (187.2+/-42 versus 172.3+/-42 g, P=0.008) than white athletes. Eight black athletes (3%) exhibited a left ventricular wall thickness &gt;11 mm (12 to 13 mm) compared with none of the white athletes. All athletes revealed normal indices of systolic and diastolic function. Black athletes exhibited a higher prevalence of T-wave inversions (14% versus 2%, P&lt;0.001) and ST-segment elevation (11% versus 1%, P&lt;0.001) than white athletes. Deep T-wave inversions (-0.2 mV) were observed only in black athletes and were confined to the anterior leads (V(1) through V(3)). CONCLUSIONS: Systematic physical exercise in black female athletes is associated with greater left ventricular hypertrophy and higher prevalence of repolarization changes than in white female athletes of similar age and size participating in identical sporting disciplines. However, a maximal left ventricular wall thickness &gt;13 mm or deep T-wave inversions in the inferior and lateral leads are rare and warrant further investigation.", "author" : [ { "dropping-particle" : "", "family" : "Rawlins", "given" : "J", "non-dropping-particle" : "", "parse-names" : false, "suffix" : "" }, { "dropping-particle" : "", "family" : "Carre", "given" : "F", "non-dropping-particle" : "", "parse-names" : false, "suffix" : "" }, { "dropping-particle" : "", "family" : "Kervio", "given" : "G", "non-dropping-particle" : "", "parse-names" : false, "suffix" : "" }, { "dropping-particle" : "", "family" : "Papadakis", "given" : "M", "non-dropping-particle" : "", "parse-names" : false, "suffix" : "" }, { "dropping-particle" : "", "family" : "Chandra", "given" : "N", "non-dropping-particle" : "", "parse-names" : false, "suffix" : "" }, { "dropping-particle" : "", "family" : "Edwards", "given" : "C", "non-dropping-particle" : "", "parse-names" : false, "suffix" : "" }, { "dropping-particle" : "", "family" : "Whyte", "given" : "G P", "non-dropping-particle" : "", "parse-names" : false, "suffix" : "" }, { "dropping-particle" : "", "family" : "Sharma", "given" : "S", "non-dropping-particle" : "", "parse-names" : false, "suffix" : "" } ], "container-title" : "Circulation", "id" : "ITEM-1", "issue" : "9", "issued" : { "date-parts" : [ [ "2010", "3" ] ] }, "page" : "1078-85", "title" : "Ethnic differences in physiological cardiac adaptation to intense physical exercise in highly trained female athletes.", "type" : "article-journal", "volume" : "121" }, "uris" : [ "http://www.mendeley.com/documents/?uuid=8ce85293-bda1-4278-a8ee-65d9b99d0c5a" ] } ], "mendeley" : { "formattedCitation" : "[25]", "plainTextFormattedCitation" : "[25]", "previouslyFormattedCitation" : "[25]" }, "properties" : { "noteIndex" : 0 }, "schema" : "https://github.com/citation-style-language/schema/raw/master/csl-citation.json" }</w:instrText>
      </w:r>
      <w:r w:rsidR="000750D6" w:rsidRPr="00923CE9">
        <w:rPr>
          <w:rFonts w:ascii="Calibri" w:hAnsi="Calibri" w:cs="times-roman"/>
          <w:vertAlign w:val="superscript"/>
          <w:lang w:val="en-US" w:eastAsia="en-GB"/>
        </w:rPr>
        <w:fldChar w:fldCharType="separate"/>
      </w:r>
      <w:r w:rsidR="00843D9D" w:rsidRPr="00843D9D">
        <w:rPr>
          <w:rFonts w:ascii="Calibri" w:hAnsi="Calibri" w:cs="times-roman"/>
          <w:noProof/>
          <w:lang w:val="en-US" w:eastAsia="en-GB"/>
        </w:rPr>
        <w:t>[25]</w:t>
      </w:r>
      <w:r w:rsidR="000750D6" w:rsidRPr="00923CE9">
        <w:rPr>
          <w:rFonts w:ascii="Calibri" w:hAnsi="Calibri" w:cs="times-roman"/>
          <w:vertAlign w:val="superscript"/>
          <w:lang w:val="en-US" w:eastAsia="en-GB"/>
        </w:rPr>
        <w:fldChar w:fldCharType="end"/>
      </w:r>
      <w:r w:rsidR="003D0F9B">
        <w:rPr>
          <w:rFonts w:ascii="Calibri" w:hAnsi="Calibri" w:cs="times-roman"/>
          <w:lang w:val="en-US" w:eastAsia="en-GB"/>
        </w:rPr>
        <w:t xml:space="preserve"> </w:t>
      </w:r>
      <w:r w:rsidR="00807469" w:rsidRPr="00167C0E">
        <w:rPr>
          <w:rFonts w:ascii="Calibri" w:hAnsi="Calibri" w:cs="times-roman"/>
          <w:lang w:val="en-US" w:eastAsia="en-GB"/>
        </w:rPr>
        <w:t>T</w:t>
      </w:r>
      <w:r w:rsidR="003D0F9B" w:rsidRPr="00167C0E">
        <w:rPr>
          <w:rFonts w:ascii="Calibri" w:hAnsi="Calibri" w:cs="times-roman"/>
          <w:lang w:val="en-US" w:eastAsia="en-GB"/>
        </w:rPr>
        <w:t xml:space="preserve">he presence or absence of late gadolinium enhancement </w:t>
      </w:r>
      <w:r w:rsidR="00807469" w:rsidRPr="00167C0E">
        <w:rPr>
          <w:rFonts w:ascii="Calibri" w:hAnsi="Calibri" w:cs="times-roman"/>
          <w:lang w:val="en-US" w:eastAsia="en-GB"/>
        </w:rPr>
        <w:t xml:space="preserve">was </w:t>
      </w:r>
      <w:r w:rsidR="003D0F9B" w:rsidRPr="00167C0E">
        <w:rPr>
          <w:rFonts w:ascii="Calibri" w:hAnsi="Calibri" w:cs="times-roman"/>
          <w:lang w:val="en-US" w:eastAsia="en-GB"/>
        </w:rPr>
        <w:t>recorded</w:t>
      </w:r>
      <w:r w:rsidR="00E01B14" w:rsidRPr="00167C0E">
        <w:rPr>
          <w:rFonts w:ascii="Calibri" w:hAnsi="Calibri" w:cs="times-roman"/>
          <w:lang w:val="en-US" w:eastAsia="en-GB"/>
        </w:rPr>
        <w:t xml:space="preserve"> as a binary variable</w:t>
      </w:r>
      <w:r w:rsidR="003D0F9B" w:rsidRPr="00167C0E">
        <w:rPr>
          <w:rFonts w:ascii="Calibri" w:hAnsi="Calibri" w:cs="times-roman"/>
          <w:lang w:val="en-US" w:eastAsia="en-GB"/>
        </w:rPr>
        <w:t>.</w:t>
      </w:r>
    </w:p>
    <w:p w:rsidR="00E01B14" w:rsidRDefault="00E01B14" w:rsidP="006C647A">
      <w:pPr>
        <w:spacing w:line="480" w:lineRule="auto"/>
        <w:rPr>
          <w:rFonts w:ascii="Calibri" w:hAnsi="Calibri"/>
          <w:color w:val="FF0000"/>
          <w:u w:val="single"/>
          <w:lang w:val="en-US"/>
        </w:rPr>
      </w:pPr>
    </w:p>
    <w:p w:rsidR="0041526A" w:rsidRDefault="0041526A" w:rsidP="006C647A">
      <w:pPr>
        <w:spacing w:line="480" w:lineRule="auto"/>
        <w:rPr>
          <w:rFonts w:ascii="Calibri" w:hAnsi="Calibri"/>
          <w:color w:val="FF0000"/>
          <w:u w:val="single"/>
          <w:lang w:val="en-US"/>
        </w:rPr>
      </w:pPr>
    </w:p>
    <w:p w:rsidR="00B62426" w:rsidRPr="00923CE9" w:rsidRDefault="00B62426" w:rsidP="006C647A">
      <w:pPr>
        <w:spacing w:line="480" w:lineRule="auto"/>
        <w:rPr>
          <w:rFonts w:ascii="Calibri" w:hAnsi="Calibri"/>
          <w:b/>
          <w:lang w:val="en-US"/>
        </w:rPr>
      </w:pPr>
      <w:r w:rsidRPr="00923CE9">
        <w:rPr>
          <w:rFonts w:ascii="Calibri" w:hAnsi="Calibri"/>
          <w:b/>
          <w:lang w:val="en-US"/>
        </w:rPr>
        <w:t>R</w:t>
      </w:r>
      <w:r w:rsidR="00604C0D">
        <w:rPr>
          <w:rFonts w:ascii="Calibri" w:hAnsi="Calibri"/>
          <w:b/>
          <w:lang w:val="en-US"/>
        </w:rPr>
        <w:t>isk Assessment, Events and Outcomes</w:t>
      </w:r>
    </w:p>
    <w:p w:rsidR="00DB1C5D" w:rsidRPr="00923CE9" w:rsidRDefault="00B62426" w:rsidP="006C647A">
      <w:pPr>
        <w:spacing w:line="480" w:lineRule="auto"/>
        <w:rPr>
          <w:rFonts w:ascii="Calibri" w:hAnsi="Calibri" w:cs="Arial"/>
          <w:lang w:val="en-US"/>
        </w:rPr>
      </w:pPr>
      <w:r w:rsidRPr="00923CE9">
        <w:rPr>
          <w:rFonts w:ascii="Calibri" w:hAnsi="Calibri" w:cs="times-roman"/>
          <w:color w:val="000000"/>
          <w:lang w:val="en-US" w:eastAsia="en-GB"/>
        </w:rPr>
        <w:t>Conventional markers of SCD were used for r</w:t>
      </w:r>
      <w:r w:rsidR="00C81243">
        <w:rPr>
          <w:rFonts w:ascii="Calibri" w:hAnsi="Calibri" w:cs="times-roman"/>
          <w:color w:val="000000"/>
          <w:lang w:val="en-US" w:eastAsia="en-GB"/>
        </w:rPr>
        <w:t xml:space="preserve">isk stratification, namely: </w:t>
      </w:r>
      <w:r w:rsidR="00424D9E">
        <w:rPr>
          <w:rFonts w:ascii="Calibri" w:hAnsi="Calibri" w:cs="times-roman"/>
          <w:color w:val="000000"/>
          <w:lang w:val="en-US" w:eastAsia="en-GB"/>
        </w:rPr>
        <w:t>1)</w:t>
      </w:r>
      <w:r w:rsidR="00E45536" w:rsidRPr="00923CE9">
        <w:rPr>
          <w:rFonts w:ascii="Calibri" w:hAnsi="Calibri" w:cs="times-roman"/>
          <w:color w:val="000000"/>
          <w:lang w:val="en-US" w:eastAsia="en-GB"/>
        </w:rPr>
        <w:t xml:space="preserve"> </w:t>
      </w:r>
      <w:r w:rsidRPr="00923CE9">
        <w:rPr>
          <w:rFonts w:ascii="Calibri" w:hAnsi="Calibri" w:cs="times-roman"/>
          <w:color w:val="000000"/>
          <w:lang w:val="en-US" w:eastAsia="en-GB"/>
        </w:rPr>
        <w:t>h</w:t>
      </w:r>
      <w:r w:rsidR="00C81243">
        <w:rPr>
          <w:rFonts w:ascii="Calibri" w:hAnsi="Calibri" w:cs="times-roman"/>
          <w:color w:val="000000"/>
          <w:lang w:val="en-US" w:eastAsia="en-GB"/>
        </w:rPr>
        <w:t>istory of unexplained syncope; 2) family history of SCD</w:t>
      </w:r>
      <w:r w:rsidR="00BE7781">
        <w:rPr>
          <w:rFonts w:ascii="Calibri" w:hAnsi="Calibri" w:cs="times-roman"/>
          <w:color w:val="000000"/>
          <w:lang w:val="en-US" w:eastAsia="en-GB"/>
        </w:rPr>
        <w:t xml:space="preserve"> </w:t>
      </w:r>
      <w:r w:rsidR="00BE7781" w:rsidRPr="00BE7781">
        <w:rPr>
          <w:rFonts w:ascii="Calibri" w:hAnsi="Calibri" w:cs="times-roman"/>
          <w:color w:val="000000"/>
          <w:highlight w:val="yellow"/>
          <w:lang w:val="en-US" w:eastAsia="en-GB"/>
        </w:rPr>
        <w:t>in 1 or more first degree relatives</w:t>
      </w:r>
      <w:r w:rsidR="00C81243">
        <w:rPr>
          <w:rFonts w:ascii="Calibri" w:hAnsi="Calibri" w:cs="times-roman"/>
          <w:color w:val="000000"/>
          <w:lang w:val="en-US" w:eastAsia="en-GB"/>
        </w:rPr>
        <w:t xml:space="preserve">; 3) LVH of ≥30mm; </w:t>
      </w:r>
      <w:r w:rsidRPr="00923CE9">
        <w:rPr>
          <w:rFonts w:ascii="Calibri" w:hAnsi="Calibri" w:cs="times-roman"/>
          <w:color w:val="000000"/>
          <w:lang w:val="en-US" w:eastAsia="en-GB"/>
        </w:rPr>
        <w:t xml:space="preserve">4) </w:t>
      </w:r>
      <w:r w:rsidR="00207430" w:rsidRPr="00923CE9">
        <w:rPr>
          <w:rFonts w:ascii="Calibri" w:hAnsi="Calibri" w:cs="times-roman"/>
          <w:color w:val="000000"/>
          <w:lang w:val="en-US" w:eastAsia="en-GB"/>
        </w:rPr>
        <w:t xml:space="preserve">NSVT </w:t>
      </w:r>
      <w:r w:rsidRPr="00923CE9">
        <w:rPr>
          <w:rFonts w:ascii="Calibri" w:hAnsi="Calibri" w:cs="times-roman"/>
          <w:color w:val="000000"/>
          <w:lang w:val="en-US" w:eastAsia="en-GB"/>
        </w:rPr>
        <w:t>on ambulatory monitoring</w:t>
      </w:r>
      <w:r w:rsidR="00424D9E">
        <w:rPr>
          <w:rFonts w:ascii="Calibri" w:hAnsi="Calibri" w:cs="times-roman"/>
          <w:color w:val="000000"/>
          <w:lang w:val="en-US" w:eastAsia="en-GB"/>
        </w:rPr>
        <w:t xml:space="preserve"> or exercise test</w:t>
      </w:r>
      <w:r w:rsidR="00404854">
        <w:rPr>
          <w:rFonts w:ascii="Calibri" w:hAnsi="Calibri" w:cs="times-roman"/>
          <w:color w:val="000000"/>
          <w:lang w:val="en-US" w:eastAsia="en-GB"/>
        </w:rPr>
        <w:t>ing</w:t>
      </w:r>
      <w:r w:rsidR="00C81243">
        <w:rPr>
          <w:rFonts w:ascii="Calibri" w:hAnsi="Calibri" w:cs="times-roman"/>
          <w:color w:val="000000"/>
          <w:lang w:val="en-US" w:eastAsia="en-GB"/>
        </w:rPr>
        <w:t xml:space="preserve">; </w:t>
      </w:r>
      <w:r w:rsidR="00B74BB8" w:rsidRPr="00923CE9">
        <w:rPr>
          <w:rFonts w:ascii="Calibri" w:hAnsi="Calibri" w:cs="times-roman"/>
          <w:color w:val="000000"/>
          <w:lang w:val="en-US" w:eastAsia="en-GB"/>
        </w:rPr>
        <w:t xml:space="preserve">5) </w:t>
      </w:r>
      <w:r w:rsidR="00EC73DB">
        <w:rPr>
          <w:rFonts w:ascii="Calibri" w:hAnsi="Calibri" w:cs="times-roman"/>
          <w:color w:val="000000"/>
          <w:lang w:val="en-US" w:eastAsia="en-GB"/>
        </w:rPr>
        <w:t xml:space="preserve">an </w:t>
      </w:r>
      <w:r w:rsidR="00B74BB8" w:rsidRPr="00923CE9">
        <w:rPr>
          <w:rFonts w:ascii="Calibri" w:hAnsi="Calibri" w:cs="times-roman"/>
          <w:color w:val="000000"/>
          <w:lang w:val="en-US" w:eastAsia="en-GB"/>
        </w:rPr>
        <w:t>a</w:t>
      </w:r>
      <w:r w:rsidR="00B74348">
        <w:rPr>
          <w:rFonts w:ascii="Calibri" w:hAnsi="Calibri" w:cs="times-roman"/>
          <w:color w:val="000000"/>
          <w:lang w:val="en-US" w:eastAsia="en-GB"/>
        </w:rPr>
        <w:t xml:space="preserve">bnormal systolic BP </w:t>
      </w:r>
      <w:r w:rsidR="00B74BB8" w:rsidRPr="00923CE9">
        <w:rPr>
          <w:rFonts w:ascii="Calibri" w:hAnsi="Calibri" w:cs="times-roman"/>
          <w:color w:val="000000"/>
          <w:lang w:val="en-US" w:eastAsia="en-GB"/>
        </w:rPr>
        <w:t>response to exercise</w:t>
      </w:r>
      <w:r w:rsidR="00A61132">
        <w:rPr>
          <w:rFonts w:ascii="Calibri" w:hAnsi="Calibri" w:cs="times-roman"/>
          <w:color w:val="000000"/>
          <w:lang w:val="en-US" w:eastAsia="en-GB"/>
        </w:rPr>
        <w:t>.</w:t>
      </w:r>
      <w:r w:rsidRPr="00923CE9">
        <w:rPr>
          <w:rFonts w:ascii="Calibri" w:hAnsi="Calibri"/>
          <w:lang w:val="en-US"/>
        </w:rPr>
        <w:fldChar w:fldCharType="begin" w:fldLock="1"/>
      </w:r>
      <w:r w:rsidR="00843D9D">
        <w:rPr>
          <w:rFonts w:ascii="Calibri" w:hAnsi="Calibri"/>
          <w:lang w:val="en-US"/>
        </w:rPr>
        <w:instrText>ADDIN CSL_CITATION { "citationItems" : [ { "id" : "ITEM-1", "itemData" : { "DOI" : "10.1016/j.jacc.2011.06.011", "ISSN" : "1558-3597", "PMID" : "22075469", "author" : [ { "dropping-particle" : "", "family" : "Gersh", "given" : "Bernard J", "non-dropping-particle" : "", "parse-names" : false, "suffix" : "" }, { "dropping-particle" : "", "family" : "Maron", "given" : "Barry J", "non-dropping-particle" : "", "parse-names" : false, "suffix" : "" }, { "dropping-particle" : "", "family" : "Bonow", "given" : "Robert O", "non-dropping-particle" : "", "parse-names" : false, "suffix" : "" }, { "dropping-particle" : "", "family" : "Dearani", "given" : "Joseph A", "non-dropping-particle" : "", "parse-names" : false, "suffix" : "" }, { "dropping-particle" : "", "family" : "Fifer", "given" : "Michael A", "non-dropping-particle" : "", "parse-names" : false, "suffix" : "" }, { "dropping-particle" : "", "family" : "Link", "given" : "Mark S", "non-dropping-particle" : "", "parse-names" : false, "suffix" : "" }, { "dropping-particle" : "", "family" : "Naidu", "given" : "Srihari S", "non-dropping-particle" : "", "parse-names" : false, "suffix" : "" }, { "dropping-particle" : "", "family" : "Nishimura", "given" : "Rick A", "non-dropping-particle" : "", "parse-names" : false, "suffix" : "" }, { "dropping-particle" : "", "family" : "Ommen", "given" : "Steve R", "non-dropping-particle" : "", "parse-names" : false, "suffix" : "" }, { "dropping-particle" : "", "family" : "Rakowski", "given" : "Harry", "non-dropping-particle" : "", "parse-names" : false, "suffix" : "" }, { "dropping-particle" : "", "family" : "Seidman", "given" : "Christine E", "non-dropping-particle" : "", "parse-names" : false, "suffix" : "" }, { "dropping-particle" : "", "family" : "Towbin", "given" : "Jeffrey A", "non-dropping-particle" : "", "parse-names" : false, "suffix" : "" }, { "dropping-particle" : "", "family" : "Udelson", "given" : "James E", "non-dropping-particle" : "", "parse-names" : false, "suffix" : "" }, { "dropping-particle" : "", "family" : "Yancy", "given" : "Clyde W", "non-dropping-particle" : "", "parse-names" : false, "suffix" : "" } ], "container-title" : "Journal of the American College of Cardiology", "id" : "ITEM-1", "issue" : "25", "issued" : { "date-parts" : [ [ "2011", "12", "13" ] ] }, "page" : "e212-60", "title" : "2011 ACCF/AHA Guideline for the Diagnosis and Treatment of Hypertrophic Cardiomyopathy", "type" : "article-journal", "volume" : "58" }, "uris" : [ "http://www.mendeley.com/documents/?uuid=5faf8bfc-7b5e-4fc7-a7ba-50632effe14f" ] } ], "mendeley" : { "formattedCitation" : "[13]", "plainTextFormattedCitation" : "[13]", "previouslyFormattedCitation" : "[13]" }, "properties" : { "noteIndex" : 0 }, "schema" : "https://github.com/citation-style-language/schema/raw/master/csl-citation.json" }</w:instrText>
      </w:r>
      <w:r w:rsidRPr="00923CE9">
        <w:rPr>
          <w:rFonts w:ascii="Calibri" w:hAnsi="Calibri"/>
          <w:lang w:val="en-US"/>
        </w:rPr>
        <w:fldChar w:fldCharType="separate"/>
      </w:r>
      <w:r w:rsidR="00843D9D" w:rsidRPr="00843D9D">
        <w:rPr>
          <w:rFonts w:ascii="Calibri" w:hAnsi="Calibri"/>
          <w:noProof/>
          <w:lang w:val="en-US"/>
        </w:rPr>
        <w:t>[13]</w:t>
      </w:r>
      <w:r w:rsidRPr="00923CE9">
        <w:rPr>
          <w:rFonts w:ascii="Calibri" w:hAnsi="Calibri"/>
          <w:lang w:val="en-US"/>
        </w:rPr>
        <w:fldChar w:fldCharType="end"/>
      </w:r>
      <w:r w:rsidRPr="00923CE9">
        <w:rPr>
          <w:rFonts w:ascii="Calibri" w:hAnsi="Calibri" w:cs="times-roman"/>
          <w:color w:val="000000"/>
          <w:lang w:val="en-US" w:eastAsia="en-GB"/>
        </w:rPr>
        <w:t xml:space="preserve"> </w:t>
      </w:r>
      <w:r w:rsidR="00B74BB8" w:rsidRPr="00923CE9">
        <w:rPr>
          <w:rFonts w:ascii="Calibri" w:hAnsi="Calibri" w:cs="times-roman"/>
          <w:color w:val="000000"/>
          <w:lang w:val="en-US" w:eastAsia="en-GB"/>
        </w:rPr>
        <w:t>T</w:t>
      </w:r>
      <w:r w:rsidRPr="00923CE9">
        <w:rPr>
          <w:rFonts w:ascii="Calibri" w:hAnsi="Calibri" w:cs="times-roman"/>
          <w:color w:val="000000"/>
          <w:lang w:val="en-US" w:eastAsia="en-GB"/>
        </w:rPr>
        <w:t>he estimated 5</w:t>
      </w:r>
      <w:r w:rsidR="009D2F49" w:rsidRPr="00923CE9">
        <w:rPr>
          <w:rFonts w:ascii="Calibri" w:hAnsi="Calibri" w:cs="times-roman"/>
          <w:color w:val="000000"/>
          <w:lang w:val="en-US" w:eastAsia="en-GB"/>
        </w:rPr>
        <w:t>-year risk of SCD</w:t>
      </w:r>
      <w:r w:rsidR="00B74BB8" w:rsidRPr="00923CE9">
        <w:rPr>
          <w:rFonts w:ascii="Calibri" w:hAnsi="Calibri" w:cs="times-roman"/>
          <w:color w:val="000000"/>
          <w:lang w:val="en-US" w:eastAsia="en-GB"/>
        </w:rPr>
        <w:t xml:space="preserve"> was calculated using a recently proposed risk stratification tool</w:t>
      </w:r>
      <w:r w:rsidR="001146E4">
        <w:rPr>
          <w:rFonts w:ascii="Calibri" w:hAnsi="Calibri" w:cs="times-roman"/>
          <w:color w:val="000000"/>
          <w:lang w:val="en-US" w:eastAsia="en-GB"/>
        </w:rPr>
        <w:t xml:space="preserve"> by the Euro</w:t>
      </w:r>
      <w:r w:rsidR="00AE4AE9">
        <w:rPr>
          <w:rFonts w:ascii="Calibri" w:hAnsi="Calibri" w:cs="times-roman"/>
          <w:color w:val="000000"/>
          <w:lang w:val="en-US" w:eastAsia="en-GB"/>
        </w:rPr>
        <w:t>pean Society of Cardiology</w:t>
      </w:r>
      <w:r w:rsidR="00A61132">
        <w:rPr>
          <w:rFonts w:ascii="Calibri" w:hAnsi="Calibri" w:cs="times-roman"/>
          <w:color w:val="000000"/>
          <w:lang w:val="en-US" w:eastAsia="en-GB"/>
        </w:rPr>
        <w:t>.</w:t>
      </w:r>
      <w:r w:rsidR="00F32F98">
        <w:rPr>
          <w:rFonts w:ascii="Calibri" w:hAnsi="Calibri" w:cs="times-roman"/>
          <w:color w:val="000000"/>
          <w:lang w:val="en-US" w:eastAsia="en-GB"/>
        </w:rPr>
        <w:fldChar w:fldCharType="begin" w:fldLock="1"/>
      </w:r>
      <w:r w:rsidR="00843D9D">
        <w:rPr>
          <w:rFonts w:ascii="Calibri" w:hAnsi="Calibri" w:cs="times-roman"/>
          <w:color w:val="000000"/>
          <w:lang w:val="en-US" w:eastAsia="en-GB"/>
        </w:rPr>
        <w:instrText>ADDIN CSL_CITATION { "citationItems" : [ { "id" : "ITEM-1", "itemData" : { "DOI" : "10.1093/eurheartj/eht439", "ISSN" : "1522-9645", "PMID" : "24126876", "abstract" : "AIMS: Hypertrophic cardiomyopathy (HCM) is a leading cause of sudden cardiac death (SCD) in young adults. Current risk algorithms provide only a crude estimate of risk and fail to account for the different effect size of individual risk factors. The aim of this study was to develop and validate a new SCD risk prediction model that provides individualized risk estimates.\n\nMETHODS AND RESULTS: The prognostic model was derived from a retrospective, multi-centre longitudinal cohort study. The model was developed from the entire data set using the Cox proportional hazards model and internally validated using bootstrapping. The cohort consisted of 3675 consecutive patients from six centres. During a follow-up period of 24 313 patient-years (median 5.7 years), 198 patients (5%) died suddenly or had an appropriate implantable cardioverter defibrillator (ICD) shock. Of eight pre-specified predictors, age, maximal left ventricular wall thickness, left atrial diameter, left ventricular outflow tract gradient, family history of SCD, non-sustained ventricular tachycardia, and unexplained syncope were associated with SCD/appropriate ICD shock at the 15% significance level. These predictors were included in the final model to estimate individual probabilities of SCD at 5 years. The calibration slope was 0.91 (95% CI: 0.74, 1.08), C-index was 0.70 (95% CI: 0.68, 0.72), and D-statistic was 1.07 (95% CI: 0.81, 1.32). For every 16 ICDs implanted in patients with \u22654% 5-year SCD risk, potentially 1 patient will be saved from SCD at 5 years. A second model with the data set split into independent development and validation cohorts had very similar estimates of coefficients and performance when externally validated.\n\nCONCLUSION: This is the first validated SCD risk prediction model for patients with HCM and provides accurate individualized estimates for the probability of SCD using readily collected clinical parameters.", "author" : [ { "dropping-particle" : "", "family" : "O'Mahony", "given" : "Constantinos", "non-dropping-particle" : "", "parse-names" : false, "suffix" : "" }, { "dropping-particle" : "", "family" : "Jichi", "given" : "Fatima", "non-dropping-particle" : "", "parse-names" : false, "suffix" : "" }, { "dropping-particle" : "", "family" : "Pavlou", "given" : "Menelaos", "non-dropping-particle" : "", "parse-names" : false, "suffix" : "" }, { "dropping-particle" : "", "family" : "Monserrat", "given" : "Lorenzo", "non-dropping-particle" : "", "parse-names" : false, "suffix" : "" }, { "dropping-particle" : "", "family" : "Anastasakis", "given" : "Aristides", "non-dropping-particle" : "", "parse-names" : false, "suffix" : "" }, { "dropping-particle" : "", "family" : "Rapezzi", "given" : "Claudio", "non-dropping-particle" : "", "parse-names" : false, "suffix" : "" }, { "dropping-particle" : "", "family" : "Biagini", "given" : "Elena", "non-dropping-particle" : "", "parse-names" : false, "suffix" : "" }, { "dropping-particle" : "", "family" : "Gimeno", "given" : "Juan Ramon", "non-dropping-particle" : "", "parse-names" : false, "suffix" : "" }, { "dropping-particle" : "", "family" : "Limongelli", "given" : "Giuseppe", "non-dropping-particle" : "", "parse-names" : false, "suffix" : "" }, { "dropping-particle" : "", "family" : "McKenna", "given" : "William J", "non-dropping-particle" : "", "parse-names" : false, "suffix" : "" }, { "dropping-particle" : "", "family" : "Omar", "given" : "Rumana Z", "non-dropping-particle" : "", "parse-names" : false, "suffix" : "" }, { "dropping-particle" : "", "family" : "Elliott", "given" : "Perry M", "non-dropping-particle" : "", "parse-names" : false, "suffix" : "" } ], "container-title" : "European heart journal", "id" : "ITEM-1", "issue" : "30", "issued" : { "date-parts" : [ [ "2014", "8", "7" ] ] }, "page" : "2010-20", "title" : "A novel clinical risk prediction model for sudden cardiac death in hypertrophic cardiomyopathy (HCM risk-SCD).", "type" : "article-journal", "volume" : "35" }, "uris" : [ "http://www.mendeley.com/documents/?uuid=acfba1f6-9967-4145-9d8a-e6258b58263a" ] }, { "id" : "ITEM-2", "itemData" : { "author" : [ { "dropping-particle" : "", "family" : "Elliott", "given" : "Perry M", "non-dropping-particle" : "", "parse-names" : false, "suffix" : "" }, { "dropping-particle" : "", "family" : "Anastasakis", "given" : "Aris", "non-dropping-particle" : "", "parse-names" : false, "suffix" : "" }, { "dropping-particle" : "", "family" : "Borger", "given" : "Michael A", "non-dropping-particle" : "", "parse-names" : false, "suffix" : "" }, { "dropping-particle" : "", "family" : "Borggrefe", "given" : "Martin", "non-dropping-particle" : "", "parse-names" : false, "suffix" : "" }, { "dropping-particle" : "", "family" : "Cecchi", "given" : "Franco", "non-dropping-particle" : "", "parse-names" : false, "suffix" : "" }, { "dropping-particle" : "", "family" : "Charron", "given" : "Philippe", "non-dropping-particle" : "", "parse-names" : false, "suffix" : "" }, { "dropping-particle" : "", "family" : "Hagege", "given" : "Albert Alain", "non-dropping-particle" : "", "parse-names" : false, "suffix" : "" }, { "dropping-particle" : "", "family" : "Lafont", "given" : "Antoine", "non-dropping-particle" : "", "parse-names" : false, "suffix" : "" }, { "dropping-particle" : "", "family" : "Limongelli", "given" : "Giuseppe", "non-dropping-particle" : "", "parse-names" : false, "suffix" : "" }, { "dropping-particle" : "", "family" : "Mahrholdt", "given" : "Heiko", "non-dropping-particle" : "", "parse-names" : false, "suffix" : "" }, { "dropping-particle" : "", "family" : "McKenna", "given" : "William J", "non-dropping-particle" : "", "parse-names" : false, "suffix" : "" }, { "dropping-particle" : "", "family" : "Mogensen", "given" : "Jens", "non-dropping-particle" : "", "parse-names" : false, "suffix" : "" }, { "dropping-particle" : "", "family" : "Nihoyannopoulos", "given" : "Petros", "non-dropping-particle" : "", "parse-names" : false, "suffix" : "" }, { "dropping-particle" : "", "family" : "Nistri", "given" : "Stefano", "non-dropping-particle" : "", "parse-names" : false, "suffix" : "" }, { "dropping-particle" : "", "family" : "Pieper", "given" : "Petronella G", "non-dropping-particle" : "", "parse-names" : false, "suffix" : "" }, { "dropping-particle" : "", "family" : "Pieske", "given" : "Burkert", "non-dropping-particle" : "", "parse-names" : false, "suffix" : "" }, { "dropping-particle" : "", "family" : "Rapezzi", "given" : "Claudio", "non-dropping-particle" : "", "parse-names" : false, "suffix" : "" }, { "dropping-particle" : "", "family" : "Rutten", "given" : "Frans H", "non-dropping-particle" : "", "parse-names" : false, "suffix" : "" }, { "dropping-particle" : "", "family" : "Tillmanns", "given" : "Christoph", "non-dropping-particle" : "", "parse-names" : false, "suffix" : "" }, { "dropping-particle" : "", "family" : "Watkins", "given" : "Hugh", "non-dropping-particle" : "", "parse-names" : false, "suffix" : "" } ], "container-title" : "European Heart Journal", "id" : "ITEM-2", "issue" : "39", "issued" : { "date-parts" : [ [ "2014" ] ] }, "page" : "2733-2779", "title" : "2014 ESC Guidelines on diagnosis and management of hypertrophic cardiomyopathy", "type" : "article-journal", "volume" : "35" }, "uris" : [ "http://www.mendeley.com/documents/?uuid=c5b8ac14-3a52-476e-8472-d1774c0eb725" ] } ], "mendeley" : { "formattedCitation" : "[17,28]", "plainTextFormattedCitation" : "[17,28]", "previouslyFormattedCitation" : "[17,28]" }, "properties" : { "noteIndex" : 0 }, "schema" : "https://github.com/citation-style-language/schema/raw/master/csl-citation.json" }</w:instrText>
      </w:r>
      <w:r w:rsidR="00F32F98">
        <w:rPr>
          <w:rFonts w:ascii="Calibri" w:hAnsi="Calibri" w:cs="times-roman"/>
          <w:color w:val="000000"/>
          <w:lang w:val="en-US" w:eastAsia="en-GB"/>
        </w:rPr>
        <w:fldChar w:fldCharType="separate"/>
      </w:r>
      <w:r w:rsidR="00843D9D" w:rsidRPr="00843D9D">
        <w:rPr>
          <w:rFonts w:ascii="Calibri" w:hAnsi="Calibri" w:cs="times-roman"/>
          <w:noProof/>
          <w:color w:val="000000"/>
          <w:lang w:val="en-US" w:eastAsia="en-GB"/>
        </w:rPr>
        <w:t>[17,28]</w:t>
      </w:r>
      <w:r w:rsidR="00F32F98">
        <w:rPr>
          <w:rFonts w:ascii="Calibri" w:hAnsi="Calibri" w:cs="times-roman"/>
          <w:color w:val="000000"/>
          <w:lang w:val="en-US" w:eastAsia="en-GB"/>
        </w:rPr>
        <w:fldChar w:fldCharType="end"/>
      </w:r>
      <w:r w:rsidRPr="00923CE9">
        <w:rPr>
          <w:rFonts w:ascii="Calibri" w:hAnsi="Calibri" w:cs="times-roman"/>
          <w:color w:val="000000"/>
          <w:lang w:val="en-US" w:eastAsia="en-GB"/>
        </w:rPr>
        <w:t xml:space="preserve"> </w:t>
      </w:r>
      <w:r w:rsidRPr="00923CE9">
        <w:rPr>
          <w:rFonts w:ascii="Calibri" w:hAnsi="Calibri" w:cs="Arial"/>
          <w:lang w:val="en-US"/>
        </w:rPr>
        <w:t>The pr</w:t>
      </w:r>
      <w:r w:rsidR="00B74BB8" w:rsidRPr="00923CE9">
        <w:rPr>
          <w:rFonts w:ascii="Calibri" w:hAnsi="Calibri" w:cs="Arial"/>
          <w:lang w:val="en-US"/>
        </w:rPr>
        <w:t>imary outcome</w:t>
      </w:r>
      <w:r w:rsidRPr="00923CE9">
        <w:rPr>
          <w:rFonts w:ascii="Calibri" w:hAnsi="Calibri" w:cs="Arial"/>
          <w:lang w:val="en-US"/>
        </w:rPr>
        <w:t xml:space="preserve"> was a composite of</w:t>
      </w:r>
      <w:r w:rsidR="00017068" w:rsidRPr="00923CE9">
        <w:rPr>
          <w:rFonts w:ascii="Calibri" w:hAnsi="Calibri" w:cs="Arial"/>
          <w:lang w:val="en-US"/>
        </w:rPr>
        <w:t xml:space="preserve"> </w:t>
      </w:r>
      <w:r w:rsidR="002B204B" w:rsidRPr="00923CE9">
        <w:rPr>
          <w:rFonts w:ascii="Calibri" w:hAnsi="Calibri" w:cs="Arial"/>
          <w:lang w:val="en-US"/>
        </w:rPr>
        <w:t xml:space="preserve">cardiovascular </w:t>
      </w:r>
      <w:r w:rsidR="00017068" w:rsidRPr="00923CE9">
        <w:rPr>
          <w:rFonts w:ascii="Calibri" w:hAnsi="Calibri" w:cs="Arial"/>
          <w:lang w:val="en-US"/>
        </w:rPr>
        <w:t xml:space="preserve">death, </w:t>
      </w:r>
      <w:r w:rsidRPr="00923CE9">
        <w:rPr>
          <w:rFonts w:ascii="Calibri" w:hAnsi="Calibri" w:cs="Arial"/>
          <w:lang w:val="en-US"/>
        </w:rPr>
        <w:t>cardiac arrest or appropriate device therapy</w:t>
      </w:r>
      <w:r w:rsidR="009D2F49" w:rsidRPr="00923CE9">
        <w:rPr>
          <w:rFonts w:ascii="Calibri" w:hAnsi="Calibri" w:cs="times-roman"/>
          <w:color w:val="000000"/>
          <w:lang w:val="en-US" w:eastAsia="en-GB"/>
        </w:rPr>
        <w:t>, defined as appropriate anti-tachycardia pacing and/or shock delivery</w:t>
      </w:r>
      <w:r w:rsidR="000960BB" w:rsidRPr="00923CE9">
        <w:rPr>
          <w:rFonts w:ascii="Calibri" w:hAnsi="Calibri" w:cs="times-roman"/>
          <w:color w:val="000000"/>
          <w:lang w:val="en-US" w:eastAsia="en-GB"/>
        </w:rPr>
        <w:t xml:space="preserve"> from an implantable cardioverter-defibrillator (ICD)</w:t>
      </w:r>
      <w:r w:rsidRPr="00923CE9">
        <w:rPr>
          <w:rFonts w:ascii="Calibri" w:hAnsi="Calibri" w:cs="Arial"/>
          <w:lang w:val="en-US"/>
        </w:rPr>
        <w:t>.</w:t>
      </w:r>
      <w:r w:rsidR="00017068" w:rsidRPr="00923CE9">
        <w:rPr>
          <w:rFonts w:ascii="Calibri" w:hAnsi="Calibri" w:cs="Arial"/>
          <w:lang w:val="en-US"/>
        </w:rPr>
        <w:t xml:space="preserve"> </w:t>
      </w:r>
      <w:r w:rsidR="00A90A97" w:rsidRPr="00EE6B0B">
        <w:rPr>
          <w:rFonts w:ascii="Calibri" w:hAnsi="Calibri" w:cs="Arial"/>
          <w:lang w:val="en-US"/>
        </w:rPr>
        <w:t xml:space="preserve">Secondary outcomes included myocardial infarction and stroke. </w:t>
      </w:r>
      <w:r w:rsidR="009C475B" w:rsidRPr="00EE6B0B">
        <w:rPr>
          <w:rFonts w:ascii="Calibri" w:hAnsi="Calibri" w:cs="Arial"/>
          <w:lang w:val="en-US"/>
        </w:rPr>
        <w:t xml:space="preserve">Of the cohort of 425 individuals, 16 </w:t>
      </w:r>
      <w:r w:rsidR="00167C0E" w:rsidRPr="00EE6B0B">
        <w:rPr>
          <w:rFonts w:ascii="Calibri" w:hAnsi="Calibri" w:cs="Arial"/>
          <w:lang w:val="en-US"/>
        </w:rPr>
        <w:t xml:space="preserve">were excluded from subsequent survival analysis </w:t>
      </w:r>
      <w:r w:rsidR="00167C0E">
        <w:rPr>
          <w:rFonts w:ascii="Calibri" w:hAnsi="Calibri" w:cs="Arial"/>
          <w:lang w:val="en-US"/>
        </w:rPr>
        <w:t xml:space="preserve">due </w:t>
      </w:r>
      <w:r w:rsidR="008E0EF2">
        <w:rPr>
          <w:rFonts w:ascii="Calibri" w:hAnsi="Calibri" w:cs="Arial"/>
          <w:lang w:val="en-US"/>
        </w:rPr>
        <w:t xml:space="preserve">to a </w:t>
      </w:r>
      <w:r w:rsidR="008E0EF2" w:rsidRPr="00EE6B0B">
        <w:rPr>
          <w:rFonts w:ascii="Calibri" w:hAnsi="Calibri" w:cs="Arial"/>
          <w:lang w:val="en-US"/>
        </w:rPr>
        <w:t>primary</w:t>
      </w:r>
      <w:r w:rsidR="00A90A97" w:rsidRPr="00EE6B0B">
        <w:rPr>
          <w:rFonts w:ascii="Calibri" w:hAnsi="Calibri" w:cs="Arial"/>
          <w:lang w:val="en-US"/>
        </w:rPr>
        <w:t xml:space="preserve"> event</w:t>
      </w:r>
      <w:r w:rsidR="009C475B" w:rsidRPr="00EE6B0B">
        <w:rPr>
          <w:rFonts w:ascii="Calibri" w:hAnsi="Calibri" w:cs="Arial"/>
          <w:lang w:val="en-US"/>
        </w:rPr>
        <w:t xml:space="preserve"> prior to </w:t>
      </w:r>
      <w:r w:rsidR="00A50112" w:rsidRPr="00EE6B0B">
        <w:rPr>
          <w:rFonts w:ascii="Calibri" w:hAnsi="Calibri" w:cs="Arial"/>
          <w:lang w:val="en-US"/>
        </w:rPr>
        <w:t>entry</w:t>
      </w:r>
      <w:r w:rsidR="009C475B" w:rsidRPr="00EE6B0B">
        <w:rPr>
          <w:rFonts w:ascii="Calibri" w:hAnsi="Calibri" w:cs="Arial"/>
          <w:lang w:val="en-US"/>
        </w:rPr>
        <w:t xml:space="preserve"> in</w:t>
      </w:r>
      <w:r w:rsidR="00A50112" w:rsidRPr="00EE6B0B">
        <w:rPr>
          <w:rFonts w:ascii="Calibri" w:hAnsi="Calibri" w:cs="Arial"/>
          <w:lang w:val="en-US"/>
        </w:rPr>
        <w:t>to the</w:t>
      </w:r>
      <w:r w:rsidR="009C475B" w:rsidRPr="00EE6B0B">
        <w:rPr>
          <w:rFonts w:ascii="Calibri" w:hAnsi="Calibri" w:cs="Arial"/>
          <w:lang w:val="en-US"/>
        </w:rPr>
        <w:t xml:space="preserve"> </w:t>
      </w:r>
      <w:r w:rsidR="008E0EF2" w:rsidRPr="00EE6B0B">
        <w:rPr>
          <w:rFonts w:ascii="Calibri" w:hAnsi="Calibri" w:cs="Arial"/>
          <w:lang w:val="en-US"/>
        </w:rPr>
        <w:t xml:space="preserve">study. </w:t>
      </w:r>
      <w:r w:rsidR="00FD4D10" w:rsidRPr="00EE6B0B">
        <w:rPr>
          <w:rFonts w:ascii="Calibri" w:hAnsi="Calibri" w:cs="Arial"/>
          <w:lang w:val="en-US"/>
        </w:rPr>
        <w:t xml:space="preserve">Of the remaining 409 patients, a further 16 </w:t>
      </w:r>
      <w:r w:rsidR="006A3A4A" w:rsidRPr="00EE6B0B">
        <w:rPr>
          <w:rFonts w:ascii="Calibri" w:hAnsi="Calibri" w:cs="Arial"/>
          <w:lang w:val="en-US"/>
        </w:rPr>
        <w:t xml:space="preserve">had experienced a secondary event prior to entry into the study and were excluded from </w:t>
      </w:r>
      <w:r w:rsidR="00FD4D10" w:rsidRPr="00EE6B0B">
        <w:rPr>
          <w:rFonts w:ascii="Calibri" w:hAnsi="Calibri" w:cs="Arial"/>
          <w:lang w:val="en-US"/>
        </w:rPr>
        <w:t xml:space="preserve">subsequent </w:t>
      </w:r>
      <w:r w:rsidR="006A3A4A" w:rsidRPr="00EE6B0B">
        <w:rPr>
          <w:rFonts w:ascii="Calibri" w:hAnsi="Calibri" w:cs="Arial"/>
          <w:lang w:val="en-US"/>
        </w:rPr>
        <w:t>survival analysis for secondary events.</w:t>
      </w:r>
    </w:p>
    <w:p w:rsidR="00CC437D" w:rsidRPr="00923CE9" w:rsidRDefault="00CC437D" w:rsidP="006C647A">
      <w:pPr>
        <w:spacing w:line="480" w:lineRule="auto"/>
        <w:rPr>
          <w:rFonts w:ascii="Calibri" w:hAnsi="Calibri" w:cs="Arial"/>
          <w:lang w:val="en-US"/>
        </w:rPr>
      </w:pPr>
    </w:p>
    <w:p w:rsidR="00B62426" w:rsidRPr="002C7BFF" w:rsidRDefault="00604C0D" w:rsidP="006C647A">
      <w:pPr>
        <w:spacing w:line="480" w:lineRule="auto"/>
        <w:rPr>
          <w:rFonts w:ascii="Calibri" w:hAnsi="Calibri"/>
          <w:lang w:val="en-US"/>
        </w:rPr>
      </w:pPr>
      <w:r w:rsidRPr="002C7BFF">
        <w:rPr>
          <w:rFonts w:ascii="Calibri" w:hAnsi="Calibri"/>
          <w:b/>
          <w:lang w:val="en-US"/>
        </w:rPr>
        <w:t>S</w:t>
      </w:r>
      <w:r>
        <w:rPr>
          <w:rFonts w:ascii="Calibri" w:hAnsi="Calibri"/>
          <w:b/>
          <w:lang w:val="en-US"/>
        </w:rPr>
        <w:t>tatistical Analysis</w:t>
      </w:r>
    </w:p>
    <w:p w:rsidR="005C590D" w:rsidRDefault="00B62426" w:rsidP="006C647A">
      <w:pPr>
        <w:spacing w:line="480" w:lineRule="auto"/>
        <w:rPr>
          <w:rFonts w:ascii="Calibri" w:hAnsi="Calibri" w:cs="Arial"/>
          <w:lang w:val="en-US"/>
        </w:rPr>
      </w:pPr>
      <w:r w:rsidRPr="00923CE9">
        <w:rPr>
          <w:rFonts w:ascii="Calibri" w:hAnsi="Calibri" w:cs="Arial"/>
          <w:lang w:val="en-US"/>
        </w:rPr>
        <w:t xml:space="preserve">The Kolmogorov-Smirnov test was used to evaluate whether each parameter followed a </w:t>
      </w:r>
      <w:r w:rsidR="00B74BB8" w:rsidRPr="00923CE9">
        <w:rPr>
          <w:rFonts w:ascii="Calibri" w:hAnsi="Calibri" w:cs="Arial"/>
          <w:lang w:val="en-US"/>
        </w:rPr>
        <w:t>Gaussian distribution. Values a</w:t>
      </w:r>
      <w:r w:rsidR="006D6318">
        <w:rPr>
          <w:rFonts w:ascii="Calibri" w:hAnsi="Calibri" w:cs="Arial"/>
          <w:lang w:val="en-US"/>
        </w:rPr>
        <w:t xml:space="preserve">re expressed as mean ± standard deviation </w:t>
      </w:r>
      <w:r w:rsidRPr="00923CE9">
        <w:rPr>
          <w:rFonts w:ascii="Calibri" w:hAnsi="Calibri" w:cs="Arial"/>
          <w:lang w:val="en-US"/>
        </w:rPr>
        <w:t>or percentages, as appropriate. Comparisons were performed by Student’s t-test, Mann Whitney U test, and Chi-square test for normally distributed, non-normally distributed and categorical variables, respectively.</w:t>
      </w:r>
      <w:r w:rsidRPr="00923CE9">
        <w:rPr>
          <w:lang w:val="en-US"/>
        </w:rPr>
        <w:t xml:space="preserve"> </w:t>
      </w:r>
      <w:r w:rsidRPr="00923CE9">
        <w:rPr>
          <w:rFonts w:ascii="Calibri" w:hAnsi="Calibri" w:cs="Arial"/>
          <w:lang w:val="en-US"/>
        </w:rPr>
        <w:t xml:space="preserve">Survival curves were constructed according to the Kaplan-Meier method, and comparisons were performed using the log-rank test. </w:t>
      </w:r>
      <w:r w:rsidR="0001791C">
        <w:rPr>
          <w:rFonts w:ascii="Calibri" w:hAnsi="Calibri" w:cs="Arial"/>
          <w:lang w:val="en-US"/>
        </w:rPr>
        <w:t>Hazard ratios</w:t>
      </w:r>
      <w:r w:rsidR="00D95DAE" w:rsidRPr="00923CE9">
        <w:rPr>
          <w:rFonts w:ascii="Calibri" w:hAnsi="Calibri" w:cs="Arial"/>
          <w:lang w:val="en-US"/>
        </w:rPr>
        <w:t xml:space="preserve"> and</w:t>
      </w:r>
      <w:r w:rsidR="00E828FA" w:rsidRPr="00923CE9">
        <w:rPr>
          <w:rFonts w:ascii="Calibri" w:hAnsi="Calibri" w:cs="Arial"/>
          <w:lang w:val="en-US"/>
        </w:rPr>
        <w:t xml:space="preserve"> </w:t>
      </w:r>
      <w:r w:rsidR="004958DC" w:rsidRPr="00923CE9">
        <w:rPr>
          <w:rFonts w:ascii="Calibri" w:hAnsi="Calibri" w:cs="Arial"/>
          <w:lang w:val="en-US"/>
        </w:rPr>
        <w:t>95%</w:t>
      </w:r>
      <w:r w:rsidR="00D95DAE" w:rsidRPr="00923CE9">
        <w:rPr>
          <w:rFonts w:ascii="Calibri" w:hAnsi="Calibri" w:cs="Arial"/>
          <w:lang w:val="en-US"/>
        </w:rPr>
        <w:t xml:space="preserve"> confidence intervals (CI) were c</w:t>
      </w:r>
      <w:r w:rsidR="002A231C">
        <w:rPr>
          <w:rFonts w:ascii="Calibri" w:hAnsi="Calibri" w:cs="Arial"/>
          <w:lang w:val="en-US"/>
        </w:rPr>
        <w:t xml:space="preserve">alculated with Cox proportional </w:t>
      </w:r>
      <w:r w:rsidR="00D95DAE" w:rsidRPr="00923CE9">
        <w:rPr>
          <w:rFonts w:ascii="Calibri" w:hAnsi="Calibri" w:cs="Arial"/>
          <w:lang w:val="en-US"/>
        </w:rPr>
        <w:t xml:space="preserve">hazards regression models. </w:t>
      </w:r>
      <w:r w:rsidR="002A231C" w:rsidRPr="00923CE9">
        <w:rPr>
          <w:rFonts w:ascii="Calibri" w:hAnsi="Calibri" w:cs="Arial"/>
          <w:lang w:val="en-US"/>
        </w:rPr>
        <w:t>A two-tailed p-value of &lt;0.05 was considered significant throughout</w:t>
      </w:r>
      <w:r w:rsidR="002A231C">
        <w:rPr>
          <w:rFonts w:ascii="Calibri" w:hAnsi="Calibri" w:cs="Arial"/>
          <w:lang w:val="en-US"/>
        </w:rPr>
        <w:t>.</w:t>
      </w:r>
    </w:p>
    <w:p w:rsidR="005C590D" w:rsidRDefault="005C590D" w:rsidP="006C647A">
      <w:pPr>
        <w:spacing w:line="480" w:lineRule="auto"/>
        <w:rPr>
          <w:rFonts w:ascii="Calibri" w:hAnsi="Calibri" w:cs="Arial"/>
          <w:lang w:val="en-US"/>
        </w:rPr>
      </w:pPr>
    </w:p>
    <w:p w:rsidR="00B62426" w:rsidRDefault="002A231C" w:rsidP="006C647A">
      <w:pPr>
        <w:spacing w:line="480" w:lineRule="auto"/>
        <w:rPr>
          <w:rFonts w:ascii="Calibri" w:hAnsi="Calibri" w:cs="Arial"/>
          <w:lang w:val="en-US"/>
        </w:rPr>
      </w:pPr>
      <w:r w:rsidRPr="00EE6B0B">
        <w:rPr>
          <w:rFonts w:ascii="Calibri" w:hAnsi="Calibri" w:cs="Arial"/>
          <w:lang w:val="en-US"/>
        </w:rPr>
        <w:t>To determine predictors of the primary outcome</w:t>
      </w:r>
      <w:r w:rsidR="008F1F3D" w:rsidRPr="00EE6B0B">
        <w:rPr>
          <w:rFonts w:ascii="Calibri" w:hAnsi="Calibri" w:cs="Arial"/>
          <w:lang w:val="en-US"/>
        </w:rPr>
        <w:t>,</w:t>
      </w:r>
      <w:r w:rsidR="009E050A">
        <w:rPr>
          <w:rFonts w:ascii="Calibri" w:hAnsi="Calibri" w:cs="Arial"/>
          <w:lang w:val="en-US"/>
        </w:rPr>
        <w:t xml:space="preserve"> clinical variables were</w:t>
      </w:r>
      <w:r w:rsidR="008F1F3D" w:rsidRPr="00EE6B0B">
        <w:rPr>
          <w:rFonts w:ascii="Calibri" w:hAnsi="Calibri" w:cs="Arial"/>
          <w:lang w:val="en-US"/>
        </w:rPr>
        <w:t xml:space="preserve"> </w:t>
      </w:r>
      <w:r w:rsidRPr="00EE6B0B">
        <w:rPr>
          <w:rFonts w:ascii="Calibri" w:hAnsi="Calibri" w:cs="Arial"/>
          <w:lang w:val="en-US"/>
        </w:rPr>
        <w:t xml:space="preserve">tested </w:t>
      </w:r>
      <w:r w:rsidR="008F1F3D" w:rsidRPr="00EE6B0B">
        <w:rPr>
          <w:rFonts w:ascii="Calibri" w:hAnsi="Calibri" w:cs="Arial"/>
          <w:lang w:val="en-US"/>
        </w:rPr>
        <w:t>using</w:t>
      </w:r>
      <w:r w:rsidRPr="00EE6B0B">
        <w:rPr>
          <w:rFonts w:ascii="Calibri" w:hAnsi="Calibri" w:cs="Arial"/>
          <w:lang w:val="en-US"/>
        </w:rPr>
        <w:t xml:space="preserve"> univariate </w:t>
      </w:r>
      <w:r w:rsidR="003F7F8C">
        <w:rPr>
          <w:rFonts w:ascii="Calibri" w:hAnsi="Calibri" w:cs="Arial"/>
          <w:lang w:val="en-US"/>
        </w:rPr>
        <w:t>analysis. V</w:t>
      </w:r>
      <w:r w:rsidR="008F1F3D" w:rsidRPr="00EE6B0B">
        <w:rPr>
          <w:rFonts w:ascii="Calibri" w:hAnsi="Calibri" w:cs="Arial"/>
          <w:lang w:val="en-US"/>
        </w:rPr>
        <w:t>ariables with a p</w:t>
      </w:r>
      <w:r w:rsidR="003F7F8C">
        <w:rPr>
          <w:rFonts w:ascii="Calibri" w:hAnsi="Calibri" w:cs="Arial"/>
          <w:lang w:val="en-US"/>
        </w:rPr>
        <w:t xml:space="preserve">-value of </w:t>
      </w:r>
      <w:r w:rsidR="008F1F3D" w:rsidRPr="00EE6B0B">
        <w:rPr>
          <w:rFonts w:ascii="Calibri" w:hAnsi="Calibri" w:cs="Arial"/>
          <w:lang w:val="en-US"/>
        </w:rPr>
        <w:t>&lt;0.1 for univariate associations were entered into a</w:t>
      </w:r>
      <w:r w:rsidRPr="00EE6B0B">
        <w:rPr>
          <w:rFonts w:ascii="Calibri" w:hAnsi="Calibri" w:cs="Arial"/>
          <w:lang w:val="en-US"/>
        </w:rPr>
        <w:t xml:space="preserve"> b</w:t>
      </w:r>
      <w:r w:rsidR="004A68BB" w:rsidRPr="00EE6B0B">
        <w:rPr>
          <w:rFonts w:ascii="Calibri" w:hAnsi="Calibri" w:cs="Arial"/>
          <w:lang w:val="en-US"/>
        </w:rPr>
        <w:t>ack</w:t>
      </w:r>
      <w:r w:rsidR="005F3874" w:rsidRPr="00EE6B0B">
        <w:rPr>
          <w:rFonts w:ascii="Calibri" w:hAnsi="Calibri" w:cs="Arial"/>
          <w:lang w:val="en-US"/>
        </w:rPr>
        <w:t xml:space="preserve">ward stepwise </w:t>
      </w:r>
      <w:r w:rsidR="003F7F8C">
        <w:rPr>
          <w:rFonts w:ascii="Calibri" w:hAnsi="Calibri" w:cs="Arial"/>
          <w:lang w:val="en-US"/>
        </w:rPr>
        <w:t>multivariat</w:t>
      </w:r>
      <w:r w:rsidRPr="00EE6B0B">
        <w:rPr>
          <w:rFonts w:ascii="Calibri" w:hAnsi="Calibri" w:cs="Arial"/>
          <w:lang w:val="en-US"/>
        </w:rPr>
        <w:t>e Cox proportional hazards regression model</w:t>
      </w:r>
      <w:r w:rsidR="005F3874" w:rsidRPr="00EE6B0B">
        <w:rPr>
          <w:rFonts w:ascii="Calibri" w:hAnsi="Calibri" w:cs="Arial"/>
          <w:lang w:val="en-US"/>
        </w:rPr>
        <w:t xml:space="preserve"> </w:t>
      </w:r>
      <w:r w:rsidR="008F1F3D" w:rsidRPr="00EE6B0B">
        <w:rPr>
          <w:rFonts w:ascii="Calibri" w:hAnsi="Calibri" w:cs="Arial"/>
          <w:lang w:val="en-US"/>
        </w:rPr>
        <w:t>to determine independent predictors of the primary outcome</w:t>
      </w:r>
      <w:r w:rsidR="0053481F" w:rsidRPr="00EE6B0B">
        <w:rPr>
          <w:rFonts w:ascii="Calibri" w:hAnsi="Calibri" w:cs="Arial"/>
          <w:lang w:val="en-US"/>
        </w:rPr>
        <w:t>.</w:t>
      </w:r>
      <w:r w:rsidR="0053481F" w:rsidRPr="00923CE9">
        <w:rPr>
          <w:rFonts w:ascii="Calibri" w:hAnsi="Calibri" w:cs="Arial"/>
          <w:lang w:val="en-US"/>
        </w:rPr>
        <w:t xml:space="preserve"> </w:t>
      </w:r>
      <w:r w:rsidR="00B62426" w:rsidRPr="00923CE9">
        <w:rPr>
          <w:rFonts w:ascii="Calibri" w:hAnsi="Calibri" w:cs="Arial"/>
          <w:lang w:val="en-US"/>
        </w:rPr>
        <w:t xml:space="preserve">All analyses were </w:t>
      </w:r>
      <w:r w:rsidR="00B56BAA">
        <w:rPr>
          <w:rFonts w:ascii="Calibri" w:hAnsi="Calibri" w:cs="Arial"/>
          <w:lang w:val="en-US"/>
        </w:rPr>
        <w:t>performed</w:t>
      </w:r>
      <w:r w:rsidR="00B62426" w:rsidRPr="00923CE9">
        <w:rPr>
          <w:rFonts w:ascii="Calibri" w:hAnsi="Calibri" w:cs="Arial"/>
          <w:lang w:val="en-US"/>
        </w:rPr>
        <w:t xml:space="preserve"> </w:t>
      </w:r>
      <w:r w:rsidR="00B56BAA">
        <w:rPr>
          <w:rFonts w:ascii="Calibri" w:hAnsi="Calibri" w:cs="Arial"/>
          <w:lang w:val="en-US"/>
        </w:rPr>
        <w:t>using</w:t>
      </w:r>
      <w:r w:rsidR="00B62426" w:rsidRPr="00923CE9">
        <w:rPr>
          <w:rFonts w:ascii="Calibri" w:hAnsi="Calibri" w:cs="Arial"/>
          <w:lang w:val="en-US"/>
        </w:rPr>
        <w:t xml:space="preserve"> SPS</w:t>
      </w:r>
      <w:r w:rsidR="000750D6" w:rsidRPr="00923CE9">
        <w:rPr>
          <w:rFonts w:ascii="Calibri" w:hAnsi="Calibri" w:cs="Arial"/>
          <w:lang w:val="en-US"/>
        </w:rPr>
        <w:t xml:space="preserve">S </w:t>
      </w:r>
      <w:r w:rsidR="00B56BAA">
        <w:rPr>
          <w:rFonts w:ascii="Calibri" w:hAnsi="Calibri" w:cs="Arial"/>
          <w:lang w:val="en-US"/>
        </w:rPr>
        <w:t xml:space="preserve">software, version </w:t>
      </w:r>
      <w:r w:rsidR="00F26F62">
        <w:rPr>
          <w:rFonts w:ascii="Calibri" w:hAnsi="Calibri" w:cs="Arial"/>
          <w:lang w:val="en-US"/>
        </w:rPr>
        <w:t>20</w:t>
      </w:r>
      <w:r w:rsidR="000750D6" w:rsidRPr="00923CE9">
        <w:rPr>
          <w:rFonts w:ascii="Calibri" w:hAnsi="Calibri" w:cs="Arial"/>
          <w:lang w:val="en-US"/>
        </w:rPr>
        <w:t>.0</w:t>
      </w:r>
      <w:r w:rsidR="00B56BAA">
        <w:rPr>
          <w:rFonts w:ascii="Calibri" w:hAnsi="Calibri" w:cs="Arial"/>
          <w:lang w:val="en-US"/>
        </w:rPr>
        <w:t xml:space="preserve"> </w:t>
      </w:r>
      <w:r w:rsidR="000750D6" w:rsidRPr="00923CE9">
        <w:rPr>
          <w:rFonts w:ascii="Calibri" w:hAnsi="Calibri" w:cs="Arial"/>
          <w:lang w:val="en-US"/>
        </w:rPr>
        <w:t>(IBM, Chicago, Illinois).</w:t>
      </w:r>
    </w:p>
    <w:p w:rsidR="00E824BA" w:rsidRDefault="00E824BA" w:rsidP="006C647A">
      <w:pPr>
        <w:spacing w:line="480" w:lineRule="auto"/>
        <w:rPr>
          <w:rFonts w:ascii="Calibri" w:hAnsi="Calibri" w:cs="Arial"/>
          <w:lang w:val="en-US"/>
        </w:rPr>
      </w:pPr>
    </w:p>
    <w:p w:rsidR="0041526A" w:rsidRDefault="0041526A" w:rsidP="006C647A">
      <w:pPr>
        <w:spacing w:line="480" w:lineRule="auto"/>
        <w:rPr>
          <w:rFonts w:ascii="Calibri" w:hAnsi="Calibri" w:cs="Arial"/>
          <w:lang w:val="en-US"/>
        </w:rPr>
      </w:pPr>
    </w:p>
    <w:p w:rsidR="00B62426" w:rsidRPr="00604C0D" w:rsidRDefault="00B62426" w:rsidP="006C647A">
      <w:pPr>
        <w:spacing w:line="480" w:lineRule="auto"/>
        <w:rPr>
          <w:rFonts w:ascii="Calibri" w:hAnsi="Calibri"/>
          <w:b/>
          <w:lang w:val="en-US"/>
        </w:rPr>
      </w:pPr>
      <w:r w:rsidRPr="00604C0D">
        <w:rPr>
          <w:rFonts w:ascii="Calibri" w:hAnsi="Calibri"/>
          <w:b/>
          <w:lang w:val="en-US"/>
        </w:rPr>
        <w:t>RESULTS</w:t>
      </w:r>
    </w:p>
    <w:p w:rsidR="00B62426" w:rsidRPr="001146E4" w:rsidRDefault="00B62426" w:rsidP="006C647A">
      <w:pPr>
        <w:pStyle w:val="Default"/>
        <w:spacing w:line="480" w:lineRule="auto"/>
        <w:rPr>
          <w:rFonts w:ascii="Calibri" w:hAnsi="Calibri" w:cs="Arial"/>
          <w:b/>
          <w:lang w:val="en-US"/>
        </w:rPr>
      </w:pPr>
      <w:r w:rsidRPr="001146E4">
        <w:rPr>
          <w:rFonts w:ascii="Calibri" w:hAnsi="Calibri" w:cs="Arial"/>
          <w:b/>
          <w:lang w:val="en-US"/>
        </w:rPr>
        <w:t>B</w:t>
      </w:r>
      <w:r w:rsidR="00604C0D">
        <w:rPr>
          <w:rFonts w:ascii="Calibri" w:hAnsi="Calibri" w:cs="Arial"/>
          <w:b/>
          <w:lang w:val="en-US"/>
        </w:rPr>
        <w:t>aseline Demographics</w:t>
      </w:r>
    </w:p>
    <w:p w:rsidR="00B62426" w:rsidRPr="00923CE9" w:rsidRDefault="00AA151C" w:rsidP="006C647A">
      <w:pPr>
        <w:spacing w:line="480" w:lineRule="auto"/>
        <w:rPr>
          <w:rFonts w:ascii="Calibri" w:hAnsi="Calibri" w:cs="Arial"/>
          <w:lang w:val="en-US"/>
        </w:rPr>
      </w:pPr>
      <w:r>
        <w:rPr>
          <w:rFonts w:ascii="Calibri" w:hAnsi="Calibri" w:cs="Arial"/>
          <w:lang w:val="en-US"/>
        </w:rPr>
        <w:t>Baseline d</w:t>
      </w:r>
      <w:r w:rsidR="001A78E7">
        <w:rPr>
          <w:rFonts w:ascii="Calibri" w:hAnsi="Calibri" w:cs="Arial"/>
          <w:lang w:val="en-US"/>
        </w:rPr>
        <w:t>emographic</w:t>
      </w:r>
      <w:r>
        <w:rPr>
          <w:rFonts w:ascii="Calibri" w:hAnsi="Calibri" w:cs="Arial"/>
          <w:lang w:val="en-US"/>
        </w:rPr>
        <w:t>s,</w:t>
      </w:r>
      <w:r w:rsidR="003F1D14">
        <w:rPr>
          <w:rFonts w:ascii="Calibri" w:hAnsi="Calibri" w:cs="Arial"/>
          <w:lang w:val="en-US"/>
        </w:rPr>
        <w:t xml:space="preserve"> mode of presentation and co-morbidities </w:t>
      </w:r>
      <w:r>
        <w:rPr>
          <w:rFonts w:ascii="Calibri" w:hAnsi="Calibri" w:cs="Arial"/>
          <w:lang w:val="en-US"/>
        </w:rPr>
        <w:t>in</w:t>
      </w:r>
      <w:r w:rsidR="00B62426" w:rsidRPr="00DD5A80">
        <w:rPr>
          <w:rFonts w:ascii="Calibri" w:hAnsi="Calibri" w:cs="Arial"/>
          <w:lang w:val="en-US"/>
        </w:rPr>
        <w:t xml:space="preserve"> black </w:t>
      </w:r>
      <w:r w:rsidR="00F45F52">
        <w:rPr>
          <w:rFonts w:ascii="Calibri" w:hAnsi="Calibri" w:cs="Arial"/>
          <w:lang w:val="en-US"/>
        </w:rPr>
        <w:t xml:space="preserve">versus </w:t>
      </w:r>
      <w:r w:rsidR="00B62426" w:rsidRPr="00DD5A80">
        <w:rPr>
          <w:rFonts w:ascii="Calibri" w:hAnsi="Calibri" w:cs="Arial"/>
          <w:lang w:val="en-US"/>
        </w:rPr>
        <w:t xml:space="preserve">white </w:t>
      </w:r>
      <w:r>
        <w:rPr>
          <w:rFonts w:ascii="Calibri" w:hAnsi="Calibri" w:cs="Arial"/>
          <w:lang w:val="en-US"/>
        </w:rPr>
        <w:t xml:space="preserve">HCM patients </w:t>
      </w:r>
      <w:r w:rsidR="00224474" w:rsidRPr="00DD5A80">
        <w:rPr>
          <w:rFonts w:ascii="Calibri" w:hAnsi="Calibri" w:cs="Arial"/>
          <w:lang w:val="en-US"/>
        </w:rPr>
        <w:t xml:space="preserve">are presented in </w:t>
      </w:r>
      <w:r w:rsidR="00B62426" w:rsidRPr="00DD5A80">
        <w:rPr>
          <w:rFonts w:ascii="Calibri" w:hAnsi="Calibri" w:cs="Arial"/>
          <w:lang w:val="en-US"/>
        </w:rPr>
        <w:t xml:space="preserve">Table 1. </w:t>
      </w:r>
      <w:r w:rsidR="006F19E3" w:rsidRPr="00DD5A80">
        <w:rPr>
          <w:rFonts w:ascii="Calibri" w:hAnsi="Calibri" w:cs="Arial"/>
          <w:lang w:val="en-US"/>
        </w:rPr>
        <w:t>H</w:t>
      </w:r>
      <w:r w:rsidR="00224474" w:rsidRPr="00DD5A80">
        <w:rPr>
          <w:rFonts w:ascii="Calibri" w:hAnsi="Calibri" w:cs="Arial"/>
          <w:lang w:val="en-US"/>
        </w:rPr>
        <w:t>ypertension</w:t>
      </w:r>
      <w:r w:rsidR="00224474" w:rsidRPr="00DD5A80" w:rsidDel="00224474">
        <w:rPr>
          <w:rFonts w:ascii="Calibri" w:hAnsi="Calibri" w:cs="Arial"/>
          <w:lang w:val="en-US"/>
        </w:rPr>
        <w:t xml:space="preserve"> </w:t>
      </w:r>
      <w:r w:rsidR="006F19E3" w:rsidRPr="00DD5A80">
        <w:rPr>
          <w:rFonts w:ascii="Calibri" w:hAnsi="Calibri" w:cs="Arial"/>
          <w:lang w:val="en-US"/>
        </w:rPr>
        <w:t xml:space="preserve">at study entry </w:t>
      </w:r>
      <w:r w:rsidR="00933699" w:rsidRPr="00DD5A80">
        <w:rPr>
          <w:rFonts w:ascii="Calibri" w:hAnsi="Calibri" w:cs="Arial"/>
          <w:lang w:val="en-US"/>
        </w:rPr>
        <w:t xml:space="preserve">was </w:t>
      </w:r>
      <w:r w:rsidR="00BA557A" w:rsidRPr="00DD5A80">
        <w:rPr>
          <w:rFonts w:ascii="Calibri" w:hAnsi="Calibri" w:cs="Arial"/>
          <w:lang w:val="en-US"/>
        </w:rPr>
        <w:t xml:space="preserve">almost </w:t>
      </w:r>
      <w:r w:rsidR="00933699" w:rsidRPr="00DD5A80">
        <w:rPr>
          <w:rFonts w:ascii="Calibri" w:hAnsi="Calibri" w:cs="Arial"/>
          <w:lang w:val="en-US"/>
        </w:rPr>
        <w:t xml:space="preserve">twice as </w:t>
      </w:r>
      <w:r w:rsidR="009D009C" w:rsidRPr="00DD5A80">
        <w:rPr>
          <w:rFonts w:ascii="Calibri" w:hAnsi="Calibri" w:cs="Arial"/>
          <w:lang w:val="en-US"/>
        </w:rPr>
        <w:t>common</w:t>
      </w:r>
      <w:r w:rsidR="00933699" w:rsidRPr="00DD5A80">
        <w:rPr>
          <w:rFonts w:ascii="Calibri" w:hAnsi="Calibri" w:cs="Arial"/>
          <w:lang w:val="en-US"/>
        </w:rPr>
        <w:t xml:space="preserve"> in</w:t>
      </w:r>
      <w:r w:rsidR="00B62426" w:rsidRPr="00DD5A80">
        <w:rPr>
          <w:rFonts w:ascii="Calibri" w:hAnsi="Calibri" w:cs="Arial"/>
          <w:lang w:val="en-US"/>
        </w:rPr>
        <w:t xml:space="preserve"> black compared to white patients (58.</w:t>
      </w:r>
      <w:r w:rsidR="006F19E3" w:rsidRPr="00DD5A80">
        <w:rPr>
          <w:rFonts w:ascii="Calibri" w:hAnsi="Calibri" w:cs="Arial"/>
          <w:lang w:val="en-US"/>
        </w:rPr>
        <w:t>3</w:t>
      </w:r>
      <w:r w:rsidR="00B62426" w:rsidRPr="00DD5A80">
        <w:rPr>
          <w:rFonts w:ascii="Calibri" w:hAnsi="Calibri" w:cs="Arial"/>
          <w:lang w:val="en-US"/>
        </w:rPr>
        <w:t>%</w:t>
      </w:r>
      <w:r w:rsidR="00A342FA" w:rsidRPr="00DD5A80">
        <w:rPr>
          <w:rFonts w:ascii="Calibri" w:hAnsi="Calibri" w:cs="Arial"/>
          <w:lang w:val="en-US"/>
        </w:rPr>
        <w:t xml:space="preserve"> </w:t>
      </w:r>
      <w:r w:rsidR="00BA5C0B">
        <w:rPr>
          <w:rFonts w:ascii="Calibri" w:hAnsi="Calibri" w:cs="Arial"/>
          <w:lang w:val="en-US"/>
        </w:rPr>
        <w:t>versus</w:t>
      </w:r>
      <w:r w:rsidR="00A342FA" w:rsidRPr="00DD5A80">
        <w:rPr>
          <w:rFonts w:ascii="Calibri" w:hAnsi="Calibri" w:cs="Arial"/>
          <w:lang w:val="en-US"/>
        </w:rPr>
        <w:t xml:space="preserve"> </w:t>
      </w:r>
      <w:r w:rsidR="00DA67A1" w:rsidRPr="00DD5A80">
        <w:rPr>
          <w:rFonts w:ascii="Calibri" w:hAnsi="Calibri" w:cs="Arial"/>
          <w:lang w:val="en-US"/>
        </w:rPr>
        <w:t>31.</w:t>
      </w:r>
      <w:r w:rsidR="006F19E3" w:rsidRPr="00DD5A80">
        <w:rPr>
          <w:rFonts w:ascii="Calibri" w:hAnsi="Calibri" w:cs="Arial"/>
          <w:lang w:val="en-US"/>
        </w:rPr>
        <w:t>7</w:t>
      </w:r>
      <w:r w:rsidR="00B62426" w:rsidRPr="00DD5A80">
        <w:rPr>
          <w:rFonts w:ascii="Calibri" w:hAnsi="Calibri" w:cs="Arial"/>
          <w:lang w:val="en-US"/>
        </w:rPr>
        <w:t>%, p&lt;0.001)</w:t>
      </w:r>
      <w:r w:rsidR="00E34E7B">
        <w:rPr>
          <w:rFonts w:ascii="Calibri" w:hAnsi="Calibri" w:cs="Arial"/>
          <w:lang w:val="en-US"/>
        </w:rPr>
        <w:t xml:space="preserve">. </w:t>
      </w:r>
      <w:r w:rsidR="00D07FCD" w:rsidRPr="00DD5A80">
        <w:rPr>
          <w:rFonts w:ascii="Calibri" w:hAnsi="Calibri" w:cs="Arial"/>
          <w:lang w:val="en-US"/>
        </w:rPr>
        <w:t>Ninety-one</w:t>
      </w:r>
      <w:r w:rsidR="00A342FA" w:rsidRPr="00DD5A80">
        <w:rPr>
          <w:rFonts w:ascii="Calibri" w:hAnsi="Calibri" w:cs="Arial"/>
          <w:lang w:val="en-US"/>
        </w:rPr>
        <w:t xml:space="preserve"> (</w:t>
      </w:r>
      <w:r w:rsidR="00E736D9" w:rsidRPr="00DD5A80">
        <w:rPr>
          <w:rFonts w:ascii="Calibri" w:hAnsi="Calibri" w:cs="Arial"/>
          <w:lang w:val="en-US"/>
        </w:rPr>
        <w:t>55.8</w:t>
      </w:r>
      <w:r w:rsidR="00AF4828" w:rsidRPr="00DD5A80">
        <w:rPr>
          <w:rFonts w:ascii="Calibri" w:hAnsi="Calibri" w:cs="Arial"/>
          <w:lang w:val="en-US"/>
        </w:rPr>
        <w:t>%</w:t>
      </w:r>
      <w:r w:rsidR="00A342FA" w:rsidRPr="00DD5A80">
        <w:rPr>
          <w:rFonts w:ascii="Calibri" w:hAnsi="Calibri" w:cs="Arial"/>
          <w:lang w:val="en-US"/>
        </w:rPr>
        <w:t xml:space="preserve">) </w:t>
      </w:r>
      <w:r w:rsidR="00AF4828" w:rsidRPr="00DD5A80">
        <w:rPr>
          <w:rFonts w:ascii="Calibri" w:hAnsi="Calibri" w:cs="Arial"/>
          <w:lang w:val="en-US"/>
        </w:rPr>
        <w:t xml:space="preserve">black and </w:t>
      </w:r>
      <w:r w:rsidR="00A342FA" w:rsidRPr="00DD5A80">
        <w:rPr>
          <w:rFonts w:ascii="Calibri" w:hAnsi="Calibri" w:cs="Arial"/>
          <w:lang w:val="en-US"/>
        </w:rPr>
        <w:t>79 (</w:t>
      </w:r>
      <w:r w:rsidR="00BA557A" w:rsidRPr="00DD5A80">
        <w:rPr>
          <w:rFonts w:ascii="Calibri" w:hAnsi="Calibri" w:cs="Arial"/>
          <w:lang w:val="en-US"/>
        </w:rPr>
        <w:t>30.</w:t>
      </w:r>
      <w:r w:rsidR="006F19E3" w:rsidRPr="00DD5A80">
        <w:rPr>
          <w:rFonts w:ascii="Calibri" w:hAnsi="Calibri" w:cs="Arial"/>
          <w:lang w:val="en-US"/>
        </w:rPr>
        <w:t>2</w:t>
      </w:r>
      <w:r w:rsidR="00A342FA" w:rsidRPr="00DD5A80">
        <w:rPr>
          <w:rFonts w:ascii="Calibri" w:hAnsi="Calibri" w:cs="Arial"/>
          <w:lang w:val="en-US"/>
        </w:rPr>
        <w:t>%)</w:t>
      </w:r>
      <w:r w:rsidR="00F82C86" w:rsidRPr="00DD5A80">
        <w:rPr>
          <w:rFonts w:ascii="Calibri" w:hAnsi="Calibri" w:cs="Arial"/>
          <w:lang w:val="en-US"/>
        </w:rPr>
        <w:t xml:space="preserve"> white patients </w:t>
      </w:r>
      <w:r w:rsidR="009D009C" w:rsidRPr="00DD5A80">
        <w:rPr>
          <w:rFonts w:ascii="Calibri" w:hAnsi="Calibri" w:cs="Arial"/>
          <w:lang w:val="en-US"/>
        </w:rPr>
        <w:t>were</w:t>
      </w:r>
      <w:r w:rsidR="00D83564" w:rsidRPr="00DD5A80">
        <w:rPr>
          <w:rFonts w:ascii="Calibri" w:hAnsi="Calibri" w:cs="Arial"/>
          <w:lang w:val="en-US"/>
        </w:rPr>
        <w:t xml:space="preserve"> on</w:t>
      </w:r>
      <w:r w:rsidR="00AF4828" w:rsidRPr="00DD5A80">
        <w:rPr>
          <w:rFonts w:ascii="Calibri" w:hAnsi="Calibri" w:cs="Arial"/>
          <w:lang w:val="en-US"/>
        </w:rPr>
        <w:t xml:space="preserve"> anti-hypertensive </w:t>
      </w:r>
      <w:r w:rsidR="00D83564" w:rsidRPr="00DD5A80">
        <w:rPr>
          <w:rFonts w:ascii="Calibri" w:hAnsi="Calibri" w:cs="Arial"/>
          <w:lang w:val="en-US"/>
        </w:rPr>
        <w:t>treatment</w:t>
      </w:r>
      <w:r w:rsidR="00AF4828" w:rsidRPr="00DD5A80">
        <w:rPr>
          <w:rFonts w:ascii="Calibri" w:hAnsi="Calibri" w:cs="Arial"/>
          <w:lang w:val="en-US"/>
        </w:rPr>
        <w:t>.</w:t>
      </w:r>
      <w:r w:rsidR="00201475" w:rsidRPr="00DD5A80">
        <w:rPr>
          <w:rFonts w:ascii="Calibri" w:hAnsi="Calibri" w:cs="Arial"/>
          <w:lang w:val="en-US"/>
        </w:rPr>
        <w:t xml:space="preserve"> The majority of patients with hypertension (1</w:t>
      </w:r>
      <w:r w:rsidR="00BA557A" w:rsidRPr="00DD5A80">
        <w:rPr>
          <w:rFonts w:ascii="Calibri" w:hAnsi="Calibri" w:cs="Arial"/>
          <w:lang w:val="en-US"/>
        </w:rPr>
        <w:t>4</w:t>
      </w:r>
      <w:r w:rsidR="006F19E3" w:rsidRPr="00DD5A80">
        <w:rPr>
          <w:rFonts w:ascii="Calibri" w:hAnsi="Calibri" w:cs="Arial"/>
          <w:lang w:val="en-US"/>
        </w:rPr>
        <w:t>5</w:t>
      </w:r>
      <w:r w:rsidR="00201475" w:rsidRPr="00DD5A80">
        <w:rPr>
          <w:rFonts w:ascii="Calibri" w:hAnsi="Calibri" w:cs="Arial"/>
          <w:lang w:val="en-US"/>
        </w:rPr>
        <w:t xml:space="preserve"> </w:t>
      </w:r>
      <w:r w:rsidR="000E12B2" w:rsidRPr="00DD5A80">
        <w:rPr>
          <w:rFonts w:ascii="Calibri" w:hAnsi="Calibri" w:cs="Arial"/>
          <w:lang w:val="en-US"/>
        </w:rPr>
        <w:t xml:space="preserve">out </w:t>
      </w:r>
      <w:r w:rsidR="00201475" w:rsidRPr="00DD5A80">
        <w:rPr>
          <w:rFonts w:ascii="Calibri" w:hAnsi="Calibri" w:cs="Arial"/>
          <w:lang w:val="en-US"/>
        </w:rPr>
        <w:t>of 1</w:t>
      </w:r>
      <w:r w:rsidR="006F19E3" w:rsidRPr="00DD5A80">
        <w:rPr>
          <w:rFonts w:ascii="Calibri" w:hAnsi="Calibri" w:cs="Arial"/>
          <w:lang w:val="en-US"/>
        </w:rPr>
        <w:t>78</w:t>
      </w:r>
      <w:r w:rsidR="00BA557A" w:rsidRPr="00DD5A80">
        <w:rPr>
          <w:rFonts w:ascii="Calibri" w:hAnsi="Calibri" w:cs="Arial"/>
          <w:lang w:val="en-US"/>
        </w:rPr>
        <w:t>, 81.</w:t>
      </w:r>
      <w:r w:rsidR="006F19E3" w:rsidRPr="00DD5A80">
        <w:rPr>
          <w:rFonts w:ascii="Calibri" w:hAnsi="Calibri" w:cs="Arial"/>
          <w:lang w:val="en-US"/>
        </w:rPr>
        <w:t>5</w:t>
      </w:r>
      <w:r w:rsidR="00B74348">
        <w:rPr>
          <w:rFonts w:ascii="Calibri" w:hAnsi="Calibri" w:cs="Arial"/>
          <w:lang w:val="en-US"/>
        </w:rPr>
        <w:t xml:space="preserve">%) had good BP </w:t>
      </w:r>
      <w:r w:rsidR="00201475" w:rsidRPr="00DD5A80">
        <w:rPr>
          <w:rFonts w:ascii="Calibri" w:hAnsi="Calibri" w:cs="Arial"/>
          <w:lang w:val="en-US"/>
        </w:rPr>
        <w:t xml:space="preserve">control (&lt;140/90mmHg). Only </w:t>
      </w:r>
      <w:r w:rsidR="00A342FA" w:rsidRPr="00DD5A80">
        <w:rPr>
          <w:rFonts w:ascii="Calibri" w:hAnsi="Calibri" w:cs="Arial"/>
          <w:lang w:val="en-US"/>
        </w:rPr>
        <w:t>11 patients (2.6</w:t>
      </w:r>
      <w:r w:rsidR="00201475" w:rsidRPr="00DD5A80">
        <w:rPr>
          <w:rFonts w:ascii="Calibri" w:hAnsi="Calibri" w:cs="Arial"/>
          <w:lang w:val="en-US"/>
        </w:rPr>
        <w:t>%</w:t>
      </w:r>
      <w:r w:rsidR="00A342FA" w:rsidRPr="00DD5A80">
        <w:rPr>
          <w:rFonts w:ascii="Calibri" w:hAnsi="Calibri" w:cs="Arial"/>
          <w:lang w:val="en-US"/>
        </w:rPr>
        <w:t xml:space="preserve"> of the entire</w:t>
      </w:r>
      <w:r w:rsidR="00201475" w:rsidRPr="00DD5A80">
        <w:rPr>
          <w:rFonts w:ascii="Calibri" w:hAnsi="Calibri" w:cs="Arial"/>
          <w:lang w:val="en-US"/>
        </w:rPr>
        <w:t xml:space="preserve"> cohort</w:t>
      </w:r>
      <w:r w:rsidR="00A342FA" w:rsidRPr="00DD5A80">
        <w:rPr>
          <w:rFonts w:ascii="Calibri" w:hAnsi="Calibri" w:cs="Arial"/>
          <w:lang w:val="en-US"/>
        </w:rPr>
        <w:t>)</w:t>
      </w:r>
      <w:r w:rsidR="00201475" w:rsidRPr="00DD5A80">
        <w:rPr>
          <w:rFonts w:ascii="Calibri" w:hAnsi="Calibri" w:cs="Arial"/>
          <w:lang w:val="en-US"/>
        </w:rPr>
        <w:t xml:space="preserve"> exhibited persistently elevat</w:t>
      </w:r>
      <w:r w:rsidR="00B74348">
        <w:rPr>
          <w:rFonts w:ascii="Calibri" w:hAnsi="Calibri" w:cs="Arial"/>
          <w:lang w:val="en-US"/>
        </w:rPr>
        <w:t>ed BP</w:t>
      </w:r>
      <w:r w:rsidR="00201475" w:rsidRPr="00DD5A80">
        <w:rPr>
          <w:rFonts w:ascii="Calibri" w:hAnsi="Calibri" w:cs="Arial"/>
          <w:lang w:val="en-US"/>
        </w:rPr>
        <w:t xml:space="preserve"> during follow-up.</w:t>
      </w:r>
    </w:p>
    <w:p w:rsidR="006F19E3" w:rsidRDefault="006F19E3" w:rsidP="006C647A">
      <w:pPr>
        <w:spacing w:line="480" w:lineRule="auto"/>
        <w:rPr>
          <w:rFonts w:ascii="Calibri" w:hAnsi="Calibri" w:cs="Arial"/>
          <w:lang w:val="en-US"/>
        </w:rPr>
      </w:pPr>
    </w:p>
    <w:p w:rsidR="00180389" w:rsidRPr="00AE22D7" w:rsidRDefault="00180389" w:rsidP="00180389">
      <w:pPr>
        <w:spacing w:line="480" w:lineRule="auto"/>
        <w:rPr>
          <w:rFonts w:ascii="Calibri" w:eastAsia="Times New Roman" w:hAnsi="Calibri" w:cs="Arial"/>
          <w:b/>
          <w:lang w:val="en-US" w:eastAsia="en-GB"/>
        </w:rPr>
      </w:pPr>
      <w:r>
        <w:rPr>
          <w:rFonts w:ascii="Calibri" w:eastAsia="Times New Roman" w:hAnsi="Calibri" w:cs="Arial"/>
          <w:b/>
          <w:lang w:val="en-US" w:eastAsia="en-GB"/>
        </w:rPr>
        <w:t xml:space="preserve">Table 1. </w:t>
      </w:r>
      <w:r w:rsidR="003F1D14" w:rsidRPr="003F1D14">
        <w:rPr>
          <w:rFonts w:ascii="Calibri" w:eastAsia="Times New Roman" w:hAnsi="Calibri" w:cs="Arial"/>
          <w:b/>
          <w:lang w:val="en-US" w:eastAsia="en-GB"/>
        </w:rPr>
        <w:t>Baseline demographic characteristic</w:t>
      </w:r>
      <w:r w:rsidR="003F1D14">
        <w:rPr>
          <w:rFonts w:ascii="Calibri" w:eastAsia="Times New Roman" w:hAnsi="Calibri" w:cs="Arial"/>
          <w:b/>
          <w:lang w:val="en-US" w:eastAsia="en-GB"/>
        </w:rPr>
        <w:t xml:space="preserve">s, mode of presentation and co-morbidities </w:t>
      </w:r>
      <w:r w:rsidR="003F1D14" w:rsidRPr="003F1D14">
        <w:rPr>
          <w:rFonts w:ascii="Calibri" w:eastAsia="Times New Roman" w:hAnsi="Calibri" w:cs="Arial"/>
          <w:b/>
          <w:lang w:val="en-US" w:eastAsia="en-GB"/>
        </w:rPr>
        <w:t xml:space="preserve">in black </w:t>
      </w:r>
      <w:r w:rsidR="003F1D14">
        <w:rPr>
          <w:rFonts w:ascii="Calibri" w:eastAsia="Times New Roman" w:hAnsi="Calibri" w:cs="Arial"/>
          <w:b/>
          <w:lang w:val="en-US" w:eastAsia="en-GB"/>
        </w:rPr>
        <w:t>versus</w:t>
      </w:r>
      <w:r w:rsidR="003F1D14" w:rsidRPr="003F1D14">
        <w:rPr>
          <w:rFonts w:ascii="Calibri" w:eastAsia="Times New Roman" w:hAnsi="Calibri" w:cs="Arial"/>
          <w:b/>
          <w:lang w:val="en-US" w:eastAsia="en-GB"/>
        </w:rPr>
        <w:t xml:space="preserve"> white HCM patients</w:t>
      </w:r>
      <w:r w:rsidR="003F1D14">
        <w:rPr>
          <w:rFonts w:ascii="Calibri" w:eastAsia="Times New Roman" w:hAnsi="Calibri" w:cs="Arial"/>
          <w:b/>
          <w:lang w:val="en-US" w:eastAsia="en-GB"/>
        </w:rPr>
        <w:t>.</w:t>
      </w:r>
    </w:p>
    <w:tbl>
      <w:tblPr>
        <w:tblW w:w="9068" w:type="dxa"/>
        <w:jc w:val="center"/>
        <w:tblLook w:val="00A0" w:firstRow="1" w:lastRow="0" w:firstColumn="1" w:lastColumn="0" w:noHBand="0" w:noVBand="0"/>
      </w:tblPr>
      <w:tblGrid>
        <w:gridCol w:w="4279"/>
        <w:gridCol w:w="40"/>
        <w:gridCol w:w="1843"/>
        <w:gridCol w:w="99"/>
        <w:gridCol w:w="1602"/>
        <w:gridCol w:w="99"/>
        <w:gridCol w:w="1100"/>
        <w:gridCol w:w="6"/>
      </w:tblGrid>
      <w:tr w:rsidR="00180389" w:rsidRPr="00AE22D7" w:rsidTr="00AA151C">
        <w:trPr>
          <w:jc w:val="center"/>
        </w:trPr>
        <w:tc>
          <w:tcPr>
            <w:tcW w:w="4319" w:type="dxa"/>
            <w:gridSpan w:val="2"/>
            <w:tcBorders>
              <w:top w:val="single" w:sz="4" w:space="0" w:color="auto"/>
              <w:bottom w:val="single" w:sz="4" w:space="0" w:color="auto"/>
            </w:tcBorders>
            <w:vAlign w:val="center"/>
          </w:tcPr>
          <w:p w:rsidR="00180389" w:rsidRPr="00AE22D7" w:rsidRDefault="00180389" w:rsidP="00AA151C">
            <w:pPr>
              <w:spacing w:line="360" w:lineRule="auto"/>
              <w:rPr>
                <w:rFonts w:ascii="Calibri" w:hAnsi="Calibri" w:cs="Arial"/>
                <w:b/>
                <w:lang w:val="en-US"/>
              </w:rPr>
            </w:pPr>
            <w:bookmarkStart w:id="0" w:name="OLE_LINK1"/>
            <w:bookmarkStart w:id="1" w:name="OLE_LINK2"/>
            <w:r w:rsidRPr="00AE22D7">
              <w:rPr>
                <w:rFonts w:ascii="Calibri" w:hAnsi="Calibri" w:cs="Arial"/>
                <w:b/>
                <w:lang w:val="en-US"/>
              </w:rPr>
              <w:t>Parameter</w:t>
            </w:r>
          </w:p>
        </w:tc>
        <w:tc>
          <w:tcPr>
            <w:tcW w:w="1843" w:type="dxa"/>
            <w:tcBorders>
              <w:top w:val="single" w:sz="4" w:space="0" w:color="auto"/>
              <w:bottom w:val="single" w:sz="4" w:space="0" w:color="auto"/>
            </w:tcBorders>
            <w:vAlign w:val="center"/>
          </w:tcPr>
          <w:p w:rsidR="00180389" w:rsidRPr="00AE22D7" w:rsidRDefault="00180389" w:rsidP="00AA151C">
            <w:pPr>
              <w:spacing w:line="360" w:lineRule="auto"/>
              <w:rPr>
                <w:rFonts w:ascii="Calibri" w:hAnsi="Calibri" w:cs="Arial"/>
                <w:b/>
                <w:lang w:val="en-US"/>
              </w:rPr>
            </w:pPr>
            <w:r w:rsidRPr="00AE22D7">
              <w:rPr>
                <w:rFonts w:ascii="Calibri" w:hAnsi="Calibri" w:cs="Arial"/>
                <w:b/>
                <w:lang w:val="en-US"/>
              </w:rPr>
              <w:t>Black Patients</w:t>
            </w:r>
          </w:p>
          <w:p w:rsidR="00180389" w:rsidRPr="00AE22D7" w:rsidRDefault="00180389" w:rsidP="00AA151C">
            <w:pPr>
              <w:spacing w:line="360" w:lineRule="auto"/>
              <w:rPr>
                <w:rFonts w:ascii="Calibri" w:hAnsi="Calibri" w:cs="Arial"/>
                <w:b/>
                <w:lang w:val="en-US"/>
              </w:rPr>
            </w:pPr>
            <w:r w:rsidRPr="00AE22D7">
              <w:rPr>
                <w:rFonts w:ascii="Calibri" w:hAnsi="Calibri" w:cs="Arial"/>
                <w:b/>
                <w:lang w:val="en-US"/>
              </w:rPr>
              <w:t>(</w:t>
            </w:r>
            <w:r>
              <w:rPr>
                <w:rFonts w:ascii="Calibri" w:hAnsi="Calibri" w:cs="Arial"/>
                <w:b/>
                <w:lang w:val="en-US"/>
              </w:rPr>
              <w:t>n=</w:t>
            </w:r>
            <w:r w:rsidRPr="00AE22D7">
              <w:rPr>
                <w:rFonts w:ascii="Calibri" w:hAnsi="Calibri" w:cs="Arial"/>
                <w:b/>
                <w:lang w:val="en-US"/>
              </w:rPr>
              <w:t>163)</w:t>
            </w:r>
          </w:p>
        </w:tc>
        <w:tc>
          <w:tcPr>
            <w:tcW w:w="1701" w:type="dxa"/>
            <w:gridSpan w:val="2"/>
            <w:tcBorders>
              <w:top w:val="single" w:sz="4" w:space="0" w:color="auto"/>
              <w:bottom w:val="single" w:sz="4" w:space="0" w:color="auto"/>
            </w:tcBorders>
            <w:vAlign w:val="center"/>
          </w:tcPr>
          <w:p w:rsidR="00180389" w:rsidRPr="00AE22D7" w:rsidRDefault="00180389" w:rsidP="00AA151C">
            <w:pPr>
              <w:spacing w:line="360" w:lineRule="auto"/>
              <w:rPr>
                <w:rFonts w:ascii="Calibri" w:hAnsi="Calibri" w:cs="Arial"/>
                <w:b/>
                <w:lang w:val="en-US"/>
              </w:rPr>
            </w:pPr>
            <w:r w:rsidRPr="00AE22D7">
              <w:rPr>
                <w:rFonts w:ascii="Calibri" w:hAnsi="Calibri" w:cs="Arial"/>
                <w:b/>
                <w:lang w:val="en-US"/>
              </w:rPr>
              <w:t>White Patients</w:t>
            </w:r>
          </w:p>
          <w:p w:rsidR="00180389" w:rsidRPr="00AE22D7" w:rsidRDefault="00180389" w:rsidP="00AA151C">
            <w:pPr>
              <w:spacing w:line="360" w:lineRule="auto"/>
              <w:rPr>
                <w:rFonts w:ascii="Calibri" w:hAnsi="Calibri" w:cs="Arial"/>
                <w:b/>
                <w:lang w:val="en-US"/>
              </w:rPr>
            </w:pPr>
            <w:r w:rsidRPr="00AE22D7">
              <w:rPr>
                <w:rFonts w:ascii="Calibri" w:hAnsi="Calibri" w:cs="Arial"/>
                <w:b/>
                <w:lang w:val="en-US"/>
              </w:rPr>
              <w:t>(</w:t>
            </w:r>
            <w:r>
              <w:rPr>
                <w:rFonts w:ascii="Calibri" w:hAnsi="Calibri" w:cs="Arial"/>
                <w:b/>
                <w:lang w:val="en-US"/>
              </w:rPr>
              <w:t>n=</w:t>
            </w:r>
            <w:r w:rsidRPr="00AE22D7">
              <w:rPr>
                <w:rFonts w:ascii="Calibri" w:hAnsi="Calibri" w:cs="Arial"/>
                <w:b/>
                <w:lang w:val="en-US"/>
              </w:rPr>
              <w:t>262)</w:t>
            </w:r>
          </w:p>
        </w:tc>
        <w:tc>
          <w:tcPr>
            <w:tcW w:w="1205" w:type="dxa"/>
            <w:gridSpan w:val="3"/>
            <w:tcBorders>
              <w:top w:val="single" w:sz="4" w:space="0" w:color="auto"/>
              <w:bottom w:val="single" w:sz="4" w:space="0" w:color="auto"/>
            </w:tcBorders>
            <w:vAlign w:val="center"/>
          </w:tcPr>
          <w:p w:rsidR="00180389" w:rsidRPr="00AE22D7" w:rsidRDefault="00180389" w:rsidP="00AA151C">
            <w:pPr>
              <w:spacing w:line="360" w:lineRule="auto"/>
              <w:rPr>
                <w:rFonts w:ascii="Calibri" w:hAnsi="Calibri" w:cs="Arial"/>
                <w:b/>
                <w:lang w:val="en-US"/>
              </w:rPr>
            </w:pPr>
            <w:r w:rsidRPr="00AE22D7">
              <w:rPr>
                <w:rFonts w:ascii="Calibri" w:hAnsi="Calibri" w:cs="Arial"/>
                <w:b/>
                <w:lang w:val="en-US"/>
              </w:rPr>
              <w:t>p-value</w:t>
            </w:r>
          </w:p>
        </w:tc>
      </w:tr>
      <w:tr w:rsidR="00180389" w:rsidRPr="00AE22D7" w:rsidTr="00AA151C">
        <w:trPr>
          <w:jc w:val="center"/>
        </w:trPr>
        <w:tc>
          <w:tcPr>
            <w:tcW w:w="4319" w:type="dxa"/>
            <w:gridSpan w:val="2"/>
            <w:tcBorders>
              <w:top w:val="single" w:sz="4" w:space="0" w:color="auto"/>
            </w:tcBorders>
            <w:vAlign w:val="center"/>
          </w:tcPr>
          <w:p w:rsidR="00180389" w:rsidRPr="00AE22D7" w:rsidRDefault="00180389" w:rsidP="00AA151C">
            <w:pPr>
              <w:spacing w:line="360" w:lineRule="auto"/>
              <w:rPr>
                <w:rFonts w:ascii="Calibri" w:hAnsi="Calibri" w:cs="Arial"/>
                <w:lang w:val="en-US"/>
              </w:rPr>
            </w:pPr>
            <w:r>
              <w:rPr>
                <w:rFonts w:ascii="Calibri" w:hAnsi="Calibri" w:cs="Arial"/>
                <w:lang w:val="en-US"/>
              </w:rPr>
              <w:t>Age at</w:t>
            </w:r>
            <w:r w:rsidRPr="00AE22D7">
              <w:rPr>
                <w:rFonts w:ascii="Calibri" w:hAnsi="Calibri" w:cs="Arial"/>
                <w:lang w:val="en-US"/>
              </w:rPr>
              <w:t xml:space="preserve"> diagnosis</w:t>
            </w:r>
            <w:r>
              <w:rPr>
                <w:rFonts w:ascii="Calibri" w:hAnsi="Calibri" w:cs="Arial"/>
                <w:lang w:val="en-US"/>
              </w:rPr>
              <w:t xml:space="preserve"> (years)</w:t>
            </w:r>
          </w:p>
        </w:tc>
        <w:tc>
          <w:tcPr>
            <w:tcW w:w="1843" w:type="dxa"/>
            <w:tcBorders>
              <w:top w:val="single" w:sz="4" w:space="0" w:color="auto"/>
            </w:tcBorders>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51.5±15.9</w:t>
            </w:r>
          </w:p>
        </w:tc>
        <w:tc>
          <w:tcPr>
            <w:tcW w:w="1701" w:type="dxa"/>
            <w:gridSpan w:val="2"/>
            <w:tcBorders>
              <w:top w:val="single" w:sz="4" w:space="0" w:color="auto"/>
            </w:tcBorders>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50.5±17.7</w:t>
            </w:r>
          </w:p>
        </w:tc>
        <w:tc>
          <w:tcPr>
            <w:tcW w:w="1205" w:type="dxa"/>
            <w:gridSpan w:val="3"/>
            <w:tcBorders>
              <w:top w:val="single" w:sz="4" w:space="0" w:color="auto"/>
            </w:tcBorders>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0.712</w:t>
            </w:r>
          </w:p>
        </w:tc>
      </w:tr>
      <w:tr w:rsidR="00180389" w:rsidRPr="00AE22D7" w:rsidTr="00AA151C">
        <w:trPr>
          <w:jc w:val="center"/>
        </w:trPr>
        <w:tc>
          <w:tcPr>
            <w:tcW w:w="4319" w:type="dxa"/>
            <w:gridSpan w:val="2"/>
            <w:vAlign w:val="center"/>
          </w:tcPr>
          <w:p w:rsidR="00180389" w:rsidRPr="00AE22D7" w:rsidRDefault="00180389" w:rsidP="00AA151C">
            <w:pPr>
              <w:spacing w:line="360" w:lineRule="auto"/>
              <w:rPr>
                <w:rFonts w:ascii="Calibri" w:hAnsi="Calibri" w:cs="Arial"/>
                <w:lang w:val="en-US"/>
              </w:rPr>
            </w:pPr>
            <w:r w:rsidRPr="00AE22D7">
              <w:rPr>
                <w:rFonts w:ascii="Calibri" w:hAnsi="Calibri" w:cs="Arial"/>
                <w:lang w:val="en-US"/>
              </w:rPr>
              <w:t>Age at first evaluation (years)</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52.4±15.9</w:t>
            </w:r>
          </w:p>
        </w:tc>
        <w:tc>
          <w:tcPr>
            <w:tcW w:w="1701" w:type="dxa"/>
            <w:gridSpan w:val="2"/>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52.6±17.1</w:t>
            </w:r>
          </w:p>
        </w:tc>
        <w:tc>
          <w:tcPr>
            <w:tcW w:w="1205" w:type="dxa"/>
            <w:gridSpan w:val="3"/>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0.883</w:t>
            </w:r>
          </w:p>
        </w:tc>
      </w:tr>
      <w:tr w:rsidR="00180389" w:rsidRPr="00AE22D7" w:rsidTr="00AA151C">
        <w:trPr>
          <w:jc w:val="center"/>
        </w:trPr>
        <w:tc>
          <w:tcPr>
            <w:tcW w:w="4319" w:type="dxa"/>
            <w:gridSpan w:val="2"/>
            <w:vAlign w:val="center"/>
          </w:tcPr>
          <w:p w:rsidR="00180389" w:rsidRPr="00AE22D7" w:rsidRDefault="00180389" w:rsidP="00AA151C">
            <w:pPr>
              <w:spacing w:line="360" w:lineRule="auto"/>
              <w:rPr>
                <w:rFonts w:ascii="Calibri" w:hAnsi="Calibri" w:cs="Arial"/>
                <w:lang w:val="en-US"/>
              </w:rPr>
            </w:pPr>
            <w:r w:rsidRPr="00AE22D7">
              <w:rPr>
                <w:rFonts w:ascii="Calibri" w:hAnsi="Calibri" w:cs="Arial"/>
                <w:lang w:val="en-US"/>
              </w:rPr>
              <w:t>Male gender – no. (%)</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107 (65.6)</w:t>
            </w:r>
          </w:p>
        </w:tc>
        <w:tc>
          <w:tcPr>
            <w:tcW w:w="1701" w:type="dxa"/>
            <w:gridSpan w:val="2"/>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165 (66.8)</w:t>
            </w:r>
          </w:p>
        </w:tc>
        <w:tc>
          <w:tcPr>
            <w:tcW w:w="1205" w:type="dxa"/>
            <w:gridSpan w:val="3"/>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0.807</w:t>
            </w:r>
          </w:p>
        </w:tc>
      </w:tr>
      <w:tr w:rsidR="00180389" w:rsidRPr="00AE22D7" w:rsidTr="00AA151C">
        <w:trPr>
          <w:jc w:val="center"/>
        </w:trPr>
        <w:tc>
          <w:tcPr>
            <w:tcW w:w="4319" w:type="dxa"/>
            <w:gridSpan w:val="2"/>
            <w:vAlign w:val="center"/>
          </w:tcPr>
          <w:p w:rsidR="00180389" w:rsidRPr="00AE22D7" w:rsidRDefault="00180389" w:rsidP="00AA151C">
            <w:pPr>
              <w:spacing w:line="360" w:lineRule="auto"/>
              <w:rPr>
                <w:rFonts w:ascii="Calibri" w:hAnsi="Calibri" w:cs="Arial"/>
                <w:lang w:val="en-US"/>
              </w:rPr>
            </w:pPr>
            <w:r w:rsidRPr="00AE22D7">
              <w:rPr>
                <w:rFonts w:ascii="Calibri" w:hAnsi="Calibri" w:cs="Arial"/>
                <w:lang w:val="en-US"/>
              </w:rPr>
              <w:t>Systolic Blood Pressure (mmHg)</w:t>
            </w:r>
          </w:p>
        </w:tc>
        <w:tc>
          <w:tcPr>
            <w:tcW w:w="1843" w:type="dxa"/>
            <w:vAlign w:val="center"/>
          </w:tcPr>
          <w:p w:rsidR="00180389" w:rsidRPr="00AE22D7" w:rsidRDefault="00180389" w:rsidP="00AA151C">
            <w:pPr>
              <w:spacing w:line="360" w:lineRule="auto"/>
              <w:jc w:val="center"/>
              <w:rPr>
                <w:rFonts w:ascii="Calibri" w:hAnsi="Calibri"/>
                <w:lang w:val="en-US"/>
              </w:rPr>
            </w:pPr>
            <w:r w:rsidRPr="00AE22D7">
              <w:rPr>
                <w:rFonts w:ascii="Calibri" w:hAnsi="Calibri" w:cs="Arial"/>
                <w:lang w:val="en-US"/>
              </w:rPr>
              <w:t>130±15</w:t>
            </w:r>
          </w:p>
        </w:tc>
        <w:tc>
          <w:tcPr>
            <w:tcW w:w="1701" w:type="dxa"/>
            <w:gridSpan w:val="2"/>
            <w:vAlign w:val="center"/>
          </w:tcPr>
          <w:p w:rsidR="00180389" w:rsidRPr="00AE22D7" w:rsidRDefault="00180389" w:rsidP="00AA151C">
            <w:pPr>
              <w:spacing w:line="360" w:lineRule="auto"/>
              <w:jc w:val="center"/>
              <w:rPr>
                <w:rFonts w:ascii="Calibri" w:hAnsi="Calibri"/>
                <w:lang w:val="en-US"/>
              </w:rPr>
            </w:pPr>
            <w:r w:rsidRPr="00AE22D7">
              <w:rPr>
                <w:rFonts w:ascii="Calibri" w:hAnsi="Calibri" w:cs="Arial"/>
                <w:lang w:val="en-US"/>
              </w:rPr>
              <w:t>125±17</w:t>
            </w:r>
          </w:p>
        </w:tc>
        <w:tc>
          <w:tcPr>
            <w:tcW w:w="1205" w:type="dxa"/>
            <w:gridSpan w:val="3"/>
            <w:vAlign w:val="center"/>
          </w:tcPr>
          <w:p w:rsidR="00180389" w:rsidRPr="00AE22D7" w:rsidRDefault="00180389" w:rsidP="00AA151C">
            <w:pPr>
              <w:spacing w:line="360" w:lineRule="auto"/>
              <w:jc w:val="center"/>
              <w:rPr>
                <w:rFonts w:ascii="Calibri" w:hAnsi="Calibri" w:cs="Arial"/>
                <w:highlight w:val="yellow"/>
                <w:lang w:val="en-US"/>
              </w:rPr>
            </w:pPr>
            <w:r w:rsidRPr="00D751EE">
              <w:rPr>
                <w:rFonts w:ascii="Calibri" w:hAnsi="Calibri" w:cs="Arial"/>
                <w:lang w:val="en-US"/>
              </w:rPr>
              <w:t>0.003</w:t>
            </w:r>
          </w:p>
        </w:tc>
      </w:tr>
      <w:tr w:rsidR="00180389" w:rsidRPr="00AE22D7" w:rsidTr="00AA151C">
        <w:trPr>
          <w:jc w:val="center"/>
        </w:trPr>
        <w:tc>
          <w:tcPr>
            <w:tcW w:w="4319" w:type="dxa"/>
            <w:gridSpan w:val="2"/>
            <w:vAlign w:val="center"/>
          </w:tcPr>
          <w:p w:rsidR="00180389" w:rsidRPr="00AE22D7" w:rsidRDefault="00180389" w:rsidP="00AA151C">
            <w:pPr>
              <w:spacing w:line="360" w:lineRule="auto"/>
              <w:rPr>
                <w:rFonts w:ascii="Calibri" w:hAnsi="Calibri" w:cs="Arial"/>
                <w:lang w:val="en-US"/>
              </w:rPr>
            </w:pPr>
            <w:r w:rsidRPr="00AE22D7">
              <w:rPr>
                <w:rFonts w:ascii="Calibri" w:hAnsi="Calibri" w:cs="Arial"/>
                <w:lang w:val="en-US"/>
              </w:rPr>
              <w:t>Diastolic Blood Pressure (mmHg)</w:t>
            </w:r>
          </w:p>
        </w:tc>
        <w:tc>
          <w:tcPr>
            <w:tcW w:w="1843" w:type="dxa"/>
            <w:vAlign w:val="center"/>
          </w:tcPr>
          <w:p w:rsidR="00180389" w:rsidRPr="00AE22D7" w:rsidRDefault="00180389" w:rsidP="00AA151C">
            <w:pPr>
              <w:spacing w:line="360" w:lineRule="auto"/>
              <w:jc w:val="center"/>
              <w:rPr>
                <w:rFonts w:ascii="Calibri" w:hAnsi="Calibri"/>
                <w:lang w:val="en-US"/>
              </w:rPr>
            </w:pPr>
            <w:r w:rsidRPr="00AE22D7">
              <w:rPr>
                <w:rFonts w:ascii="Calibri" w:hAnsi="Calibri" w:cs="Arial"/>
                <w:lang w:val="en-US"/>
              </w:rPr>
              <w:t>77±11</w:t>
            </w:r>
          </w:p>
        </w:tc>
        <w:tc>
          <w:tcPr>
            <w:tcW w:w="1701" w:type="dxa"/>
            <w:gridSpan w:val="2"/>
            <w:vAlign w:val="center"/>
          </w:tcPr>
          <w:p w:rsidR="00180389" w:rsidRPr="00AE22D7" w:rsidRDefault="00180389" w:rsidP="00AA151C">
            <w:pPr>
              <w:spacing w:line="360" w:lineRule="auto"/>
              <w:jc w:val="center"/>
              <w:rPr>
                <w:rFonts w:ascii="Calibri" w:hAnsi="Calibri"/>
                <w:lang w:val="en-US"/>
              </w:rPr>
            </w:pPr>
            <w:r w:rsidRPr="00AE22D7">
              <w:rPr>
                <w:rFonts w:ascii="Calibri" w:hAnsi="Calibri" w:cs="Arial"/>
                <w:lang w:val="en-US"/>
              </w:rPr>
              <w:t>74±11</w:t>
            </w:r>
          </w:p>
        </w:tc>
        <w:tc>
          <w:tcPr>
            <w:tcW w:w="1205" w:type="dxa"/>
            <w:gridSpan w:val="3"/>
            <w:vAlign w:val="center"/>
          </w:tcPr>
          <w:p w:rsidR="00180389" w:rsidRPr="00AE22D7" w:rsidRDefault="00180389" w:rsidP="00AA151C">
            <w:pPr>
              <w:spacing w:line="360" w:lineRule="auto"/>
              <w:jc w:val="center"/>
              <w:rPr>
                <w:rFonts w:ascii="Calibri" w:hAnsi="Calibri" w:cs="Arial"/>
                <w:lang w:val="en-US"/>
              </w:rPr>
            </w:pPr>
            <w:r w:rsidRPr="00D751EE">
              <w:rPr>
                <w:rFonts w:ascii="Calibri" w:hAnsi="Calibri" w:cs="Arial"/>
                <w:lang w:val="en-US"/>
              </w:rPr>
              <w:t>0.017</w:t>
            </w:r>
          </w:p>
        </w:tc>
      </w:tr>
      <w:tr w:rsidR="00180389" w:rsidRPr="00AE22D7" w:rsidTr="00AA151C">
        <w:trPr>
          <w:jc w:val="center"/>
        </w:trPr>
        <w:tc>
          <w:tcPr>
            <w:tcW w:w="4319" w:type="dxa"/>
            <w:gridSpan w:val="2"/>
            <w:vAlign w:val="center"/>
          </w:tcPr>
          <w:p w:rsidR="00180389" w:rsidRPr="00AE22D7" w:rsidRDefault="00180389" w:rsidP="00AA151C">
            <w:pPr>
              <w:spacing w:line="360" w:lineRule="auto"/>
              <w:rPr>
                <w:rFonts w:ascii="Calibri" w:hAnsi="Calibri" w:cs="Arial"/>
                <w:lang w:val="en-US"/>
              </w:rPr>
            </w:pPr>
            <w:r w:rsidRPr="00AE22D7">
              <w:rPr>
                <w:rFonts w:ascii="Calibri" w:hAnsi="Calibri" w:cs="Arial"/>
                <w:lang w:val="en-US"/>
              </w:rPr>
              <w:t>Follow-up duration (years)</w:t>
            </w:r>
          </w:p>
        </w:tc>
        <w:tc>
          <w:tcPr>
            <w:tcW w:w="1843" w:type="dxa"/>
            <w:vAlign w:val="center"/>
          </w:tcPr>
          <w:p w:rsidR="00180389" w:rsidRPr="00AE22D7" w:rsidRDefault="00180389" w:rsidP="00AA151C">
            <w:pPr>
              <w:spacing w:line="360" w:lineRule="auto"/>
              <w:jc w:val="center"/>
              <w:rPr>
                <w:rFonts w:ascii="Calibri" w:hAnsi="Calibri"/>
                <w:lang w:val="en-US"/>
              </w:rPr>
            </w:pPr>
            <w:r w:rsidRPr="00AE22D7">
              <w:rPr>
                <w:rFonts w:ascii="Calibri" w:hAnsi="Calibri" w:cs="Arial"/>
                <w:lang w:val="en-US"/>
              </w:rPr>
              <w:t>3.8±3.1</w:t>
            </w:r>
          </w:p>
        </w:tc>
        <w:tc>
          <w:tcPr>
            <w:tcW w:w="1701" w:type="dxa"/>
            <w:gridSpan w:val="2"/>
            <w:vAlign w:val="center"/>
          </w:tcPr>
          <w:p w:rsidR="00180389" w:rsidRPr="00AE22D7" w:rsidRDefault="00180389" w:rsidP="00AA151C">
            <w:pPr>
              <w:spacing w:line="360" w:lineRule="auto"/>
              <w:jc w:val="center"/>
              <w:rPr>
                <w:rFonts w:ascii="Calibri" w:hAnsi="Calibri"/>
                <w:lang w:val="en-US"/>
              </w:rPr>
            </w:pPr>
            <w:r w:rsidRPr="00AE22D7">
              <w:rPr>
                <w:rFonts w:ascii="Calibri" w:hAnsi="Calibri" w:cs="Arial"/>
                <w:lang w:val="en-US"/>
              </w:rPr>
              <w:t>4.2±3.6</w:t>
            </w:r>
          </w:p>
        </w:tc>
        <w:tc>
          <w:tcPr>
            <w:tcW w:w="1205" w:type="dxa"/>
            <w:gridSpan w:val="3"/>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0.123</w:t>
            </w:r>
          </w:p>
        </w:tc>
      </w:tr>
      <w:tr w:rsidR="00180389" w:rsidRPr="00AE22D7" w:rsidTr="00AA151C">
        <w:trPr>
          <w:jc w:val="center"/>
        </w:trPr>
        <w:tc>
          <w:tcPr>
            <w:tcW w:w="9068" w:type="dxa"/>
            <w:gridSpan w:val="8"/>
            <w:vAlign w:val="center"/>
          </w:tcPr>
          <w:p w:rsidR="00180389" w:rsidRPr="00AE22D7" w:rsidRDefault="00180389" w:rsidP="00AA151C">
            <w:pPr>
              <w:spacing w:line="360" w:lineRule="auto"/>
              <w:rPr>
                <w:rFonts w:ascii="Calibri" w:hAnsi="Calibri" w:cs="Arial"/>
                <w:lang w:val="en-US"/>
              </w:rPr>
            </w:pPr>
            <w:r w:rsidRPr="00AE22D7">
              <w:rPr>
                <w:rFonts w:ascii="Calibri" w:hAnsi="Calibri" w:cs="Arial"/>
                <w:b/>
                <w:lang w:val="en-US"/>
              </w:rPr>
              <w:t>Mode of presentation – no. (%)</w:t>
            </w:r>
          </w:p>
        </w:tc>
      </w:tr>
      <w:tr w:rsidR="00180389" w:rsidRPr="00AE22D7" w:rsidTr="00AA151C">
        <w:trPr>
          <w:jc w:val="center"/>
        </w:trPr>
        <w:tc>
          <w:tcPr>
            <w:tcW w:w="4319" w:type="dxa"/>
            <w:gridSpan w:val="2"/>
            <w:vAlign w:val="center"/>
          </w:tcPr>
          <w:p w:rsidR="00180389" w:rsidRPr="00AE22D7" w:rsidRDefault="00180389" w:rsidP="00AA151C">
            <w:pPr>
              <w:spacing w:line="360" w:lineRule="auto"/>
              <w:ind w:left="351"/>
              <w:rPr>
                <w:rFonts w:ascii="Calibri" w:hAnsi="Calibri" w:cs="Arial"/>
                <w:lang w:val="en-US"/>
              </w:rPr>
            </w:pPr>
            <w:r w:rsidRPr="00AE22D7">
              <w:rPr>
                <w:rFonts w:ascii="Calibri" w:hAnsi="Calibri" w:cs="Arial"/>
                <w:lang w:val="en-US"/>
              </w:rPr>
              <w:t>Cardiovascular symptoms</w:t>
            </w:r>
          </w:p>
        </w:tc>
        <w:tc>
          <w:tcPr>
            <w:tcW w:w="1843" w:type="dxa"/>
            <w:vAlign w:val="center"/>
          </w:tcPr>
          <w:p w:rsidR="00180389" w:rsidRPr="00AE22D7" w:rsidRDefault="00180389" w:rsidP="00AA151C">
            <w:pPr>
              <w:spacing w:line="360" w:lineRule="auto"/>
              <w:jc w:val="center"/>
              <w:rPr>
                <w:rFonts w:ascii="Calibri" w:hAnsi="Calibri" w:cs="Arial"/>
                <w:lang w:val="en-US"/>
              </w:rPr>
            </w:pPr>
            <w:r>
              <w:rPr>
                <w:rFonts w:ascii="Calibri" w:hAnsi="Calibri" w:cs="Arial"/>
                <w:lang w:val="en-US"/>
              </w:rPr>
              <w:t>96 (58.9</w:t>
            </w:r>
            <w:r w:rsidRPr="00AE22D7">
              <w:rPr>
                <w:rFonts w:ascii="Calibri" w:hAnsi="Calibri" w:cs="Arial"/>
                <w:lang w:val="en-US"/>
              </w:rPr>
              <w:t>)</w:t>
            </w:r>
          </w:p>
        </w:tc>
        <w:tc>
          <w:tcPr>
            <w:tcW w:w="1701" w:type="dxa"/>
            <w:gridSpan w:val="2"/>
            <w:vAlign w:val="center"/>
          </w:tcPr>
          <w:p w:rsidR="00180389" w:rsidRPr="00AE22D7" w:rsidRDefault="00180389" w:rsidP="00AA151C">
            <w:pPr>
              <w:spacing w:line="360" w:lineRule="auto"/>
              <w:jc w:val="center"/>
              <w:rPr>
                <w:rFonts w:ascii="Calibri" w:hAnsi="Calibri" w:cs="Arial"/>
                <w:lang w:val="en-US"/>
              </w:rPr>
            </w:pPr>
            <w:r>
              <w:rPr>
                <w:rFonts w:ascii="Calibri" w:hAnsi="Calibri" w:cs="Arial"/>
                <w:lang w:val="en-US"/>
              </w:rPr>
              <w:t>166 (63.4</w:t>
            </w:r>
            <w:r w:rsidRPr="00AE22D7">
              <w:rPr>
                <w:rFonts w:ascii="Calibri" w:hAnsi="Calibri" w:cs="Arial"/>
                <w:lang w:val="en-US"/>
              </w:rPr>
              <w:t>)</w:t>
            </w:r>
          </w:p>
        </w:tc>
        <w:tc>
          <w:tcPr>
            <w:tcW w:w="1205" w:type="dxa"/>
            <w:gridSpan w:val="3"/>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0.929</w:t>
            </w:r>
          </w:p>
        </w:tc>
      </w:tr>
      <w:tr w:rsidR="00180389" w:rsidRPr="00AE22D7" w:rsidTr="00AA151C">
        <w:trPr>
          <w:jc w:val="center"/>
        </w:trPr>
        <w:tc>
          <w:tcPr>
            <w:tcW w:w="4319" w:type="dxa"/>
            <w:gridSpan w:val="2"/>
            <w:vAlign w:val="center"/>
          </w:tcPr>
          <w:p w:rsidR="00180389" w:rsidRPr="00AE22D7" w:rsidRDefault="00180389" w:rsidP="00AA151C">
            <w:pPr>
              <w:spacing w:line="360" w:lineRule="auto"/>
              <w:ind w:left="351"/>
              <w:rPr>
                <w:rFonts w:ascii="Calibri" w:hAnsi="Calibri" w:cs="Arial"/>
                <w:lang w:val="en-US"/>
              </w:rPr>
            </w:pPr>
            <w:r w:rsidRPr="00AE22D7">
              <w:rPr>
                <w:rFonts w:ascii="Calibri" w:hAnsi="Calibri" w:cs="Arial"/>
                <w:lang w:val="en-US"/>
              </w:rPr>
              <w:t>Familial Screening</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11 (6.7)</w:t>
            </w:r>
          </w:p>
        </w:tc>
        <w:tc>
          <w:tcPr>
            <w:tcW w:w="1701" w:type="dxa"/>
            <w:gridSpan w:val="2"/>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46 (17.6)</w:t>
            </w:r>
          </w:p>
        </w:tc>
        <w:tc>
          <w:tcPr>
            <w:tcW w:w="1205" w:type="dxa"/>
            <w:gridSpan w:val="3"/>
            <w:vAlign w:val="center"/>
          </w:tcPr>
          <w:p w:rsidR="00180389" w:rsidRPr="00AE22D7" w:rsidRDefault="00180389" w:rsidP="00AA151C">
            <w:pPr>
              <w:spacing w:line="360" w:lineRule="auto"/>
              <w:jc w:val="center"/>
              <w:rPr>
                <w:rFonts w:ascii="Calibri" w:hAnsi="Calibri" w:cs="Arial"/>
                <w:highlight w:val="yellow"/>
                <w:lang w:val="en-US"/>
              </w:rPr>
            </w:pPr>
            <w:r w:rsidRPr="00D751EE">
              <w:rPr>
                <w:rFonts w:ascii="Calibri" w:hAnsi="Calibri" w:cs="Arial"/>
                <w:lang w:val="en-US"/>
              </w:rPr>
              <w:t>0.001</w:t>
            </w:r>
          </w:p>
        </w:tc>
      </w:tr>
      <w:tr w:rsidR="00180389" w:rsidRPr="00AE22D7" w:rsidTr="00AA151C">
        <w:trPr>
          <w:jc w:val="center"/>
        </w:trPr>
        <w:tc>
          <w:tcPr>
            <w:tcW w:w="4319" w:type="dxa"/>
            <w:gridSpan w:val="2"/>
            <w:vAlign w:val="center"/>
          </w:tcPr>
          <w:p w:rsidR="00180389" w:rsidRPr="00AE22D7" w:rsidRDefault="00180389" w:rsidP="00AA151C">
            <w:pPr>
              <w:spacing w:line="360" w:lineRule="auto"/>
              <w:ind w:left="351"/>
              <w:rPr>
                <w:rFonts w:ascii="Calibri" w:hAnsi="Calibri" w:cs="Arial"/>
                <w:lang w:val="en-US"/>
              </w:rPr>
            </w:pPr>
            <w:r w:rsidRPr="00AE22D7">
              <w:rPr>
                <w:rFonts w:ascii="Calibri" w:hAnsi="Calibri" w:cs="Arial"/>
                <w:lang w:val="en-US"/>
              </w:rPr>
              <w:t>Cardiac Arrest</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5 (3.1)</w:t>
            </w:r>
          </w:p>
        </w:tc>
        <w:tc>
          <w:tcPr>
            <w:tcW w:w="1701" w:type="dxa"/>
            <w:gridSpan w:val="2"/>
            <w:vAlign w:val="center"/>
          </w:tcPr>
          <w:p w:rsidR="00180389" w:rsidRPr="00AE22D7" w:rsidRDefault="00180389" w:rsidP="00AA151C">
            <w:pPr>
              <w:spacing w:line="360" w:lineRule="auto"/>
              <w:jc w:val="center"/>
              <w:rPr>
                <w:rFonts w:ascii="Calibri" w:hAnsi="Calibri"/>
                <w:iCs/>
                <w:lang w:val="en-US"/>
              </w:rPr>
            </w:pPr>
            <w:r w:rsidRPr="00AE22D7">
              <w:rPr>
                <w:rFonts w:ascii="Calibri" w:hAnsi="Calibri"/>
                <w:iCs/>
                <w:lang w:val="en-US"/>
              </w:rPr>
              <w:t>0 (0.0)</w:t>
            </w:r>
          </w:p>
        </w:tc>
        <w:tc>
          <w:tcPr>
            <w:tcW w:w="1205" w:type="dxa"/>
            <w:gridSpan w:val="3"/>
            <w:vAlign w:val="center"/>
          </w:tcPr>
          <w:p w:rsidR="00180389" w:rsidRPr="00AE22D7" w:rsidRDefault="00180389" w:rsidP="00AA151C">
            <w:pPr>
              <w:spacing w:line="360" w:lineRule="auto"/>
              <w:jc w:val="center"/>
              <w:rPr>
                <w:rFonts w:ascii="Calibri" w:hAnsi="Calibri" w:cs="Arial"/>
                <w:highlight w:val="yellow"/>
                <w:lang w:val="en-US"/>
              </w:rPr>
            </w:pPr>
            <w:r w:rsidRPr="00D751EE">
              <w:rPr>
                <w:rFonts w:ascii="Calibri" w:hAnsi="Calibri" w:cs="Arial"/>
                <w:lang w:val="en-US"/>
              </w:rPr>
              <w:t>0.008</w:t>
            </w:r>
          </w:p>
        </w:tc>
      </w:tr>
      <w:tr w:rsidR="00180389" w:rsidRPr="00AE22D7" w:rsidTr="00AA151C">
        <w:trPr>
          <w:jc w:val="center"/>
        </w:trPr>
        <w:tc>
          <w:tcPr>
            <w:tcW w:w="4319" w:type="dxa"/>
            <w:gridSpan w:val="2"/>
            <w:vAlign w:val="center"/>
          </w:tcPr>
          <w:p w:rsidR="00180389" w:rsidRPr="00AE22D7" w:rsidRDefault="00180389" w:rsidP="00AA151C">
            <w:pPr>
              <w:spacing w:line="360" w:lineRule="auto"/>
              <w:ind w:left="351"/>
              <w:rPr>
                <w:rFonts w:ascii="Calibri" w:hAnsi="Calibri" w:cs="Arial"/>
                <w:lang w:val="en-US"/>
              </w:rPr>
            </w:pPr>
            <w:r w:rsidRPr="00AE22D7">
              <w:rPr>
                <w:rFonts w:ascii="Calibri" w:hAnsi="Calibri" w:cs="Arial"/>
                <w:lang w:val="en-US"/>
              </w:rPr>
              <w:t>Fortuitous</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51 (31.3)</w:t>
            </w:r>
          </w:p>
        </w:tc>
        <w:tc>
          <w:tcPr>
            <w:tcW w:w="1701" w:type="dxa"/>
            <w:gridSpan w:val="2"/>
            <w:vAlign w:val="center"/>
          </w:tcPr>
          <w:p w:rsidR="00180389" w:rsidRPr="00AE22D7" w:rsidRDefault="00180389" w:rsidP="00AA151C">
            <w:pPr>
              <w:spacing w:line="360" w:lineRule="auto"/>
              <w:jc w:val="center"/>
              <w:rPr>
                <w:rFonts w:ascii="Calibri" w:hAnsi="Calibri"/>
                <w:iCs/>
                <w:lang w:val="en-US"/>
              </w:rPr>
            </w:pPr>
            <w:r w:rsidRPr="00AE22D7">
              <w:rPr>
                <w:rFonts w:ascii="Calibri" w:hAnsi="Calibri"/>
                <w:iCs/>
                <w:lang w:val="en-US"/>
              </w:rPr>
              <w:t>50 (19.1)</w:t>
            </w:r>
          </w:p>
        </w:tc>
        <w:tc>
          <w:tcPr>
            <w:tcW w:w="1205" w:type="dxa"/>
            <w:gridSpan w:val="3"/>
            <w:vAlign w:val="center"/>
          </w:tcPr>
          <w:p w:rsidR="00180389" w:rsidRPr="00AE22D7" w:rsidRDefault="00180389" w:rsidP="00AA151C">
            <w:pPr>
              <w:spacing w:line="360" w:lineRule="auto"/>
              <w:jc w:val="center"/>
              <w:rPr>
                <w:rFonts w:ascii="Calibri" w:hAnsi="Calibri" w:cs="Arial"/>
                <w:highlight w:val="yellow"/>
                <w:lang w:val="en-US"/>
              </w:rPr>
            </w:pPr>
            <w:r w:rsidRPr="00D751EE">
              <w:rPr>
                <w:rFonts w:ascii="Calibri" w:hAnsi="Calibri" w:cs="Arial"/>
                <w:lang w:val="en-US"/>
              </w:rPr>
              <w:t>0.004</w:t>
            </w:r>
          </w:p>
        </w:tc>
      </w:tr>
      <w:tr w:rsidR="00180389" w:rsidRPr="00AE22D7" w:rsidTr="00AA151C">
        <w:trPr>
          <w:jc w:val="center"/>
        </w:trPr>
        <w:tc>
          <w:tcPr>
            <w:tcW w:w="4319" w:type="dxa"/>
            <w:gridSpan w:val="2"/>
            <w:vAlign w:val="center"/>
          </w:tcPr>
          <w:p w:rsidR="00180389" w:rsidRPr="00AE22D7" w:rsidRDefault="00180389" w:rsidP="00AA151C">
            <w:pPr>
              <w:spacing w:line="360" w:lineRule="auto"/>
              <w:ind w:left="351"/>
              <w:rPr>
                <w:rFonts w:ascii="Calibri" w:hAnsi="Calibri" w:cs="Arial"/>
                <w:lang w:val="en-US"/>
              </w:rPr>
            </w:pPr>
            <w:r w:rsidRPr="00AE22D7">
              <w:rPr>
                <w:rFonts w:ascii="Calibri" w:hAnsi="Calibri" w:cs="Arial"/>
                <w:lang w:val="en-US"/>
              </w:rPr>
              <w:tab/>
              <w:t>Abnormal ECG</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44 (27.0)</w:t>
            </w:r>
          </w:p>
        </w:tc>
        <w:tc>
          <w:tcPr>
            <w:tcW w:w="1701" w:type="dxa"/>
            <w:gridSpan w:val="2"/>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28 (10.7)</w:t>
            </w:r>
          </w:p>
        </w:tc>
        <w:tc>
          <w:tcPr>
            <w:tcW w:w="1205" w:type="dxa"/>
            <w:gridSpan w:val="3"/>
            <w:vAlign w:val="center"/>
          </w:tcPr>
          <w:p w:rsidR="00180389" w:rsidRPr="00AE22D7" w:rsidRDefault="00180389" w:rsidP="00AA151C">
            <w:pPr>
              <w:spacing w:line="360" w:lineRule="auto"/>
              <w:jc w:val="center"/>
              <w:rPr>
                <w:rFonts w:ascii="Calibri" w:hAnsi="Calibri" w:cs="Arial"/>
                <w:highlight w:val="yellow"/>
                <w:lang w:val="en-US"/>
              </w:rPr>
            </w:pPr>
            <w:r w:rsidRPr="00D751EE">
              <w:rPr>
                <w:rFonts w:ascii="Calibri" w:hAnsi="Calibri" w:cs="Arial"/>
                <w:lang w:val="en-US"/>
              </w:rPr>
              <w:t>&lt;0.001</w:t>
            </w:r>
          </w:p>
        </w:tc>
      </w:tr>
      <w:tr w:rsidR="00180389" w:rsidRPr="00AE22D7" w:rsidTr="00AA151C">
        <w:trPr>
          <w:jc w:val="center"/>
        </w:trPr>
        <w:tc>
          <w:tcPr>
            <w:tcW w:w="4319" w:type="dxa"/>
            <w:gridSpan w:val="2"/>
            <w:vAlign w:val="center"/>
          </w:tcPr>
          <w:p w:rsidR="00180389" w:rsidRPr="00AE22D7" w:rsidRDefault="00180389" w:rsidP="00AA151C">
            <w:pPr>
              <w:spacing w:line="360" w:lineRule="auto"/>
              <w:ind w:left="351"/>
              <w:rPr>
                <w:rFonts w:ascii="Calibri" w:hAnsi="Calibri" w:cs="Arial"/>
                <w:lang w:val="en-US"/>
              </w:rPr>
            </w:pPr>
            <w:r w:rsidRPr="00AE22D7">
              <w:rPr>
                <w:rFonts w:ascii="Calibri" w:hAnsi="Calibri" w:cs="Arial"/>
                <w:lang w:val="en-US"/>
              </w:rPr>
              <w:tab/>
              <w:t>Abnormal Examination</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4 (2.5)</w:t>
            </w:r>
          </w:p>
        </w:tc>
        <w:tc>
          <w:tcPr>
            <w:tcW w:w="1701" w:type="dxa"/>
            <w:gridSpan w:val="2"/>
            <w:vAlign w:val="center"/>
          </w:tcPr>
          <w:p w:rsidR="00180389" w:rsidRPr="00AE22D7" w:rsidRDefault="00180389" w:rsidP="00AA151C">
            <w:pPr>
              <w:spacing w:line="360" w:lineRule="auto"/>
              <w:jc w:val="center"/>
              <w:rPr>
                <w:rFonts w:ascii="Calibri" w:hAnsi="Calibri"/>
                <w:iCs/>
                <w:lang w:val="en-US"/>
              </w:rPr>
            </w:pPr>
            <w:r w:rsidRPr="00AE22D7">
              <w:rPr>
                <w:rFonts w:ascii="Calibri" w:hAnsi="Calibri"/>
                <w:iCs/>
                <w:lang w:val="en-US"/>
              </w:rPr>
              <w:t>17 (6.5)</w:t>
            </w:r>
          </w:p>
        </w:tc>
        <w:tc>
          <w:tcPr>
            <w:tcW w:w="1205" w:type="dxa"/>
            <w:gridSpan w:val="3"/>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0.062</w:t>
            </w:r>
          </w:p>
        </w:tc>
      </w:tr>
      <w:tr w:rsidR="00180389" w:rsidRPr="00AE22D7" w:rsidTr="00AA151C">
        <w:trPr>
          <w:jc w:val="center"/>
        </w:trPr>
        <w:tc>
          <w:tcPr>
            <w:tcW w:w="4319" w:type="dxa"/>
            <w:gridSpan w:val="2"/>
            <w:shd w:val="clear" w:color="auto" w:fill="auto"/>
            <w:vAlign w:val="center"/>
          </w:tcPr>
          <w:p w:rsidR="00180389" w:rsidRPr="002412A8" w:rsidRDefault="00180389" w:rsidP="00AA151C">
            <w:pPr>
              <w:spacing w:line="360" w:lineRule="auto"/>
              <w:ind w:left="351"/>
              <w:rPr>
                <w:rFonts w:ascii="Calibri" w:hAnsi="Calibri" w:cs="Arial"/>
                <w:lang w:val="en-US"/>
              </w:rPr>
            </w:pPr>
            <w:r w:rsidRPr="002412A8">
              <w:rPr>
                <w:rFonts w:ascii="Calibri" w:hAnsi="Calibri" w:cs="Arial"/>
                <w:lang w:val="en-US"/>
              </w:rPr>
              <w:tab/>
              <w:t>Pre-participation Screening</w:t>
            </w:r>
          </w:p>
        </w:tc>
        <w:tc>
          <w:tcPr>
            <w:tcW w:w="1843" w:type="dxa"/>
            <w:shd w:val="clear" w:color="auto" w:fill="auto"/>
            <w:vAlign w:val="center"/>
          </w:tcPr>
          <w:p w:rsidR="00180389" w:rsidRPr="002412A8" w:rsidRDefault="00180389" w:rsidP="00AA151C">
            <w:pPr>
              <w:spacing w:line="360" w:lineRule="auto"/>
              <w:jc w:val="center"/>
              <w:rPr>
                <w:rFonts w:ascii="Calibri" w:hAnsi="Calibri" w:cs="Arial"/>
                <w:lang w:val="en-US"/>
              </w:rPr>
            </w:pPr>
            <w:r w:rsidRPr="002412A8">
              <w:rPr>
                <w:rFonts w:ascii="Calibri" w:hAnsi="Calibri" w:cs="Arial"/>
                <w:lang w:val="en-US"/>
              </w:rPr>
              <w:t>3 (1.8)</w:t>
            </w:r>
          </w:p>
        </w:tc>
        <w:tc>
          <w:tcPr>
            <w:tcW w:w="1701" w:type="dxa"/>
            <w:gridSpan w:val="2"/>
            <w:shd w:val="clear" w:color="auto" w:fill="auto"/>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5 (1.9)</w:t>
            </w:r>
          </w:p>
        </w:tc>
        <w:tc>
          <w:tcPr>
            <w:tcW w:w="1205" w:type="dxa"/>
            <w:gridSpan w:val="3"/>
            <w:shd w:val="clear" w:color="auto" w:fill="auto"/>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0.960</w:t>
            </w:r>
          </w:p>
        </w:tc>
      </w:tr>
      <w:tr w:rsidR="00180389" w:rsidRPr="00AE22D7" w:rsidTr="00AA151C">
        <w:trPr>
          <w:jc w:val="center"/>
        </w:trPr>
        <w:tc>
          <w:tcPr>
            <w:tcW w:w="4319" w:type="dxa"/>
            <w:gridSpan w:val="2"/>
            <w:vAlign w:val="center"/>
          </w:tcPr>
          <w:p w:rsidR="00180389" w:rsidRPr="00AE22D7" w:rsidRDefault="00180389" w:rsidP="00AA151C">
            <w:pPr>
              <w:spacing w:line="360" w:lineRule="auto"/>
              <w:rPr>
                <w:rFonts w:ascii="Calibri" w:hAnsi="Calibri" w:cs="Arial"/>
                <w:b/>
                <w:lang w:val="en-US"/>
              </w:rPr>
            </w:pPr>
            <w:r w:rsidRPr="00AE22D7">
              <w:rPr>
                <w:rFonts w:ascii="Calibri" w:hAnsi="Calibri" w:cs="Arial"/>
                <w:b/>
                <w:lang w:val="en-US"/>
              </w:rPr>
              <w:t>Symptoms at initial evaluation – no. (%)</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134 (82.2)</w:t>
            </w:r>
          </w:p>
        </w:tc>
        <w:tc>
          <w:tcPr>
            <w:tcW w:w="1701" w:type="dxa"/>
            <w:gridSpan w:val="2"/>
            <w:vAlign w:val="center"/>
          </w:tcPr>
          <w:p w:rsidR="00180389" w:rsidRPr="00AE22D7" w:rsidRDefault="00180389" w:rsidP="00AA151C">
            <w:pPr>
              <w:spacing w:line="360" w:lineRule="auto"/>
              <w:jc w:val="center"/>
              <w:rPr>
                <w:rFonts w:ascii="Calibri" w:hAnsi="Calibri"/>
                <w:iCs/>
                <w:lang w:val="en-US"/>
              </w:rPr>
            </w:pPr>
            <w:r w:rsidRPr="00AE22D7">
              <w:rPr>
                <w:rFonts w:ascii="Calibri" w:hAnsi="Calibri"/>
                <w:iCs/>
                <w:lang w:val="en-US"/>
              </w:rPr>
              <w:t>202 (77.1)</w:t>
            </w:r>
          </w:p>
        </w:tc>
        <w:tc>
          <w:tcPr>
            <w:tcW w:w="1205" w:type="dxa"/>
            <w:gridSpan w:val="3"/>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0.208</w:t>
            </w:r>
          </w:p>
        </w:tc>
      </w:tr>
      <w:tr w:rsidR="00180389" w:rsidRPr="00AE22D7" w:rsidTr="00AA151C">
        <w:trPr>
          <w:jc w:val="center"/>
        </w:trPr>
        <w:tc>
          <w:tcPr>
            <w:tcW w:w="4319" w:type="dxa"/>
            <w:gridSpan w:val="2"/>
            <w:vAlign w:val="center"/>
          </w:tcPr>
          <w:p w:rsidR="00180389" w:rsidRPr="00AE22D7" w:rsidRDefault="00180389" w:rsidP="00AA151C">
            <w:pPr>
              <w:spacing w:line="360" w:lineRule="auto"/>
              <w:ind w:left="351"/>
              <w:rPr>
                <w:rFonts w:ascii="Calibri" w:hAnsi="Calibri" w:cs="Arial"/>
                <w:lang w:val="en-US"/>
              </w:rPr>
            </w:pPr>
            <w:r w:rsidRPr="00AE22D7">
              <w:rPr>
                <w:rFonts w:ascii="Calibri" w:hAnsi="Calibri" w:cs="Arial"/>
                <w:lang w:val="en-US"/>
              </w:rPr>
              <w:t>Chest pain</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83 (50.9)</w:t>
            </w:r>
          </w:p>
        </w:tc>
        <w:tc>
          <w:tcPr>
            <w:tcW w:w="1701" w:type="dxa"/>
            <w:gridSpan w:val="2"/>
            <w:vAlign w:val="center"/>
          </w:tcPr>
          <w:p w:rsidR="00180389" w:rsidRPr="00AE22D7" w:rsidRDefault="00180389" w:rsidP="00AA151C">
            <w:pPr>
              <w:spacing w:line="360" w:lineRule="auto"/>
              <w:jc w:val="center"/>
              <w:rPr>
                <w:rFonts w:ascii="Calibri" w:hAnsi="Calibri"/>
                <w:iCs/>
                <w:lang w:val="en-US"/>
              </w:rPr>
            </w:pPr>
            <w:r w:rsidRPr="00AE22D7">
              <w:rPr>
                <w:rFonts w:ascii="Calibri" w:hAnsi="Calibri"/>
                <w:iCs/>
                <w:lang w:val="en-US"/>
              </w:rPr>
              <w:t>111 (42.4)</w:t>
            </w:r>
          </w:p>
        </w:tc>
        <w:tc>
          <w:tcPr>
            <w:tcW w:w="1205" w:type="dxa"/>
            <w:gridSpan w:val="3"/>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0.085</w:t>
            </w:r>
          </w:p>
        </w:tc>
      </w:tr>
      <w:tr w:rsidR="00180389" w:rsidRPr="00AE22D7" w:rsidTr="00AA151C">
        <w:trPr>
          <w:jc w:val="center"/>
        </w:trPr>
        <w:tc>
          <w:tcPr>
            <w:tcW w:w="4319" w:type="dxa"/>
            <w:gridSpan w:val="2"/>
            <w:vAlign w:val="center"/>
          </w:tcPr>
          <w:p w:rsidR="00180389" w:rsidRPr="00AE22D7" w:rsidRDefault="00180389" w:rsidP="00AA151C">
            <w:pPr>
              <w:spacing w:line="360" w:lineRule="auto"/>
              <w:ind w:left="351"/>
              <w:rPr>
                <w:rFonts w:ascii="Calibri" w:hAnsi="Calibri" w:cs="Arial"/>
                <w:lang w:val="en-US"/>
              </w:rPr>
            </w:pPr>
            <w:r w:rsidRPr="00AE22D7">
              <w:rPr>
                <w:rFonts w:ascii="Calibri" w:hAnsi="Calibri" w:cs="Arial"/>
                <w:lang w:val="en-US"/>
              </w:rPr>
              <w:t>Breathlessness</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71 (43.6)</w:t>
            </w:r>
          </w:p>
        </w:tc>
        <w:tc>
          <w:tcPr>
            <w:tcW w:w="1701" w:type="dxa"/>
            <w:gridSpan w:val="2"/>
            <w:vAlign w:val="center"/>
          </w:tcPr>
          <w:p w:rsidR="00180389" w:rsidRPr="00AE22D7" w:rsidRDefault="00180389" w:rsidP="00AA151C">
            <w:pPr>
              <w:spacing w:line="360" w:lineRule="auto"/>
              <w:jc w:val="center"/>
              <w:rPr>
                <w:rFonts w:ascii="Calibri" w:hAnsi="Calibri"/>
                <w:iCs/>
                <w:lang w:val="en-US"/>
              </w:rPr>
            </w:pPr>
            <w:r>
              <w:rPr>
                <w:rFonts w:ascii="Calibri" w:hAnsi="Calibri"/>
                <w:iCs/>
                <w:lang w:val="en-US"/>
              </w:rPr>
              <w:t>127 (48.5)</w:t>
            </w:r>
          </w:p>
        </w:tc>
        <w:tc>
          <w:tcPr>
            <w:tcW w:w="1205" w:type="dxa"/>
            <w:gridSpan w:val="3"/>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0.323</w:t>
            </w:r>
          </w:p>
        </w:tc>
      </w:tr>
      <w:tr w:rsidR="00180389" w:rsidRPr="00AE22D7" w:rsidTr="00AA151C">
        <w:trPr>
          <w:jc w:val="center"/>
        </w:trPr>
        <w:tc>
          <w:tcPr>
            <w:tcW w:w="4319" w:type="dxa"/>
            <w:gridSpan w:val="2"/>
            <w:vAlign w:val="center"/>
          </w:tcPr>
          <w:p w:rsidR="00180389" w:rsidRPr="00AE22D7" w:rsidRDefault="00180389" w:rsidP="00AA151C">
            <w:pPr>
              <w:spacing w:line="360" w:lineRule="auto"/>
              <w:ind w:left="351"/>
              <w:rPr>
                <w:rFonts w:ascii="Calibri" w:hAnsi="Calibri" w:cs="Arial"/>
                <w:lang w:val="en-US"/>
              </w:rPr>
            </w:pPr>
            <w:r w:rsidRPr="00AE22D7">
              <w:rPr>
                <w:rFonts w:ascii="Calibri" w:hAnsi="Calibri" w:cs="Arial"/>
                <w:lang w:val="en-US"/>
              </w:rPr>
              <w:t>Palpitation</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63 (38.7)</w:t>
            </w:r>
          </w:p>
        </w:tc>
        <w:tc>
          <w:tcPr>
            <w:tcW w:w="1701" w:type="dxa"/>
            <w:gridSpan w:val="2"/>
            <w:vAlign w:val="center"/>
          </w:tcPr>
          <w:p w:rsidR="00180389" w:rsidRPr="00AE22D7" w:rsidRDefault="00180389" w:rsidP="00AA151C">
            <w:pPr>
              <w:spacing w:line="360" w:lineRule="auto"/>
              <w:jc w:val="center"/>
              <w:rPr>
                <w:rFonts w:ascii="Calibri" w:hAnsi="Calibri"/>
                <w:iCs/>
                <w:lang w:val="en-US"/>
              </w:rPr>
            </w:pPr>
            <w:r w:rsidRPr="00AE22D7">
              <w:rPr>
                <w:rFonts w:ascii="Calibri" w:hAnsi="Calibri"/>
                <w:iCs/>
                <w:lang w:val="en-US"/>
              </w:rPr>
              <w:t>97 (37.0)</w:t>
            </w:r>
          </w:p>
        </w:tc>
        <w:tc>
          <w:tcPr>
            <w:tcW w:w="1205" w:type="dxa"/>
            <w:gridSpan w:val="3"/>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0.736</w:t>
            </w:r>
          </w:p>
        </w:tc>
      </w:tr>
      <w:tr w:rsidR="00180389" w:rsidRPr="00AE22D7" w:rsidTr="00AA151C">
        <w:trPr>
          <w:jc w:val="center"/>
        </w:trPr>
        <w:tc>
          <w:tcPr>
            <w:tcW w:w="4319" w:type="dxa"/>
            <w:gridSpan w:val="2"/>
            <w:vAlign w:val="center"/>
          </w:tcPr>
          <w:p w:rsidR="00180389" w:rsidRPr="00AE22D7" w:rsidRDefault="00180389" w:rsidP="00AA151C">
            <w:pPr>
              <w:spacing w:line="360" w:lineRule="auto"/>
              <w:ind w:left="351"/>
              <w:rPr>
                <w:rFonts w:ascii="Calibri" w:hAnsi="Calibri" w:cs="Arial"/>
                <w:lang w:val="en-US"/>
              </w:rPr>
            </w:pPr>
            <w:r w:rsidRPr="00AE22D7">
              <w:rPr>
                <w:rFonts w:ascii="Calibri" w:hAnsi="Calibri" w:cs="Arial"/>
                <w:lang w:val="en-US"/>
              </w:rPr>
              <w:t>Pre-syncope</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24 (14.7)</w:t>
            </w:r>
          </w:p>
        </w:tc>
        <w:tc>
          <w:tcPr>
            <w:tcW w:w="1701" w:type="dxa"/>
            <w:gridSpan w:val="2"/>
            <w:vAlign w:val="center"/>
          </w:tcPr>
          <w:p w:rsidR="00180389" w:rsidRPr="00AE22D7" w:rsidRDefault="00180389" w:rsidP="00AA151C">
            <w:pPr>
              <w:spacing w:line="360" w:lineRule="auto"/>
              <w:jc w:val="center"/>
              <w:rPr>
                <w:rFonts w:ascii="Calibri" w:hAnsi="Calibri"/>
                <w:iCs/>
                <w:lang w:val="en-US"/>
              </w:rPr>
            </w:pPr>
            <w:r w:rsidRPr="00AE22D7">
              <w:rPr>
                <w:rFonts w:ascii="Calibri" w:hAnsi="Calibri"/>
                <w:iCs/>
                <w:lang w:val="en-US"/>
              </w:rPr>
              <w:t>42(16.0)</w:t>
            </w:r>
          </w:p>
        </w:tc>
        <w:tc>
          <w:tcPr>
            <w:tcW w:w="1205" w:type="dxa"/>
            <w:gridSpan w:val="3"/>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0.718</w:t>
            </w:r>
          </w:p>
        </w:tc>
      </w:tr>
      <w:tr w:rsidR="00180389" w:rsidRPr="00AE22D7" w:rsidTr="00AA151C">
        <w:trPr>
          <w:jc w:val="center"/>
        </w:trPr>
        <w:tc>
          <w:tcPr>
            <w:tcW w:w="4319" w:type="dxa"/>
            <w:gridSpan w:val="2"/>
            <w:vAlign w:val="center"/>
          </w:tcPr>
          <w:p w:rsidR="00180389" w:rsidRPr="00AE22D7" w:rsidRDefault="00180389" w:rsidP="00AA151C">
            <w:pPr>
              <w:spacing w:line="360" w:lineRule="auto"/>
              <w:ind w:left="351"/>
              <w:rPr>
                <w:rFonts w:ascii="Calibri" w:hAnsi="Calibri" w:cs="Arial"/>
                <w:lang w:val="en-US"/>
              </w:rPr>
            </w:pPr>
            <w:r w:rsidRPr="00AE22D7">
              <w:rPr>
                <w:rFonts w:ascii="Calibri" w:hAnsi="Calibri" w:cs="Arial"/>
                <w:lang w:val="en-US"/>
              </w:rPr>
              <w:t>Syncope</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37 (22.7)</w:t>
            </w:r>
          </w:p>
        </w:tc>
        <w:tc>
          <w:tcPr>
            <w:tcW w:w="1701" w:type="dxa"/>
            <w:gridSpan w:val="2"/>
            <w:vAlign w:val="center"/>
          </w:tcPr>
          <w:p w:rsidR="00180389" w:rsidRPr="00AE22D7" w:rsidRDefault="00180389" w:rsidP="00AA151C">
            <w:pPr>
              <w:spacing w:line="360" w:lineRule="auto"/>
              <w:jc w:val="center"/>
              <w:rPr>
                <w:rFonts w:ascii="Calibri" w:hAnsi="Calibri"/>
                <w:iCs/>
                <w:lang w:val="en-US"/>
              </w:rPr>
            </w:pPr>
            <w:r w:rsidRPr="00AE22D7">
              <w:rPr>
                <w:rFonts w:ascii="Calibri" w:hAnsi="Calibri"/>
                <w:iCs/>
                <w:lang w:val="en-US"/>
              </w:rPr>
              <w:t>43 (16.4)</w:t>
            </w:r>
          </w:p>
        </w:tc>
        <w:tc>
          <w:tcPr>
            <w:tcW w:w="1205" w:type="dxa"/>
            <w:gridSpan w:val="3"/>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0.107</w:t>
            </w:r>
          </w:p>
        </w:tc>
      </w:tr>
      <w:tr w:rsidR="00180389" w:rsidRPr="00AE22D7" w:rsidTr="00AA151C">
        <w:trPr>
          <w:jc w:val="center"/>
        </w:trPr>
        <w:tc>
          <w:tcPr>
            <w:tcW w:w="4319" w:type="dxa"/>
            <w:gridSpan w:val="2"/>
            <w:vAlign w:val="center"/>
          </w:tcPr>
          <w:p w:rsidR="00180389" w:rsidRPr="00AE22D7" w:rsidRDefault="00180389" w:rsidP="00AA151C">
            <w:pPr>
              <w:spacing w:line="360" w:lineRule="auto"/>
              <w:rPr>
                <w:rFonts w:ascii="Calibri" w:hAnsi="Calibri" w:cs="Arial"/>
                <w:b/>
                <w:lang w:val="en-US"/>
              </w:rPr>
            </w:pPr>
            <w:r>
              <w:rPr>
                <w:rFonts w:ascii="Calibri" w:hAnsi="Calibri" w:cs="Arial"/>
                <w:b/>
                <w:lang w:val="en-US"/>
              </w:rPr>
              <w:t>Family History of hypertrophic cardiomyopathy</w:t>
            </w:r>
            <w:r w:rsidRPr="00AE22D7">
              <w:rPr>
                <w:rFonts w:ascii="Calibri" w:hAnsi="Calibri" w:cs="Arial"/>
                <w:b/>
                <w:lang w:val="en-US"/>
              </w:rPr>
              <w:t xml:space="preserve"> – no. (%)</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31 (19.0)</w:t>
            </w:r>
          </w:p>
        </w:tc>
        <w:tc>
          <w:tcPr>
            <w:tcW w:w="1701" w:type="dxa"/>
            <w:gridSpan w:val="2"/>
            <w:vAlign w:val="center"/>
          </w:tcPr>
          <w:p w:rsidR="00180389" w:rsidRPr="00AE22D7" w:rsidRDefault="00180389" w:rsidP="00AA151C">
            <w:pPr>
              <w:spacing w:line="360" w:lineRule="auto"/>
              <w:jc w:val="center"/>
              <w:rPr>
                <w:rFonts w:ascii="Calibri" w:hAnsi="Calibri"/>
                <w:iCs/>
                <w:lang w:val="en-US"/>
              </w:rPr>
            </w:pPr>
            <w:r w:rsidRPr="00AE22D7">
              <w:rPr>
                <w:rFonts w:ascii="Calibri" w:hAnsi="Calibri"/>
                <w:iCs/>
                <w:lang w:val="en-US"/>
              </w:rPr>
              <w:t>76 (29.0)</w:t>
            </w:r>
          </w:p>
        </w:tc>
        <w:tc>
          <w:tcPr>
            <w:tcW w:w="1205" w:type="dxa"/>
            <w:gridSpan w:val="3"/>
            <w:vAlign w:val="center"/>
          </w:tcPr>
          <w:p w:rsidR="00180389" w:rsidRPr="00AE22D7" w:rsidRDefault="00180389" w:rsidP="00AA151C">
            <w:pPr>
              <w:spacing w:line="360" w:lineRule="auto"/>
              <w:jc w:val="center"/>
              <w:rPr>
                <w:rFonts w:ascii="Calibri" w:hAnsi="Calibri" w:cs="Arial"/>
                <w:lang w:val="en-US"/>
              </w:rPr>
            </w:pPr>
            <w:r w:rsidRPr="00D751EE">
              <w:rPr>
                <w:rFonts w:ascii="Calibri" w:hAnsi="Calibri" w:cs="Arial"/>
                <w:lang w:val="en-US"/>
              </w:rPr>
              <w:t>0.021</w:t>
            </w:r>
          </w:p>
        </w:tc>
      </w:tr>
      <w:tr w:rsidR="00180389" w:rsidRPr="00AE22D7" w:rsidTr="00AA151C">
        <w:trPr>
          <w:jc w:val="center"/>
        </w:trPr>
        <w:tc>
          <w:tcPr>
            <w:tcW w:w="9068" w:type="dxa"/>
            <w:gridSpan w:val="8"/>
            <w:vAlign w:val="center"/>
          </w:tcPr>
          <w:p w:rsidR="00180389" w:rsidRPr="00AE22D7" w:rsidRDefault="00180389" w:rsidP="00AA151C">
            <w:pPr>
              <w:spacing w:line="360" w:lineRule="auto"/>
              <w:rPr>
                <w:rFonts w:ascii="Calibri" w:hAnsi="Calibri" w:cs="Arial"/>
                <w:lang w:val="en-US"/>
              </w:rPr>
            </w:pPr>
            <w:r>
              <w:rPr>
                <w:rFonts w:ascii="Calibri" w:hAnsi="Calibri" w:cs="Arial"/>
                <w:b/>
                <w:lang w:val="en-US"/>
              </w:rPr>
              <w:t>New York Heart Association</w:t>
            </w:r>
            <w:r w:rsidRPr="00AE22D7">
              <w:rPr>
                <w:rFonts w:ascii="Calibri" w:hAnsi="Calibri" w:cs="Arial"/>
                <w:b/>
                <w:lang w:val="en-US"/>
              </w:rPr>
              <w:t xml:space="preserve"> Class at presentation – no. (%)</w:t>
            </w:r>
          </w:p>
        </w:tc>
      </w:tr>
      <w:tr w:rsidR="00180389" w:rsidRPr="00AE22D7" w:rsidTr="00AA151C">
        <w:trPr>
          <w:jc w:val="center"/>
        </w:trPr>
        <w:tc>
          <w:tcPr>
            <w:tcW w:w="4319" w:type="dxa"/>
            <w:gridSpan w:val="2"/>
            <w:vAlign w:val="center"/>
          </w:tcPr>
          <w:p w:rsidR="00180389" w:rsidRPr="00AE22D7" w:rsidRDefault="00180389" w:rsidP="00AA151C">
            <w:pPr>
              <w:spacing w:line="360" w:lineRule="auto"/>
              <w:ind w:left="351"/>
              <w:rPr>
                <w:rFonts w:ascii="Calibri" w:hAnsi="Calibri" w:cs="Arial"/>
                <w:lang w:val="en-US"/>
              </w:rPr>
            </w:pPr>
            <w:r w:rsidRPr="00AE22D7">
              <w:rPr>
                <w:rFonts w:ascii="Calibri" w:hAnsi="Calibri" w:cs="Arial"/>
                <w:lang w:val="en-US"/>
              </w:rPr>
              <w:t>I</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iCs/>
                <w:lang w:val="en-US"/>
              </w:rPr>
              <w:t>125 (77.6)</w:t>
            </w:r>
          </w:p>
        </w:tc>
        <w:tc>
          <w:tcPr>
            <w:tcW w:w="1701" w:type="dxa"/>
            <w:gridSpan w:val="2"/>
            <w:vAlign w:val="center"/>
          </w:tcPr>
          <w:p w:rsidR="00180389" w:rsidRPr="00AE22D7" w:rsidRDefault="00180389" w:rsidP="00AA151C">
            <w:pPr>
              <w:spacing w:line="360" w:lineRule="auto"/>
              <w:jc w:val="center"/>
              <w:rPr>
                <w:rFonts w:ascii="Calibri" w:hAnsi="Calibri"/>
                <w:iCs/>
                <w:lang w:val="en-US"/>
              </w:rPr>
            </w:pPr>
            <w:r w:rsidRPr="00AE22D7">
              <w:rPr>
                <w:rFonts w:ascii="Calibri" w:hAnsi="Calibri" w:cs="Arial"/>
                <w:lang w:val="en-US"/>
              </w:rPr>
              <w:t>182 (69.7)</w:t>
            </w:r>
          </w:p>
        </w:tc>
        <w:tc>
          <w:tcPr>
            <w:tcW w:w="1205" w:type="dxa"/>
            <w:gridSpan w:val="3"/>
            <w:vMerge w:val="restart"/>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cs="Arial"/>
                <w:lang w:val="en-US"/>
              </w:rPr>
              <w:t>0.008</w:t>
            </w:r>
          </w:p>
        </w:tc>
      </w:tr>
      <w:tr w:rsidR="00180389" w:rsidRPr="00AE22D7" w:rsidTr="00AA151C">
        <w:trPr>
          <w:jc w:val="center"/>
        </w:trPr>
        <w:tc>
          <w:tcPr>
            <w:tcW w:w="4319" w:type="dxa"/>
            <w:gridSpan w:val="2"/>
            <w:vAlign w:val="center"/>
          </w:tcPr>
          <w:p w:rsidR="00180389" w:rsidRPr="00AE22D7" w:rsidRDefault="00180389" w:rsidP="00AA151C">
            <w:pPr>
              <w:spacing w:line="360" w:lineRule="auto"/>
              <w:ind w:left="351"/>
              <w:rPr>
                <w:rFonts w:ascii="Calibri" w:hAnsi="Calibri" w:cs="Arial"/>
                <w:lang w:val="en-US"/>
              </w:rPr>
            </w:pPr>
            <w:r w:rsidRPr="00AE22D7">
              <w:rPr>
                <w:rFonts w:ascii="Calibri" w:hAnsi="Calibri" w:cs="Arial"/>
                <w:lang w:val="en-US"/>
              </w:rPr>
              <w:t>II</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iCs/>
                <w:lang w:val="en-US"/>
              </w:rPr>
              <w:t>26 (16.1)</w:t>
            </w:r>
          </w:p>
        </w:tc>
        <w:tc>
          <w:tcPr>
            <w:tcW w:w="1701" w:type="dxa"/>
            <w:gridSpan w:val="2"/>
            <w:vAlign w:val="center"/>
          </w:tcPr>
          <w:p w:rsidR="00180389" w:rsidRPr="00AE22D7" w:rsidRDefault="00180389" w:rsidP="00AA151C">
            <w:pPr>
              <w:spacing w:line="360" w:lineRule="auto"/>
              <w:jc w:val="center"/>
              <w:rPr>
                <w:rFonts w:ascii="Calibri" w:hAnsi="Calibri"/>
                <w:iCs/>
                <w:lang w:val="en-US"/>
              </w:rPr>
            </w:pPr>
            <w:r w:rsidRPr="00AE22D7">
              <w:rPr>
                <w:rFonts w:ascii="Calibri" w:hAnsi="Calibri" w:cs="Arial"/>
                <w:lang w:val="en-US"/>
              </w:rPr>
              <w:t>71 (27.2)</w:t>
            </w:r>
          </w:p>
        </w:tc>
        <w:tc>
          <w:tcPr>
            <w:tcW w:w="1205" w:type="dxa"/>
            <w:gridSpan w:val="3"/>
            <w:vMerge/>
            <w:vAlign w:val="center"/>
          </w:tcPr>
          <w:p w:rsidR="00180389" w:rsidRPr="00AE22D7" w:rsidRDefault="00180389" w:rsidP="00AA151C">
            <w:pPr>
              <w:spacing w:line="360" w:lineRule="auto"/>
              <w:rPr>
                <w:rFonts w:ascii="Calibri" w:hAnsi="Calibri" w:cs="Arial"/>
                <w:lang w:val="en-US"/>
              </w:rPr>
            </w:pPr>
          </w:p>
        </w:tc>
      </w:tr>
      <w:tr w:rsidR="00180389" w:rsidRPr="00AE22D7" w:rsidTr="00AA151C">
        <w:trPr>
          <w:jc w:val="center"/>
        </w:trPr>
        <w:tc>
          <w:tcPr>
            <w:tcW w:w="4319" w:type="dxa"/>
            <w:gridSpan w:val="2"/>
            <w:vAlign w:val="center"/>
          </w:tcPr>
          <w:p w:rsidR="00180389" w:rsidRPr="00AE22D7" w:rsidRDefault="00180389" w:rsidP="00AA151C">
            <w:pPr>
              <w:spacing w:line="360" w:lineRule="auto"/>
              <w:ind w:left="351"/>
              <w:rPr>
                <w:rFonts w:ascii="Calibri" w:hAnsi="Calibri" w:cs="Arial"/>
                <w:lang w:val="en-US"/>
              </w:rPr>
            </w:pPr>
            <w:r w:rsidRPr="00AE22D7">
              <w:rPr>
                <w:rFonts w:ascii="Calibri" w:hAnsi="Calibri" w:cs="Arial"/>
                <w:lang w:val="en-US"/>
              </w:rPr>
              <w:t>III</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iCs/>
                <w:lang w:val="en-US"/>
              </w:rPr>
              <w:t>5 (3.1)</w:t>
            </w:r>
          </w:p>
        </w:tc>
        <w:tc>
          <w:tcPr>
            <w:tcW w:w="1701" w:type="dxa"/>
            <w:gridSpan w:val="2"/>
            <w:vAlign w:val="center"/>
          </w:tcPr>
          <w:p w:rsidR="00180389" w:rsidRPr="00AE22D7" w:rsidRDefault="00180389" w:rsidP="00AA151C">
            <w:pPr>
              <w:spacing w:line="360" w:lineRule="auto"/>
              <w:jc w:val="center"/>
              <w:rPr>
                <w:rFonts w:ascii="Calibri" w:hAnsi="Calibri"/>
                <w:iCs/>
                <w:lang w:val="en-US"/>
              </w:rPr>
            </w:pPr>
            <w:r w:rsidRPr="00AE22D7">
              <w:rPr>
                <w:rFonts w:ascii="Calibri" w:hAnsi="Calibri" w:cs="Arial"/>
                <w:lang w:val="en-US"/>
              </w:rPr>
              <w:t>7 (2.7)</w:t>
            </w:r>
          </w:p>
        </w:tc>
        <w:tc>
          <w:tcPr>
            <w:tcW w:w="1205" w:type="dxa"/>
            <w:gridSpan w:val="3"/>
            <w:vMerge/>
            <w:vAlign w:val="center"/>
          </w:tcPr>
          <w:p w:rsidR="00180389" w:rsidRPr="00AE22D7" w:rsidRDefault="00180389" w:rsidP="00AA151C">
            <w:pPr>
              <w:spacing w:line="360" w:lineRule="auto"/>
              <w:rPr>
                <w:rFonts w:ascii="Calibri" w:hAnsi="Calibri" w:cs="Arial"/>
                <w:lang w:val="en-US"/>
              </w:rPr>
            </w:pPr>
          </w:p>
        </w:tc>
      </w:tr>
      <w:tr w:rsidR="00180389" w:rsidRPr="00AE22D7" w:rsidTr="00AA151C">
        <w:trPr>
          <w:jc w:val="center"/>
        </w:trPr>
        <w:tc>
          <w:tcPr>
            <w:tcW w:w="4319" w:type="dxa"/>
            <w:gridSpan w:val="2"/>
            <w:vAlign w:val="center"/>
          </w:tcPr>
          <w:p w:rsidR="00180389" w:rsidRPr="00AE22D7" w:rsidRDefault="00180389" w:rsidP="00AA151C">
            <w:pPr>
              <w:spacing w:line="360" w:lineRule="auto"/>
              <w:ind w:left="351"/>
              <w:rPr>
                <w:rFonts w:ascii="Calibri" w:hAnsi="Calibri" w:cs="Arial"/>
                <w:lang w:val="en-US"/>
              </w:rPr>
            </w:pPr>
            <w:r w:rsidRPr="00AE22D7">
              <w:rPr>
                <w:rFonts w:ascii="Calibri" w:hAnsi="Calibri" w:cs="Arial"/>
                <w:lang w:val="en-US"/>
              </w:rPr>
              <w:t>IV</w:t>
            </w:r>
          </w:p>
        </w:tc>
        <w:tc>
          <w:tcPr>
            <w:tcW w:w="1843" w:type="dxa"/>
            <w:vAlign w:val="center"/>
          </w:tcPr>
          <w:p w:rsidR="00180389" w:rsidRPr="00AE22D7" w:rsidRDefault="00180389" w:rsidP="00AA151C">
            <w:pPr>
              <w:spacing w:line="360" w:lineRule="auto"/>
              <w:jc w:val="center"/>
              <w:rPr>
                <w:rFonts w:ascii="Calibri" w:hAnsi="Calibri" w:cs="Arial"/>
                <w:lang w:val="en-US"/>
              </w:rPr>
            </w:pPr>
            <w:r w:rsidRPr="00AE22D7">
              <w:rPr>
                <w:rFonts w:ascii="Calibri" w:hAnsi="Calibri"/>
                <w:iCs/>
                <w:lang w:val="en-US"/>
              </w:rPr>
              <w:t>5 (3.1)</w:t>
            </w:r>
          </w:p>
        </w:tc>
        <w:tc>
          <w:tcPr>
            <w:tcW w:w="1701" w:type="dxa"/>
            <w:gridSpan w:val="2"/>
            <w:vAlign w:val="center"/>
          </w:tcPr>
          <w:p w:rsidR="00180389" w:rsidRPr="00AE22D7" w:rsidRDefault="00180389" w:rsidP="00AA151C">
            <w:pPr>
              <w:spacing w:line="360" w:lineRule="auto"/>
              <w:jc w:val="center"/>
              <w:rPr>
                <w:rFonts w:ascii="Calibri" w:hAnsi="Calibri"/>
                <w:iCs/>
                <w:lang w:val="en-US"/>
              </w:rPr>
            </w:pPr>
            <w:r w:rsidRPr="00AE22D7">
              <w:rPr>
                <w:rFonts w:ascii="Calibri" w:hAnsi="Calibri" w:cs="Arial"/>
                <w:lang w:val="en-US"/>
              </w:rPr>
              <w:t>1 (0.4)</w:t>
            </w:r>
          </w:p>
        </w:tc>
        <w:tc>
          <w:tcPr>
            <w:tcW w:w="1205" w:type="dxa"/>
            <w:gridSpan w:val="3"/>
            <w:vMerge/>
            <w:vAlign w:val="center"/>
          </w:tcPr>
          <w:p w:rsidR="00180389" w:rsidRPr="00AE22D7" w:rsidRDefault="00180389" w:rsidP="00AA151C">
            <w:pPr>
              <w:spacing w:line="360" w:lineRule="auto"/>
              <w:rPr>
                <w:rFonts w:ascii="Calibri" w:hAnsi="Calibri" w:cs="Arial"/>
                <w:lang w:val="en-US"/>
              </w:rPr>
            </w:pPr>
          </w:p>
        </w:tc>
      </w:tr>
      <w:bookmarkEnd w:id="0"/>
      <w:bookmarkEnd w:id="1"/>
      <w:tr w:rsidR="00AA151C" w:rsidRPr="006A46E4" w:rsidTr="00AA151C">
        <w:trPr>
          <w:gridAfter w:val="1"/>
          <w:wAfter w:w="6" w:type="dxa"/>
          <w:jc w:val="center"/>
        </w:trPr>
        <w:tc>
          <w:tcPr>
            <w:tcW w:w="9062" w:type="dxa"/>
            <w:gridSpan w:val="7"/>
            <w:vAlign w:val="center"/>
          </w:tcPr>
          <w:p w:rsidR="00AA151C" w:rsidRPr="006A46E4" w:rsidRDefault="00AA151C" w:rsidP="00AA151C">
            <w:pPr>
              <w:spacing w:line="360" w:lineRule="auto"/>
              <w:rPr>
                <w:rFonts w:ascii="Calibri" w:eastAsia="Times New Roman" w:hAnsi="Calibri" w:cs="Arial"/>
                <w:b/>
                <w:lang w:val="en-US" w:eastAsia="en-GB"/>
              </w:rPr>
            </w:pPr>
            <w:r w:rsidRPr="006A46E4">
              <w:rPr>
                <w:rFonts w:ascii="Calibri" w:eastAsia="Times New Roman" w:hAnsi="Calibri" w:cs="Arial"/>
                <w:b/>
                <w:lang w:val="en-US" w:eastAsia="en-GB"/>
              </w:rPr>
              <w:t>Prevalence of Co-morbidities – no. (%)</w:t>
            </w:r>
          </w:p>
        </w:tc>
      </w:tr>
      <w:tr w:rsidR="00F45F52" w:rsidRPr="00AE22D7" w:rsidTr="00FA387E">
        <w:trPr>
          <w:jc w:val="center"/>
        </w:trPr>
        <w:tc>
          <w:tcPr>
            <w:tcW w:w="4319" w:type="dxa"/>
            <w:gridSpan w:val="2"/>
            <w:vAlign w:val="center"/>
          </w:tcPr>
          <w:p w:rsidR="00F45F52" w:rsidRPr="00AE22D7" w:rsidRDefault="00F45F52" w:rsidP="00F45F52">
            <w:pPr>
              <w:spacing w:line="360" w:lineRule="auto"/>
              <w:ind w:left="342"/>
              <w:rPr>
                <w:rFonts w:ascii="Calibri" w:hAnsi="Calibri" w:cs="Arial"/>
                <w:lang w:val="en-US"/>
              </w:rPr>
            </w:pPr>
            <w:r>
              <w:rPr>
                <w:rFonts w:ascii="Calibri" w:hAnsi="Calibri" w:cs="Arial"/>
                <w:lang w:val="en-US"/>
              </w:rPr>
              <w:t>History of hypertension</w:t>
            </w:r>
          </w:p>
        </w:tc>
        <w:tc>
          <w:tcPr>
            <w:tcW w:w="1843" w:type="dxa"/>
            <w:vAlign w:val="center"/>
          </w:tcPr>
          <w:p w:rsidR="00F45F52" w:rsidRPr="00AE22D7" w:rsidRDefault="00F45F52" w:rsidP="00FA387E">
            <w:pPr>
              <w:spacing w:line="360" w:lineRule="auto"/>
              <w:jc w:val="center"/>
              <w:rPr>
                <w:rFonts w:ascii="Calibri" w:hAnsi="Calibri" w:cs="Arial"/>
                <w:lang w:val="en-US"/>
              </w:rPr>
            </w:pPr>
            <w:r w:rsidRPr="00AE22D7">
              <w:rPr>
                <w:rFonts w:ascii="Calibri" w:hAnsi="Calibri" w:cs="Arial"/>
                <w:lang w:val="en-US"/>
              </w:rPr>
              <w:t>95 (58.3)</w:t>
            </w:r>
          </w:p>
        </w:tc>
        <w:tc>
          <w:tcPr>
            <w:tcW w:w="1701" w:type="dxa"/>
            <w:gridSpan w:val="2"/>
            <w:vAlign w:val="center"/>
          </w:tcPr>
          <w:p w:rsidR="00F45F52" w:rsidRPr="00AE22D7" w:rsidRDefault="00F45F52" w:rsidP="00FA387E">
            <w:pPr>
              <w:spacing w:line="360" w:lineRule="auto"/>
              <w:jc w:val="center"/>
              <w:rPr>
                <w:rFonts w:ascii="Calibri" w:hAnsi="Calibri" w:cs="Arial"/>
                <w:lang w:val="en-US"/>
              </w:rPr>
            </w:pPr>
            <w:r w:rsidRPr="00AE22D7">
              <w:rPr>
                <w:rFonts w:ascii="Calibri" w:hAnsi="Calibri" w:cs="Arial"/>
                <w:lang w:val="en-US"/>
              </w:rPr>
              <w:t>83 (31.7)</w:t>
            </w:r>
          </w:p>
        </w:tc>
        <w:tc>
          <w:tcPr>
            <w:tcW w:w="1205" w:type="dxa"/>
            <w:gridSpan w:val="3"/>
            <w:vAlign w:val="center"/>
          </w:tcPr>
          <w:p w:rsidR="00F45F52" w:rsidRPr="00AE22D7" w:rsidRDefault="00F45F52" w:rsidP="00FA387E">
            <w:pPr>
              <w:spacing w:line="360" w:lineRule="auto"/>
              <w:jc w:val="center"/>
              <w:rPr>
                <w:rFonts w:ascii="Calibri" w:hAnsi="Calibri" w:cs="Arial"/>
                <w:highlight w:val="yellow"/>
                <w:lang w:val="en-US"/>
              </w:rPr>
            </w:pPr>
            <w:r w:rsidRPr="00D751EE">
              <w:rPr>
                <w:rFonts w:ascii="Calibri" w:hAnsi="Calibri" w:cs="Arial"/>
                <w:lang w:val="en-US"/>
              </w:rPr>
              <w:t>&lt;0.001</w:t>
            </w:r>
          </w:p>
        </w:tc>
      </w:tr>
      <w:tr w:rsidR="00AA151C" w:rsidRPr="00AA151C" w:rsidTr="00AA151C">
        <w:trPr>
          <w:gridAfter w:val="1"/>
          <w:wAfter w:w="6" w:type="dxa"/>
          <w:jc w:val="center"/>
        </w:trPr>
        <w:tc>
          <w:tcPr>
            <w:tcW w:w="4279" w:type="dxa"/>
            <w:vAlign w:val="center"/>
          </w:tcPr>
          <w:p w:rsidR="00AA151C" w:rsidRPr="00AA151C" w:rsidRDefault="00AA151C" w:rsidP="00AA151C">
            <w:pPr>
              <w:spacing w:line="360" w:lineRule="auto"/>
              <w:ind w:left="387"/>
              <w:rPr>
                <w:rFonts w:ascii="Calibri" w:eastAsia="Times New Roman" w:hAnsi="Calibri" w:cs="Arial"/>
                <w:lang w:val="en-US" w:eastAsia="en-GB"/>
              </w:rPr>
            </w:pPr>
            <w:r w:rsidRPr="00AA151C">
              <w:rPr>
                <w:rFonts w:ascii="Calibri" w:eastAsia="Times New Roman" w:hAnsi="Calibri" w:cs="Arial"/>
                <w:lang w:val="en-US" w:eastAsia="en-GB"/>
              </w:rPr>
              <w:t>Atrial Fibrillation</w:t>
            </w:r>
          </w:p>
        </w:tc>
        <w:tc>
          <w:tcPr>
            <w:tcW w:w="1982" w:type="dxa"/>
            <w:gridSpan w:val="3"/>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31 (21.5)</w:t>
            </w:r>
          </w:p>
        </w:tc>
        <w:tc>
          <w:tcPr>
            <w:tcW w:w="1701" w:type="dxa"/>
            <w:gridSpan w:val="2"/>
            <w:vAlign w:val="center"/>
          </w:tcPr>
          <w:p w:rsidR="00AA151C" w:rsidRPr="00AA151C" w:rsidRDefault="00AA151C" w:rsidP="00AA151C">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68 (27.4)</w:t>
            </w:r>
          </w:p>
        </w:tc>
        <w:tc>
          <w:tcPr>
            <w:tcW w:w="1100" w:type="dxa"/>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0.196</w:t>
            </w:r>
          </w:p>
        </w:tc>
      </w:tr>
      <w:tr w:rsidR="00AA151C" w:rsidRPr="00AA151C" w:rsidTr="00AA151C">
        <w:trPr>
          <w:gridAfter w:val="1"/>
          <w:wAfter w:w="6" w:type="dxa"/>
          <w:jc w:val="center"/>
        </w:trPr>
        <w:tc>
          <w:tcPr>
            <w:tcW w:w="4279" w:type="dxa"/>
            <w:vAlign w:val="center"/>
          </w:tcPr>
          <w:p w:rsidR="00AA151C" w:rsidRPr="00AA151C" w:rsidRDefault="00AA151C" w:rsidP="00AA151C">
            <w:pPr>
              <w:spacing w:line="360" w:lineRule="auto"/>
              <w:ind w:left="387"/>
              <w:rPr>
                <w:rFonts w:ascii="Calibri" w:eastAsia="Times New Roman" w:hAnsi="Calibri" w:cs="Arial"/>
                <w:lang w:val="en-US" w:eastAsia="en-GB"/>
              </w:rPr>
            </w:pPr>
            <w:r>
              <w:rPr>
                <w:rFonts w:ascii="Calibri" w:eastAsia="Times New Roman" w:hAnsi="Calibri" w:cs="Arial"/>
                <w:lang w:val="en-US" w:eastAsia="en-GB"/>
              </w:rPr>
              <w:t>Coronary artery disease*</w:t>
            </w:r>
          </w:p>
        </w:tc>
        <w:tc>
          <w:tcPr>
            <w:tcW w:w="1982" w:type="dxa"/>
            <w:gridSpan w:val="3"/>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14 (10.1)</w:t>
            </w:r>
          </w:p>
        </w:tc>
        <w:tc>
          <w:tcPr>
            <w:tcW w:w="1701" w:type="dxa"/>
            <w:gridSpan w:val="2"/>
            <w:vAlign w:val="center"/>
          </w:tcPr>
          <w:p w:rsidR="00AA151C" w:rsidRPr="00AA151C" w:rsidRDefault="00AA151C" w:rsidP="00AA151C">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23 (9.4)</w:t>
            </w:r>
          </w:p>
        </w:tc>
        <w:tc>
          <w:tcPr>
            <w:tcW w:w="1100" w:type="dxa"/>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0.810</w:t>
            </w:r>
          </w:p>
        </w:tc>
      </w:tr>
      <w:tr w:rsidR="00AA151C" w:rsidRPr="00AA151C" w:rsidTr="00AA151C">
        <w:trPr>
          <w:gridAfter w:val="1"/>
          <w:wAfter w:w="6" w:type="dxa"/>
          <w:jc w:val="center"/>
        </w:trPr>
        <w:tc>
          <w:tcPr>
            <w:tcW w:w="4279" w:type="dxa"/>
            <w:vAlign w:val="center"/>
          </w:tcPr>
          <w:p w:rsidR="00AA151C" w:rsidRPr="00AA151C" w:rsidRDefault="00AA151C" w:rsidP="00AA151C">
            <w:pPr>
              <w:spacing w:line="360" w:lineRule="auto"/>
              <w:ind w:left="387"/>
              <w:rPr>
                <w:rFonts w:ascii="Calibri" w:eastAsia="Times New Roman" w:hAnsi="Calibri" w:cs="Arial"/>
                <w:lang w:val="en-US" w:eastAsia="en-GB"/>
              </w:rPr>
            </w:pPr>
            <w:r>
              <w:rPr>
                <w:rFonts w:ascii="Calibri" w:eastAsia="Times New Roman" w:hAnsi="Calibri" w:cs="Arial"/>
                <w:lang w:val="en-US" w:eastAsia="en-GB"/>
              </w:rPr>
              <w:t>Myocardial bridge*</w:t>
            </w:r>
          </w:p>
        </w:tc>
        <w:tc>
          <w:tcPr>
            <w:tcW w:w="1982" w:type="dxa"/>
            <w:gridSpan w:val="3"/>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1 (1.5)</w:t>
            </w:r>
          </w:p>
        </w:tc>
        <w:tc>
          <w:tcPr>
            <w:tcW w:w="1701" w:type="dxa"/>
            <w:gridSpan w:val="2"/>
            <w:vAlign w:val="center"/>
          </w:tcPr>
          <w:p w:rsidR="00AA151C" w:rsidRPr="00AA151C" w:rsidRDefault="00AA151C" w:rsidP="00AA151C">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5 (4.2)</w:t>
            </w:r>
          </w:p>
        </w:tc>
        <w:tc>
          <w:tcPr>
            <w:tcW w:w="1100" w:type="dxa"/>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0.311</w:t>
            </w:r>
          </w:p>
        </w:tc>
      </w:tr>
      <w:tr w:rsidR="00AA151C" w:rsidRPr="00AA151C" w:rsidTr="00AA151C">
        <w:trPr>
          <w:gridAfter w:val="1"/>
          <w:wAfter w:w="6" w:type="dxa"/>
          <w:jc w:val="center"/>
        </w:trPr>
        <w:tc>
          <w:tcPr>
            <w:tcW w:w="4279" w:type="dxa"/>
            <w:vAlign w:val="center"/>
          </w:tcPr>
          <w:p w:rsidR="00AA151C" w:rsidRPr="00AA151C" w:rsidRDefault="00AA151C" w:rsidP="00AA151C">
            <w:pPr>
              <w:spacing w:line="360" w:lineRule="auto"/>
              <w:ind w:left="387"/>
              <w:rPr>
                <w:rFonts w:ascii="Calibri" w:eastAsia="Times New Roman" w:hAnsi="Calibri" w:cs="Arial"/>
                <w:lang w:val="en-US" w:eastAsia="en-GB"/>
              </w:rPr>
            </w:pPr>
            <w:r>
              <w:rPr>
                <w:rFonts w:ascii="Calibri" w:eastAsia="Times New Roman" w:hAnsi="Calibri" w:cs="Arial"/>
                <w:lang w:val="en-US" w:eastAsia="en-GB"/>
              </w:rPr>
              <w:t>Coronary artery dissection*</w:t>
            </w:r>
          </w:p>
        </w:tc>
        <w:tc>
          <w:tcPr>
            <w:tcW w:w="1982" w:type="dxa"/>
            <w:gridSpan w:val="3"/>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3 (4.5)</w:t>
            </w:r>
          </w:p>
        </w:tc>
        <w:tc>
          <w:tcPr>
            <w:tcW w:w="1701" w:type="dxa"/>
            <w:gridSpan w:val="2"/>
            <w:vAlign w:val="center"/>
          </w:tcPr>
          <w:p w:rsidR="00AA151C" w:rsidRPr="00AA151C" w:rsidRDefault="00AA151C" w:rsidP="00AA151C">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0 (0.0)</w:t>
            </w:r>
          </w:p>
        </w:tc>
        <w:tc>
          <w:tcPr>
            <w:tcW w:w="1100" w:type="dxa"/>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0.020</w:t>
            </w:r>
          </w:p>
        </w:tc>
      </w:tr>
      <w:tr w:rsidR="00AA151C" w:rsidRPr="00AA151C" w:rsidTr="00AA151C">
        <w:trPr>
          <w:gridAfter w:val="1"/>
          <w:wAfter w:w="6" w:type="dxa"/>
          <w:jc w:val="center"/>
        </w:trPr>
        <w:tc>
          <w:tcPr>
            <w:tcW w:w="4279" w:type="dxa"/>
            <w:vAlign w:val="center"/>
          </w:tcPr>
          <w:p w:rsidR="00AA151C" w:rsidRPr="00AA151C" w:rsidRDefault="00AA151C" w:rsidP="00AA151C">
            <w:pPr>
              <w:spacing w:line="360" w:lineRule="auto"/>
              <w:ind w:left="387"/>
              <w:rPr>
                <w:rFonts w:ascii="Calibri" w:eastAsia="Times New Roman" w:hAnsi="Calibri" w:cs="Arial"/>
                <w:lang w:val="en-US" w:eastAsia="en-GB"/>
              </w:rPr>
            </w:pPr>
            <w:r w:rsidRPr="00AA151C">
              <w:rPr>
                <w:rFonts w:ascii="Calibri" w:eastAsia="Times New Roman" w:hAnsi="Calibri" w:cs="Arial"/>
                <w:lang w:val="en-US" w:eastAsia="en-GB"/>
              </w:rPr>
              <w:t xml:space="preserve">Chronic obstructive pulmonary disease / Asthma </w:t>
            </w:r>
          </w:p>
        </w:tc>
        <w:tc>
          <w:tcPr>
            <w:tcW w:w="1982" w:type="dxa"/>
            <w:gridSpan w:val="3"/>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9 (6.5)</w:t>
            </w:r>
          </w:p>
        </w:tc>
        <w:tc>
          <w:tcPr>
            <w:tcW w:w="1701" w:type="dxa"/>
            <w:gridSpan w:val="2"/>
            <w:vAlign w:val="center"/>
          </w:tcPr>
          <w:p w:rsidR="00AA151C" w:rsidRPr="00AA151C" w:rsidRDefault="00AA151C" w:rsidP="00AA151C">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29 (11.8)</w:t>
            </w:r>
          </w:p>
        </w:tc>
        <w:tc>
          <w:tcPr>
            <w:tcW w:w="1100" w:type="dxa"/>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0.095</w:t>
            </w:r>
          </w:p>
        </w:tc>
      </w:tr>
      <w:tr w:rsidR="00AA151C" w:rsidRPr="00AA151C" w:rsidTr="00AA151C">
        <w:trPr>
          <w:gridAfter w:val="1"/>
          <w:wAfter w:w="6" w:type="dxa"/>
          <w:jc w:val="center"/>
        </w:trPr>
        <w:tc>
          <w:tcPr>
            <w:tcW w:w="4279" w:type="dxa"/>
            <w:vAlign w:val="center"/>
          </w:tcPr>
          <w:p w:rsidR="00AA151C" w:rsidRPr="00AA151C" w:rsidRDefault="00AA151C" w:rsidP="00AA151C">
            <w:pPr>
              <w:spacing w:line="360" w:lineRule="auto"/>
              <w:ind w:left="387"/>
              <w:rPr>
                <w:rFonts w:ascii="Calibri" w:eastAsia="Times New Roman" w:hAnsi="Calibri" w:cs="Arial"/>
                <w:lang w:val="en-US" w:eastAsia="en-GB"/>
              </w:rPr>
            </w:pPr>
            <w:r w:rsidRPr="00AA151C">
              <w:rPr>
                <w:rFonts w:ascii="Calibri" w:eastAsia="Times New Roman" w:hAnsi="Calibri" w:cs="Arial"/>
                <w:lang w:val="en-US" w:eastAsia="en-GB"/>
              </w:rPr>
              <w:t>Renal disease</w:t>
            </w:r>
          </w:p>
        </w:tc>
        <w:tc>
          <w:tcPr>
            <w:tcW w:w="1982" w:type="dxa"/>
            <w:gridSpan w:val="3"/>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5 (3.6)</w:t>
            </w:r>
          </w:p>
        </w:tc>
        <w:tc>
          <w:tcPr>
            <w:tcW w:w="1701" w:type="dxa"/>
            <w:gridSpan w:val="2"/>
            <w:vAlign w:val="center"/>
          </w:tcPr>
          <w:p w:rsidR="00AA151C" w:rsidRPr="00AA151C" w:rsidRDefault="00AA151C" w:rsidP="00AA151C">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7 (2.9)</w:t>
            </w:r>
          </w:p>
        </w:tc>
        <w:tc>
          <w:tcPr>
            <w:tcW w:w="1100" w:type="dxa"/>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0.680</w:t>
            </w:r>
          </w:p>
        </w:tc>
      </w:tr>
      <w:tr w:rsidR="00AA151C" w:rsidRPr="00AA151C" w:rsidTr="00AA151C">
        <w:trPr>
          <w:gridAfter w:val="1"/>
          <w:wAfter w:w="6" w:type="dxa"/>
          <w:jc w:val="center"/>
        </w:trPr>
        <w:tc>
          <w:tcPr>
            <w:tcW w:w="4279" w:type="dxa"/>
            <w:vAlign w:val="center"/>
          </w:tcPr>
          <w:p w:rsidR="00AA151C" w:rsidRPr="00AA151C" w:rsidRDefault="00AA151C" w:rsidP="00AA151C">
            <w:pPr>
              <w:spacing w:line="360" w:lineRule="auto"/>
              <w:ind w:left="387"/>
              <w:rPr>
                <w:rFonts w:ascii="Calibri" w:eastAsia="Times New Roman" w:hAnsi="Calibri" w:cs="Arial"/>
                <w:lang w:val="en-US" w:eastAsia="en-GB"/>
              </w:rPr>
            </w:pPr>
            <w:r w:rsidRPr="00AA151C">
              <w:rPr>
                <w:rFonts w:ascii="Calibri" w:eastAsia="Times New Roman" w:hAnsi="Calibri" w:cs="Arial"/>
                <w:lang w:val="en-US" w:eastAsia="en-GB"/>
              </w:rPr>
              <w:t>Diabetes</w:t>
            </w:r>
          </w:p>
        </w:tc>
        <w:tc>
          <w:tcPr>
            <w:tcW w:w="1982" w:type="dxa"/>
            <w:gridSpan w:val="3"/>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20 (14.4)</w:t>
            </w:r>
          </w:p>
        </w:tc>
        <w:tc>
          <w:tcPr>
            <w:tcW w:w="1701" w:type="dxa"/>
            <w:gridSpan w:val="2"/>
            <w:vAlign w:val="center"/>
          </w:tcPr>
          <w:p w:rsidR="00AA151C" w:rsidRPr="00AA151C" w:rsidRDefault="00AA151C" w:rsidP="00AA151C">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21 (8.6)</w:t>
            </w:r>
          </w:p>
        </w:tc>
        <w:tc>
          <w:tcPr>
            <w:tcW w:w="1100" w:type="dxa"/>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0.076</w:t>
            </w:r>
          </w:p>
        </w:tc>
      </w:tr>
      <w:tr w:rsidR="00AA151C" w:rsidRPr="00AA151C" w:rsidTr="003F1D14">
        <w:trPr>
          <w:gridAfter w:val="1"/>
          <w:wAfter w:w="6" w:type="dxa"/>
          <w:jc w:val="center"/>
        </w:trPr>
        <w:tc>
          <w:tcPr>
            <w:tcW w:w="4279" w:type="dxa"/>
            <w:vAlign w:val="center"/>
          </w:tcPr>
          <w:p w:rsidR="00AA151C" w:rsidRPr="00AA151C" w:rsidRDefault="00AA151C" w:rsidP="00AA151C">
            <w:pPr>
              <w:spacing w:line="360" w:lineRule="auto"/>
              <w:ind w:left="387"/>
              <w:rPr>
                <w:rFonts w:ascii="Calibri" w:eastAsia="Times New Roman" w:hAnsi="Calibri" w:cs="Arial"/>
                <w:lang w:val="en-US" w:eastAsia="en-GB"/>
              </w:rPr>
            </w:pPr>
            <w:r w:rsidRPr="00AA151C">
              <w:rPr>
                <w:rFonts w:ascii="Calibri" w:eastAsia="Times New Roman" w:hAnsi="Calibri" w:cs="Arial"/>
                <w:lang w:val="en-US" w:eastAsia="en-GB"/>
              </w:rPr>
              <w:t>Dyslipidaemia</w:t>
            </w:r>
          </w:p>
        </w:tc>
        <w:tc>
          <w:tcPr>
            <w:tcW w:w="1982" w:type="dxa"/>
            <w:gridSpan w:val="3"/>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15 (10.9)</w:t>
            </w:r>
          </w:p>
        </w:tc>
        <w:tc>
          <w:tcPr>
            <w:tcW w:w="1701" w:type="dxa"/>
            <w:gridSpan w:val="2"/>
            <w:vAlign w:val="center"/>
          </w:tcPr>
          <w:p w:rsidR="00AA151C" w:rsidRPr="00AA151C" w:rsidRDefault="00AA151C" w:rsidP="00AA151C">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30 (12.2)</w:t>
            </w:r>
          </w:p>
        </w:tc>
        <w:tc>
          <w:tcPr>
            <w:tcW w:w="1100" w:type="dxa"/>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0.688</w:t>
            </w:r>
          </w:p>
        </w:tc>
      </w:tr>
      <w:tr w:rsidR="00AA151C" w:rsidRPr="00AA151C" w:rsidTr="003F1D14">
        <w:trPr>
          <w:gridAfter w:val="1"/>
          <w:wAfter w:w="6" w:type="dxa"/>
          <w:jc w:val="center"/>
        </w:trPr>
        <w:tc>
          <w:tcPr>
            <w:tcW w:w="4279" w:type="dxa"/>
            <w:tcBorders>
              <w:bottom w:val="single" w:sz="4" w:space="0" w:color="auto"/>
            </w:tcBorders>
            <w:vAlign w:val="center"/>
          </w:tcPr>
          <w:p w:rsidR="00AA151C" w:rsidRPr="00AA151C" w:rsidRDefault="00AA151C" w:rsidP="00AA151C">
            <w:pPr>
              <w:spacing w:line="360" w:lineRule="auto"/>
              <w:ind w:left="387"/>
              <w:rPr>
                <w:rFonts w:ascii="Calibri" w:eastAsia="Times New Roman" w:hAnsi="Calibri" w:cs="Arial"/>
                <w:lang w:val="en-US" w:eastAsia="en-GB"/>
              </w:rPr>
            </w:pPr>
            <w:r w:rsidRPr="00AA151C">
              <w:rPr>
                <w:rFonts w:ascii="Calibri" w:eastAsia="Times New Roman" w:hAnsi="Calibri" w:cs="Arial"/>
                <w:lang w:val="en-US" w:eastAsia="en-GB"/>
              </w:rPr>
              <w:t>Cancer</w:t>
            </w:r>
          </w:p>
        </w:tc>
        <w:tc>
          <w:tcPr>
            <w:tcW w:w="1982" w:type="dxa"/>
            <w:gridSpan w:val="3"/>
            <w:tcBorders>
              <w:bottom w:val="single" w:sz="4" w:space="0" w:color="auto"/>
            </w:tcBorders>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8 (5.8)</w:t>
            </w:r>
          </w:p>
        </w:tc>
        <w:tc>
          <w:tcPr>
            <w:tcW w:w="1701" w:type="dxa"/>
            <w:gridSpan w:val="2"/>
            <w:tcBorders>
              <w:bottom w:val="single" w:sz="4" w:space="0" w:color="auto"/>
            </w:tcBorders>
            <w:vAlign w:val="center"/>
          </w:tcPr>
          <w:p w:rsidR="00AA151C" w:rsidRPr="00AA151C" w:rsidRDefault="00AA151C" w:rsidP="00AA151C">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10 (4.0)</w:t>
            </w:r>
          </w:p>
        </w:tc>
        <w:tc>
          <w:tcPr>
            <w:tcW w:w="1100" w:type="dxa"/>
            <w:tcBorders>
              <w:bottom w:val="single" w:sz="4" w:space="0" w:color="auto"/>
            </w:tcBorders>
            <w:vAlign w:val="center"/>
          </w:tcPr>
          <w:p w:rsidR="00AA151C" w:rsidRPr="00AA151C" w:rsidRDefault="00AA151C" w:rsidP="00AA151C">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0.436</w:t>
            </w:r>
          </w:p>
        </w:tc>
      </w:tr>
    </w:tbl>
    <w:p w:rsidR="00AA151C" w:rsidRDefault="00AA151C" w:rsidP="00AA151C">
      <w:pPr>
        <w:spacing w:before="240" w:line="480" w:lineRule="auto"/>
        <w:rPr>
          <w:rFonts w:ascii="Calibri" w:eastAsia="Times New Roman" w:hAnsi="Calibri" w:cs="Arial"/>
          <w:b/>
          <w:lang w:val="en-US" w:eastAsia="en-GB"/>
        </w:rPr>
      </w:pPr>
      <w:r>
        <w:rPr>
          <w:rFonts w:ascii="Calibri" w:eastAsia="Times New Roman" w:hAnsi="Calibri" w:cs="Arial"/>
          <w:b/>
          <w:lang w:val="en-US" w:eastAsia="en-GB"/>
        </w:rPr>
        <w:t>*</w:t>
      </w:r>
      <w:r w:rsidRPr="006D4EE0">
        <w:rPr>
          <w:rFonts w:ascii="Calibri" w:eastAsia="Times New Roman" w:hAnsi="Calibri" w:cs="Arial"/>
          <w:b/>
          <w:lang w:val="en-US" w:eastAsia="en-GB"/>
        </w:rPr>
        <w:t>I</w:t>
      </w:r>
      <w:r w:rsidRPr="00AE22D7">
        <w:rPr>
          <w:rFonts w:ascii="Calibri" w:eastAsia="Times New Roman" w:hAnsi="Calibri" w:cs="Arial"/>
          <w:b/>
          <w:lang w:val="en-US" w:eastAsia="en-GB"/>
        </w:rPr>
        <w:t>n 181 (44.3%) patients who underwent conventional or computed tomography coronary angiography (67 [43.8%] black and 114 [44.9%] white).</w:t>
      </w:r>
    </w:p>
    <w:p w:rsidR="006A46E4" w:rsidRDefault="006A46E4" w:rsidP="006C647A">
      <w:pPr>
        <w:spacing w:line="480" w:lineRule="auto"/>
        <w:rPr>
          <w:rFonts w:ascii="Calibri" w:hAnsi="Calibri" w:cs="Arial"/>
          <w:b/>
          <w:lang w:val="en-US"/>
        </w:rPr>
      </w:pPr>
    </w:p>
    <w:p w:rsidR="00B62426" w:rsidRPr="001146E4" w:rsidRDefault="00B62426" w:rsidP="006C647A">
      <w:pPr>
        <w:spacing w:line="480" w:lineRule="auto"/>
        <w:rPr>
          <w:rFonts w:ascii="Calibri" w:hAnsi="Calibri" w:cs="Arial"/>
          <w:b/>
          <w:lang w:val="en-US"/>
        </w:rPr>
      </w:pPr>
      <w:r w:rsidRPr="001146E4">
        <w:rPr>
          <w:rFonts w:ascii="Calibri" w:hAnsi="Calibri" w:cs="Arial"/>
          <w:b/>
          <w:lang w:val="en-US"/>
        </w:rPr>
        <w:t>M</w:t>
      </w:r>
      <w:r w:rsidR="00604C0D">
        <w:rPr>
          <w:rFonts w:ascii="Calibri" w:hAnsi="Calibri" w:cs="Arial"/>
          <w:b/>
          <w:lang w:val="en-US"/>
        </w:rPr>
        <w:t>ode of Presentation and Symptoms</w:t>
      </w:r>
    </w:p>
    <w:p w:rsidR="006763FB" w:rsidRDefault="00B62426" w:rsidP="006C647A">
      <w:pPr>
        <w:spacing w:line="480" w:lineRule="auto"/>
        <w:rPr>
          <w:rFonts w:ascii="Calibri" w:hAnsi="Calibri" w:cs="Arial"/>
          <w:lang w:val="en-US"/>
        </w:rPr>
      </w:pPr>
      <w:r w:rsidRPr="00C34077">
        <w:rPr>
          <w:rFonts w:ascii="Calibri" w:hAnsi="Calibri" w:cs="Arial"/>
          <w:lang w:val="en-US"/>
        </w:rPr>
        <w:t>The diagnosis of HCM was triggered predominately by symptoms in both groups</w:t>
      </w:r>
      <w:r w:rsidR="004C0ECB" w:rsidRPr="00C34077">
        <w:rPr>
          <w:rFonts w:ascii="Calibri" w:hAnsi="Calibri" w:cs="Arial"/>
          <w:lang w:val="en-US"/>
        </w:rPr>
        <w:t xml:space="preserve"> </w:t>
      </w:r>
      <w:r w:rsidRPr="00C34077">
        <w:rPr>
          <w:rFonts w:ascii="Calibri" w:hAnsi="Calibri" w:cs="Arial"/>
          <w:lang w:val="en-US"/>
        </w:rPr>
        <w:t>(Table 1). However</w:t>
      </w:r>
      <w:r w:rsidR="004C0ECB" w:rsidRPr="00C34077">
        <w:rPr>
          <w:rFonts w:ascii="Calibri" w:hAnsi="Calibri" w:cs="Arial"/>
          <w:lang w:val="en-US"/>
        </w:rPr>
        <w:t>,</w:t>
      </w:r>
      <w:r w:rsidRPr="00C34077">
        <w:rPr>
          <w:rFonts w:ascii="Calibri" w:hAnsi="Calibri" w:cs="Arial"/>
          <w:lang w:val="en-US"/>
        </w:rPr>
        <w:t xml:space="preserve"> a fortuitous diagnosis of HCM was more common in black patients (</w:t>
      </w:r>
      <w:r w:rsidR="00BD205E" w:rsidRPr="00C34077">
        <w:rPr>
          <w:rFonts w:ascii="Calibri" w:hAnsi="Calibri" w:cs="Arial"/>
          <w:lang w:val="en-US"/>
        </w:rPr>
        <w:t>3</w:t>
      </w:r>
      <w:r w:rsidR="00404DD8">
        <w:rPr>
          <w:rFonts w:ascii="Calibri" w:hAnsi="Calibri" w:cs="Arial"/>
          <w:lang w:val="en-US"/>
        </w:rPr>
        <w:t>1</w:t>
      </w:r>
      <w:r w:rsidR="00BD205E" w:rsidRPr="00C34077">
        <w:rPr>
          <w:rFonts w:ascii="Calibri" w:hAnsi="Calibri" w:cs="Arial"/>
          <w:lang w:val="en-US"/>
        </w:rPr>
        <w:t>.</w:t>
      </w:r>
      <w:r w:rsidR="000A0700" w:rsidRPr="00C34077">
        <w:rPr>
          <w:rFonts w:ascii="Calibri" w:hAnsi="Calibri" w:cs="Arial"/>
          <w:lang w:val="en-US"/>
        </w:rPr>
        <w:t>3</w:t>
      </w:r>
      <w:r w:rsidRPr="00C34077">
        <w:rPr>
          <w:rFonts w:ascii="Calibri" w:hAnsi="Calibri" w:cs="Arial"/>
          <w:lang w:val="en-US"/>
        </w:rPr>
        <w:t>%</w:t>
      </w:r>
      <w:r w:rsidR="00A342FA" w:rsidRPr="00C34077">
        <w:rPr>
          <w:rFonts w:ascii="Calibri" w:hAnsi="Calibri" w:cs="Arial"/>
          <w:lang w:val="en-US"/>
        </w:rPr>
        <w:t xml:space="preserve"> </w:t>
      </w:r>
      <w:r w:rsidR="00BA5C0B">
        <w:rPr>
          <w:rFonts w:ascii="Calibri" w:hAnsi="Calibri" w:cs="Arial"/>
          <w:lang w:val="en-US"/>
        </w:rPr>
        <w:t>versus</w:t>
      </w:r>
      <w:r w:rsidRPr="00C34077">
        <w:rPr>
          <w:rFonts w:ascii="Calibri" w:hAnsi="Calibri" w:cs="Arial"/>
          <w:lang w:val="en-US"/>
        </w:rPr>
        <w:t xml:space="preserve"> </w:t>
      </w:r>
      <w:r w:rsidR="00A342FA" w:rsidRPr="00C34077">
        <w:rPr>
          <w:rFonts w:ascii="Calibri" w:hAnsi="Calibri" w:cs="Arial"/>
          <w:lang w:val="en-US"/>
        </w:rPr>
        <w:t>19.1</w:t>
      </w:r>
      <w:r w:rsidRPr="00C34077">
        <w:rPr>
          <w:rFonts w:ascii="Calibri" w:hAnsi="Calibri" w:cs="Arial"/>
          <w:lang w:val="en-US"/>
        </w:rPr>
        <w:t>%, p=0.00</w:t>
      </w:r>
      <w:r w:rsidR="000A0700" w:rsidRPr="00C34077">
        <w:rPr>
          <w:rFonts w:ascii="Calibri" w:hAnsi="Calibri" w:cs="Arial"/>
          <w:lang w:val="en-US"/>
        </w:rPr>
        <w:t>4</w:t>
      </w:r>
      <w:r w:rsidRPr="00C34077">
        <w:rPr>
          <w:rFonts w:ascii="Calibri" w:hAnsi="Calibri" w:cs="Arial"/>
          <w:lang w:val="en-US"/>
        </w:rPr>
        <w:t>). In particular,</w:t>
      </w:r>
      <w:r w:rsidR="008E5416" w:rsidRPr="00C34077">
        <w:rPr>
          <w:rFonts w:ascii="Calibri" w:hAnsi="Calibri" w:cs="Arial"/>
          <w:lang w:val="en-US"/>
        </w:rPr>
        <w:t xml:space="preserve"> black patients were</w:t>
      </w:r>
      <w:r w:rsidRPr="00C34077">
        <w:rPr>
          <w:rFonts w:ascii="Calibri" w:hAnsi="Calibri" w:cs="Arial"/>
          <w:lang w:val="en-US"/>
        </w:rPr>
        <w:t xml:space="preserve"> more likely to </w:t>
      </w:r>
      <w:r w:rsidR="00824794" w:rsidRPr="00C34077">
        <w:rPr>
          <w:rFonts w:ascii="Calibri" w:hAnsi="Calibri" w:cs="Arial"/>
          <w:lang w:val="en-US"/>
        </w:rPr>
        <w:t xml:space="preserve">be </w:t>
      </w:r>
      <w:r w:rsidRPr="00C34077">
        <w:rPr>
          <w:rFonts w:ascii="Calibri" w:hAnsi="Calibri" w:cs="Arial"/>
          <w:lang w:val="en-US"/>
        </w:rPr>
        <w:t>iden</w:t>
      </w:r>
      <w:r w:rsidR="007B034C" w:rsidRPr="00C34077">
        <w:rPr>
          <w:rFonts w:ascii="Calibri" w:hAnsi="Calibri" w:cs="Arial"/>
          <w:lang w:val="en-US"/>
        </w:rPr>
        <w:t>tified following investigation of</w:t>
      </w:r>
      <w:r w:rsidRPr="00C34077">
        <w:rPr>
          <w:rFonts w:ascii="Calibri" w:hAnsi="Calibri" w:cs="Arial"/>
          <w:lang w:val="en-US"/>
        </w:rPr>
        <w:t xml:space="preserve"> an abnormal ECG </w:t>
      </w:r>
      <w:r w:rsidR="000A0700" w:rsidRPr="00C34077">
        <w:rPr>
          <w:rFonts w:ascii="Calibri" w:hAnsi="Calibri" w:cs="Arial"/>
          <w:lang w:val="en-US"/>
        </w:rPr>
        <w:t xml:space="preserve">performed for an unrelated reason </w:t>
      </w:r>
      <w:r w:rsidR="00A342FA" w:rsidRPr="00C34077">
        <w:rPr>
          <w:rFonts w:ascii="Calibri" w:hAnsi="Calibri" w:cs="Arial"/>
          <w:lang w:val="en-US"/>
        </w:rPr>
        <w:t>(</w:t>
      </w:r>
      <w:r w:rsidRPr="00C34077">
        <w:rPr>
          <w:rFonts w:ascii="Calibri" w:hAnsi="Calibri" w:cs="Arial"/>
          <w:lang w:val="en-US"/>
        </w:rPr>
        <w:t>27.</w:t>
      </w:r>
      <w:r w:rsidR="000A0700" w:rsidRPr="00C34077">
        <w:rPr>
          <w:rFonts w:ascii="Calibri" w:hAnsi="Calibri" w:cs="Arial"/>
          <w:lang w:val="en-US"/>
        </w:rPr>
        <w:t>0</w:t>
      </w:r>
      <w:r w:rsidRPr="00C34077">
        <w:rPr>
          <w:rFonts w:ascii="Calibri" w:hAnsi="Calibri" w:cs="Arial"/>
          <w:lang w:val="en-US"/>
        </w:rPr>
        <w:t xml:space="preserve">% </w:t>
      </w:r>
      <w:r w:rsidR="00BA5C0B">
        <w:rPr>
          <w:rFonts w:ascii="Calibri" w:hAnsi="Calibri" w:cs="Arial"/>
          <w:lang w:val="en-US"/>
        </w:rPr>
        <w:t>versus</w:t>
      </w:r>
      <w:r w:rsidRPr="00C34077">
        <w:rPr>
          <w:rFonts w:ascii="Calibri" w:hAnsi="Calibri" w:cs="Arial"/>
          <w:lang w:val="en-US"/>
        </w:rPr>
        <w:t xml:space="preserve"> </w:t>
      </w:r>
      <w:r w:rsidR="00BD205E" w:rsidRPr="00C34077">
        <w:rPr>
          <w:rFonts w:ascii="Calibri" w:hAnsi="Calibri" w:cs="Arial"/>
          <w:lang w:val="en-US"/>
        </w:rPr>
        <w:t>10.</w:t>
      </w:r>
      <w:r w:rsidR="000A0700" w:rsidRPr="00C34077">
        <w:rPr>
          <w:rFonts w:ascii="Calibri" w:hAnsi="Calibri" w:cs="Arial"/>
          <w:lang w:val="en-US"/>
        </w:rPr>
        <w:t>7</w:t>
      </w:r>
      <w:r w:rsidRPr="00C34077">
        <w:rPr>
          <w:rFonts w:ascii="Calibri" w:hAnsi="Calibri" w:cs="Arial"/>
          <w:lang w:val="en-US"/>
        </w:rPr>
        <w:t>%</w:t>
      </w:r>
      <w:r w:rsidR="00A342FA" w:rsidRPr="00C34077">
        <w:rPr>
          <w:rFonts w:ascii="Calibri" w:hAnsi="Calibri" w:cs="Arial"/>
          <w:lang w:val="en-US"/>
        </w:rPr>
        <w:t>,</w:t>
      </w:r>
      <w:r w:rsidRPr="00C34077">
        <w:rPr>
          <w:rFonts w:ascii="Calibri" w:hAnsi="Calibri" w:cs="Arial"/>
          <w:lang w:val="en-US"/>
        </w:rPr>
        <w:t xml:space="preserve"> p&lt;0.001)</w:t>
      </w:r>
      <w:r w:rsidR="00E824BA">
        <w:rPr>
          <w:rFonts w:ascii="Calibri" w:hAnsi="Calibri" w:cs="Arial"/>
          <w:lang w:val="en-US"/>
        </w:rPr>
        <w:t xml:space="preserve">. </w:t>
      </w:r>
      <w:r w:rsidR="00E824BA" w:rsidRPr="008C1EB3">
        <w:rPr>
          <w:rFonts w:ascii="Calibri" w:hAnsi="Calibri" w:cs="Arial"/>
          <w:lang w:val="en-US"/>
        </w:rPr>
        <w:t>In contrast,</w:t>
      </w:r>
      <w:r w:rsidR="00591FD1" w:rsidRPr="00C34077">
        <w:rPr>
          <w:rFonts w:ascii="Calibri" w:hAnsi="Calibri" w:cs="Arial"/>
          <w:lang w:val="en-US"/>
        </w:rPr>
        <w:t xml:space="preserve"> white patients were</w:t>
      </w:r>
      <w:r w:rsidR="00D90BA4" w:rsidRPr="00C34077">
        <w:rPr>
          <w:rFonts w:ascii="Calibri" w:hAnsi="Calibri" w:cs="Arial"/>
          <w:lang w:val="en-US"/>
        </w:rPr>
        <w:t xml:space="preserve"> </w:t>
      </w:r>
      <w:r w:rsidR="00421F0F" w:rsidRPr="00C34077">
        <w:rPr>
          <w:rFonts w:ascii="Calibri" w:hAnsi="Calibri" w:cs="Arial"/>
          <w:lang w:val="en-US"/>
        </w:rPr>
        <w:t xml:space="preserve">more frequently </w:t>
      </w:r>
      <w:r w:rsidR="00700D15">
        <w:rPr>
          <w:rFonts w:ascii="Calibri" w:hAnsi="Calibri" w:cs="Arial"/>
          <w:lang w:val="en-US"/>
        </w:rPr>
        <w:t>diagnosed after</w:t>
      </w:r>
      <w:r w:rsidR="00D90BA4" w:rsidRPr="00C34077">
        <w:rPr>
          <w:rFonts w:ascii="Calibri" w:hAnsi="Calibri" w:cs="Arial"/>
          <w:lang w:val="en-US"/>
        </w:rPr>
        <w:t xml:space="preserve"> familial screening (6.</w:t>
      </w:r>
      <w:r w:rsidR="00BD205E" w:rsidRPr="00C34077">
        <w:rPr>
          <w:rFonts w:ascii="Calibri" w:hAnsi="Calibri" w:cs="Arial"/>
          <w:lang w:val="en-US"/>
        </w:rPr>
        <w:t>7</w:t>
      </w:r>
      <w:r w:rsidR="00A342FA" w:rsidRPr="00C34077">
        <w:rPr>
          <w:rFonts w:ascii="Calibri" w:hAnsi="Calibri" w:cs="Arial"/>
          <w:lang w:val="en-US"/>
        </w:rPr>
        <w:t>%</w:t>
      </w:r>
      <w:r w:rsidR="00D90BA4" w:rsidRPr="00C34077">
        <w:rPr>
          <w:rFonts w:ascii="Calibri" w:hAnsi="Calibri" w:cs="Arial"/>
          <w:lang w:val="en-US"/>
        </w:rPr>
        <w:t xml:space="preserve"> </w:t>
      </w:r>
      <w:r w:rsidR="00BA5C0B">
        <w:rPr>
          <w:rFonts w:ascii="Calibri" w:hAnsi="Calibri" w:cs="Arial"/>
          <w:lang w:val="en-US"/>
        </w:rPr>
        <w:t>versus</w:t>
      </w:r>
      <w:r w:rsidR="00D90BA4" w:rsidRPr="00C34077">
        <w:rPr>
          <w:rFonts w:ascii="Calibri" w:hAnsi="Calibri" w:cs="Arial"/>
          <w:lang w:val="en-US"/>
        </w:rPr>
        <w:t xml:space="preserve"> </w:t>
      </w:r>
      <w:r w:rsidR="00BD205E" w:rsidRPr="00C34077">
        <w:rPr>
          <w:rFonts w:ascii="Calibri" w:hAnsi="Calibri" w:cs="Arial"/>
          <w:lang w:val="en-US"/>
        </w:rPr>
        <w:t>17.</w:t>
      </w:r>
      <w:r w:rsidR="00114B0D" w:rsidRPr="00C34077">
        <w:rPr>
          <w:rFonts w:ascii="Calibri" w:hAnsi="Calibri" w:cs="Arial"/>
          <w:lang w:val="en-US"/>
        </w:rPr>
        <w:t>6</w:t>
      </w:r>
      <w:r w:rsidR="00D90BA4" w:rsidRPr="00C34077">
        <w:rPr>
          <w:rFonts w:ascii="Calibri" w:hAnsi="Calibri" w:cs="Arial"/>
          <w:lang w:val="en-US"/>
        </w:rPr>
        <w:t>%, p=0.00</w:t>
      </w:r>
      <w:r w:rsidR="00114B0D" w:rsidRPr="00C34077">
        <w:rPr>
          <w:rFonts w:ascii="Calibri" w:hAnsi="Calibri" w:cs="Arial"/>
          <w:lang w:val="en-US"/>
        </w:rPr>
        <w:t>1</w:t>
      </w:r>
      <w:r w:rsidR="00D90BA4" w:rsidRPr="00C34077">
        <w:rPr>
          <w:rFonts w:ascii="Calibri" w:hAnsi="Calibri" w:cs="Arial"/>
          <w:lang w:val="en-US"/>
        </w:rPr>
        <w:t>)</w:t>
      </w:r>
      <w:r w:rsidRPr="00C34077">
        <w:rPr>
          <w:rFonts w:ascii="Calibri" w:hAnsi="Calibri" w:cs="Arial"/>
          <w:lang w:val="en-US"/>
        </w:rPr>
        <w:t>.</w:t>
      </w:r>
      <w:r w:rsidR="00AD0BB0">
        <w:rPr>
          <w:rFonts w:ascii="Calibri" w:hAnsi="Calibri" w:cs="Arial"/>
          <w:lang w:val="en-US"/>
        </w:rPr>
        <w:t xml:space="preserve"> </w:t>
      </w:r>
      <w:r w:rsidR="00E824BA">
        <w:rPr>
          <w:rFonts w:ascii="Calibri" w:hAnsi="Calibri" w:cs="Arial"/>
          <w:lang w:val="en-US"/>
        </w:rPr>
        <w:t xml:space="preserve">More black compared to white </w:t>
      </w:r>
      <w:r w:rsidR="00AD0BB0" w:rsidRPr="00AD0BB0">
        <w:rPr>
          <w:rFonts w:ascii="Calibri" w:hAnsi="Calibri" w:cs="Arial"/>
          <w:lang w:val="en-US"/>
        </w:rPr>
        <w:t xml:space="preserve">patients presented with cardiac arrest (3.1% </w:t>
      </w:r>
      <w:r w:rsidR="00BA5C0B">
        <w:rPr>
          <w:rFonts w:ascii="Calibri" w:hAnsi="Calibri" w:cs="Arial"/>
          <w:lang w:val="en-US"/>
        </w:rPr>
        <w:t>versus</w:t>
      </w:r>
      <w:r w:rsidR="00AD0BB0" w:rsidRPr="00AD0BB0">
        <w:rPr>
          <w:rFonts w:ascii="Calibri" w:hAnsi="Calibri" w:cs="Arial"/>
          <w:lang w:val="en-US"/>
        </w:rPr>
        <w:t xml:space="preserve"> 0.0%, p=0.008) or with </w:t>
      </w:r>
      <w:r w:rsidR="00D26294">
        <w:rPr>
          <w:rFonts w:ascii="Calibri" w:hAnsi="Calibri" w:cs="Arial"/>
          <w:lang w:val="en-US"/>
        </w:rPr>
        <w:t>New York Heart Association (</w:t>
      </w:r>
      <w:r w:rsidR="00AD0BB0" w:rsidRPr="00AD0BB0">
        <w:rPr>
          <w:rFonts w:ascii="Calibri" w:hAnsi="Calibri" w:cs="Arial"/>
          <w:lang w:val="en-US"/>
        </w:rPr>
        <w:t>NYHA</w:t>
      </w:r>
      <w:r w:rsidR="00D26294">
        <w:rPr>
          <w:rFonts w:ascii="Calibri" w:hAnsi="Calibri" w:cs="Arial"/>
          <w:lang w:val="en-US"/>
        </w:rPr>
        <w:t>)</w:t>
      </w:r>
      <w:r w:rsidR="00AD0BB0" w:rsidRPr="00AD0BB0">
        <w:rPr>
          <w:rFonts w:ascii="Calibri" w:hAnsi="Calibri" w:cs="Arial"/>
          <w:lang w:val="en-US"/>
        </w:rPr>
        <w:t xml:space="preserve"> class IV symptoms (3.1% </w:t>
      </w:r>
      <w:r w:rsidR="00BA5C0B">
        <w:rPr>
          <w:rFonts w:ascii="Calibri" w:hAnsi="Calibri" w:cs="Arial"/>
          <w:lang w:val="en-US"/>
        </w:rPr>
        <w:t>versus</w:t>
      </w:r>
      <w:r w:rsidR="00AD0BB0" w:rsidRPr="00AD0BB0">
        <w:rPr>
          <w:rFonts w:ascii="Calibri" w:hAnsi="Calibri" w:cs="Arial"/>
          <w:lang w:val="en-US"/>
        </w:rPr>
        <w:t xml:space="preserve"> 0.4%, p=0.008)</w:t>
      </w:r>
      <w:r w:rsidR="00AD0BB0">
        <w:rPr>
          <w:rFonts w:ascii="Calibri" w:hAnsi="Calibri" w:cs="Arial"/>
          <w:lang w:val="en-US"/>
        </w:rPr>
        <w:t>.</w:t>
      </w:r>
    </w:p>
    <w:p w:rsidR="003722CA" w:rsidRDefault="003722CA" w:rsidP="006C647A">
      <w:pPr>
        <w:spacing w:line="480" w:lineRule="auto"/>
        <w:rPr>
          <w:rFonts w:ascii="Calibri" w:hAnsi="Calibri" w:cs="Arial"/>
          <w:b/>
          <w:lang w:val="en-US"/>
        </w:rPr>
      </w:pPr>
    </w:p>
    <w:p w:rsidR="00B62426" w:rsidRPr="001146E4" w:rsidRDefault="00B62426" w:rsidP="006C647A">
      <w:pPr>
        <w:spacing w:line="480" w:lineRule="auto"/>
        <w:rPr>
          <w:rFonts w:ascii="Calibri" w:hAnsi="Calibri" w:cs="Arial"/>
          <w:b/>
          <w:lang w:val="en-US"/>
        </w:rPr>
      </w:pPr>
      <w:r w:rsidRPr="001146E4">
        <w:rPr>
          <w:rFonts w:ascii="Calibri" w:hAnsi="Calibri" w:cs="Arial"/>
          <w:b/>
          <w:lang w:val="en-US"/>
        </w:rPr>
        <w:t>E</w:t>
      </w:r>
      <w:r w:rsidR="00604C0D">
        <w:rPr>
          <w:rFonts w:ascii="Calibri" w:hAnsi="Calibri" w:cs="Arial"/>
          <w:b/>
          <w:lang w:val="en-US"/>
        </w:rPr>
        <w:t>lectrocardiographic Changes</w:t>
      </w:r>
    </w:p>
    <w:p w:rsidR="00B62426" w:rsidRPr="00923CE9" w:rsidRDefault="00B62426" w:rsidP="006C647A">
      <w:pPr>
        <w:spacing w:line="480" w:lineRule="auto"/>
        <w:rPr>
          <w:rFonts w:ascii="Calibri" w:hAnsi="Calibri" w:cs="Arial"/>
          <w:lang w:val="en-US"/>
        </w:rPr>
      </w:pPr>
      <w:r w:rsidRPr="00060408">
        <w:rPr>
          <w:rFonts w:ascii="Calibri" w:hAnsi="Calibri" w:cs="Arial"/>
          <w:lang w:val="en-US"/>
        </w:rPr>
        <w:t xml:space="preserve">A higher proportion of black patients exhibited an abnormal ECG (98.2% </w:t>
      </w:r>
      <w:r w:rsidR="00BA5C0B">
        <w:rPr>
          <w:rFonts w:ascii="Calibri" w:hAnsi="Calibri" w:cs="Arial"/>
          <w:lang w:val="en-US"/>
        </w:rPr>
        <w:t>versus</w:t>
      </w:r>
      <w:r w:rsidRPr="00060408">
        <w:rPr>
          <w:rFonts w:ascii="Calibri" w:hAnsi="Calibri" w:cs="Arial"/>
          <w:lang w:val="en-US"/>
        </w:rPr>
        <w:t xml:space="preserve"> </w:t>
      </w:r>
      <w:r w:rsidR="00BD205E" w:rsidRPr="00060408">
        <w:rPr>
          <w:rFonts w:ascii="Calibri" w:hAnsi="Calibri" w:cs="Arial"/>
          <w:lang w:val="en-US"/>
        </w:rPr>
        <w:t>90.</w:t>
      </w:r>
      <w:r w:rsidR="00FE59B7" w:rsidRPr="00060408">
        <w:rPr>
          <w:rFonts w:ascii="Calibri" w:hAnsi="Calibri" w:cs="Arial"/>
          <w:lang w:val="en-US"/>
        </w:rPr>
        <w:t>5</w:t>
      </w:r>
      <w:r w:rsidRPr="00060408">
        <w:rPr>
          <w:rFonts w:ascii="Calibri" w:hAnsi="Calibri" w:cs="Arial"/>
          <w:lang w:val="en-US"/>
        </w:rPr>
        <w:t>%, p=0.00</w:t>
      </w:r>
      <w:r w:rsidR="004E6364" w:rsidRPr="00060408">
        <w:rPr>
          <w:rFonts w:ascii="Calibri" w:hAnsi="Calibri" w:cs="Arial"/>
          <w:lang w:val="en-US"/>
        </w:rPr>
        <w:t>2</w:t>
      </w:r>
      <w:r w:rsidR="0095422C" w:rsidRPr="00060408">
        <w:rPr>
          <w:rFonts w:ascii="Calibri" w:hAnsi="Calibri" w:cs="Arial"/>
          <w:lang w:val="en-US"/>
        </w:rPr>
        <w:t>) (</w:t>
      </w:r>
      <w:r w:rsidRPr="00060408">
        <w:rPr>
          <w:rFonts w:ascii="Calibri" w:hAnsi="Calibri" w:cs="Arial"/>
          <w:lang w:val="en-US"/>
        </w:rPr>
        <w:t xml:space="preserve">Table 2). Although common in both ethnicities, </w:t>
      </w:r>
      <w:r w:rsidR="00895ED4" w:rsidRPr="00060408">
        <w:rPr>
          <w:rFonts w:ascii="Calibri" w:hAnsi="Calibri" w:cs="Arial"/>
          <w:lang w:val="en-US"/>
        </w:rPr>
        <w:t>repolarization</w:t>
      </w:r>
      <w:r w:rsidRPr="00060408">
        <w:rPr>
          <w:rFonts w:ascii="Calibri" w:hAnsi="Calibri" w:cs="Arial"/>
          <w:lang w:val="en-US"/>
        </w:rPr>
        <w:t xml:space="preserve"> abnormalities were more prevalent in </w:t>
      </w:r>
      <w:r w:rsidR="0071539F" w:rsidRPr="00060408">
        <w:rPr>
          <w:rFonts w:ascii="Calibri" w:hAnsi="Calibri" w:cs="Arial"/>
          <w:lang w:val="en-US"/>
        </w:rPr>
        <w:t xml:space="preserve">black </w:t>
      </w:r>
      <w:r w:rsidRPr="00060408">
        <w:rPr>
          <w:rFonts w:ascii="Calibri" w:hAnsi="Calibri" w:cs="Arial"/>
          <w:lang w:val="en-US"/>
        </w:rPr>
        <w:t>patients, particularly T-wave inversion (91.</w:t>
      </w:r>
      <w:r w:rsidR="00FE59B7" w:rsidRPr="00060408">
        <w:rPr>
          <w:rFonts w:ascii="Calibri" w:hAnsi="Calibri" w:cs="Arial"/>
          <w:lang w:val="en-US"/>
        </w:rPr>
        <w:t>4</w:t>
      </w:r>
      <w:r w:rsidRPr="00060408">
        <w:rPr>
          <w:rFonts w:ascii="Calibri" w:hAnsi="Calibri" w:cs="Arial"/>
          <w:lang w:val="en-US"/>
        </w:rPr>
        <w:t xml:space="preserve">% </w:t>
      </w:r>
      <w:r w:rsidR="00BA5C0B">
        <w:rPr>
          <w:rFonts w:ascii="Calibri" w:hAnsi="Calibri" w:cs="Arial"/>
          <w:lang w:val="en-US"/>
        </w:rPr>
        <w:t>versus</w:t>
      </w:r>
      <w:r w:rsidRPr="00060408">
        <w:rPr>
          <w:rFonts w:ascii="Calibri" w:hAnsi="Calibri" w:cs="Arial"/>
          <w:lang w:val="en-US"/>
        </w:rPr>
        <w:t xml:space="preserve"> 73.</w:t>
      </w:r>
      <w:r w:rsidR="00FE59B7" w:rsidRPr="00060408">
        <w:rPr>
          <w:rFonts w:ascii="Calibri" w:hAnsi="Calibri" w:cs="Arial"/>
          <w:lang w:val="en-US"/>
        </w:rPr>
        <w:t>0</w:t>
      </w:r>
      <w:r w:rsidRPr="00060408">
        <w:rPr>
          <w:rFonts w:ascii="Calibri" w:hAnsi="Calibri" w:cs="Arial"/>
          <w:lang w:val="en-US"/>
        </w:rPr>
        <w:t xml:space="preserve">%; p&lt;0.001), </w:t>
      </w:r>
      <w:r w:rsidR="007B034C" w:rsidRPr="00060408">
        <w:rPr>
          <w:rFonts w:ascii="Calibri" w:hAnsi="Calibri" w:cs="Arial"/>
          <w:lang w:val="en-US"/>
        </w:rPr>
        <w:t xml:space="preserve">including </w:t>
      </w:r>
      <w:r w:rsidRPr="00060408">
        <w:rPr>
          <w:rFonts w:ascii="Calibri" w:hAnsi="Calibri" w:cs="Arial"/>
          <w:lang w:val="en-US"/>
        </w:rPr>
        <w:t>lateral T-wave inversion (84.</w:t>
      </w:r>
      <w:r w:rsidR="00FE59B7" w:rsidRPr="00060408">
        <w:rPr>
          <w:rFonts w:ascii="Calibri" w:hAnsi="Calibri" w:cs="Arial"/>
          <w:lang w:val="en-US"/>
        </w:rPr>
        <w:t>0</w:t>
      </w:r>
      <w:r w:rsidRPr="00060408">
        <w:rPr>
          <w:rFonts w:ascii="Calibri" w:hAnsi="Calibri" w:cs="Arial"/>
          <w:lang w:val="en-US"/>
        </w:rPr>
        <w:t xml:space="preserve">% </w:t>
      </w:r>
      <w:r w:rsidR="00BA5C0B">
        <w:rPr>
          <w:rFonts w:ascii="Calibri" w:hAnsi="Calibri" w:cs="Arial"/>
          <w:lang w:val="en-US"/>
        </w:rPr>
        <w:t>versus</w:t>
      </w:r>
      <w:r w:rsidRPr="00060408">
        <w:rPr>
          <w:rFonts w:ascii="Calibri" w:hAnsi="Calibri" w:cs="Arial"/>
          <w:lang w:val="en-US"/>
        </w:rPr>
        <w:t xml:space="preserve"> 68.</w:t>
      </w:r>
      <w:r w:rsidR="00FE59B7" w:rsidRPr="00060408">
        <w:rPr>
          <w:rFonts w:ascii="Calibri" w:hAnsi="Calibri" w:cs="Arial"/>
          <w:lang w:val="en-US"/>
        </w:rPr>
        <w:t>0</w:t>
      </w:r>
      <w:r w:rsidRPr="00060408">
        <w:rPr>
          <w:rFonts w:ascii="Calibri" w:hAnsi="Calibri" w:cs="Arial"/>
          <w:lang w:val="en-US"/>
        </w:rPr>
        <w:t xml:space="preserve">%, p&lt;0.001) and deep T-wave inversion </w:t>
      </w:r>
      <w:r w:rsidR="00BD205E" w:rsidRPr="00060408">
        <w:rPr>
          <w:rFonts w:ascii="Calibri" w:hAnsi="Calibri" w:cs="Arial"/>
          <w:lang w:val="en-US"/>
        </w:rPr>
        <w:t>(80.</w:t>
      </w:r>
      <w:r w:rsidR="00FE59B7" w:rsidRPr="00060408">
        <w:rPr>
          <w:rFonts w:ascii="Calibri" w:hAnsi="Calibri" w:cs="Arial"/>
          <w:lang w:val="en-US"/>
        </w:rPr>
        <w:t>2</w:t>
      </w:r>
      <w:r w:rsidRPr="00060408">
        <w:rPr>
          <w:rFonts w:ascii="Calibri" w:hAnsi="Calibri" w:cs="Arial"/>
          <w:lang w:val="en-US"/>
        </w:rPr>
        <w:t xml:space="preserve">% </w:t>
      </w:r>
      <w:r w:rsidR="00BA5C0B">
        <w:rPr>
          <w:rFonts w:ascii="Calibri" w:hAnsi="Calibri" w:cs="Arial"/>
          <w:lang w:val="en-US"/>
        </w:rPr>
        <w:t>versus</w:t>
      </w:r>
      <w:r w:rsidRPr="00060408">
        <w:rPr>
          <w:rFonts w:ascii="Calibri" w:hAnsi="Calibri" w:cs="Arial"/>
          <w:lang w:val="en-US"/>
        </w:rPr>
        <w:t xml:space="preserve"> 58.</w:t>
      </w:r>
      <w:r w:rsidR="00FE59B7" w:rsidRPr="00060408">
        <w:rPr>
          <w:rFonts w:ascii="Calibri" w:hAnsi="Calibri" w:cs="Arial"/>
          <w:lang w:val="en-US"/>
        </w:rPr>
        <w:t>3</w:t>
      </w:r>
      <w:r w:rsidRPr="00060408">
        <w:rPr>
          <w:rFonts w:ascii="Calibri" w:hAnsi="Calibri" w:cs="Arial"/>
          <w:lang w:val="en-US"/>
        </w:rPr>
        <w:t>%, p&lt;0.001). The prevalence of ST-segment depression was</w:t>
      </w:r>
      <w:r w:rsidR="00700D15">
        <w:rPr>
          <w:rFonts w:ascii="Calibri" w:hAnsi="Calibri" w:cs="Arial"/>
          <w:lang w:val="en-US"/>
        </w:rPr>
        <w:t xml:space="preserve"> also</w:t>
      </w:r>
      <w:r w:rsidRPr="00060408">
        <w:rPr>
          <w:rFonts w:ascii="Calibri" w:hAnsi="Calibri" w:cs="Arial"/>
          <w:lang w:val="en-US"/>
        </w:rPr>
        <w:t xml:space="preserve"> </w:t>
      </w:r>
      <w:r w:rsidR="00FE59B7" w:rsidRPr="00060408">
        <w:rPr>
          <w:rFonts w:ascii="Calibri" w:hAnsi="Calibri" w:cs="Arial"/>
          <w:lang w:val="en-US"/>
        </w:rPr>
        <w:t xml:space="preserve">commoner in black patients (55.6% </w:t>
      </w:r>
      <w:r w:rsidR="00BA5C0B">
        <w:rPr>
          <w:rFonts w:ascii="Calibri" w:hAnsi="Calibri" w:cs="Arial"/>
          <w:lang w:val="en-US"/>
        </w:rPr>
        <w:t>versus</w:t>
      </w:r>
      <w:r w:rsidR="00FE59B7" w:rsidRPr="00060408">
        <w:rPr>
          <w:rFonts w:ascii="Calibri" w:hAnsi="Calibri" w:cs="Arial"/>
          <w:lang w:val="en-US"/>
        </w:rPr>
        <w:t xml:space="preserve"> 45.6%, p=0.046)</w:t>
      </w:r>
      <w:r w:rsidR="00BD205E" w:rsidRPr="00060408">
        <w:rPr>
          <w:rFonts w:ascii="Calibri" w:hAnsi="Calibri" w:cs="Arial"/>
          <w:lang w:val="en-US"/>
        </w:rPr>
        <w:t>,</w:t>
      </w:r>
      <w:r w:rsidR="00B90422" w:rsidRPr="00060408">
        <w:rPr>
          <w:rFonts w:ascii="Calibri" w:hAnsi="Calibri" w:cs="Arial"/>
          <w:lang w:val="en-US"/>
        </w:rPr>
        <w:t xml:space="preserve"> while p</w:t>
      </w:r>
      <w:r w:rsidRPr="00060408">
        <w:rPr>
          <w:rFonts w:ascii="Calibri" w:hAnsi="Calibri" w:cs="Arial"/>
          <w:lang w:val="en-US"/>
        </w:rPr>
        <w:t>athological Q-waves were commoner in white patients (</w:t>
      </w:r>
      <w:r w:rsidR="00BD205E" w:rsidRPr="00060408">
        <w:rPr>
          <w:rFonts w:ascii="Calibri" w:hAnsi="Calibri" w:cs="Arial"/>
          <w:lang w:val="en-US"/>
        </w:rPr>
        <w:t>11.</w:t>
      </w:r>
      <w:r w:rsidR="00FE59B7" w:rsidRPr="00060408">
        <w:rPr>
          <w:rFonts w:ascii="Calibri" w:hAnsi="Calibri" w:cs="Arial"/>
          <w:lang w:val="en-US"/>
        </w:rPr>
        <w:t>1</w:t>
      </w:r>
      <w:r w:rsidR="004C0ECB" w:rsidRPr="00060408">
        <w:rPr>
          <w:rFonts w:ascii="Calibri" w:hAnsi="Calibri" w:cs="Arial"/>
          <w:lang w:val="en-US"/>
        </w:rPr>
        <w:t xml:space="preserve">% </w:t>
      </w:r>
      <w:r w:rsidR="00BA5C0B">
        <w:rPr>
          <w:rFonts w:ascii="Calibri" w:hAnsi="Calibri" w:cs="Arial"/>
          <w:lang w:val="en-US"/>
        </w:rPr>
        <w:t>versus</w:t>
      </w:r>
      <w:r w:rsidR="004C0ECB" w:rsidRPr="00060408">
        <w:rPr>
          <w:rFonts w:ascii="Calibri" w:hAnsi="Calibri" w:cs="Arial"/>
          <w:lang w:val="en-US"/>
        </w:rPr>
        <w:t xml:space="preserve"> </w:t>
      </w:r>
      <w:r w:rsidR="00FE59B7" w:rsidRPr="00060408">
        <w:rPr>
          <w:rFonts w:ascii="Calibri" w:hAnsi="Calibri" w:cs="Arial"/>
          <w:lang w:val="en-US"/>
        </w:rPr>
        <w:t>23.2</w:t>
      </w:r>
      <w:r w:rsidRPr="00060408">
        <w:rPr>
          <w:rFonts w:ascii="Calibri" w:hAnsi="Calibri" w:cs="Arial"/>
          <w:lang w:val="en-US"/>
        </w:rPr>
        <w:t>% p=0.00</w:t>
      </w:r>
      <w:r w:rsidR="00CE779B" w:rsidRPr="00060408">
        <w:rPr>
          <w:rFonts w:ascii="Calibri" w:hAnsi="Calibri" w:cs="Arial"/>
          <w:lang w:val="en-US"/>
        </w:rPr>
        <w:t>2</w:t>
      </w:r>
      <w:r w:rsidRPr="00060408">
        <w:rPr>
          <w:rFonts w:ascii="Calibri" w:hAnsi="Calibri" w:cs="Arial"/>
          <w:lang w:val="en-US"/>
        </w:rPr>
        <w:t>).</w:t>
      </w:r>
    </w:p>
    <w:p w:rsidR="0041526A" w:rsidRDefault="0041526A" w:rsidP="006C647A">
      <w:pPr>
        <w:spacing w:line="480" w:lineRule="auto"/>
        <w:rPr>
          <w:rFonts w:ascii="Calibri" w:hAnsi="Calibri" w:cs="Arial"/>
          <w:b/>
          <w:lang w:val="en-US"/>
        </w:rPr>
      </w:pPr>
    </w:p>
    <w:p w:rsidR="0041526A" w:rsidRPr="00AE22D7" w:rsidRDefault="0041526A" w:rsidP="0041526A">
      <w:pPr>
        <w:spacing w:line="480" w:lineRule="auto"/>
        <w:rPr>
          <w:rFonts w:ascii="Calibri" w:eastAsia="Times New Roman" w:hAnsi="Calibri" w:cs="Arial"/>
          <w:b/>
          <w:lang w:val="en-US" w:eastAsia="en-GB"/>
        </w:rPr>
      </w:pPr>
      <w:r>
        <w:rPr>
          <w:rFonts w:ascii="Calibri" w:eastAsia="Times New Roman" w:hAnsi="Calibri" w:cs="Arial"/>
          <w:b/>
          <w:lang w:val="en-US" w:eastAsia="en-GB"/>
        </w:rPr>
        <w:t xml:space="preserve">Table 2. </w:t>
      </w:r>
      <w:r w:rsidRPr="00AE22D7">
        <w:rPr>
          <w:rFonts w:ascii="Calibri" w:eastAsia="Times New Roman" w:hAnsi="Calibri" w:cs="Arial"/>
          <w:b/>
          <w:lang w:val="en-US" w:eastAsia="en-GB"/>
        </w:rPr>
        <w:t>Electrical, st</w:t>
      </w:r>
      <w:r>
        <w:rPr>
          <w:rFonts w:ascii="Calibri" w:eastAsia="Times New Roman" w:hAnsi="Calibri" w:cs="Arial"/>
          <w:b/>
          <w:lang w:val="en-US" w:eastAsia="en-GB"/>
        </w:rPr>
        <w:t>ructural and</w:t>
      </w:r>
      <w:r w:rsidRPr="00AE22D7">
        <w:rPr>
          <w:rFonts w:ascii="Calibri" w:eastAsia="Times New Roman" w:hAnsi="Calibri" w:cs="Arial"/>
          <w:b/>
          <w:lang w:val="en-US" w:eastAsia="en-GB"/>
        </w:rPr>
        <w:t xml:space="preserve"> </w:t>
      </w:r>
      <w:r w:rsidRPr="00F53579">
        <w:rPr>
          <w:rFonts w:ascii="Calibri" w:eastAsia="Times New Roman" w:hAnsi="Calibri" w:cs="Arial"/>
          <w:b/>
          <w:lang w:val="en-US" w:eastAsia="en-GB"/>
        </w:rPr>
        <w:t>genetic characteristics</w:t>
      </w:r>
      <w:r w:rsidRPr="00AE22D7">
        <w:rPr>
          <w:rFonts w:ascii="Calibri" w:eastAsia="Times New Roman" w:hAnsi="Calibri" w:cs="Arial"/>
          <w:b/>
          <w:lang w:val="en-US" w:eastAsia="en-GB"/>
        </w:rPr>
        <w:t xml:space="preserve"> of black </w:t>
      </w:r>
      <w:r>
        <w:rPr>
          <w:rFonts w:ascii="Calibri" w:eastAsia="Times New Roman" w:hAnsi="Calibri" w:cs="Arial"/>
          <w:b/>
          <w:lang w:val="en-US" w:eastAsia="en-GB"/>
        </w:rPr>
        <w:t>versus white HCM patients.</w:t>
      </w:r>
    </w:p>
    <w:tbl>
      <w:tblPr>
        <w:tblW w:w="9043" w:type="dxa"/>
        <w:jc w:val="center"/>
        <w:tblLayout w:type="fixed"/>
        <w:tblLook w:val="04A0" w:firstRow="1" w:lastRow="0" w:firstColumn="1" w:lastColumn="0" w:noHBand="0" w:noVBand="1"/>
      </w:tblPr>
      <w:tblGrid>
        <w:gridCol w:w="4548"/>
        <w:gridCol w:w="1840"/>
        <w:gridCol w:w="1704"/>
        <w:gridCol w:w="951"/>
      </w:tblGrid>
      <w:tr w:rsidR="0041526A" w:rsidRPr="00AE22D7" w:rsidTr="00001601">
        <w:trPr>
          <w:jc w:val="center"/>
        </w:trPr>
        <w:tc>
          <w:tcPr>
            <w:tcW w:w="4548" w:type="dxa"/>
            <w:tcBorders>
              <w:top w:val="single" w:sz="4" w:space="0" w:color="auto"/>
              <w:bottom w:val="single" w:sz="4" w:space="0" w:color="auto"/>
            </w:tcBorders>
          </w:tcPr>
          <w:p w:rsidR="0041526A" w:rsidRPr="00AE22D7" w:rsidRDefault="0041526A" w:rsidP="00001601">
            <w:pPr>
              <w:tabs>
                <w:tab w:val="center" w:pos="4320"/>
                <w:tab w:val="right" w:pos="8640"/>
              </w:tabs>
              <w:spacing w:line="360" w:lineRule="auto"/>
              <w:rPr>
                <w:rFonts w:ascii="Calibri" w:hAnsi="Calibri" w:cs="Arial"/>
                <w:b/>
                <w:lang w:val="en-US"/>
              </w:rPr>
            </w:pPr>
            <w:r w:rsidRPr="00AE22D7">
              <w:rPr>
                <w:rFonts w:ascii="Calibri" w:hAnsi="Calibri" w:cs="Arial"/>
                <w:b/>
                <w:lang w:val="en-US"/>
              </w:rPr>
              <w:br w:type="page"/>
            </w:r>
          </w:p>
          <w:p w:rsidR="0041526A" w:rsidRPr="00AE22D7" w:rsidRDefault="0041526A" w:rsidP="00001601">
            <w:pPr>
              <w:tabs>
                <w:tab w:val="center" w:pos="4320"/>
                <w:tab w:val="right" w:pos="8640"/>
              </w:tabs>
              <w:spacing w:line="360" w:lineRule="auto"/>
              <w:rPr>
                <w:rFonts w:ascii="Calibri" w:hAnsi="Calibri"/>
                <w:b/>
                <w:lang w:val="en-US"/>
              </w:rPr>
            </w:pPr>
          </w:p>
        </w:tc>
        <w:tc>
          <w:tcPr>
            <w:tcW w:w="1840" w:type="dxa"/>
            <w:tcBorders>
              <w:top w:val="single" w:sz="4" w:space="0" w:color="auto"/>
              <w:bottom w:val="single" w:sz="4" w:space="0" w:color="auto"/>
            </w:tcBorders>
            <w:vAlign w:val="center"/>
          </w:tcPr>
          <w:p w:rsidR="0041526A" w:rsidRPr="00AE22D7" w:rsidRDefault="0041526A" w:rsidP="00001601">
            <w:pPr>
              <w:spacing w:before="40" w:after="40" w:line="360" w:lineRule="auto"/>
              <w:jc w:val="center"/>
              <w:rPr>
                <w:rFonts w:ascii="Calibri" w:hAnsi="Calibri" w:cs="Arial"/>
                <w:b/>
                <w:lang w:val="en-US"/>
              </w:rPr>
            </w:pPr>
            <w:r w:rsidRPr="00AE22D7">
              <w:rPr>
                <w:rFonts w:ascii="Calibri" w:hAnsi="Calibri" w:cs="Arial"/>
                <w:b/>
                <w:lang w:val="en-US"/>
              </w:rPr>
              <w:t>Black Patients</w:t>
            </w:r>
          </w:p>
          <w:p w:rsidR="0041526A" w:rsidRPr="00AE22D7" w:rsidRDefault="0041526A" w:rsidP="00001601">
            <w:pPr>
              <w:spacing w:before="40" w:after="40" w:line="360" w:lineRule="auto"/>
              <w:jc w:val="center"/>
              <w:rPr>
                <w:rFonts w:ascii="Calibri" w:hAnsi="Calibri" w:cs="Arial"/>
                <w:b/>
                <w:lang w:val="en-US"/>
              </w:rPr>
            </w:pPr>
            <w:r w:rsidRPr="00AE22D7">
              <w:rPr>
                <w:rFonts w:ascii="Calibri" w:hAnsi="Calibri" w:cs="Arial"/>
                <w:b/>
                <w:lang w:val="en-US"/>
              </w:rPr>
              <w:t>(</w:t>
            </w:r>
            <w:r>
              <w:rPr>
                <w:rFonts w:ascii="Calibri" w:hAnsi="Calibri" w:cs="Arial"/>
                <w:b/>
                <w:lang w:val="en-US"/>
              </w:rPr>
              <w:t>n=</w:t>
            </w:r>
            <w:r w:rsidRPr="00AE22D7">
              <w:rPr>
                <w:rFonts w:ascii="Calibri" w:hAnsi="Calibri" w:cs="Arial"/>
                <w:b/>
                <w:lang w:val="en-US"/>
              </w:rPr>
              <w:t>163)</w:t>
            </w:r>
          </w:p>
        </w:tc>
        <w:tc>
          <w:tcPr>
            <w:tcW w:w="1704" w:type="dxa"/>
            <w:tcBorders>
              <w:top w:val="single" w:sz="4" w:space="0" w:color="auto"/>
              <w:bottom w:val="single" w:sz="4" w:space="0" w:color="auto"/>
            </w:tcBorders>
            <w:vAlign w:val="center"/>
          </w:tcPr>
          <w:p w:rsidR="0041526A" w:rsidRPr="00AE22D7" w:rsidRDefault="0041526A" w:rsidP="00001601">
            <w:pPr>
              <w:spacing w:before="40" w:after="40" w:line="360" w:lineRule="auto"/>
              <w:jc w:val="center"/>
              <w:rPr>
                <w:rFonts w:ascii="Calibri" w:hAnsi="Calibri" w:cs="Arial"/>
                <w:b/>
                <w:lang w:val="en-US"/>
              </w:rPr>
            </w:pPr>
            <w:r w:rsidRPr="00AE22D7">
              <w:rPr>
                <w:rFonts w:ascii="Calibri" w:hAnsi="Calibri" w:cs="Arial"/>
                <w:b/>
                <w:lang w:val="en-US"/>
              </w:rPr>
              <w:t>White Patients</w:t>
            </w:r>
          </w:p>
          <w:p w:rsidR="0041526A" w:rsidRPr="00AE22D7" w:rsidRDefault="0041526A" w:rsidP="00001601">
            <w:pPr>
              <w:spacing w:before="40" w:after="40" w:line="360" w:lineRule="auto"/>
              <w:jc w:val="center"/>
              <w:rPr>
                <w:rFonts w:ascii="Calibri" w:hAnsi="Calibri" w:cs="Arial"/>
                <w:b/>
                <w:lang w:val="en-US"/>
              </w:rPr>
            </w:pPr>
            <w:r w:rsidRPr="00AE22D7">
              <w:rPr>
                <w:rFonts w:ascii="Calibri" w:hAnsi="Calibri" w:cs="Arial"/>
                <w:b/>
                <w:lang w:val="en-US"/>
              </w:rPr>
              <w:t>(</w:t>
            </w:r>
            <w:r>
              <w:rPr>
                <w:rFonts w:ascii="Calibri" w:hAnsi="Calibri" w:cs="Arial"/>
                <w:b/>
                <w:lang w:val="en-US"/>
              </w:rPr>
              <w:t>n=</w:t>
            </w:r>
            <w:r w:rsidRPr="00AE22D7">
              <w:rPr>
                <w:rFonts w:ascii="Calibri" w:hAnsi="Calibri" w:cs="Arial"/>
                <w:b/>
                <w:lang w:val="en-US"/>
              </w:rPr>
              <w:t>262)</w:t>
            </w:r>
          </w:p>
        </w:tc>
        <w:tc>
          <w:tcPr>
            <w:tcW w:w="951" w:type="dxa"/>
            <w:tcBorders>
              <w:top w:val="single" w:sz="4" w:space="0" w:color="auto"/>
              <w:bottom w:val="single" w:sz="4" w:space="0" w:color="auto"/>
            </w:tcBorders>
          </w:tcPr>
          <w:p w:rsidR="0041526A" w:rsidRPr="00AE22D7" w:rsidRDefault="0041526A" w:rsidP="00001601">
            <w:pPr>
              <w:spacing w:line="360" w:lineRule="auto"/>
              <w:rPr>
                <w:rFonts w:ascii="Calibri" w:hAnsi="Calibri" w:cs="Arial"/>
                <w:lang w:val="en-US"/>
              </w:rPr>
            </w:pPr>
            <w:r w:rsidRPr="00AE22D7">
              <w:rPr>
                <w:rFonts w:ascii="Calibri" w:hAnsi="Calibri" w:cs="Arial"/>
                <w:b/>
                <w:lang w:val="en-US"/>
              </w:rPr>
              <w:t>p-value</w:t>
            </w:r>
          </w:p>
        </w:tc>
      </w:tr>
      <w:tr w:rsidR="0041526A" w:rsidRPr="00AE22D7" w:rsidTr="00001601">
        <w:trPr>
          <w:jc w:val="center"/>
        </w:trPr>
        <w:tc>
          <w:tcPr>
            <w:tcW w:w="4548" w:type="dxa"/>
            <w:tcBorders>
              <w:top w:val="single" w:sz="4" w:space="0" w:color="auto"/>
            </w:tcBorders>
          </w:tcPr>
          <w:p w:rsidR="0041526A" w:rsidRPr="00AE22D7" w:rsidRDefault="0041526A" w:rsidP="00001601">
            <w:pPr>
              <w:tabs>
                <w:tab w:val="center" w:pos="4320"/>
                <w:tab w:val="right" w:pos="8640"/>
              </w:tabs>
              <w:spacing w:line="360" w:lineRule="auto"/>
              <w:rPr>
                <w:rFonts w:ascii="Calibri" w:hAnsi="Calibri"/>
                <w:b/>
                <w:lang w:val="en-US"/>
              </w:rPr>
            </w:pPr>
            <w:r w:rsidRPr="00AE22D7">
              <w:rPr>
                <w:rFonts w:ascii="Calibri" w:hAnsi="Calibri"/>
                <w:b/>
                <w:lang w:val="en-US"/>
              </w:rPr>
              <w:t>Heart rate (bpm)</w:t>
            </w:r>
          </w:p>
        </w:tc>
        <w:tc>
          <w:tcPr>
            <w:tcW w:w="1840" w:type="dxa"/>
            <w:tcBorders>
              <w:top w:val="single" w:sz="4" w:space="0" w:color="auto"/>
            </w:tcBorders>
          </w:tcPr>
          <w:p w:rsidR="0041526A" w:rsidRPr="00AE22D7" w:rsidRDefault="0041526A" w:rsidP="00001601">
            <w:pPr>
              <w:tabs>
                <w:tab w:val="center" w:pos="4320"/>
                <w:tab w:val="right" w:pos="8640"/>
              </w:tabs>
              <w:spacing w:line="360" w:lineRule="auto"/>
              <w:jc w:val="center"/>
              <w:rPr>
                <w:rFonts w:ascii="Calibri" w:hAnsi="Calibri"/>
                <w:b/>
                <w:lang w:val="en-US"/>
              </w:rPr>
            </w:pPr>
            <w:r w:rsidRPr="00AE22D7">
              <w:rPr>
                <w:rFonts w:ascii="Calibri" w:hAnsi="Calibri"/>
                <w:b/>
                <w:lang w:val="en-US"/>
              </w:rPr>
              <w:t>67.1±14.4</w:t>
            </w:r>
          </w:p>
        </w:tc>
        <w:tc>
          <w:tcPr>
            <w:tcW w:w="1704" w:type="dxa"/>
            <w:tcBorders>
              <w:top w:val="single" w:sz="4" w:space="0" w:color="auto"/>
            </w:tcBorders>
          </w:tcPr>
          <w:p w:rsidR="0041526A" w:rsidRPr="00AE22D7" w:rsidRDefault="0041526A" w:rsidP="00001601">
            <w:pPr>
              <w:tabs>
                <w:tab w:val="center" w:pos="4320"/>
                <w:tab w:val="right" w:pos="8640"/>
              </w:tabs>
              <w:spacing w:line="360" w:lineRule="auto"/>
              <w:jc w:val="center"/>
              <w:rPr>
                <w:rFonts w:ascii="Calibri" w:hAnsi="Calibri"/>
                <w:b/>
                <w:lang w:val="en-US"/>
              </w:rPr>
            </w:pPr>
            <w:r w:rsidRPr="00AE22D7">
              <w:rPr>
                <w:rFonts w:ascii="Calibri" w:hAnsi="Calibri"/>
                <w:b/>
                <w:lang w:val="en-US"/>
              </w:rPr>
              <w:t>67.9±13.3</w:t>
            </w:r>
          </w:p>
        </w:tc>
        <w:tc>
          <w:tcPr>
            <w:tcW w:w="951" w:type="dxa"/>
            <w:tcBorders>
              <w:top w:val="single" w:sz="4" w:space="0" w:color="auto"/>
            </w:tcBorders>
          </w:tcPr>
          <w:p w:rsidR="0041526A" w:rsidRPr="00AE22D7" w:rsidRDefault="0041526A" w:rsidP="00001601">
            <w:pPr>
              <w:tabs>
                <w:tab w:val="center" w:pos="4320"/>
                <w:tab w:val="right" w:pos="8640"/>
              </w:tabs>
              <w:spacing w:line="360" w:lineRule="auto"/>
              <w:rPr>
                <w:rFonts w:ascii="Calibri" w:hAnsi="Calibri"/>
                <w:b/>
                <w:lang w:val="en-US"/>
              </w:rPr>
            </w:pPr>
            <w:r w:rsidRPr="00AE22D7">
              <w:rPr>
                <w:rFonts w:ascii="Calibri" w:hAnsi="Calibri"/>
                <w:b/>
                <w:lang w:val="en-US"/>
              </w:rPr>
              <w:t>0.601</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rPr>
                <w:rFonts w:ascii="Calibri" w:hAnsi="Calibri"/>
                <w:lang w:val="en-US"/>
              </w:rPr>
            </w:pPr>
            <w:r w:rsidRPr="00AE22D7">
              <w:rPr>
                <w:rFonts w:ascii="Calibri" w:hAnsi="Calibri"/>
                <w:b/>
                <w:lang w:val="en-US"/>
              </w:rPr>
              <w:t>ECG parameters – no. (%)</w:t>
            </w:r>
          </w:p>
        </w:tc>
        <w:tc>
          <w:tcPr>
            <w:tcW w:w="1840" w:type="dxa"/>
          </w:tcPr>
          <w:p w:rsidR="0041526A" w:rsidRPr="00AE22D7" w:rsidRDefault="0041526A" w:rsidP="00001601">
            <w:pPr>
              <w:tabs>
                <w:tab w:val="center" w:pos="4320"/>
                <w:tab w:val="right" w:pos="8640"/>
              </w:tabs>
              <w:spacing w:line="360" w:lineRule="auto"/>
              <w:rPr>
                <w:rFonts w:ascii="Calibri" w:hAnsi="Calibri"/>
                <w:lang w:val="en-US"/>
              </w:rPr>
            </w:pPr>
          </w:p>
        </w:tc>
        <w:tc>
          <w:tcPr>
            <w:tcW w:w="1704" w:type="dxa"/>
          </w:tcPr>
          <w:p w:rsidR="0041526A" w:rsidRPr="00AE22D7" w:rsidRDefault="0041526A" w:rsidP="00001601">
            <w:pPr>
              <w:tabs>
                <w:tab w:val="center" w:pos="4320"/>
                <w:tab w:val="right" w:pos="8640"/>
              </w:tabs>
              <w:spacing w:line="360" w:lineRule="auto"/>
              <w:rPr>
                <w:rFonts w:ascii="Calibri" w:hAnsi="Calibri"/>
                <w:lang w:val="en-US"/>
              </w:rPr>
            </w:pPr>
          </w:p>
        </w:tc>
        <w:tc>
          <w:tcPr>
            <w:tcW w:w="951" w:type="dxa"/>
          </w:tcPr>
          <w:p w:rsidR="0041526A" w:rsidRPr="00AE22D7" w:rsidRDefault="0041526A" w:rsidP="00001601">
            <w:pPr>
              <w:tabs>
                <w:tab w:val="center" w:pos="4320"/>
                <w:tab w:val="right" w:pos="8640"/>
              </w:tabs>
              <w:spacing w:line="360" w:lineRule="auto"/>
              <w:rPr>
                <w:rFonts w:ascii="Calibri" w:hAnsi="Calibri"/>
                <w:lang w:val="en-US"/>
              </w:rPr>
            </w:pP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ind w:left="327"/>
              <w:rPr>
                <w:rFonts w:ascii="Calibri" w:hAnsi="Calibri"/>
                <w:lang w:val="en-US"/>
              </w:rPr>
            </w:pPr>
            <w:r w:rsidRPr="00AE22D7">
              <w:rPr>
                <w:rFonts w:ascii="Calibri" w:hAnsi="Calibri"/>
                <w:lang w:val="en-US"/>
              </w:rPr>
              <w:t>Abnormal ECG</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160 (98.2)</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237 (90.5)</w:t>
            </w:r>
          </w:p>
        </w:tc>
        <w:tc>
          <w:tcPr>
            <w:tcW w:w="951" w:type="dxa"/>
          </w:tcPr>
          <w:p w:rsidR="0041526A" w:rsidRPr="00AE22D7" w:rsidRDefault="0041526A" w:rsidP="00001601">
            <w:pPr>
              <w:tabs>
                <w:tab w:val="center" w:pos="4320"/>
                <w:tab w:val="right" w:pos="8640"/>
              </w:tabs>
              <w:spacing w:line="360" w:lineRule="auto"/>
              <w:rPr>
                <w:rFonts w:ascii="Calibri" w:hAnsi="Calibri"/>
                <w:lang w:val="en-US"/>
              </w:rPr>
            </w:pPr>
            <w:r w:rsidRPr="00D751EE">
              <w:rPr>
                <w:rFonts w:ascii="Calibri" w:hAnsi="Calibri"/>
                <w:lang w:val="en-US"/>
              </w:rPr>
              <w:t>0.002</w:t>
            </w:r>
          </w:p>
        </w:tc>
      </w:tr>
      <w:tr w:rsidR="0041526A" w:rsidRPr="00AE22D7" w:rsidTr="006A46E4">
        <w:trPr>
          <w:trHeight w:val="293"/>
          <w:jc w:val="center"/>
        </w:trPr>
        <w:tc>
          <w:tcPr>
            <w:tcW w:w="9043" w:type="dxa"/>
            <w:gridSpan w:val="4"/>
          </w:tcPr>
          <w:p w:rsidR="0041526A" w:rsidRPr="00AE22D7" w:rsidRDefault="0041526A" w:rsidP="00001601">
            <w:pPr>
              <w:tabs>
                <w:tab w:val="center" w:pos="4320"/>
                <w:tab w:val="right" w:pos="8640"/>
              </w:tabs>
              <w:spacing w:line="360" w:lineRule="auto"/>
              <w:ind w:left="327"/>
              <w:rPr>
                <w:rFonts w:ascii="Calibri" w:hAnsi="Calibri"/>
                <w:lang w:val="en-US"/>
              </w:rPr>
            </w:pPr>
            <w:r w:rsidRPr="00AE22D7">
              <w:rPr>
                <w:rFonts w:ascii="Calibri" w:hAnsi="Calibri"/>
                <w:lang w:val="en-US"/>
              </w:rPr>
              <w:t>Rhythm</w:t>
            </w:r>
          </w:p>
        </w:tc>
      </w:tr>
      <w:tr w:rsidR="0041526A" w:rsidRPr="00AE22D7" w:rsidTr="00001601">
        <w:trPr>
          <w:trHeight w:val="292"/>
          <w:jc w:val="center"/>
        </w:trPr>
        <w:tc>
          <w:tcPr>
            <w:tcW w:w="4548" w:type="dxa"/>
          </w:tcPr>
          <w:p w:rsidR="0041526A" w:rsidRPr="00AE22D7" w:rsidRDefault="0041526A" w:rsidP="00001601">
            <w:pPr>
              <w:tabs>
                <w:tab w:val="left" w:pos="2895"/>
                <w:tab w:val="center" w:pos="4320"/>
                <w:tab w:val="right" w:pos="8640"/>
              </w:tabs>
              <w:spacing w:line="360" w:lineRule="auto"/>
              <w:ind w:left="894"/>
              <w:rPr>
                <w:rFonts w:ascii="Calibri" w:hAnsi="Calibri"/>
                <w:b/>
                <w:lang w:val="en-US"/>
              </w:rPr>
            </w:pPr>
            <w:r w:rsidRPr="00AE22D7">
              <w:rPr>
                <w:rFonts w:ascii="Calibri" w:hAnsi="Calibri"/>
                <w:lang w:val="en-US"/>
              </w:rPr>
              <w:t>Sinus rhythm</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156 (95.7)</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241 (92.0)</w:t>
            </w:r>
          </w:p>
        </w:tc>
        <w:tc>
          <w:tcPr>
            <w:tcW w:w="951" w:type="dxa"/>
            <w:vMerge w:val="restart"/>
            <w:vAlign w:val="center"/>
          </w:tcPr>
          <w:p w:rsidR="0041526A" w:rsidRPr="00AE22D7" w:rsidRDefault="0041526A" w:rsidP="00001601">
            <w:pPr>
              <w:tabs>
                <w:tab w:val="center" w:pos="4320"/>
                <w:tab w:val="right" w:pos="8640"/>
              </w:tabs>
              <w:spacing w:line="360" w:lineRule="auto"/>
              <w:rPr>
                <w:rFonts w:ascii="Calibri" w:hAnsi="Calibri"/>
                <w:lang w:val="en-US"/>
              </w:rPr>
            </w:pPr>
            <w:r w:rsidRPr="00AE22D7">
              <w:rPr>
                <w:rFonts w:ascii="Calibri" w:hAnsi="Calibri"/>
                <w:lang w:val="en-US"/>
              </w:rPr>
              <w:t>0.289</w:t>
            </w:r>
          </w:p>
        </w:tc>
      </w:tr>
      <w:tr w:rsidR="0041526A" w:rsidRPr="00AE22D7" w:rsidTr="00001601">
        <w:trPr>
          <w:jc w:val="center"/>
        </w:trPr>
        <w:tc>
          <w:tcPr>
            <w:tcW w:w="4548" w:type="dxa"/>
          </w:tcPr>
          <w:p w:rsidR="0041526A" w:rsidRPr="00AE22D7" w:rsidRDefault="0041526A" w:rsidP="00001601">
            <w:pPr>
              <w:tabs>
                <w:tab w:val="left" w:pos="2895"/>
                <w:tab w:val="center" w:pos="4320"/>
                <w:tab w:val="right" w:pos="8640"/>
              </w:tabs>
              <w:spacing w:line="360" w:lineRule="auto"/>
              <w:ind w:left="894"/>
              <w:rPr>
                <w:rFonts w:ascii="Calibri" w:hAnsi="Calibri"/>
                <w:lang w:val="en-US"/>
              </w:rPr>
            </w:pPr>
            <w:r w:rsidRPr="00AE22D7">
              <w:rPr>
                <w:rFonts w:ascii="Calibri" w:hAnsi="Calibri"/>
                <w:lang w:val="en-US"/>
              </w:rPr>
              <w:t>Atrial fibrillation/flutter</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5 (3.1)</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17 (6.5)</w:t>
            </w:r>
          </w:p>
        </w:tc>
        <w:tc>
          <w:tcPr>
            <w:tcW w:w="951" w:type="dxa"/>
            <w:vMerge/>
          </w:tcPr>
          <w:p w:rsidR="0041526A" w:rsidRPr="00AE22D7" w:rsidRDefault="0041526A" w:rsidP="00001601">
            <w:pPr>
              <w:tabs>
                <w:tab w:val="center" w:pos="4320"/>
                <w:tab w:val="right" w:pos="8640"/>
              </w:tabs>
              <w:spacing w:line="360" w:lineRule="auto"/>
              <w:ind w:left="610"/>
              <w:rPr>
                <w:rFonts w:ascii="Calibri" w:hAnsi="Calibri"/>
                <w:lang w:val="en-US"/>
              </w:rPr>
            </w:pPr>
          </w:p>
        </w:tc>
      </w:tr>
      <w:tr w:rsidR="0041526A" w:rsidRPr="00AE22D7" w:rsidTr="00001601">
        <w:trPr>
          <w:jc w:val="center"/>
        </w:trPr>
        <w:tc>
          <w:tcPr>
            <w:tcW w:w="4548" w:type="dxa"/>
          </w:tcPr>
          <w:p w:rsidR="0041526A" w:rsidRPr="00AE22D7" w:rsidRDefault="0041526A" w:rsidP="00001601">
            <w:pPr>
              <w:tabs>
                <w:tab w:val="left" w:pos="2895"/>
                <w:tab w:val="center" w:pos="4320"/>
                <w:tab w:val="right" w:pos="8640"/>
              </w:tabs>
              <w:spacing w:line="360" w:lineRule="auto"/>
              <w:ind w:left="894"/>
              <w:rPr>
                <w:rFonts w:ascii="Calibri" w:hAnsi="Calibri"/>
                <w:lang w:val="en-US"/>
              </w:rPr>
            </w:pPr>
            <w:r w:rsidRPr="00AE22D7">
              <w:rPr>
                <w:rFonts w:ascii="Calibri" w:hAnsi="Calibri"/>
                <w:lang w:val="en-US"/>
              </w:rPr>
              <w:t>Paced Rhythm</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2 (1.2)</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4 (1.5)</w:t>
            </w:r>
          </w:p>
        </w:tc>
        <w:tc>
          <w:tcPr>
            <w:tcW w:w="951" w:type="dxa"/>
            <w:vMerge/>
          </w:tcPr>
          <w:p w:rsidR="0041526A" w:rsidRPr="00AE22D7" w:rsidRDefault="0041526A" w:rsidP="00001601">
            <w:pPr>
              <w:tabs>
                <w:tab w:val="center" w:pos="4320"/>
                <w:tab w:val="right" w:pos="8640"/>
              </w:tabs>
              <w:spacing w:line="360" w:lineRule="auto"/>
              <w:ind w:left="610"/>
              <w:rPr>
                <w:rFonts w:ascii="Calibri" w:hAnsi="Calibri"/>
                <w:lang w:val="en-US"/>
              </w:rPr>
            </w:pPr>
          </w:p>
        </w:tc>
      </w:tr>
      <w:tr w:rsidR="0041526A" w:rsidRPr="00AE22D7" w:rsidTr="00001601">
        <w:trPr>
          <w:jc w:val="center"/>
        </w:trPr>
        <w:tc>
          <w:tcPr>
            <w:tcW w:w="4548" w:type="dxa"/>
          </w:tcPr>
          <w:p w:rsidR="0041526A" w:rsidRPr="00AE22D7" w:rsidRDefault="0041526A" w:rsidP="00001601">
            <w:pPr>
              <w:tabs>
                <w:tab w:val="left" w:pos="2895"/>
                <w:tab w:val="center" w:pos="4320"/>
                <w:tab w:val="right" w:pos="8640"/>
              </w:tabs>
              <w:spacing w:line="360" w:lineRule="auto"/>
              <w:ind w:left="327"/>
              <w:rPr>
                <w:rFonts w:ascii="Calibri" w:hAnsi="Calibri"/>
                <w:lang w:val="en-US"/>
              </w:rPr>
            </w:pPr>
            <w:r w:rsidRPr="00AE22D7">
              <w:rPr>
                <w:rFonts w:ascii="Calibri" w:hAnsi="Calibri"/>
                <w:lang w:val="en-US"/>
              </w:rPr>
              <w:t>Sokolow-Lyon voltage criteria for left ventricular hypertrophy</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89 (54.9)</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94 (36.3)</w:t>
            </w:r>
          </w:p>
        </w:tc>
        <w:tc>
          <w:tcPr>
            <w:tcW w:w="951" w:type="dxa"/>
          </w:tcPr>
          <w:p w:rsidR="0041526A" w:rsidRPr="00AE22D7" w:rsidRDefault="0041526A" w:rsidP="00001601">
            <w:pPr>
              <w:tabs>
                <w:tab w:val="center" w:pos="4320"/>
                <w:tab w:val="right" w:pos="8640"/>
              </w:tabs>
              <w:spacing w:line="360" w:lineRule="auto"/>
              <w:rPr>
                <w:rFonts w:ascii="Calibri" w:hAnsi="Calibri"/>
                <w:lang w:val="en-US"/>
              </w:rPr>
            </w:pPr>
            <w:r w:rsidRPr="00D751EE">
              <w:rPr>
                <w:rFonts w:ascii="Calibri" w:hAnsi="Calibri"/>
                <w:lang w:val="en-US"/>
              </w:rPr>
              <w:t>&lt;0.001</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ind w:left="327"/>
              <w:rPr>
                <w:rFonts w:ascii="Calibri" w:hAnsi="Calibri"/>
                <w:lang w:val="en-US"/>
              </w:rPr>
            </w:pPr>
            <w:r w:rsidRPr="00AE22D7">
              <w:rPr>
                <w:rFonts w:ascii="Calibri" w:hAnsi="Calibri"/>
                <w:lang w:val="en-US"/>
              </w:rPr>
              <w:t>Left bundle branch block</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6 (3.7)</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12 (4.6)</w:t>
            </w:r>
          </w:p>
        </w:tc>
        <w:tc>
          <w:tcPr>
            <w:tcW w:w="951" w:type="dxa"/>
          </w:tcPr>
          <w:p w:rsidR="0041526A" w:rsidRPr="00AE22D7" w:rsidRDefault="0041526A" w:rsidP="00001601">
            <w:pPr>
              <w:tabs>
                <w:tab w:val="center" w:pos="4320"/>
                <w:tab w:val="right" w:pos="8640"/>
              </w:tabs>
              <w:spacing w:line="360" w:lineRule="auto"/>
              <w:rPr>
                <w:rFonts w:ascii="Calibri" w:hAnsi="Calibri"/>
                <w:lang w:val="en-US"/>
              </w:rPr>
            </w:pPr>
            <w:r w:rsidRPr="00AE22D7">
              <w:rPr>
                <w:rFonts w:ascii="Calibri" w:hAnsi="Calibri"/>
                <w:lang w:val="en-US"/>
              </w:rPr>
              <w:t>0.646</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ind w:left="327"/>
              <w:rPr>
                <w:rFonts w:ascii="Calibri" w:hAnsi="Calibri"/>
                <w:lang w:val="en-US"/>
              </w:rPr>
            </w:pPr>
            <w:r w:rsidRPr="00AE22D7">
              <w:rPr>
                <w:rFonts w:ascii="Calibri" w:hAnsi="Calibri"/>
                <w:lang w:val="en-US"/>
              </w:rPr>
              <w:t>Pathological Q-waves</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18 (11.1)</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60 (23.2)</w:t>
            </w:r>
          </w:p>
        </w:tc>
        <w:tc>
          <w:tcPr>
            <w:tcW w:w="951" w:type="dxa"/>
          </w:tcPr>
          <w:p w:rsidR="0041526A" w:rsidRPr="00AE22D7" w:rsidRDefault="0041526A" w:rsidP="00001601">
            <w:pPr>
              <w:tabs>
                <w:tab w:val="center" w:pos="4320"/>
                <w:tab w:val="right" w:pos="8640"/>
              </w:tabs>
              <w:spacing w:line="360" w:lineRule="auto"/>
              <w:rPr>
                <w:rFonts w:ascii="Calibri" w:hAnsi="Calibri"/>
                <w:lang w:val="en-US"/>
              </w:rPr>
            </w:pPr>
            <w:r w:rsidRPr="00D751EE">
              <w:rPr>
                <w:rFonts w:ascii="Calibri" w:hAnsi="Calibri"/>
                <w:lang w:val="en-US"/>
              </w:rPr>
              <w:t>0.002</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ind w:left="327"/>
              <w:rPr>
                <w:rFonts w:ascii="Calibri" w:hAnsi="Calibri"/>
                <w:lang w:val="en-US"/>
              </w:rPr>
            </w:pPr>
            <w:r>
              <w:rPr>
                <w:rFonts w:ascii="Calibri" w:hAnsi="Calibri"/>
                <w:lang w:val="en-US"/>
              </w:rPr>
              <w:t>T-wave Inversion</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148 (91.4)</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189 (73.0)</w:t>
            </w:r>
          </w:p>
        </w:tc>
        <w:tc>
          <w:tcPr>
            <w:tcW w:w="951" w:type="dxa"/>
          </w:tcPr>
          <w:p w:rsidR="0041526A" w:rsidRPr="00AE22D7" w:rsidRDefault="0041526A" w:rsidP="00001601">
            <w:pPr>
              <w:tabs>
                <w:tab w:val="center" w:pos="4320"/>
                <w:tab w:val="right" w:pos="8640"/>
              </w:tabs>
              <w:spacing w:line="360" w:lineRule="auto"/>
              <w:rPr>
                <w:rFonts w:ascii="Calibri" w:hAnsi="Calibri"/>
                <w:lang w:val="en-US"/>
              </w:rPr>
            </w:pPr>
            <w:r w:rsidRPr="00D751EE">
              <w:rPr>
                <w:rFonts w:ascii="Calibri" w:hAnsi="Calibri"/>
                <w:lang w:val="en-US"/>
              </w:rPr>
              <w:t>&lt;0.001</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ind w:left="894"/>
              <w:rPr>
                <w:rFonts w:ascii="Calibri" w:hAnsi="Calibri"/>
                <w:lang w:val="en-US"/>
              </w:rPr>
            </w:pPr>
            <w:r w:rsidRPr="00AE22D7">
              <w:rPr>
                <w:rFonts w:ascii="Calibri" w:hAnsi="Calibri"/>
                <w:lang w:val="en-US"/>
              </w:rPr>
              <w:t>TWI confined to V1–V4</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7 (4.3)</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5 (1.9)</w:t>
            </w:r>
          </w:p>
        </w:tc>
        <w:tc>
          <w:tcPr>
            <w:tcW w:w="951" w:type="dxa"/>
          </w:tcPr>
          <w:p w:rsidR="0041526A" w:rsidRPr="00AE22D7" w:rsidRDefault="0041526A" w:rsidP="00001601">
            <w:pPr>
              <w:tabs>
                <w:tab w:val="center" w:pos="4320"/>
                <w:tab w:val="right" w:pos="8640"/>
              </w:tabs>
              <w:spacing w:line="360" w:lineRule="auto"/>
              <w:rPr>
                <w:rFonts w:ascii="Calibri" w:hAnsi="Calibri"/>
                <w:lang w:val="en-US"/>
              </w:rPr>
            </w:pPr>
            <w:r w:rsidRPr="00AE22D7">
              <w:rPr>
                <w:rFonts w:ascii="Calibri" w:hAnsi="Calibri"/>
                <w:lang w:val="en-US"/>
              </w:rPr>
              <w:t>0.152</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ind w:left="894"/>
              <w:rPr>
                <w:rFonts w:ascii="Calibri" w:hAnsi="Calibri"/>
                <w:lang w:val="en-US"/>
              </w:rPr>
            </w:pPr>
            <w:r w:rsidRPr="00AE22D7">
              <w:rPr>
                <w:rFonts w:ascii="Calibri" w:hAnsi="Calibri"/>
                <w:lang w:val="en-US"/>
              </w:rPr>
              <w:t>TWI involving the inferior leads</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5 (3.1)</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8 (3.1)</w:t>
            </w:r>
          </w:p>
        </w:tc>
        <w:tc>
          <w:tcPr>
            <w:tcW w:w="951" w:type="dxa"/>
          </w:tcPr>
          <w:p w:rsidR="0041526A" w:rsidRPr="00AE22D7" w:rsidRDefault="0041526A" w:rsidP="00001601">
            <w:pPr>
              <w:tabs>
                <w:tab w:val="center" w:pos="4320"/>
                <w:tab w:val="right" w:pos="8640"/>
              </w:tabs>
              <w:spacing w:line="360" w:lineRule="auto"/>
              <w:rPr>
                <w:rFonts w:ascii="Calibri" w:hAnsi="Calibri"/>
                <w:lang w:val="en-US"/>
              </w:rPr>
            </w:pPr>
            <w:r w:rsidRPr="00AE22D7">
              <w:rPr>
                <w:rFonts w:ascii="Calibri" w:hAnsi="Calibri"/>
                <w:lang w:val="en-US"/>
              </w:rPr>
              <w:t>0.999</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ind w:left="468"/>
              <w:rPr>
                <w:rFonts w:ascii="Calibri" w:hAnsi="Calibri"/>
                <w:lang w:val="en-US"/>
              </w:rPr>
            </w:pPr>
            <w:r w:rsidRPr="00AE22D7">
              <w:rPr>
                <w:rFonts w:ascii="Calibri" w:hAnsi="Calibri"/>
                <w:lang w:val="en-US"/>
              </w:rPr>
              <w:t xml:space="preserve">        TWI involving the lateral leads</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136 (84.0)</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176 (68.0)</w:t>
            </w:r>
          </w:p>
        </w:tc>
        <w:tc>
          <w:tcPr>
            <w:tcW w:w="951" w:type="dxa"/>
          </w:tcPr>
          <w:p w:rsidR="0041526A" w:rsidRPr="00AE22D7" w:rsidRDefault="0041526A" w:rsidP="00001601">
            <w:pPr>
              <w:tabs>
                <w:tab w:val="center" w:pos="4320"/>
                <w:tab w:val="right" w:pos="8640"/>
              </w:tabs>
              <w:spacing w:line="360" w:lineRule="auto"/>
              <w:rPr>
                <w:rFonts w:ascii="Calibri" w:hAnsi="Calibri"/>
                <w:highlight w:val="yellow"/>
                <w:lang w:val="en-US"/>
              </w:rPr>
            </w:pPr>
            <w:r w:rsidRPr="00D751EE">
              <w:rPr>
                <w:rFonts w:ascii="Calibri" w:hAnsi="Calibri"/>
                <w:lang w:val="en-US"/>
              </w:rPr>
              <w:t>&lt;0.001</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ind w:left="327"/>
              <w:rPr>
                <w:rFonts w:ascii="Calibri" w:hAnsi="Calibri"/>
                <w:lang w:val="en-US"/>
              </w:rPr>
            </w:pPr>
            <w:r w:rsidRPr="00AE22D7">
              <w:rPr>
                <w:rFonts w:ascii="Calibri" w:hAnsi="Calibri"/>
                <w:lang w:val="en-US"/>
              </w:rPr>
              <w:t>Deep T-wave inversion</w:t>
            </w:r>
            <w:r w:rsidRPr="00AE22D7">
              <w:rPr>
                <w:rFonts w:ascii="Calibri" w:hAnsi="Calibri"/>
                <w:lang w:val="en-US"/>
              </w:rPr>
              <w:tab/>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130 (80.2)</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151 (58.3)</w:t>
            </w:r>
          </w:p>
        </w:tc>
        <w:tc>
          <w:tcPr>
            <w:tcW w:w="951" w:type="dxa"/>
          </w:tcPr>
          <w:p w:rsidR="0041526A" w:rsidRPr="00AE22D7" w:rsidRDefault="0041526A" w:rsidP="00001601">
            <w:pPr>
              <w:tabs>
                <w:tab w:val="center" w:pos="4320"/>
                <w:tab w:val="right" w:pos="8640"/>
              </w:tabs>
              <w:spacing w:line="360" w:lineRule="auto"/>
              <w:rPr>
                <w:rFonts w:ascii="Calibri" w:hAnsi="Calibri"/>
                <w:highlight w:val="yellow"/>
                <w:lang w:val="en-US"/>
              </w:rPr>
            </w:pPr>
            <w:r w:rsidRPr="00D751EE">
              <w:rPr>
                <w:rFonts w:ascii="Calibri" w:hAnsi="Calibri"/>
                <w:lang w:val="en-US"/>
              </w:rPr>
              <w:t>&lt;0.001</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ind w:left="327"/>
              <w:rPr>
                <w:rFonts w:ascii="Calibri" w:hAnsi="Calibri"/>
                <w:lang w:val="en-US"/>
              </w:rPr>
            </w:pPr>
            <w:r w:rsidRPr="00AE22D7">
              <w:rPr>
                <w:rFonts w:ascii="Calibri" w:hAnsi="Calibri"/>
                <w:lang w:val="en-US"/>
              </w:rPr>
              <w:t>ST-segment elevation</w:t>
            </w:r>
            <w:r w:rsidRPr="00AE22D7">
              <w:rPr>
                <w:rFonts w:ascii="Calibri" w:hAnsi="Calibri"/>
                <w:lang w:val="en-US"/>
              </w:rPr>
              <w:tab/>
            </w:r>
            <w:r w:rsidRPr="00AE22D7">
              <w:rPr>
                <w:rFonts w:ascii="Calibri" w:hAnsi="Calibri"/>
                <w:lang w:val="en-US"/>
              </w:rPr>
              <w:tab/>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87 (53.7)</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101 (39.0)</w:t>
            </w:r>
          </w:p>
        </w:tc>
        <w:tc>
          <w:tcPr>
            <w:tcW w:w="951" w:type="dxa"/>
          </w:tcPr>
          <w:p w:rsidR="0041526A" w:rsidRPr="004977C6" w:rsidRDefault="0041526A" w:rsidP="00001601">
            <w:pPr>
              <w:tabs>
                <w:tab w:val="center" w:pos="4320"/>
                <w:tab w:val="right" w:pos="8640"/>
              </w:tabs>
              <w:spacing w:line="360" w:lineRule="auto"/>
              <w:rPr>
                <w:rFonts w:ascii="Calibri" w:hAnsi="Calibri"/>
                <w:lang w:val="en-US"/>
              </w:rPr>
            </w:pPr>
            <w:r w:rsidRPr="004977C6">
              <w:rPr>
                <w:rFonts w:ascii="Calibri" w:hAnsi="Calibri"/>
                <w:lang w:val="en-US"/>
              </w:rPr>
              <w:t>0.003</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ind w:left="327"/>
              <w:rPr>
                <w:rFonts w:ascii="Calibri" w:hAnsi="Calibri"/>
                <w:lang w:val="en-US"/>
              </w:rPr>
            </w:pPr>
            <w:r w:rsidRPr="00AE22D7">
              <w:rPr>
                <w:rFonts w:ascii="Calibri" w:hAnsi="Calibri"/>
                <w:lang w:val="en-US"/>
              </w:rPr>
              <w:t>ST-segment depression</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90 (55.6)</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118 (45.6)</w:t>
            </w:r>
          </w:p>
        </w:tc>
        <w:tc>
          <w:tcPr>
            <w:tcW w:w="951" w:type="dxa"/>
          </w:tcPr>
          <w:p w:rsidR="0041526A" w:rsidRPr="004977C6" w:rsidRDefault="0041526A" w:rsidP="00001601">
            <w:pPr>
              <w:tabs>
                <w:tab w:val="center" w:pos="4320"/>
                <w:tab w:val="right" w:pos="8640"/>
              </w:tabs>
              <w:spacing w:line="360" w:lineRule="auto"/>
              <w:rPr>
                <w:rFonts w:ascii="Calibri" w:hAnsi="Calibri"/>
                <w:lang w:val="en-US"/>
              </w:rPr>
            </w:pPr>
            <w:r w:rsidRPr="004977C6">
              <w:rPr>
                <w:rFonts w:ascii="Calibri" w:hAnsi="Calibri"/>
                <w:lang w:val="en-US"/>
              </w:rPr>
              <w:t>0.046</w:t>
            </w:r>
          </w:p>
        </w:tc>
      </w:tr>
      <w:tr w:rsidR="0041526A" w:rsidRPr="00AE22D7" w:rsidTr="006A46E4">
        <w:trPr>
          <w:jc w:val="center"/>
        </w:trPr>
        <w:tc>
          <w:tcPr>
            <w:tcW w:w="9043" w:type="dxa"/>
            <w:gridSpan w:val="4"/>
          </w:tcPr>
          <w:p w:rsidR="0041526A" w:rsidRPr="004977C6" w:rsidRDefault="0041526A" w:rsidP="00001601">
            <w:pPr>
              <w:tabs>
                <w:tab w:val="center" w:pos="4320"/>
                <w:tab w:val="right" w:pos="8640"/>
              </w:tabs>
              <w:spacing w:line="360" w:lineRule="auto"/>
              <w:rPr>
                <w:rFonts w:ascii="Calibri" w:hAnsi="Calibri"/>
                <w:b/>
                <w:lang w:val="en-US"/>
              </w:rPr>
            </w:pPr>
            <w:r w:rsidRPr="004977C6">
              <w:rPr>
                <w:rFonts w:ascii="Calibri" w:hAnsi="Calibri"/>
                <w:b/>
                <w:lang w:val="en-US"/>
              </w:rPr>
              <w:t xml:space="preserve">Structural characteristics on echocardiography </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rPr>
                <w:rFonts w:ascii="Calibri" w:hAnsi="Calibri"/>
                <w:lang w:val="en-US"/>
              </w:rPr>
            </w:pPr>
            <w:r w:rsidRPr="00AE22D7">
              <w:rPr>
                <w:rFonts w:ascii="Calibri" w:hAnsi="Calibri"/>
                <w:lang w:val="en-US"/>
              </w:rPr>
              <w:t>Left atrial dimension (mm)</w:t>
            </w:r>
          </w:p>
        </w:tc>
        <w:tc>
          <w:tcPr>
            <w:tcW w:w="1840"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40.8±6.1</w:t>
            </w:r>
          </w:p>
        </w:tc>
        <w:tc>
          <w:tcPr>
            <w:tcW w:w="1704"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41.7±7.9</w:t>
            </w:r>
          </w:p>
        </w:tc>
        <w:tc>
          <w:tcPr>
            <w:tcW w:w="951" w:type="dxa"/>
          </w:tcPr>
          <w:p w:rsidR="0041526A" w:rsidRPr="004977C6" w:rsidRDefault="0041526A" w:rsidP="00001601">
            <w:pPr>
              <w:tabs>
                <w:tab w:val="center" w:pos="4320"/>
                <w:tab w:val="right" w:pos="8640"/>
              </w:tabs>
              <w:spacing w:line="360" w:lineRule="auto"/>
              <w:rPr>
                <w:rFonts w:ascii="Calibri" w:hAnsi="Calibri"/>
                <w:lang w:val="en-US"/>
              </w:rPr>
            </w:pPr>
            <w:r w:rsidRPr="004977C6">
              <w:rPr>
                <w:rFonts w:ascii="Calibri" w:hAnsi="Calibri"/>
                <w:lang w:val="en-US"/>
              </w:rPr>
              <w:t>0.231</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rPr>
                <w:rFonts w:ascii="Calibri" w:hAnsi="Calibri"/>
                <w:lang w:val="en-US"/>
              </w:rPr>
            </w:pPr>
            <w:r w:rsidRPr="00AE22D7">
              <w:rPr>
                <w:rFonts w:ascii="Calibri" w:hAnsi="Calibri"/>
                <w:lang w:val="en-US"/>
              </w:rPr>
              <w:t>Left ventricular end-diastolic dimension (mm)</w:t>
            </w:r>
          </w:p>
        </w:tc>
        <w:tc>
          <w:tcPr>
            <w:tcW w:w="1840"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44.9±6.9</w:t>
            </w:r>
          </w:p>
        </w:tc>
        <w:tc>
          <w:tcPr>
            <w:tcW w:w="1704"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45.5±7.1</w:t>
            </w:r>
          </w:p>
        </w:tc>
        <w:tc>
          <w:tcPr>
            <w:tcW w:w="951" w:type="dxa"/>
          </w:tcPr>
          <w:p w:rsidR="0041526A" w:rsidRPr="004977C6" w:rsidRDefault="0041526A" w:rsidP="00001601">
            <w:pPr>
              <w:tabs>
                <w:tab w:val="center" w:pos="4320"/>
                <w:tab w:val="right" w:pos="8640"/>
              </w:tabs>
              <w:spacing w:line="360" w:lineRule="auto"/>
              <w:rPr>
                <w:rFonts w:ascii="Calibri" w:hAnsi="Calibri"/>
                <w:lang w:val="en-US"/>
              </w:rPr>
            </w:pPr>
            <w:r w:rsidRPr="004977C6">
              <w:rPr>
                <w:rFonts w:ascii="Calibri" w:hAnsi="Calibri"/>
                <w:lang w:val="en-US"/>
              </w:rPr>
              <w:t>0.369</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rPr>
                <w:rFonts w:ascii="Calibri" w:hAnsi="Calibri"/>
                <w:lang w:val="en-US"/>
              </w:rPr>
            </w:pPr>
            <w:r w:rsidRPr="00AE22D7">
              <w:rPr>
                <w:rFonts w:ascii="Calibri" w:hAnsi="Calibri"/>
                <w:lang w:val="en-US"/>
              </w:rPr>
              <w:t>Maximum left ventricular wall thickness (mm)</w:t>
            </w:r>
          </w:p>
        </w:tc>
        <w:tc>
          <w:tcPr>
            <w:tcW w:w="1840"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19.0±5.0</w:t>
            </w:r>
          </w:p>
        </w:tc>
        <w:tc>
          <w:tcPr>
            <w:tcW w:w="1704"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18.8±5.2</w:t>
            </w:r>
          </w:p>
        </w:tc>
        <w:tc>
          <w:tcPr>
            <w:tcW w:w="951" w:type="dxa"/>
          </w:tcPr>
          <w:p w:rsidR="0041526A" w:rsidRPr="004977C6" w:rsidRDefault="0041526A" w:rsidP="00001601">
            <w:pPr>
              <w:tabs>
                <w:tab w:val="center" w:pos="4320"/>
                <w:tab w:val="right" w:pos="8640"/>
              </w:tabs>
              <w:spacing w:line="360" w:lineRule="auto"/>
              <w:rPr>
                <w:rFonts w:ascii="Calibri" w:hAnsi="Calibri"/>
                <w:lang w:val="en-US"/>
              </w:rPr>
            </w:pPr>
            <w:r w:rsidRPr="004977C6">
              <w:rPr>
                <w:rFonts w:ascii="Calibri" w:hAnsi="Calibri"/>
                <w:lang w:val="en-US"/>
              </w:rPr>
              <w:t>0.846</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rPr>
                <w:rFonts w:ascii="Calibri" w:hAnsi="Calibri"/>
                <w:lang w:val="en-US"/>
              </w:rPr>
            </w:pPr>
            <w:r w:rsidRPr="00AE22D7">
              <w:rPr>
                <w:rFonts w:ascii="Calibri" w:hAnsi="Calibri"/>
                <w:lang w:val="en-US"/>
              </w:rPr>
              <w:t>Simpson’s Ejection fraction (%)</w:t>
            </w:r>
          </w:p>
        </w:tc>
        <w:tc>
          <w:tcPr>
            <w:tcW w:w="1840"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64.7±10.5</w:t>
            </w:r>
          </w:p>
        </w:tc>
        <w:tc>
          <w:tcPr>
            <w:tcW w:w="1704"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63.6±10.1</w:t>
            </w:r>
          </w:p>
        </w:tc>
        <w:tc>
          <w:tcPr>
            <w:tcW w:w="951" w:type="dxa"/>
          </w:tcPr>
          <w:p w:rsidR="0041526A" w:rsidRPr="004977C6" w:rsidRDefault="0041526A" w:rsidP="00001601">
            <w:pPr>
              <w:tabs>
                <w:tab w:val="center" w:pos="4320"/>
                <w:tab w:val="right" w:pos="8640"/>
              </w:tabs>
              <w:spacing w:line="360" w:lineRule="auto"/>
              <w:rPr>
                <w:rFonts w:ascii="Calibri" w:hAnsi="Calibri"/>
                <w:lang w:val="en-US"/>
              </w:rPr>
            </w:pPr>
            <w:r w:rsidRPr="004977C6">
              <w:rPr>
                <w:rFonts w:ascii="Calibri" w:hAnsi="Calibri"/>
                <w:lang w:val="en-US"/>
              </w:rPr>
              <w:t>0.593</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rPr>
                <w:rFonts w:ascii="Calibri" w:hAnsi="Calibri"/>
                <w:lang w:val="en-US"/>
              </w:rPr>
            </w:pPr>
            <w:r w:rsidRPr="00AE22D7">
              <w:rPr>
                <w:rFonts w:ascii="Calibri" w:hAnsi="Calibri"/>
                <w:lang w:val="en-US"/>
              </w:rPr>
              <w:t>Complete SAM at rest – no. (%)</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20 (12.5)</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79 (30.2)</w:t>
            </w:r>
          </w:p>
        </w:tc>
        <w:tc>
          <w:tcPr>
            <w:tcW w:w="951" w:type="dxa"/>
          </w:tcPr>
          <w:p w:rsidR="0041526A" w:rsidRPr="004977C6" w:rsidRDefault="0041526A" w:rsidP="00001601">
            <w:pPr>
              <w:tabs>
                <w:tab w:val="center" w:pos="4320"/>
                <w:tab w:val="right" w:pos="8640"/>
              </w:tabs>
              <w:spacing w:line="360" w:lineRule="auto"/>
              <w:rPr>
                <w:rFonts w:ascii="Calibri" w:hAnsi="Calibri"/>
                <w:lang w:val="en-US"/>
              </w:rPr>
            </w:pPr>
            <w:r w:rsidRPr="004977C6">
              <w:rPr>
                <w:rFonts w:ascii="Calibri" w:hAnsi="Calibri"/>
                <w:lang w:val="en-US"/>
              </w:rPr>
              <w:t>&lt;0.001</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rPr>
                <w:rFonts w:ascii="Calibri" w:hAnsi="Calibri"/>
                <w:lang w:val="en-US"/>
              </w:rPr>
            </w:pPr>
            <w:r>
              <w:rPr>
                <w:rFonts w:ascii="Calibri" w:hAnsi="Calibri"/>
                <w:lang w:val="en-US"/>
              </w:rPr>
              <w:t>Resting left ventricular outflow tract</w:t>
            </w:r>
            <w:r w:rsidRPr="00AE22D7">
              <w:rPr>
                <w:rFonts w:ascii="Calibri" w:hAnsi="Calibri"/>
                <w:lang w:val="en-US"/>
              </w:rPr>
              <w:t xml:space="preserve"> gradient ≥30 mmHg </w:t>
            </w:r>
            <w:r>
              <w:rPr>
                <w:rFonts w:ascii="Calibri" w:hAnsi="Calibri"/>
                <w:lang w:val="en-US"/>
              </w:rPr>
              <w:t xml:space="preserve">at rest </w:t>
            </w:r>
            <w:r w:rsidRPr="00AE22D7">
              <w:rPr>
                <w:rFonts w:ascii="Calibri" w:hAnsi="Calibri"/>
                <w:lang w:val="en-US"/>
              </w:rPr>
              <w:t>– no. (%)</w:t>
            </w:r>
          </w:p>
        </w:tc>
        <w:tc>
          <w:tcPr>
            <w:tcW w:w="1840"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12 (7.5)</w:t>
            </w:r>
          </w:p>
        </w:tc>
        <w:tc>
          <w:tcPr>
            <w:tcW w:w="1704"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55 (21.4)</w:t>
            </w:r>
          </w:p>
        </w:tc>
        <w:tc>
          <w:tcPr>
            <w:tcW w:w="951" w:type="dxa"/>
          </w:tcPr>
          <w:p w:rsidR="0041526A" w:rsidRPr="004977C6" w:rsidRDefault="0041526A" w:rsidP="00001601">
            <w:pPr>
              <w:tabs>
                <w:tab w:val="center" w:pos="4320"/>
                <w:tab w:val="right" w:pos="8640"/>
              </w:tabs>
              <w:spacing w:line="360" w:lineRule="auto"/>
              <w:rPr>
                <w:rFonts w:ascii="Calibri" w:hAnsi="Calibri"/>
                <w:lang w:val="en-US"/>
              </w:rPr>
            </w:pPr>
            <w:r w:rsidRPr="004977C6">
              <w:rPr>
                <w:rFonts w:ascii="Calibri" w:hAnsi="Calibri"/>
                <w:lang w:val="en-US"/>
              </w:rPr>
              <w:t>&lt;0.001</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rPr>
                <w:rFonts w:ascii="Calibri" w:hAnsi="Calibri"/>
                <w:lang w:val="en-US"/>
              </w:rPr>
            </w:pPr>
            <w:r w:rsidRPr="00AE22D7">
              <w:rPr>
                <w:rFonts w:ascii="Calibri" w:hAnsi="Calibri"/>
                <w:lang w:val="en-US"/>
              </w:rPr>
              <w:t>E/A ratio</w:t>
            </w:r>
          </w:p>
        </w:tc>
        <w:tc>
          <w:tcPr>
            <w:tcW w:w="1840"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1.19±0.57</w:t>
            </w:r>
          </w:p>
        </w:tc>
        <w:tc>
          <w:tcPr>
            <w:tcW w:w="1704"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1.21±0.60</w:t>
            </w:r>
          </w:p>
        </w:tc>
        <w:tc>
          <w:tcPr>
            <w:tcW w:w="951" w:type="dxa"/>
          </w:tcPr>
          <w:p w:rsidR="0041526A" w:rsidRPr="004977C6" w:rsidRDefault="0041526A" w:rsidP="00001601">
            <w:pPr>
              <w:tabs>
                <w:tab w:val="center" w:pos="4320"/>
                <w:tab w:val="right" w:pos="8640"/>
              </w:tabs>
              <w:spacing w:line="360" w:lineRule="auto"/>
              <w:rPr>
                <w:rFonts w:ascii="Calibri" w:hAnsi="Calibri"/>
                <w:lang w:val="en-US"/>
              </w:rPr>
            </w:pPr>
            <w:r w:rsidRPr="004977C6">
              <w:rPr>
                <w:rFonts w:ascii="Calibri" w:hAnsi="Calibri"/>
                <w:lang w:val="en-US"/>
              </w:rPr>
              <w:t>0.685</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rPr>
                <w:rFonts w:ascii="Calibri" w:hAnsi="Calibri"/>
                <w:lang w:val="en-US"/>
              </w:rPr>
            </w:pPr>
            <w:r w:rsidRPr="00AE22D7">
              <w:rPr>
                <w:rFonts w:ascii="Calibri" w:hAnsi="Calibri"/>
                <w:lang w:val="en-US"/>
              </w:rPr>
              <w:t>Average E/E’</w:t>
            </w:r>
          </w:p>
        </w:tc>
        <w:tc>
          <w:tcPr>
            <w:tcW w:w="1840"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12.0±4.8</w:t>
            </w:r>
          </w:p>
        </w:tc>
        <w:tc>
          <w:tcPr>
            <w:tcW w:w="1704"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13.0±6.5</w:t>
            </w:r>
          </w:p>
        </w:tc>
        <w:tc>
          <w:tcPr>
            <w:tcW w:w="951" w:type="dxa"/>
          </w:tcPr>
          <w:p w:rsidR="0041526A" w:rsidRPr="004977C6" w:rsidRDefault="0041526A" w:rsidP="00001601">
            <w:pPr>
              <w:tabs>
                <w:tab w:val="center" w:pos="4320"/>
                <w:tab w:val="right" w:pos="8640"/>
              </w:tabs>
              <w:spacing w:line="360" w:lineRule="auto"/>
              <w:rPr>
                <w:rFonts w:ascii="Calibri" w:hAnsi="Calibri"/>
                <w:lang w:val="en-US"/>
              </w:rPr>
            </w:pPr>
            <w:r w:rsidRPr="004977C6">
              <w:rPr>
                <w:rFonts w:ascii="Calibri" w:hAnsi="Calibri"/>
                <w:lang w:val="en-US"/>
              </w:rPr>
              <w:t>0.126</w:t>
            </w:r>
          </w:p>
        </w:tc>
      </w:tr>
      <w:tr w:rsidR="0041526A" w:rsidRPr="00AE22D7" w:rsidTr="006A46E4">
        <w:trPr>
          <w:jc w:val="center"/>
        </w:trPr>
        <w:tc>
          <w:tcPr>
            <w:tcW w:w="9043" w:type="dxa"/>
            <w:gridSpan w:val="4"/>
          </w:tcPr>
          <w:p w:rsidR="0041526A" w:rsidRPr="004977C6" w:rsidRDefault="0041526A" w:rsidP="00001601">
            <w:pPr>
              <w:tabs>
                <w:tab w:val="center" w:pos="4320"/>
                <w:tab w:val="right" w:pos="8640"/>
              </w:tabs>
              <w:spacing w:line="360" w:lineRule="auto"/>
              <w:rPr>
                <w:rFonts w:ascii="Calibri" w:hAnsi="Calibri"/>
                <w:lang w:val="en-US"/>
              </w:rPr>
            </w:pPr>
            <w:r w:rsidRPr="004977C6">
              <w:rPr>
                <w:rFonts w:ascii="Calibri" w:hAnsi="Calibri"/>
                <w:b/>
                <w:lang w:val="en-US"/>
              </w:rPr>
              <w:t>Left ventricular hypertrophy pattern – no (%)</w:t>
            </w:r>
          </w:p>
        </w:tc>
      </w:tr>
      <w:tr w:rsidR="0041526A" w:rsidRPr="00AE22D7" w:rsidTr="00001601">
        <w:trPr>
          <w:jc w:val="center"/>
        </w:trPr>
        <w:tc>
          <w:tcPr>
            <w:tcW w:w="4548" w:type="dxa"/>
          </w:tcPr>
          <w:p w:rsidR="0041526A" w:rsidRPr="00AE22D7" w:rsidRDefault="0041526A" w:rsidP="00001601">
            <w:pPr>
              <w:tabs>
                <w:tab w:val="left" w:pos="1985"/>
                <w:tab w:val="center" w:pos="4320"/>
                <w:tab w:val="right" w:pos="8640"/>
              </w:tabs>
              <w:spacing w:line="360" w:lineRule="auto"/>
              <w:ind w:left="327"/>
              <w:rPr>
                <w:rFonts w:ascii="Calibri" w:hAnsi="Calibri"/>
                <w:lang w:val="en-US"/>
              </w:rPr>
            </w:pPr>
            <w:r w:rsidRPr="00AE22D7">
              <w:rPr>
                <w:rFonts w:ascii="Calibri" w:hAnsi="Calibri"/>
                <w:lang w:val="en-US"/>
              </w:rPr>
              <w:t>Septal</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52 (32.1)</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142 (54.2)</w:t>
            </w:r>
          </w:p>
        </w:tc>
        <w:tc>
          <w:tcPr>
            <w:tcW w:w="951" w:type="dxa"/>
            <w:vMerge w:val="restart"/>
          </w:tcPr>
          <w:p w:rsidR="0041526A" w:rsidRPr="004977C6" w:rsidRDefault="0041526A" w:rsidP="00001601">
            <w:pPr>
              <w:tabs>
                <w:tab w:val="center" w:pos="4320"/>
                <w:tab w:val="right" w:pos="8640"/>
              </w:tabs>
              <w:spacing w:line="360" w:lineRule="auto"/>
              <w:rPr>
                <w:rFonts w:ascii="Calibri" w:hAnsi="Calibri"/>
                <w:lang w:val="en-US"/>
              </w:rPr>
            </w:pPr>
          </w:p>
          <w:p w:rsidR="0041526A" w:rsidRPr="004977C6" w:rsidRDefault="0041526A" w:rsidP="00001601">
            <w:pPr>
              <w:tabs>
                <w:tab w:val="center" w:pos="4320"/>
                <w:tab w:val="right" w:pos="8640"/>
              </w:tabs>
              <w:spacing w:line="360" w:lineRule="auto"/>
              <w:rPr>
                <w:rFonts w:ascii="Calibri" w:hAnsi="Calibri"/>
                <w:lang w:val="en-US"/>
              </w:rPr>
            </w:pPr>
          </w:p>
          <w:p w:rsidR="0041526A" w:rsidRPr="004977C6" w:rsidRDefault="0041526A" w:rsidP="00001601">
            <w:pPr>
              <w:tabs>
                <w:tab w:val="center" w:pos="4320"/>
                <w:tab w:val="right" w:pos="8640"/>
              </w:tabs>
              <w:spacing w:line="360" w:lineRule="auto"/>
              <w:rPr>
                <w:rFonts w:ascii="Calibri" w:hAnsi="Calibri"/>
                <w:lang w:val="en-US"/>
              </w:rPr>
            </w:pPr>
            <w:r w:rsidRPr="004977C6">
              <w:rPr>
                <w:rFonts w:ascii="Calibri" w:hAnsi="Calibri"/>
                <w:lang w:val="en-US"/>
              </w:rPr>
              <w:t>&lt;0.001</w:t>
            </w:r>
          </w:p>
        </w:tc>
      </w:tr>
      <w:tr w:rsidR="0041526A" w:rsidRPr="00AE22D7" w:rsidTr="00001601">
        <w:trPr>
          <w:jc w:val="center"/>
        </w:trPr>
        <w:tc>
          <w:tcPr>
            <w:tcW w:w="4548" w:type="dxa"/>
          </w:tcPr>
          <w:p w:rsidR="0041526A" w:rsidRPr="00AE22D7" w:rsidRDefault="0041526A" w:rsidP="00001601">
            <w:pPr>
              <w:tabs>
                <w:tab w:val="left" w:pos="1985"/>
                <w:tab w:val="center" w:pos="4320"/>
                <w:tab w:val="right" w:pos="8640"/>
              </w:tabs>
              <w:spacing w:line="360" w:lineRule="auto"/>
              <w:ind w:left="327"/>
              <w:rPr>
                <w:rFonts w:ascii="Calibri" w:hAnsi="Calibri"/>
                <w:lang w:val="en-US"/>
              </w:rPr>
            </w:pPr>
            <w:r w:rsidRPr="00AE22D7">
              <w:rPr>
                <w:rFonts w:ascii="Calibri" w:hAnsi="Calibri"/>
                <w:lang w:val="en-US"/>
              </w:rPr>
              <w:t>Apical</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36 (22.2)</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28 (10.7)</w:t>
            </w:r>
          </w:p>
        </w:tc>
        <w:tc>
          <w:tcPr>
            <w:tcW w:w="951" w:type="dxa"/>
            <w:vMerge/>
          </w:tcPr>
          <w:p w:rsidR="0041526A" w:rsidRPr="004977C6" w:rsidRDefault="0041526A" w:rsidP="00001601">
            <w:pPr>
              <w:tabs>
                <w:tab w:val="center" w:pos="4320"/>
                <w:tab w:val="right" w:pos="8640"/>
              </w:tabs>
              <w:spacing w:line="360" w:lineRule="auto"/>
              <w:rPr>
                <w:rFonts w:ascii="Calibri" w:hAnsi="Calibri"/>
                <w:lang w:val="en-US"/>
              </w:rPr>
            </w:pP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ind w:left="327"/>
              <w:rPr>
                <w:rFonts w:ascii="Calibri" w:hAnsi="Calibri"/>
                <w:b/>
                <w:lang w:val="en-US"/>
              </w:rPr>
            </w:pPr>
            <w:r w:rsidRPr="00AE22D7">
              <w:rPr>
                <w:rFonts w:ascii="Calibri" w:hAnsi="Calibri"/>
                <w:lang w:val="en-US"/>
              </w:rPr>
              <w:t>Concentric</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15 (9.</w:t>
            </w:r>
            <w:r>
              <w:rPr>
                <w:rFonts w:ascii="Calibri" w:hAnsi="Calibri"/>
                <w:lang w:val="en-US"/>
              </w:rPr>
              <w:t>2</w:t>
            </w:r>
            <w:r w:rsidRPr="00AE22D7">
              <w:rPr>
                <w:rFonts w:ascii="Calibri" w:hAnsi="Calibri"/>
                <w:lang w:val="en-US"/>
              </w:rPr>
              <w:t>)</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4 (1.5)</w:t>
            </w:r>
          </w:p>
        </w:tc>
        <w:tc>
          <w:tcPr>
            <w:tcW w:w="951" w:type="dxa"/>
            <w:vMerge/>
          </w:tcPr>
          <w:p w:rsidR="0041526A" w:rsidRPr="004977C6" w:rsidRDefault="0041526A" w:rsidP="00001601">
            <w:pPr>
              <w:tabs>
                <w:tab w:val="center" w:pos="4320"/>
                <w:tab w:val="right" w:pos="8640"/>
              </w:tabs>
              <w:spacing w:line="360" w:lineRule="auto"/>
              <w:rPr>
                <w:rFonts w:ascii="Calibri" w:hAnsi="Calibri"/>
                <w:lang w:val="en-US"/>
              </w:rPr>
            </w:pP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ind w:left="327"/>
              <w:rPr>
                <w:rFonts w:ascii="Calibri" w:hAnsi="Calibri"/>
                <w:lang w:val="en-US"/>
              </w:rPr>
            </w:pPr>
            <w:r w:rsidRPr="00AE22D7">
              <w:rPr>
                <w:rFonts w:ascii="Calibri" w:hAnsi="Calibri"/>
                <w:lang w:val="en-US"/>
              </w:rPr>
              <w:t>Mixed Patterns</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59 (36.4)</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88 (33.6)</w:t>
            </w:r>
          </w:p>
        </w:tc>
        <w:tc>
          <w:tcPr>
            <w:tcW w:w="951" w:type="dxa"/>
            <w:vMerge/>
          </w:tcPr>
          <w:p w:rsidR="0041526A" w:rsidRPr="004977C6" w:rsidRDefault="0041526A" w:rsidP="00001601">
            <w:pPr>
              <w:tabs>
                <w:tab w:val="center" w:pos="4320"/>
                <w:tab w:val="right" w:pos="8640"/>
              </w:tabs>
              <w:spacing w:line="360" w:lineRule="auto"/>
              <w:rPr>
                <w:rFonts w:ascii="Calibri" w:hAnsi="Calibri"/>
                <w:lang w:val="en-US"/>
              </w:rPr>
            </w:pP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rPr>
                <w:rFonts w:ascii="Calibri" w:hAnsi="Calibri"/>
                <w:b/>
                <w:lang w:val="en-US"/>
              </w:rPr>
            </w:pPr>
            <w:r>
              <w:rPr>
                <w:rFonts w:ascii="Calibri" w:hAnsi="Calibri"/>
                <w:b/>
                <w:lang w:val="en-US"/>
              </w:rPr>
              <w:t>CMRI</w:t>
            </w:r>
            <w:r w:rsidRPr="00AE22D7">
              <w:rPr>
                <w:rFonts w:ascii="Calibri" w:hAnsi="Calibri"/>
                <w:b/>
                <w:lang w:val="en-US"/>
              </w:rPr>
              <w:t xml:space="preserve"> – no. (%)</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b/>
                <w:lang w:val="en-US"/>
              </w:rPr>
              <w:t>99 (60.7)</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b/>
                <w:lang w:val="en-US"/>
              </w:rPr>
              <w:t>147 (56.1%)</w:t>
            </w:r>
          </w:p>
        </w:tc>
        <w:tc>
          <w:tcPr>
            <w:tcW w:w="951" w:type="dxa"/>
          </w:tcPr>
          <w:p w:rsidR="0041526A" w:rsidRPr="004977C6" w:rsidRDefault="0041526A" w:rsidP="00001601">
            <w:pPr>
              <w:tabs>
                <w:tab w:val="center" w:pos="4320"/>
                <w:tab w:val="right" w:pos="8640"/>
              </w:tabs>
              <w:spacing w:line="360" w:lineRule="auto"/>
              <w:rPr>
                <w:rFonts w:ascii="Calibri" w:hAnsi="Calibri"/>
                <w:lang w:val="en-US"/>
              </w:rPr>
            </w:pPr>
            <w:r w:rsidRPr="004977C6">
              <w:rPr>
                <w:rFonts w:ascii="Calibri" w:hAnsi="Calibri"/>
                <w:lang w:val="en-US"/>
              </w:rPr>
              <w:t>0.347</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rPr>
                <w:rFonts w:ascii="Calibri" w:hAnsi="Calibri"/>
                <w:lang w:val="en-US"/>
              </w:rPr>
            </w:pPr>
            <w:r w:rsidRPr="00AE22D7">
              <w:rPr>
                <w:rFonts w:ascii="Calibri" w:hAnsi="Calibri"/>
                <w:lang w:val="en-US"/>
              </w:rPr>
              <w:t>Left ventricular mass index (g/m</w:t>
            </w:r>
            <w:r w:rsidRPr="00AE22D7">
              <w:rPr>
                <w:rFonts w:ascii="Calibri" w:hAnsi="Calibri"/>
                <w:vertAlign w:val="superscript"/>
                <w:lang w:val="en-US"/>
              </w:rPr>
              <w:t>2</w:t>
            </w:r>
            <w:r w:rsidRPr="00AE22D7">
              <w:rPr>
                <w:rFonts w:ascii="Calibri" w:hAnsi="Calibri"/>
                <w:lang w:val="en-US"/>
              </w:rPr>
              <w:t>)</w:t>
            </w:r>
          </w:p>
        </w:tc>
        <w:tc>
          <w:tcPr>
            <w:tcW w:w="1840"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105±44</w:t>
            </w:r>
          </w:p>
        </w:tc>
        <w:tc>
          <w:tcPr>
            <w:tcW w:w="1704"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103±40</w:t>
            </w:r>
          </w:p>
        </w:tc>
        <w:tc>
          <w:tcPr>
            <w:tcW w:w="951" w:type="dxa"/>
          </w:tcPr>
          <w:p w:rsidR="0041526A" w:rsidRPr="004977C6" w:rsidRDefault="0041526A" w:rsidP="00001601">
            <w:pPr>
              <w:tabs>
                <w:tab w:val="center" w:pos="4320"/>
                <w:tab w:val="right" w:pos="8640"/>
              </w:tabs>
              <w:spacing w:line="360" w:lineRule="auto"/>
              <w:rPr>
                <w:rFonts w:ascii="Calibri" w:hAnsi="Calibri"/>
                <w:lang w:val="en-US"/>
              </w:rPr>
            </w:pPr>
            <w:r w:rsidRPr="004977C6">
              <w:rPr>
                <w:rFonts w:ascii="Calibri" w:hAnsi="Calibri"/>
                <w:lang w:val="en-US"/>
              </w:rPr>
              <w:t>0.703</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rPr>
                <w:rFonts w:ascii="Calibri" w:hAnsi="Calibri"/>
                <w:lang w:val="en-US"/>
              </w:rPr>
            </w:pPr>
            <w:r w:rsidRPr="00AE22D7">
              <w:rPr>
                <w:rFonts w:ascii="Calibri" w:hAnsi="Calibri"/>
                <w:lang w:val="en-US"/>
              </w:rPr>
              <w:t>Left ventricular end diastolic volume index (ml/m</w:t>
            </w:r>
            <w:r w:rsidRPr="00AE22D7">
              <w:rPr>
                <w:rFonts w:ascii="Calibri" w:hAnsi="Calibri"/>
                <w:vertAlign w:val="superscript"/>
                <w:lang w:val="en-US"/>
              </w:rPr>
              <w:t>2</w:t>
            </w:r>
            <w:r w:rsidRPr="00AE22D7">
              <w:rPr>
                <w:rFonts w:ascii="Calibri" w:hAnsi="Calibri"/>
                <w:lang w:val="en-US"/>
              </w:rPr>
              <w:t>)</w:t>
            </w:r>
          </w:p>
        </w:tc>
        <w:tc>
          <w:tcPr>
            <w:tcW w:w="1840"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71±21</w:t>
            </w:r>
          </w:p>
        </w:tc>
        <w:tc>
          <w:tcPr>
            <w:tcW w:w="1704" w:type="dxa"/>
          </w:tcPr>
          <w:p w:rsidR="0041526A" w:rsidRPr="00AE22D7" w:rsidRDefault="0041526A" w:rsidP="00001601">
            <w:pPr>
              <w:spacing w:line="360" w:lineRule="auto"/>
              <w:jc w:val="center"/>
              <w:rPr>
                <w:rFonts w:ascii="Calibri" w:hAnsi="Calibri"/>
                <w:lang w:val="en-US"/>
              </w:rPr>
            </w:pPr>
            <w:r w:rsidRPr="00AE22D7">
              <w:rPr>
                <w:rFonts w:ascii="Calibri" w:hAnsi="Calibri"/>
                <w:lang w:val="en-US"/>
              </w:rPr>
              <w:t>72±19</w:t>
            </w:r>
          </w:p>
        </w:tc>
        <w:tc>
          <w:tcPr>
            <w:tcW w:w="951" w:type="dxa"/>
          </w:tcPr>
          <w:p w:rsidR="0041526A" w:rsidRPr="004977C6" w:rsidRDefault="0041526A" w:rsidP="00001601">
            <w:pPr>
              <w:tabs>
                <w:tab w:val="center" w:pos="4320"/>
                <w:tab w:val="right" w:pos="8640"/>
              </w:tabs>
              <w:spacing w:line="360" w:lineRule="auto"/>
              <w:rPr>
                <w:rFonts w:ascii="Calibri" w:hAnsi="Calibri"/>
                <w:lang w:val="en-US"/>
              </w:rPr>
            </w:pPr>
            <w:r w:rsidRPr="004977C6">
              <w:rPr>
                <w:rFonts w:ascii="Calibri" w:hAnsi="Calibri"/>
                <w:lang w:val="en-US"/>
              </w:rPr>
              <w:t>0.911</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rPr>
                <w:rFonts w:ascii="Calibri" w:hAnsi="Calibri"/>
                <w:lang w:val="en-US"/>
              </w:rPr>
            </w:pPr>
            <w:r w:rsidRPr="00AE22D7">
              <w:rPr>
                <w:rFonts w:ascii="Calibri" w:hAnsi="Calibri"/>
                <w:lang w:val="en-US"/>
              </w:rPr>
              <w:t>Late gadolinium enhancement – no. (%)</w:t>
            </w:r>
          </w:p>
        </w:tc>
        <w:tc>
          <w:tcPr>
            <w:tcW w:w="1840"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53 (55.8)</w:t>
            </w:r>
          </w:p>
        </w:tc>
        <w:tc>
          <w:tcPr>
            <w:tcW w:w="1704" w:type="dxa"/>
          </w:tcPr>
          <w:p w:rsidR="0041526A" w:rsidRPr="00AE22D7" w:rsidRDefault="0041526A" w:rsidP="00001601">
            <w:pPr>
              <w:tabs>
                <w:tab w:val="center" w:pos="4320"/>
                <w:tab w:val="right" w:pos="8640"/>
              </w:tabs>
              <w:spacing w:line="360" w:lineRule="auto"/>
              <w:jc w:val="center"/>
              <w:rPr>
                <w:rFonts w:ascii="Calibri" w:hAnsi="Calibri"/>
                <w:lang w:val="en-US"/>
              </w:rPr>
            </w:pPr>
            <w:r w:rsidRPr="00AE22D7">
              <w:rPr>
                <w:rFonts w:ascii="Calibri" w:hAnsi="Calibri"/>
                <w:lang w:val="en-US"/>
              </w:rPr>
              <w:t>102 (70.3)</w:t>
            </w:r>
          </w:p>
        </w:tc>
        <w:tc>
          <w:tcPr>
            <w:tcW w:w="951" w:type="dxa"/>
          </w:tcPr>
          <w:p w:rsidR="0041526A" w:rsidRPr="004977C6" w:rsidRDefault="0041526A" w:rsidP="00001601">
            <w:pPr>
              <w:tabs>
                <w:tab w:val="center" w:pos="4320"/>
                <w:tab w:val="right" w:pos="8640"/>
              </w:tabs>
              <w:spacing w:line="360" w:lineRule="auto"/>
              <w:rPr>
                <w:rFonts w:ascii="Calibri" w:hAnsi="Calibri"/>
                <w:lang w:val="en-US"/>
              </w:rPr>
            </w:pPr>
            <w:r w:rsidRPr="004977C6">
              <w:rPr>
                <w:rFonts w:ascii="Calibri" w:hAnsi="Calibri"/>
                <w:lang w:val="en-US"/>
              </w:rPr>
              <w:t>0.021</w:t>
            </w:r>
          </w:p>
        </w:tc>
      </w:tr>
      <w:tr w:rsidR="0041526A" w:rsidRPr="00AE22D7" w:rsidTr="00001601">
        <w:trPr>
          <w:jc w:val="center"/>
        </w:trPr>
        <w:tc>
          <w:tcPr>
            <w:tcW w:w="4548" w:type="dxa"/>
          </w:tcPr>
          <w:p w:rsidR="0041526A" w:rsidRPr="00AE22D7" w:rsidRDefault="0041526A" w:rsidP="00001601">
            <w:pPr>
              <w:tabs>
                <w:tab w:val="center" w:pos="4320"/>
                <w:tab w:val="right" w:pos="8640"/>
              </w:tabs>
              <w:spacing w:line="360" w:lineRule="auto"/>
              <w:rPr>
                <w:rFonts w:ascii="Calibri" w:hAnsi="Calibri"/>
                <w:lang w:val="en-US"/>
              </w:rPr>
            </w:pPr>
            <w:r w:rsidRPr="00AE22D7">
              <w:rPr>
                <w:rFonts w:ascii="Calibri" w:hAnsi="Calibri" w:cs="Arial"/>
                <w:b/>
                <w:lang w:val="en-US"/>
              </w:rPr>
              <w:t>Genetic Testing – no. (%)</w:t>
            </w:r>
          </w:p>
        </w:tc>
        <w:tc>
          <w:tcPr>
            <w:tcW w:w="1840" w:type="dxa"/>
          </w:tcPr>
          <w:p w:rsidR="0041526A" w:rsidRPr="00AE22D7" w:rsidRDefault="0041526A" w:rsidP="00001601">
            <w:pPr>
              <w:tabs>
                <w:tab w:val="center" w:pos="4320"/>
                <w:tab w:val="right" w:pos="8640"/>
              </w:tabs>
              <w:spacing w:line="360" w:lineRule="auto"/>
              <w:jc w:val="center"/>
              <w:rPr>
                <w:rFonts w:ascii="Calibri" w:hAnsi="Calibri"/>
                <w:b/>
                <w:lang w:val="en-US"/>
              </w:rPr>
            </w:pPr>
            <w:r w:rsidRPr="00AE22D7">
              <w:rPr>
                <w:rFonts w:ascii="Calibri" w:hAnsi="Calibri" w:cs="Arial"/>
                <w:b/>
                <w:lang w:val="en-US"/>
              </w:rPr>
              <w:t>63 (38.7)</w:t>
            </w:r>
          </w:p>
        </w:tc>
        <w:tc>
          <w:tcPr>
            <w:tcW w:w="1704" w:type="dxa"/>
          </w:tcPr>
          <w:p w:rsidR="0041526A" w:rsidRPr="00AE22D7" w:rsidRDefault="0041526A" w:rsidP="00001601">
            <w:pPr>
              <w:tabs>
                <w:tab w:val="center" w:pos="4320"/>
                <w:tab w:val="right" w:pos="8640"/>
              </w:tabs>
              <w:spacing w:line="360" w:lineRule="auto"/>
              <w:jc w:val="center"/>
              <w:rPr>
                <w:rFonts w:ascii="Calibri" w:hAnsi="Calibri"/>
                <w:b/>
                <w:lang w:val="en-US"/>
              </w:rPr>
            </w:pPr>
            <w:r w:rsidRPr="00AE22D7">
              <w:rPr>
                <w:rFonts w:ascii="Calibri" w:hAnsi="Calibri"/>
                <w:b/>
                <w:iCs/>
                <w:lang w:val="en-US"/>
              </w:rPr>
              <w:t>132 (50.4)</w:t>
            </w:r>
          </w:p>
        </w:tc>
        <w:tc>
          <w:tcPr>
            <w:tcW w:w="951" w:type="dxa"/>
          </w:tcPr>
          <w:p w:rsidR="0041526A" w:rsidRPr="004977C6" w:rsidRDefault="0041526A" w:rsidP="00001601">
            <w:pPr>
              <w:tabs>
                <w:tab w:val="center" w:pos="4320"/>
                <w:tab w:val="right" w:pos="8640"/>
              </w:tabs>
              <w:spacing w:line="360" w:lineRule="auto"/>
              <w:rPr>
                <w:rFonts w:ascii="Calibri" w:hAnsi="Calibri"/>
                <w:b/>
                <w:lang w:val="en-US"/>
              </w:rPr>
            </w:pPr>
            <w:r w:rsidRPr="004977C6">
              <w:rPr>
                <w:rFonts w:ascii="Calibri" w:hAnsi="Calibri" w:cs="Arial"/>
                <w:b/>
                <w:lang w:val="en-US"/>
              </w:rPr>
              <w:t>0.018</w:t>
            </w:r>
          </w:p>
        </w:tc>
      </w:tr>
      <w:tr w:rsidR="0041526A" w:rsidRPr="00AE22D7" w:rsidTr="00001601">
        <w:trPr>
          <w:jc w:val="center"/>
        </w:trPr>
        <w:tc>
          <w:tcPr>
            <w:tcW w:w="4548" w:type="dxa"/>
            <w:vAlign w:val="center"/>
          </w:tcPr>
          <w:p w:rsidR="0041526A" w:rsidRPr="00AE22D7" w:rsidRDefault="0041526A" w:rsidP="00001601">
            <w:pPr>
              <w:spacing w:line="360" w:lineRule="auto"/>
              <w:ind w:left="327"/>
              <w:rPr>
                <w:rFonts w:ascii="Calibri" w:hAnsi="Calibri" w:cs="Arial"/>
                <w:lang w:val="en-US"/>
              </w:rPr>
            </w:pPr>
            <w:r w:rsidRPr="00AE22D7">
              <w:rPr>
                <w:rFonts w:ascii="Calibri" w:hAnsi="Calibri" w:cs="Arial"/>
                <w:lang w:val="en-US"/>
              </w:rPr>
              <w:t>Gene positive (% of those tested)</w:t>
            </w:r>
          </w:p>
        </w:tc>
        <w:tc>
          <w:tcPr>
            <w:tcW w:w="1840" w:type="dxa"/>
            <w:vAlign w:val="center"/>
          </w:tcPr>
          <w:p w:rsidR="0041526A" w:rsidRPr="00AE22D7" w:rsidRDefault="0041526A" w:rsidP="00001601">
            <w:pPr>
              <w:spacing w:line="360" w:lineRule="auto"/>
              <w:jc w:val="center"/>
              <w:rPr>
                <w:rFonts w:ascii="Calibri" w:hAnsi="Calibri" w:cs="Arial"/>
                <w:lang w:val="en-US"/>
              </w:rPr>
            </w:pPr>
            <w:r w:rsidRPr="00AE22D7">
              <w:rPr>
                <w:rFonts w:ascii="Calibri" w:hAnsi="Calibri" w:cs="Arial"/>
                <w:lang w:val="en-US"/>
              </w:rPr>
              <w:t>34 (54.0)</w:t>
            </w:r>
          </w:p>
        </w:tc>
        <w:tc>
          <w:tcPr>
            <w:tcW w:w="1704" w:type="dxa"/>
            <w:vAlign w:val="center"/>
          </w:tcPr>
          <w:p w:rsidR="0041526A" w:rsidRPr="00AE22D7" w:rsidRDefault="0041526A" w:rsidP="00001601">
            <w:pPr>
              <w:spacing w:line="360" w:lineRule="auto"/>
              <w:jc w:val="center"/>
              <w:rPr>
                <w:rFonts w:ascii="Calibri" w:hAnsi="Calibri"/>
                <w:iCs/>
                <w:lang w:val="en-US"/>
              </w:rPr>
            </w:pPr>
            <w:r w:rsidRPr="00AE22D7">
              <w:rPr>
                <w:rFonts w:ascii="Calibri" w:hAnsi="Calibri"/>
                <w:iCs/>
                <w:lang w:val="en-US"/>
              </w:rPr>
              <w:t>67 (50.8)</w:t>
            </w:r>
          </w:p>
        </w:tc>
        <w:tc>
          <w:tcPr>
            <w:tcW w:w="951" w:type="dxa"/>
            <w:vAlign w:val="center"/>
          </w:tcPr>
          <w:p w:rsidR="0041526A" w:rsidRPr="004977C6" w:rsidRDefault="0041526A" w:rsidP="00001601">
            <w:pPr>
              <w:spacing w:line="360" w:lineRule="auto"/>
              <w:rPr>
                <w:rFonts w:ascii="Calibri" w:hAnsi="Calibri" w:cs="Arial"/>
                <w:lang w:val="en-US"/>
              </w:rPr>
            </w:pPr>
            <w:r w:rsidRPr="004977C6">
              <w:rPr>
                <w:rFonts w:ascii="Calibri" w:hAnsi="Calibri" w:cs="Arial"/>
                <w:lang w:val="en-US"/>
              </w:rPr>
              <w:t>0.675</w:t>
            </w:r>
          </w:p>
        </w:tc>
      </w:tr>
      <w:tr w:rsidR="0041526A" w:rsidRPr="00AE22D7" w:rsidTr="00001601">
        <w:trPr>
          <w:jc w:val="center"/>
        </w:trPr>
        <w:tc>
          <w:tcPr>
            <w:tcW w:w="4548" w:type="dxa"/>
            <w:vAlign w:val="center"/>
          </w:tcPr>
          <w:p w:rsidR="0041526A" w:rsidRPr="00AE22D7" w:rsidRDefault="0041526A" w:rsidP="00001601">
            <w:pPr>
              <w:spacing w:line="360" w:lineRule="auto"/>
              <w:ind w:left="894"/>
              <w:rPr>
                <w:rFonts w:ascii="Calibri" w:hAnsi="Calibri" w:cs="Arial"/>
                <w:lang w:val="en-US"/>
              </w:rPr>
            </w:pPr>
            <w:r w:rsidRPr="00AE22D7">
              <w:rPr>
                <w:rFonts w:ascii="Calibri" w:hAnsi="Calibri" w:cs="Arial"/>
                <w:lang w:val="en-US"/>
              </w:rPr>
              <w:t>MYBPC3</w:t>
            </w:r>
          </w:p>
        </w:tc>
        <w:tc>
          <w:tcPr>
            <w:tcW w:w="1840" w:type="dxa"/>
            <w:vAlign w:val="center"/>
          </w:tcPr>
          <w:p w:rsidR="0041526A" w:rsidRPr="00AE22D7" w:rsidRDefault="0041526A" w:rsidP="00001601">
            <w:pPr>
              <w:spacing w:line="360" w:lineRule="auto"/>
              <w:jc w:val="center"/>
              <w:rPr>
                <w:rFonts w:ascii="Calibri" w:hAnsi="Calibri" w:cs="Arial"/>
                <w:lang w:val="en-US"/>
              </w:rPr>
            </w:pPr>
            <w:r w:rsidRPr="00AE22D7">
              <w:rPr>
                <w:rFonts w:ascii="Calibri" w:hAnsi="Calibri" w:cs="Arial"/>
                <w:lang w:val="en-US"/>
              </w:rPr>
              <w:t>23 (36.5)</w:t>
            </w:r>
          </w:p>
        </w:tc>
        <w:tc>
          <w:tcPr>
            <w:tcW w:w="1704" w:type="dxa"/>
            <w:vAlign w:val="center"/>
          </w:tcPr>
          <w:p w:rsidR="0041526A" w:rsidRPr="00AE22D7" w:rsidRDefault="0041526A" w:rsidP="00001601">
            <w:pPr>
              <w:spacing w:line="360" w:lineRule="auto"/>
              <w:jc w:val="center"/>
              <w:rPr>
                <w:rFonts w:ascii="Calibri" w:hAnsi="Calibri"/>
                <w:iCs/>
                <w:lang w:val="en-US"/>
              </w:rPr>
            </w:pPr>
            <w:r w:rsidRPr="00AE22D7">
              <w:rPr>
                <w:rFonts w:ascii="Calibri" w:hAnsi="Calibri"/>
                <w:iCs/>
                <w:lang w:val="en-US"/>
              </w:rPr>
              <w:t>34 (25.8)</w:t>
            </w:r>
          </w:p>
        </w:tc>
        <w:tc>
          <w:tcPr>
            <w:tcW w:w="951" w:type="dxa"/>
            <w:vMerge w:val="restart"/>
            <w:vAlign w:val="center"/>
          </w:tcPr>
          <w:p w:rsidR="0041526A" w:rsidRPr="004977C6" w:rsidRDefault="0041526A" w:rsidP="00001601">
            <w:pPr>
              <w:spacing w:line="360" w:lineRule="auto"/>
              <w:rPr>
                <w:rFonts w:ascii="Calibri" w:hAnsi="Calibri" w:cs="Arial"/>
                <w:lang w:val="en-US"/>
              </w:rPr>
            </w:pPr>
            <w:r w:rsidRPr="004977C6">
              <w:rPr>
                <w:rFonts w:ascii="Calibri" w:hAnsi="Calibri" w:cs="Arial"/>
                <w:lang w:val="en-US"/>
              </w:rPr>
              <w:t>0.220</w:t>
            </w:r>
          </w:p>
        </w:tc>
      </w:tr>
      <w:tr w:rsidR="0041526A" w:rsidRPr="00AE22D7" w:rsidTr="00001601">
        <w:trPr>
          <w:jc w:val="center"/>
        </w:trPr>
        <w:tc>
          <w:tcPr>
            <w:tcW w:w="4548" w:type="dxa"/>
            <w:vAlign w:val="center"/>
          </w:tcPr>
          <w:p w:rsidR="0041526A" w:rsidRPr="00AE22D7" w:rsidRDefault="0041526A" w:rsidP="00001601">
            <w:pPr>
              <w:spacing w:line="360" w:lineRule="auto"/>
              <w:ind w:left="894"/>
              <w:rPr>
                <w:rFonts w:ascii="Calibri" w:hAnsi="Calibri" w:cs="Arial"/>
                <w:lang w:val="en-US"/>
              </w:rPr>
            </w:pPr>
            <w:r w:rsidRPr="00AE22D7">
              <w:rPr>
                <w:rFonts w:ascii="Calibri" w:hAnsi="Calibri" w:cs="Arial"/>
                <w:lang w:val="en-US"/>
              </w:rPr>
              <w:t>MYH7</w:t>
            </w:r>
          </w:p>
        </w:tc>
        <w:tc>
          <w:tcPr>
            <w:tcW w:w="1840" w:type="dxa"/>
            <w:vAlign w:val="center"/>
          </w:tcPr>
          <w:p w:rsidR="0041526A" w:rsidRPr="00AE22D7" w:rsidRDefault="0041526A" w:rsidP="00001601">
            <w:pPr>
              <w:spacing w:line="360" w:lineRule="auto"/>
              <w:jc w:val="center"/>
              <w:rPr>
                <w:rFonts w:ascii="Calibri" w:hAnsi="Calibri" w:cs="Arial"/>
                <w:lang w:val="en-US"/>
              </w:rPr>
            </w:pPr>
            <w:r w:rsidRPr="00AE22D7">
              <w:rPr>
                <w:rFonts w:ascii="Calibri" w:hAnsi="Calibri" w:cs="Arial"/>
                <w:lang w:val="en-US"/>
              </w:rPr>
              <w:t>3 (4.8)</w:t>
            </w:r>
          </w:p>
        </w:tc>
        <w:tc>
          <w:tcPr>
            <w:tcW w:w="1704" w:type="dxa"/>
            <w:vAlign w:val="center"/>
          </w:tcPr>
          <w:p w:rsidR="0041526A" w:rsidRPr="00AE22D7" w:rsidRDefault="0041526A" w:rsidP="00001601">
            <w:pPr>
              <w:spacing w:line="360" w:lineRule="auto"/>
              <w:jc w:val="center"/>
              <w:rPr>
                <w:rFonts w:ascii="Calibri" w:hAnsi="Calibri"/>
                <w:iCs/>
                <w:lang w:val="en-US"/>
              </w:rPr>
            </w:pPr>
            <w:r w:rsidRPr="00AE22D7">
              <w:rPr>
                <w:rFonts w:ascii="Calibri" w:hAnsi="Calibri"/>
                <w:iCs/>
                <w:lang w:val="en-US"/>
              </w:rPr>
              <w:t>16 (12.1)</w:t>
            </w:r>
          </w:p>
        </w:tc>
        <w:tc>
          <w:tcPr>
            <w:tcW w:w="951" w:type="dxa"/>
            <w:vMerge/>
            <w:vAlign w:val="center"/>
          </w:tcPr>
          <w:p w:rsidR="0041526A" w:rsidRPr="00AE22D7" w:rsidRDefault="0041526A" w:rsidP="00001601">
            <w:pPr>
              <w:spacing w:line="360" w:lineRule="auto"/>
              <w:rPr>
                <w:rFonts w:ascii="Calibri" w:hAnsi="Calibri" w:cs="Arial"/>
                <w:lang w:val="en-US"/>
              </w:rPr>
            </w:pPr>
          </w:p>
        </w:tc>
      </w:tr>
      <w:tr w:rsidR="0041526A" w:rsidRPr="00AE22D7" w:rsidTr="00001601">
        <w:trPr>
          <w:jc w:val="center"/>
        </w:trPr>
        <w:tc>
          <w:tcPr>
            <w:tcW w:w="4548" w:type="dxa"/>
            <w:vAlign w:val="center"/>
          </w:tcPr>
          <w:p w:rsidR="0041526A" w:rsidRPr="00AE22D7" w:rsidRDefault="0041526A" w:rsidP="00001601">
            <w:pPr>
              <w:spacing w:line="360" w:lineRule="auto"/>
              <w:ind w:left="894"/>
              <w:rPr>
                <w:rFonts w:ascii="Calibri" w:hAnsi="Calibri" w:cs="Arial"/>
                <w:lang w:val="en-US"/>
              </w:rPr>
            </w:pPr>
            <w:r w:rsidRPr="00AE22D7">
              <w:rPr>
                <w:rFonts w:ascii="Calibri" w:hAnsi="Calibri" w:cs="Arial"/>
                <w:lang w:val="en-US"/>
              </w:rPr>
              <w:t>TNNI3</w:t>
            </w:r>
          </w:p>
        </w:tc>
        <w:tc>
          <w:tcPr>
            <w:tcW w:w="1840" w:type="dxa"/>
            <w:vAlign w:val="center"/>
          </w:tcPr>
          <w:p w:rsidR="0041526A" w:rsidRPr="00AE22D7" w:rsidRDefault="0041526A" w:rsidP="00001601">
            <w:pPr>
              <w:spacing w:line="360" w:lineRule="auto"/>
              <w:jc w:val="center"/>
              <w:rPr>
                <w:rFonts w:ascii="Calibri" w:hAnsi="Calibri" w:cs="Arial"/>
                <w:lang w:val="en-US"/>
              </w:rPr>
            </w:pPr>
            <w:r w:rsidRPr="00AE22D7">
              <w:rPr>
                <w:rFonts w:ascii="Calibri" w:hAnsi="Calibri" w:cs="Arial"/>
                <w:lang w:val="en-US"/>
              </w:rPr>
              <w:t>4 (6.3)</w:t>
            </w:r>
          </w:p>
        </w:tc>
        <w:tc>
          <w:tcPr>
            <w:tcW w:w="1704" w:type="dxa"/>
            <w:vAlign w:val="center"/>
          </w:tcPr>
          <w:p w:rsidR="0041526A" w:rsidRPr="00AE22D7" w:rsidRDefault="0041526A" w:rsidP="00001601">
            <w:pPr>
              <w:spacing w:line="360" w:lineRule="auto"/>
              <w:jc w:val="center"/>
              <w:rPr>
                <w:rFonts w:ascii="Calibri" w:hAnsi="Calibri"/>
                <w:iCs/>
                <w:lang w:val="en-US"/>
              </w:rPr>
            </w:pPr>
            <w:r w:rsidRPr="00AE22D7">
              <w:rPr>
                <w:rFonts w:ascii="Calibri" w:hAnsi="Calibri"/>
                <w:iCs/>
                <w:lang w:val="en-US"/>
              </w:rPr>
              <w:t>3 (2.3)</w:t>
            </w:r>
          </w:p>
        </w:tc>
        <w:tc>
          <w:tcPr>
            <w:tcW w:w="951" w:type="dxa"/>
            <w:vMerge/>
            <w:vAlign w:val="center"/>
          </w:tcPr>
          <w:p w:rsidR="0041526A" w:rsidRPr="00AE22D7" w:rsidRDefault="0041526A" w:rsidP="00001601">
            <w:pPr>
              <w:spacing w:line="360" w:lineRule="auto"/>
              <w:rPr>
                <w:rFonts w:ascii="Calibri" w:hAnsi="Calibri" w:cs="Arial"/>
                <w:lang w:val="en-US"/>
              </w:rPr>
            </w:pPr>
          </w:p>
        </w:tc>
      </w:tr>
      <w:tr w:rsidR="0041526A" w:rsidRPr="00AE22D7" w:rsidTr="00001601">
        <w:trPr>
          <w:jc w:val="center"/>
        </w:trPr>
        <w:tc>
          <w:tcPr>
            <w:tcW w:w="4548" w:type="dxa"/>
            <w:vAlign w:val="center"/>
          </w:tcPr>
          <w:p w:rsidR="0041526A" w:rsidRPr="00AE22D7" w:rsidRDefault="0041526A" w:rsidP="00001601">
            <w:pPr>
              <w:spacing w:line="360" w:lineRule="auto"/>
              <w:ind w:left="894"/>
              <w:rPr>
                <w:rFonts w:ascii="Calibri" w:hAnsi="Calibri" w:cs="Arial"/>
                <w:lang w:val="en-US"/>
              </w:rPr>
            </w:pPr>
            <w:r w:rsidRPr="00AE22D7">
              <w:rPr>
                <w:rFonts w:ascii="Calibri" w:hAnsi="Calibri" w:cs="Arial"/>
                <w:lang w:val="en-US"/>
              </w:rPr>
              <w:t>TNNT2</w:t>
            </w:r>
          </w:p>
        </w:tc>
        <w:tc>
          <w:tcPr>
            <w:tcW w:w="1840" w:type="dxa"/>
            <w:vAlign w:val="center"/>
          </w:tcPr>
          <w:p w:rsidR="0041526A" w:rsidRPr="00AE22D7" w:rsidRDefault="0041526A" w:rsidP="00001601">
            <w:pPr>
              <w:spacing w:line="360" w:lineRule="auto"/>
              <w:jc w:val="center"/>
              <w:rPr>
                <w:rFonts w:ascii="Calibri" w:hAnsi="Calibri" w:cs="Arial"/>
                <w:lang w:val="en-US"/>
              </w:rPr>
            </w:pPr>
            <w:r w:rsidRPr="00AE22D7">
              <w:rPr>
                <w:rFonts w:ascii="Calibri" w:hAnsi="Calibri" w:cs="Arial"/>
                <w:lang w:val="en-US"/>
              </w:rPr>
              <w:t>2 (3.2)</w:t>
            </w:r>
          </w:p>
        </w:tc>
        <w:tc>
          <w:tcPr>
            <w:tcW w:w="1704" w:type="dxa"/>
            <w:vAlign w:val="center"/>
          </w:tcPr>
          <w:p w:rsidR="0041526A" w:rsidRPr="00AE22D7" w:rsidRDefault="0041526A" w:rsidP="00001601">
            <w:pPr>
              <w:spacing w:line="360" w:lineRule="auto"/>
              <w:jc w:val="center"/>
              <w:rPr>
                <w:rFonts w:ascii="Calibri" w:hAnsi="Calibri"/>
                <w:iCs/>
                <w:lang w:val="en-US"/>
              </w:rPr>
            </w:pPr>
            <w:r w:rsidRPr="00AE22D7">
              <w:rPr>
                <w:rFonts w:ascii="Calibri" w:hAnsi="Calibri"/>
                <w:iCs/>
                <w:lang w:val="en-US"/>
              </w:rPr>
              <w:t>8 (6.1)</w:t>
            </w:r>
          </w:p>
        </w:tc>
        <w:tc>
          <w:tcPr>
            <w:tcW w:w="951" w:type="dxa"/>
            <w:vMerge/>
            <w:vAlign w:val="center"/>
          </w:tcPr>
          <w:p w:rsidR="0041526A" w:rsidRPr="00AE22D7" w:rsidRDefault="0041526A" w:rsidP="00001601">
            <w:pPr>
              <w:spacing w:line="360" w:lineRule="auto"/>
              <w:rPr>
                <w:rFonts w:ascii="Calibri" w:hAnsi="Calibri" w:cs="Arial"/>
                <w:lang w:val="en-US"/>
              </w:rPr>
            </w:pPr>
          </w:p>
        </w:tc>
      </w:tr>
      <w:tr w:rsidR="0041526A" w:rsidRPr="00AE22D7" w:rsidTr="00001601">
        <w:trPr>
          <w:jc w:val="center"/>
        </w:trPr>
        <w:tc>
          <w:tcPr>
            <w:tcW w:w="4548" w:type="dxa"/>
            <w:tcBorders>
              <w:bottom w:val="single" w:sz="4" w:space="0" w:color="auto"/>
            </w:tcBorders>
            <w:vAlign w:val="center"/>
          </w:tcPr>
          <w:p w:rsidR="0041526A" w:rsidRPr="00AE22D7" w:rsidRDefault="0041526A" w:rsidP="00001601">
            <w:pPr>
              <w:spacing w:line="360" w:lineRule="auto"/>
              <w:ind w:left="894"/>
              <w:rPr>
                <w:rFonts w:ascii="Calibri" w:eastAsia="Times New Roman" w:hAnsi="Calibri" w:cs="Arial"/>
                <w:lang w:val="en-US" w:eastAsia="en-GB"/>
              </w:rPr>
            </w:pPr>
            <w:r w:rsidRPr="00AE22D7">
              <w:rPr>
                <w:rFonts w:ascii="Calibri" w:hAnsi="Calibri" w:cs="Arial"/>
                <w:lang w:val="en-US"/>
              </w:rPr>
              <w:t>Other (</w:t>
            </w:r>
            <w:r>
              <w:rPr>
                <w:rFonts w:ascii="Calibri" w:eastAsia="Times New Roman" w:hAnsi="Calibri" w:cs="Arial"/>
                <w:lang w:val="en-US" w:eastAsia="en-GB"/>
              </w:rPr>
              <w:t>MYH6, MYL3, MYL3</w:t>
            </w:r>
            <w:r w:rsidRPr="00AE22D7">
              <w:rPr>
                <w:rFonts w:ascii="Calibri" w:eastAsia="Times New Roman" w:hAnsi="Calibri" w:cs="Arial"/>
                <w:lang w:val="en-US" w:eastAsia="en-GB"/>
              </w:rPr>
              <w:t>)</w:t>
            </w:r>
          </w:p>
        </w:tc>
        <w:tc>
          <w:tcPr>
            <w:tcW w:w="1840" w:type="dxa"/>
            <w:tcBorders>
              <w:bottom w:val="single" w:sz="4" w:space="0" w:color="auto"/>
            </w:tcBorders>
            <w:vAlign w:val="center"/>
          </w:tcPr>
          <w:p w:rsidR="0041526A" w:rsidRPr="00AE22D7" w:rsidRDefault="0041526A" w:rsidP="00001601">
            <w:pPr>
              <w:spacing w:line="360" w:lineRule="auto"/>
              <w:jc w:val="center"/>
              <w:rPr>
                <w:rFonts w:ascii="Calibri" w:hAnsi="Calibri" w:cs="Arial"/>
                <w:lang w:val="en-US"/>
              </w:rPr>
            </w:pPr>
            <w:r w:rsidRPr="00AE22D7">
              <w:rPr>
                <w:rFonts w:ascii="Calibri" w:hAnsi="Calibri" w:cs="Arial"/>
                <w:lang w:val="en-US"/>
              </w:rPr>
              <w:t>2 (3.2)</w:t>
            </w:r>
          </w:p>
        </w:tc>
        <w:tc>
          <w:tcPr>
            <w:tcW w:w="1704" w:type="dxa"/>
            <w:tcBorders>
              <w:bottom w:val="single" w:sz="4" w:space="0" w:color="auto"/>
            </w:tcBorders>
            <w:vAlign w:val="center"/>
          </w:tcPr>
          <w:p w:rsidR="0041526A" w:rsidRPr="00AE22D7" w:rsidRDefault="0041526A" w:rsidP="00001601">
            <w:pPr>
              <w:spacing w:line="360" w:lineRule="auto"/>
              <w:jc w:val="center"/>
              <w:rPr>
                <w:rFonts w:ascii="Calibri" w:hAnsi="Calibri"/>
                <w:iCs/>
                <w:lang w:val="en-US"/>
              </w:rPr>
            </w:pPr>
            <w:r w:rsidRPr="00AE22D7">
              <w:rPr>
                <w:rFonts w:ascii="Calibri" w:hAnsi="Calibri"/>
                <w:iCs/>
                <w:lang w:val="en-US"/>
              </w:rPr>
              <w:t>6 (4.5)</w:t>
            </w:r>
          </w:p>
        </w:tc>
        <w:tc>
          <w:tcPr>
            <w:tcW w:w="951" w:type="dxa"/>
            <w:vMerge/>
            <w:tcBorders>
              <w:bottom w:val="single" w:sz="4" w:space="0" w:color="auto"/>
            </w:tcBorders>
            <w:vAlign w:val="center"/>
          </w:tcPr>
          <w:p w:rsidR="0041526A" w:rsidRPr="00AE22D7" w:rsidRDefault="0041526A" w:rsidP="00001601">
            <w:pPr>
              <w:spacing w:line="360" w:lineRule="auto"/>
              <w:rPr>
                <w:rFonts w:ascii="Calibri" w:hAnsi="Calibri" w:cs="Arial"/>
                <w:lang w:val="en-US"/>
              </w:rPr>
            </w:pPr>
          </w:p>
        </w:tc>
      </w:tr>
    </w:tbl>
    <w:p w:rsidR="0041526A" w:rsidRPr="00AE22D7" w:rsidRDefault="0041526A" w:rsidP="0041526A">
      <w:pPr>
        <w:spacing w:before="240" w:line="480" w:lineRule="auto"/>
        <w:rPr>
          <w:rFonts w:ascii="Calibri" w:eastAsia="Times New Roman" w:hAnsi="Calibri" w:cs="Arial"/>
          <w:b/>
          <w:lang w:val="en-US" w:eastAsia="en-GB"/>
        </w:rPr>
      </w:pPr>
      <w:r>
        <w:rPr>
          <w:rFonts w:ascii="Calibri" w:eastAsia="Times New Roman" w:hAnsi="Calibri" w:cs="Arial"/>
          <w:b/>
          <w:lang w:val="en-US" w:eastAsia="en-GB"/>
        </w:rPr>
        <w:t xml:space="preserve">bpm beats per minute; CMRI, cardiac magnetic resonance imaging; E/A, </w:t>
      </w:r>
      <w:r w:rsidRPr="0024363F">
        <w:rPr>
          <w:rFonts w:ascii="Calibri" w:eastAsia="Times New Roman" w:hAnsi="Calibri" w:cs="Arial"/>
          <w:b/>
          <w:lang w:val="en-US" w:eastAsia="en-GB"/>
        </w:rPr>
        <w:t>ratio of early to late diastolic inflow velocities</w:t>
      </w:r>
      <w:r>
        <w:rPr>
          <w:rFonts w:ascii="Calibri" w:eastAsia="Times New Roman" w:hAnsi="Calibri" w:cs="Arial"/>
          <w:b/>
          <w:lang w:val="en-US" w:eastAsia="en-GB"/>
        </w:rPr>
        <w:t>; E/E’,</w:t>
      </w:r>
      <w:r w:rsidRPr="0024363F">
        <w:rPr>
          <w:rFonts w:ascii="Calibri" w:eastAsia="Times New Roman" w:hAnsi="Calibri" w:cs="Arial"/>
          <w:b/>
          <w:lang w:val="en-US" w:eastAsia="en-GB"/>
        </w:rPr>
        <w:t xml:space="preserve"> </w:t>
      </w:r>
      <w:r>
        <w:rPr>
          <w:rFonts w:ascii="Calibri" w:eastAsia="Times New Roman" w:hAnsi="Calibri" w:cs="Arial"/>
          <w:b/>
          <w:lang w:val="en-US" w:eastAsia="en-GB"/>
        </w:rPr>
        <w:t xml:space="preserve">ratio of early diastolic inflow to </w:t>
      </w:r>
      <w:r w:rsidRPr="0024363F">
        <w:rPr>
          <w:rFonts w:ascii="Calibri" w:eastAsia="Times New Roman" w:hAnsi="Calibri" w:cs="Arial"/>
          <w:b/>
          <w:lang w:val="en-US" w:eastAsia="en-GB"/>
        </w:rPr>
        <w:t>early myocardial</w:t>
      </w:r>
      <w:r>
        <w:rPr>
          <w:rFonts w:ascii="Calibri" w:eastAsia="Times New Roman" w:hAnsi="Calibri" w:cs="Arial"/>
          <w:b/>
          <w:lang w:val="en-US" w:eastAsia="en-GB"/>
        </w:rPr>
        <w:t xml:space="preserve"> relaxation velocity; MYBPC3, </w:t>
      </w:r>
      <w:r w:rsidRPr="00207C76">
        <w:rPr>
          <w:rFonts w:ascii="Calibri" w:eastAsia="Times New Roman" w:hAnsi="Calibri" w:cs="Arial"/>
          <w:b/>
          <w:lang w:val="en-US" w:eastAsia="en-GB"/>
        </w:rPr>
        <w:t>myosin binding protein C</w:t>
      </w:r>
      <w:r>
        <w:rPr>
          <w:rFonts w:ascii="Calibri" w:eastAsia="Times New Roman" w:hAnsi="Calibri" w:cs="Arial"/>
          <w:b/>
          <w:lang w:val="en-US" w:eastAsia="en-GB"/>
        </w:rPr>
        <w:t>; MYH6, myosin</w:t>
      </w:r>
      <w:r w:rsidRPr="00207C76">
        <w:rPr>
          <w:rFonts w:ascii="Calibri" w:eastAsia="Times New Roman" w:hAnsi="Calibri" w:cs="Arial"/>
          <w:b/>
          <w:lang w:val="en-US" w:eastAsia="en-GB"/>
        </w:rPr>
        <w:t xml:space="preserve"> heavy chain 6</w:t>
      </w:r>
      <w:r>
        <w:rPr>
          <w:rFonts w:ascii="Calibri" w:eastAsia="Times New Roman" w:hAnsi="Calibri" w:cs="Arial"/>
          <w:b/>
          <w:lang w:val="en-US" w:eastAsia="en-GB"/>
        </w:rPr>
        <w:t xml:space="preserve">; MYH7, myosin </w:t>
      </w:r>
      <w:r w:rsidRPr="00207C76">
        <w:rPr>
          <w:rFonts w:ascii="Calibri" w:eastAsia="Times New Roman" w:hAnsi="Calibri" w:cs="Arial"/>
          <w:b/>
          <w:lang w:val="en-US" w:eastAsia="en-GB"/>
        </w:rPr>
        <w:t>heavy chain 7</w:t>
      </w:r>
      <w:r>
        <w:rPr>
          <w:rFonts w:ascii="Calibri" w:eastAsia="Times New Roman" w:hAnsi="Calibri" w:cs="Arial"/>
          <w:b/>
          <w:lang w:val="en-US" w:eastAsia="en-GB"/>
        </w:rPr>
        <w:t xml:space="preserve">; MYL3, </w:t>
      </w:r>
      <w:r w:rsidRPr="00207C76">
        <w:rPr>
          <w:rFonts w:ascii="Calibri" w:eastAsia="Times New Roman" w:hAnsi="Calibri" w:cs="Arial"/>
          <w:b/>
          <w:lang w:val="en-US" w:eastAsia="en-GB"/>
        </w:rPr>
        <w:t>myosin light chain 3</w:t>
      </w:r>
      <w:r>
        <w:rPr>
          <w:rFonts w:ascii="Calibri" w:eastAsia="Times New Roman" w:hAnsi="Calibri" w:cs="Arial"/>
          <w:b/>
          <w:lang w:val="en-US" w:eastAsia="en-GB"/>
        </w:rPr>
        <w:t xml:space="preserve">; TNNI3, </w:t>
      </w:r>
      <w:r w:rsidRPr="00207C76">
        <w:rPr>
          <w:rFonts w:ascii="Calibri" w:eastAsia="Times New Roman" w:hAnsi="Calibri" w:cs="Arial"/>
          <w:b/>
          <w:lang w:val="en-US" w:eastAsia="en-GB"/>
        </w:rPr>
        <w:t>troponin I type 3</w:t>
      </w:r>
      <w:r>
        <w:rPr>
          <w:rFonts w:ascii="Calibri" w:eastAsia="Times New Roman" w:hAnsi="Calibri" w:cs="Arial"/>
          <w:b/>
          <w:lang w:val="en-US" w:eastAsia="en-GB"/>
        </w:rPr>
        <w:t xml:space="preserve">; TNNT2, </w:t>
      </w:r>
      <w:r w:rsidRPr="00207C76">
        <w:rPr>
          <w:rFonts w:ascii="Calibri" w:eastAsia="Times New Roman" w:hAnsi="Calibri" w:cs="Arial"/>
          <w:b/>
          <w:lang w:val="en-US" w:eastAsia="en-GB"/>
        </w:rPr>
        <w:t>troponin T type 2</w:t>
      </w:r>
      <w:r>
        <w:rPr>
          <w:rFonts w:ascii="Calibri" w:eastAsia="Times New Roman" w:hAnsi="Calibri" w:cs="Arial"/>
          <w:b/>
          <w:lang w:val="en-US" w:eastAsia="en-GB"/>
        </w:rPr>
        <w:t>; SAM,</w:t>
      </w:r>
      <w:r w:rsidRPr="00AE22D7">
        <w:rPr>
          <w:rFonts w:ascii="Calibri" w:eastAsia="Times New Roman" w:hAnsi="Calibri" w:cs="Arial"/>
          <w:b/>
          <w:lang w:val="en-US" w:eastAsia="en-GB"/>
        </w:rPr>
        <w:t xml:space="preserve"> systolic anterior moti</w:t>
      </w:r>
      <w:r>
        <w:rPr>
          <w:rFonts w:ascii="Calibri" w:eastAsia="Times New Roman" w:hAnsi="Calibri" w:cs="Arial"/>
          <w:b/>
          <w:lang w:val="en-US" w:eastAsia="en-GB"/>
        </w:rPr>
        <w:t>on of the mitral valve leaflets; and TWI,</w:t>
      </w:r>
      <w:r w:rsidRPr="00AE22D7">
        <w:rPr>
          <w:rFonts w:ascii="Calibri" w:eastAsia="Times New Roman" w:hAnsi="Calibri" w:cs="Arial"/>
          <w:b/>
          <w:lang w:val="en-US" w:eastAsia="en-GB"/>
        </w:rPr>
        <w:t xml:space="preserve"> T-wave inversion.</w:t>
      </w:r>
      <w:r>
        <w:rPr>
          <w:rFonts w:ascii="Calibri" w:eastAsia="Times New Roman" w:hAnsi="Calibri" w:cs="Arial"/>
          <w:b/>
          <w:lang w:val="en-US" w:eastAsia="en-GB"/>
        </w:rPr>
        <w:t xml:space="preserve"> </w:t>
      </w:r>
    </w:p>
    <w:p w:rsidR="0041526A" w:rsidRDefault="0041526A" w:rsidP="006C647A">
      <w:pPr>
        <w:spacing w:line="480" w:lineRule="auto"/>
        <w:rPr>
          <w:rFonts w:ascii="Calibri" w:hAnsi="Calibri" w:cs="Arial"/>
          <w:b/>
          <w:lang w:val="en-US"/>
        </w:rPr>
      </w:pPr>
    </w:p>
    <w:p w:rsidR="00B62426" w:rsidRPr="001146E4" w:rsidRDefault="00604C0D" w:rsidP="006C647A">
      <w:pPr>
        <w:spacing w:line="480" w:lineRule="auto"/>
        <w:rPr>
          <w:rFonts w:ascii="Calibri" w:hAnsi="Calibri" w:cs="Arial"/>
          <w:b/>
          <w:lang w:val="en-US"/>
        </w:rPr>
      </w:pPr>
      <w:r w:rsidRPr="001146E4">
        <w:rPr>
          <w:rFonts w:ascii="Calibri" w:hAnsi="Calibri" w:cs="Arial"/>
          <w:b/>
          <w:lang w:val="en-US"/>
        </w:rPr>
        <w:t>S</w:t>
      </w:r>
      <w:r>
        <w:rPr>
          <w:rFonts w:ascii="Calibri" w:hAnsi="Calibri" w:cs="Arial"/>
          <w:b/>
          <w:lang w:val="en-US"/>
        </w:rPr>
        <w:t>tructural Changes</w:t>
      </w:r>
    </w:p>
    <w:p w:rsidR="00E824BA" w:rsidRDefault="00B62426" w:rsidP="006C647A">
      <w:pPr>
        <w:spacing w:line="480" w:lineRule="auto"/>
        <w:rPr>
          <w:rFonts w:ascii="Calibri" w:hAnsi="Calibri" w:cs="Arial"/>
          <w:lang w:val="en-US"/>
        </w:rPr>
      </w:pPr>
      <w:r w:rsidRPr="00923CE9">
        <w:rPr>
          <w:rFonts w:ascii="Calibri" w:hAnsi="Calibri" w:cs="Arial"/>
          <w:lang w:val="en-US"/>
        </w:rPr>
        <w:t>There were no ethnic differences in</w:t>
      </w:r>
      <w:r w:rsidR="00DD484B" w:rsidRPr="00923CE9">
        <w:rPr>
          <w:rFonts w:ascii="Calibri" w:hAnsi="Calibri" w:cs="Arial"/>
          <w:lang w:val="en-US"/>
        </w:rPr>
        <w:t xml:space="preserve"> mean </w:t>
      </w:r>
      <w:r w:rsidR="002B1871">
        <w:rPr>
          <w:rFonts w:ascii="Calibri" w:hAnsi="Calibri" w:cs="Arial"/>
          <w:lang w:val="en-US"/>
        </w:rPr>
        <w:t xml:space="preserve">left atrial dimension, </w:t>
      </w:r>
      <w:r w:rsidR="00EA5682">
        <w:rPr>
          <w:rFonts w:ascii="Calibri" w:hAnsi="Calibri" w:cs="Arial"/>
          <w:lang w:val="en-US"/>
        </w:rPr>
        <w:t>left ventricular</w:t>
      </w:r>
      <w:r w:rsidR="00DD484B" w:rsidRPr="00923CE9">
        <w:rPr>
          <w:rFonts w:ascii="Calibri" w:hAnsi="Calibri" w:cs="Arial"/>
          <w:lang w:val="en-US"/>
        </w:rPr>
        <w:t xml:space="preserve"> dimension</w:t>
      </w:r>
      <w:r w:rsidR="00EA5682">
        <w:rPr>
          <w:rFonts w:ascii="Calibri" w:hAnsi="Calibri" w:cs="Arial"/>
          <w:lang w:val="en-US"/>
        </w:rPr>
        <w:t>s</w:t>
      </w:r>
      <w:r w:rsidR="00B6140E">
        <w:rPr>
          <w:rFonts w:ascii="Calibri" w:hAnsi="Calibri" w:cs="Arial"/>
          <w:lang w:val="en-US"/>
        </w:rPr>
        <w:t>, maximum l</w:t>
      </w:r>
      <w:r w:rsidR="00EA5682">
        <w:rPr>
          <w:rFonts w:ascii="Calibri" w:hAnsi="Calibri" w:cs="Arial"/>
          <w:lang w:val="en-US"/>
        </w:rPr>
        <w:t>eft ventricular</w:t>
      </w:r>
      <w:r w:rsidR="00207430" w:rsidRPr="00923CE9">
        <w:rPr>
          <w:rFonts w:ascii="Calibri" w:hAnsi="Calibri" w:cs="Arial"/>
          <w:lang w:val="en-US"/>
        </w:rPr>
        <w:t xml:space="preserve"> wall thickness</w:t>
      </w:r>
      <w:r w:rsidR="00DD484B" w:rsidRPr="00923CE9">
        <w:rPr>
          <w:rFonts w:ascii="Calibri" w:hAnsi="Calibri" w:cs="Arial"/>
          <w:lang w:val="en-US"/>
        </w:rPr>
        <w:t xml:space="preserve">, </w:t>
      </w:r>
      <w:r w:rsidR="00EA5682">
        <w:rPr>
          <w:rFonts w:ascii="Calibri" w:hAnsi="Calibri" w:cs="Arial"/>
          <w:lang w:val="en-US"/>
        </w:rPr>
        <w:t xml:space="preserve">left </w:t>
      </w:r>
      <w:r w:rsidR="00B6140E">
        <w:rPr>
          <w:rFonts w:ascii="Calibri" w:hAnsi="Calibri" w:cs="Arial"/>
          <w:lang w:val="en-US"/>
        </w:rPr>
        <w:t xml:space="preserve">ventricular </w:t>
      </w:r>
      <w:r w:rsidR="00B6140E" w:rsidRPr="00923CE9">
        <w:rPr>
          <w:rFonts w:ascii="Calibri" w:hAnsi="Calibri" w:cs="Arial"/>
          <w:lang w:val="en-US"/>
        </w:rPr>
        <w:t>mass</w:t>
      </w:r>
      <w:r w:rsidR="00DD484B" w:rsidRPr="00923CE9">
        <w:rPr>
          <w:rFonts w:ascii="Calibri" w:hAnsi="Calibri" w:cs="Arial"/>
          <w:lang w:val="en-US"/>
        </w:rPr>
        <w:t xml:space="preserve"> or</w:t>
      </w:r>
      <w:r w:rsidRPr="00923CE9">
        <w:rPr>
          <w:rFonts w:ascii="Calibri" w:hAnsi="Calibri" w:cs="Arial"/>
          <w:lang w:val="en-US"/>
        </w:rPr>
        <w:t xml:space="preserve"> </w:t>
      </w:r>
      <w:r w:rsidR="00EA5682">
        <w:rPr>
          <w:rFonts w:ascii="Calibri" w:hAnsi="Calibri" w:cs="Arial"/>
          <w:lang w:val="en-US"/>
        </w:rPr>
        <w:t xml:space="preserve">left ventricular </w:t>
      </w:r>
      <w:r w:rsidR="00003A60" w:rsidRPr="00923CE9">
        <w:rPr>
          <w:rFonts w:ascii="Calibri" w:hAnsi="Calibri" w:cs="Arial"/>
          <w:lang w:val="en-US"/>
        </w:rPr>
        <w:t xml:space="preserve">systolic </w:t>
      </w:r>
      <w:r w:rsidRPr="00923CE9">
        <w:rPr>
          <w:rFonts w:ascii="Calibri" w:hAnsi="Calibri" w:cs="Arial"/>
          <w:lang w:val="en-US"/>
        </w:rPr>
        <w:t xml:space="preserve">function (Table 2). Though common in both groups, asymmetric septal hypertrophy was observed in </w:t>
      </w:r>
      <w:r w:rsidR="00BB4FA7" w:rsidRPr="00923CE9">
        <w:rPr>
          <w:rFonts w:ascii="Calibri" w:hAnsi="Calibri" w:cs="Arial"/>
          <w:lang w:val="en-US"/>
        </w:rPr>
        <w:t xml:space="preserve">only </w:t>
      </w:r>
      <w:r w:rsidR="00F213FD" w:rsidRPr="00923CE9">
        <w:rPr>
          <w:rFonts w:ascii="Calibri" w:hAnsi="Calibri" w:cs="Arial"/>
          <w:lang w:val="en-US"/>
        </w:rPr>
        <w:t xml:space="preserve">a third of black patients </w:t>
      </w:r>
      <w:r w:rsidR="00BB4FA7" w:rsidRPr="00923CE9">
        <w:rPr>
          <w:rFonts w:ascii="Calibri" w:hAnsi="Calibri" w:cs="Arial"/>
          <w:lang w:val="en-US"/>
        </w:rPr>
        <w:t>compared to</w:t>
      </w:r>
      <w:r w:rsidR="00F213FD" w:rsidRPr="00923CE9">
        <w:rPr>
          <w:rFonts w:ascii="Calibri" w:hAnsi="Calibri" w:cs="Arial"/>
          <w:lang w:val="en-US"/>
        </w:rPr>
        <w:t xml:space="preserve"> </w:t>
      </w:r>
      <w:r w:rsidRPr="00923CE9">
        <w:rPr>
          <w:rFonts w:ascii="Calibri" w:hAnsi="Calibri" w:cs="Arial"/>
          <w:lang w:val="en-US"/>
        </w:rPr>
        <w:t xml:space="preserve">over half of white </w:t>
      </w:r>
      <w:r w:rsidR="00F213FD" w:rsidRPr="00923CE9">
        <w:rPr>
          <w:rFonts w:ascii="Calibri" w:hAnsi="Calibri" w:cs="Arial"/>
          <w:lang w:val="en-US"/>
        </w:rPr>
        <w:t>patients</w:t>
      </w:r>
      <w:r w:rsidR="00BB4FA7" w:rsidRPr="00923CE9">
        <w:rPr>
          <w:rFonts w:ascii="Calibri" w:hAnsi="Calibri" w:cs="Arial"/>
          <w:lang w:val="en-US"/>
        </w:rPr>
        <w:t xml:space="preserve">. </w:t>
      </w:r>
      <w:r w:rsidR="007B034C" w:rsidRPr="00760B41">
        <w:rPr>
          <w:rFonts w:ascii="Calibri" w:hAnsi="Calibri" w:cs="Arial"/>
          <w:lang w:val="en-US"/>
        </w:rPr>
        <w:t>In contrast, both apical a</w:t>
      </w:r>
      <w:r w:rsidR="00244A36" w:rsidRPr="00760B41">
        <w:rPr>
          <w:rFonts w:ascii="Calibri" w:hAnsi="Calibri" w:cs="Arial"/>
          <w:lang w:val="en-US"/>
        </w:rPr>
        <w:t xml:space="preserve">nd concentric patterns </w:t>
      </w:r>
      <w:r w:rsidR="00E824BA" w:rsidRPr="00760B41">
        <w:rPr>
          <w:rFonts w:ascii="Calibri" w:hAnsi="Calibri" w:cs="Arial"/>
          <w:lang w:val="en-US"/>
        </w:rPr>
        <w:t xml:space="preserve">of LVH </w:t>
      </w:r>
      <w:r w:rsidR="00244A36" w:rsidRPr="00760B41">
        <w:rPr>
          <w:rFonts w:ascii="Calibri" w:hAnsi="Calibri" w:cs="Arial"/>
          <w:lang w:val="en-US"/>
        </w:rPr>
        <w:t>were</w:t>
      </w:r>
      <w:r w:rsidR="007B034C" w:rsidRPr="00760B41">
        <w:rPr>
          <w:rFonts w:ascii="Calibri" w:hAnsi="Calibri" w:cs="Arial"/>
          <w:lang w:val="en-US"/>
        </w:rPr>
        <w:t xml:space="preserve"> co</w:t>
      </w:r>
      <w:r w:rsidR="00223E68" w:rsidRPr="00760B41">
        <w:rPr>
          <w:rFonts w:ascii="Calibri" w:hAnsi="Calibri" w:cs="Arial"/>
          <w:lang w:val="en-US"/>
        </w:rPr>
        <w:t>mmoner in black patients</w:t>
      </w:r>
      <w:r w:rsidRPr="00760B41">
        <w:rPr>
          <w:rFonts w:ascii="Calibri" w:hAnsi="Calibri" w:cs="Arial"/>
          <w:lang w:val="en-US"/>
        </w:rPr>
        <w:t xml:space="preserve">. </w:t>
      </w:r>
      <w:r w:rsidR="00FC738A" w:rsidRPr="008C1EB3">
        <w:rPr>
          <w:rFonts w:ascii="Calibri" w:hAnsi="Calibri" w:cs="Arial"/>
          <w:lang w:val="en-US"/>
        </w:rPr>
        <w:t>Importantly</w:t>
      </w:r>
      <w:r w:rsidR="004135A5" w:rsidRPr="008C1EB3">
        <w:rPr>
          <w:rFonts w:ascii="Calibri" w:hAnsi="Calibri" w:cs="Arial"/>
          <w:lang w:val="en-US"/>
        </w:rPr>
        <w:t xml:space="preserve">, almost 10% of black patients (n=16) revealed a concentric pattern of </w:t>
      </w:r>
      <w:r w:rsidR="00FC738A" w:rsidRPr="008C1EB3">
        <w:rPr>
          <w:rFonts w:ascii="Calibri" w:hAnsi="Calibri" w:cs="Arial"/>
          <w:lang w:val="en-US"/>
        </w:rPr>
        <w:t>LVH</w:t>
      </w:r>
      <w:r w:rsidR="004135A5" w:rsidRPr="008C1EB3">
        <w:rPr>
          <w:rFonts w:ascii="Calibri" w:hAnsi="Calibri" w:cs="Arial"/>
          <w:lang w:val="en-US"/>
        </w:rPr>
        <w:t xml:space="preserve">. Of these, 4 had a </w:t>
      </w:r>
      <w:r w:rsidR="00760B41" w:rsidRPr="008C1EB3">
        <w:rPr>
          <w:rFonts w:ascii="Calibri" w:hAnsi="Calibri" w:cs="Arial"/>
          <w:lang w:val="en-US"/>
        </w:rPr>
        <w:t>positive</w:t>
      </w:r>
      <w:r w:rsidR="004135A5" w:rsidRPr="008C1EB3">
        <w:rPr>
          <w:rFonts w:ascii="Calibri" w:hAnsi="Calibri" w:cs="Arial"/>
          <w:lang w:val="en-US"/>
        </w:rPr>
        <w:t xml:space="preserve"> gene test, 3 had a family history of HCM, 2 exhibited LVH of ≥20mm, and </w:t>
      </w:r>
      <w:r w:rsidR="00760B41" w:rsidRPr="008C1EB3">
        <w:rPr>
          <w:rFonts w:ascii="Calibri" w:hAnsi="Calibri" w:cs="Arial"/>
          <w:lang w:val="en-US"/>
        </w:rPr>
        <w:t>1 experience</w:t>
      </w:r>
      <w:r w:rsidR="006A70C6" w:rsidRPr="008C1EB3">
        <w:rPr>
          <w:rFonts w:ascii="Calibri" w:hAnsi="Calibri" w:cs="Arial"/>
          <w:lang w:val="en-US"/>
        </w:rPr>
        <w:t>d</w:t>
      </w:r>
      <w:r w:rsidR="00760B41" w:rsidRPr="008C1EB3">
        <w:rPr>
          <w:rFonts w:ascii="Calibri" w:hAnsi="Calibri" w:cs="Arial"/>
          <w:lang w:val="en-US"/>
        </w:rPr>
        <w:t xml:space="preserve"> a cardiac arrest. The remaining 5 </w:t>
      </w:r>
      <w:r w:rsidR="006A70C6" w:rsidRPr="008C1EB3">
        <w:rPr>
          <w:rFonts w:ascii="Calibri" w:hAnsi="Calibri" w:cs="Arial"/>
          <w:lang w:val="en-US"/>
        </w:rPr>
        <w:t>individuals</w:t>
      </w:r>
      <w:r w:rsidR="00760B41" w:rsidRPr="008C1EB3">
        <w:rPr>
          <w:rFonts w:ascii="Calibri" w:hAnsi="Calibri" w:cs="Arial"/>
          <w:lang w:val="en-US"/>
        </w:rPr>
        <w:t xml:space="preserve"> had no history of hypertension or </w:t>
      </w:r>
      <w:r w:rsidR="00760B41" w:rsidRPr="008C1EB3">
        <w:rPr>
          <w:rFonts w:ascii="Calibri" w:hAnsi="Calibri"/>
          <w:lang w:val="en-US"/>
        </w:rPr>
        <w:t>other condition capable of producing the same magnitude of LVH.</w:t>
      </w:r>
      <w:r w:rsidR="00760B41">
        <w:rPr>
          <w:rFonts w:ascii="Calibri" w:hAnsi="Calibri" w:cs="Arial"/>
          <w:lang w:val="en-US"/>
        </w:rPr>
        <w:t xml:space="preserve"> </w:t>
      </w:r>
      <w:r w:rsidR="00F93C67" w:rsidRPr="00223E68">
        <w:rPr>
          <w:rFonts w:ascii="Calibri" w:hAnsi="Calibri" w:cs="Arial"/>
          <w:lang w:val="en-US"/>
        </w:rPr>
        <w:t xml:space="preserve">Of the patients subjected to a CMRI, </w:t>
      </w:r>
      <w:r w:rsidR="006A70C6">
        <w:rPr>
          <w:rFonts w:ascii="Calibri" w:hAnsi="Calibri" w:cs="Arial"/>
          <w:lang w:val="en-US"/>
        </w:rPr>
        <w:t xml:space="preserve">the </w:t>
      </w:r>
      <w:r w:rsidR="002B1871" w:rsidRPr="00223E68">
        <w:rPr>
          <w:rFonts w:ascii="Calibri" w:hAnsi="Calibri" w:cs="Arial"/>
          <w:lang w:val="en-US"/>
        </w:rPr>
        <w:t xml:space="preserve">presence of </w:t>
      </w:r>
      <w:r w:rsidR="0064027B">
        <w:rPr>
          <w:rFonts w:ascii="Calibri" w:hAnsi="Calibri" w:cs="Arial"/>
          <w:lang w:val="en-US"/>
        </w:rPr>
        <w:t>late gadolinium enhancement</w:t>
      </w:r>
      <w:r w:rsidRPr="00223E68">
        <w:rPr>
          <w:rFonts w:ascii="Calibri" w:hAnsi="Calibri" w:cs="Arial"/>
          <w:lang w:val="en-US"/>
        </w:rPr>
        <w:t xml:space="preserve"> was commoner in white patients (</w:t>
      </w:r>
      <w:r w:rsidR="00BD205E" w:rsidRPr="00223E68">
        <w:rPr>
          <w:rFonts w:ascii="Calibri" w:hAnsi="Calibri" w:cs="Arial"/>
          <w:lang w:val="en-US"/>
        </w:rPr>
        <w:t>55.</w:t>
      </w:r>
      <w:r w:rsidR="002B1871" w:rsidRPr="00223E68">
        <w:rPr>
          <w:rFonts w:ascii="Calibri" w:hAnsi="Calibri" w:cs="Arial"/>
          <w:lang w:val="en-US"/>
        </w:rPr>
        <w:t>8</w:t>
      </w:r>
      <w:r w:rsidRPr="00223E68">
        <w:rPr>
          <w:rFonts w:ascii="Calibri" w:hAnsi="Calibri" w:cs="Arial"/>
          <w:lang w:val="en-US"/>
        </w:rPr>
        <w:t>%</w:t>
      </w:r>
      <w:r w:rsidR="00D64C9C" w:rsidRPr="00223E68">
        <w:rPr>
          <w:rFonts w:ascii="Calibri" w:hAnsi="Calibri" w:cs="Arial"/>
          <w:lang w:val="en-US"/>
        </w:rPr>
        <w:t xml:space="preserve"> </w:t>
      </w:r>
      <w:r w:rsidR="00BA5C0B">
        <w:rPr>
          <w:rFonts w:ascii="Calibri" w:hAnsi="Calibri" w:cs="Arial"/>
          <w:lang w:val="en-US"/>
        </w:rPr>
        <w:t>versus</w:t>
      </w:r>
      <w:r w:rsidR="00D64C9C" w:rsidRPr="00223E68">
        <w:rPr>
          <w:rFonts w:ascii="Calibri" w:hAnsi="Calibri" w:cs="Arial"/>
          <w:lang w:val="en-US"/>
        </w:rPr>
        <w:t xml:space="preserve"> </w:t>
      </w:r>
      <w:r w:rsidR="00BD205E" w:rsidRPr="00223E68">
        <w:rPr>
          <w:rFonts w:ascii="Calibri" w:hAnsi="Calibri" w:cs="Arial"/>
          <w:lang w:val="en-US"/>
        </w:rPr>
        <w:t>70.</w:t>
      </w:r>
      <w:r w:rsidR="002B1871" w:rsidRPr="00223E68">
        <w:rPr>
          <w:rFonts w:ascii="Calibri" w:hAnsi="Calibri" w:cs="Arial"/>
          <w:lang w:val="en-US"/>
        </w:rPr>
        <w:t>3</w:t>
      </w:r>
      <w:r w:rsidR="00D64C9C" w:rsidRPr="00223E68">
        <w:rPr>
          <w:rFonts w:ascii="Calibri" w:hAnsi="Calibri" w:cs="Arial"/>
          <w:lang w:val="en-US"/>
        </w:rPr>
        <w:t xml:space="preserve">%, </w:t>
      </w:r>
      <w:r w:rsidRPr="00223E68">
        <w:rPr>
          <w:rFonts w:ascii="Calibri" w:hAnsi="Calibri" w:cs="Arial"/>
          <w:lang w:val="en-US"/>
        </w:rPr>
        <w:t>p=0.0</w:t>
      </w:r>
      <w:r w:rsidR="00CE779B" w:rsidRPr="00223E68">
        <w:rPr>
          <w:rFonts w:ascii="Calibri" w:hAnsi="Calibri" w:cs="Arial"/>
          <w:lang w:val="en-US"/>
        </w:rPr>
        <w:t>22</w:t>
      </w:r>
      <w:r w:rsidRPr="00223E68">
        <w:rPr>
          <w:rFonts w:ascii="Calibri" w:hAnsi="Calibri" w:cs="Arial"/>
          <w:lang w:val="en-US"/>
        </w:rPr>
        <w:t>).</w:t>
      </w:r>
    </w:p>
    <w:p w:rsidR="004D3546" w:rsidRDefault="004D3546" w:rsidP="006C647A">
      <w:pPr>
        <w:spacing w:line="480" w:lineRule="auto"/>
        <w:rPr>
          <w:rFonts w:ascii="Calibri" w:hAnsi="Calibri" w:cs="Arial"/>
          <w:lang w:val="en-US"/>
        </w:rPr>
      </w:pPr>
    </w:p>
    <w:p w:rsidR="00E17689" w:rsidRPr="001146E4" w:rsidRDefault="00604C0D" w:rsidP="006C647A">
      <w:pPr>
        <w:spacing w:line="480" w:lineRule="auto"/>
        <w:rPr>
          <w:rFonts w:ascii="Calibri" w:hAnsi="Calibri" w:cs="Arial"/>
          <w:b/>
          <w:lang w:val="en-US"/>
        </w:rPr>
      </w:pPr>
      <w:r w:rsidRPr="001146E4">
        <w:rPr>
          <w:rFonts w:ascii="Calibri" w:hAnsi="Calibri" w:cs="Arial"/>
          <w:b/>
          <w:lang w:val="en-US"/>
        </w:rPr>
        <w:t>G</w:t>
      </w:r>
      <w:r>
        <w:rPr>
          <w:rFonts w:ascii="Calibri" w:hAnsi="Calibri" w:cs="Arial"/>
          <w:b/>
          <w:lang w:val="en-US"/>
        </w:rPr>
        <w:t>enetic Analysis</w:t>
      </w:r>
    </w:p>
    <w:p w:rsidR="00E17689" w:rsidRPr="00923CE9" w:rsidRDefault="001A5EE8" w:rsidP="006C647A">
      <w:pPr>
        <w:spacing w:line="480" w:lineRule="auto"/>
        <w:rPr>
          <w:rFonts w:ascii="Calibri" w:hAnsi="Calibri" w:cs="Arial"/>
          <w:lang w:val="en-US"/>
        </w:rPr>
      </w:pPr>
      <w:r w:rsidRPr="00F17CB4">
        <w:rPr>
          <w:rFonts w:ascii="Calibri" w:hAnsi="Calibri"/>
          <w:lang w:val="en-US"/>
        </w:rPr>
        <w:t>Of the 63 (</w:t>
      </w:r>
      <w:r w:rsidRPr="00F17CB4">
        <w:rPr>
          <w:rFonts w:ascii="Calibri" w:hAnsi="Calibri" w:cs="Arial"/>
          <w:lang w:val="en-US"/>
        </w:rPr>
        <w:t xml:space="preserve">38.7%) black and 132 (50.4%) white patients </w:t>
      </w:r>
      <w:r w:rsidRPr="00F17CB4">
        <w:rPr>
          <w:rFonts w:ascii="Calibri" w:hAnsi="Calibri"/>
          <w:lang w:val="en-US"/>
        </w:rPr>
        <w:t>referred for genetic testing, a</w:t>
      </w:r>
      <w:r w:rsidR="008F029E" w:rsidRPr="00F17CB4">
        <w:rPr>
          <w:rFonts w:ascii="Calibri" w:hAnsi="Calibri" w:cs="Arial"/>
          <w:lang w:val="en-US"/>
        </w:rPr>
        <w:t xml:space="preserve"> </w:t>
      </w:r>
      <w:r w:rsidR="00895ED4" w:rsidRPr="00F17CB4">
        <w:rPr>
          <w:rFonts w:ascii="Calibri" w:hAnsi="Calibri" w:cs="Arial"/>
          <w:lang w:val="en-US"/>
        </w:rPr>
        <w:t>recognized</w:t>
      </w:r>
      <w:r w:rsidR="007B034C" w:rsidRPr="00F17CB4">
        <w:rPr>
          <w:rFonts w:ascii="Calibri" w:hAnsi="Calibri" w:cs="Arial"/>
          <w:lang w:val="en-US"/>
        </w:rPr>
        <w:t xml:space="preserve"> disease</w:t>
      </w:r>
      <w:r w:rsidR="005B29DC" w:rsidRPr="00F17CB4">
        <w:rPr>
          <w:rFonts w:ascii="Calibri" w:hAnsi="Calibri" w:cs="Arial"/>
          <w:lang w:val="en-US"/>
        </w:rPr>
        <w:t xml:space="preserve"> causing mutation was identified</w:t>
      </w:r>
      <w:r w:rsidR="00E17689" w:rsidRPr="00F17CB4">
        <w:rPr>
          <w:rFonts w:ascii="Calibri" w:hAnsi="Calibri" w:cs="Arial"/>
          <w:lang w:val="en-US"/>
        </w:rPr>
        <w:t xml:space="preserve"> </w:t>
      </w:r>
      <w:r w:rsidR="00F22FC2" w:rsidRPr="00F17CB4">
        <w:rPr>
          <w:rFonts w:ascii="Calibri" w:hAnsi="Calibri" w:cs="Arial"/>
          <w:lang w:val="en-US"/>
        </w:rPr>
        <w:t xml:space="preserve">in </w:t>
      </w:r>
      <w:r w:rsidR="00BD205E" w:rsidRPr="00F17CB4">
        <w:rPr>
          <w:rFonts w:ascii="Calibri" w:hAnsi="Calibri" w:cs="Arial"/>
          <w:lang w:val="en-US"/>
        </w:rPr>
        <w:t xml:space="preserve">a similar proportion of individuals </w:t>
      </w:r>
      <w:r w:rsidR="00E17689" w:rsidRPr="00F17CB4">
        <w:rPr>
          <w:rFonts w:ascii="Calibri" w:hAnsi="Calibri" w:cs="Arial"/>
          <w:lang w:val="en-US"/>
        </w:rPr>
        <w:t>(</w:t>
      </w:r>
      <w:r w:rsidR="00C26AF7" w:rsidRPr="00F17CB4">
        <w:rPr>
          <w:rFonts w:ascii="Calibri" w:hAnsi="Calibri" w:cs="Arial"/>
          <w:lang w:val="en-US"/>
        </w:rPr>
        <w:t>54.0</w:t>
      </w:r>
      <w:r w:rsidR="00BA5C0B">
        <w:rPr>
          <w:rFonts w:ascii="Calibri" w:hAnsi="Calibri" w:cs="Arial"/>
          <w:lang w:val="en-US"/>
        </w:rPr>
        <w:t>% versus</w:t>
      </w:r>
      <w:r w:rsidR="00E17689" w:rsidRPr="00F17CB4">
        <w:rPr>
          <w:rFonts w:ascii="Calibri" w:hAnsi="Calibri" w:cs="Arial"/>
          <w:lang w:val="en-US"/>
        </w:rPr>
        <w:t xml:space="preserve"> </w:t>
      </w:r>
      <w:r w:rsidR="00C26AF7" w:rsidRPr="00F17CB4">
        <w:rPr>
          <w:rFonts w:ascii="Calibri" w:hAnsi="Calibri" w:cs="Arial"/>
          <w:lang w:val="en-US"/>
        </w:rPr>
        <w:t>50.8</w:t>
      </w:r>
      <w:r w:rsidR="00E17689" w:rsidRPr="00F17CB4">
        <w:rPr>
          <w:rFonts w:ascii="Calibri" w:hAnsi="Calibri" w:cs="Arial"/>
          <w:lang w:val="en-US"/>
        </w:rPr>
        <w:t xml:space="preserve">%, respectively, </w:t>
      </w:r>
      <w:r w:rsidR="00CE779B" w:rsidRPr="00F17CB4">
        <w:rPr>
          <w:rFonts w:ascii="Calibri" w:hAnsi="Calibri" w:cs="Arial"/>
          <w:lang w:val="en-US"/>
        </w:rPr>
        <w:t>p=0.</w:t>
      </w:r>
      <w:r w:rsidR="00C26AF7" w:rsidRPr="00F17CB4">
        <w:rPr>
          <w:rFonts w:ascii="Calibri" w:hAnsi="Calibri" w:cs="Arial"/>
          <w:lang w:val="en-US"/>
        </w:rPr>
        <w:t>675</w:t>
      </w:r>
      <w:r w:rsidR="00F17CB4" w:rsidRPr="00F17CB4">
        <w:rPr>
          <w:rFonts w:ascii="Calibri" w:hAnsi="Calibri" w:cs="Arial"/>
          <w:lang w:val="en-US"/>
        </w:rPr>
        <w:t xml:space="preserve">) </w:t>
      </w:r>
      <w:r w:rsidR="00003A60" w:rsidRPr="00F17CB4">
        <w:rPr>
          <w:rFonts w:ascii="Calibri" w:hAnsi="Calibri" w:cs="Arial"/>
          <w:lang w:val="en-US"/>
        </w:rPr>
        <w:t xml:space="preserve">(Table </w:t>
      </w:r>
      <w:r w:rsidR="0041526A">
        <w:rPr>
          <w:rFonts w:ascii="Calibri" w:hAnsi="Calibri" w:cs="Arial"/>
          <w:lang w:val="en-US"/>
        </w:rPr>
        <w:t>2</w:t>
      </w:r>
      <w:r w:rsidR="00003A60" w:rsidRPr="00F17CB4">
        <w:rPr>
          <w:rFonts w:ascii="Calibri" w:hAnsi="Calibri" w:cs="Arial"/>
          <w:lang w:val="en-US"/>
        </w:rPr>
        <w:t>)</w:t>
      </w:r>
      <w:r w:rsidR="00E17689" w:rsidRPr="00F17CB4">
        <w:rPr>
          <w:rFonts w:ascii="Calibri" w:hAnsi="Calibri" w:cs="Arial"/>
          <w:lang w:val="en-US"/>
        </w:rPr>
        <w:t>.</w:t>
      </w:r>
    </w:p>
    <w:p w:rsidR="00BD205E" w:rsidRPr="00923CE9" w:rsidRDefault="00BD205E" w:rsidP="006C647A">
      <w:pPr>
        <w:spacing w:line="480" w:lineRule="auto"/>
        <w:rPr>
          <w:rFonts w:ascii="Calibri" w:hAnsi="Calibri" w:cs="Arial"/>
          <w:lang w:val="en-US"/>
        </w:rPr>
      </w:pPr>
    </w:p>
    <w:p w:rsidR="00B62426" w:rsidRPr="001146E4" w:rsidRDefault="00B62426" w:rsidP="006C647A">
      <w:pPr>
        <w:spacing w:line="480" w:lineRule="auto"/>
        <w:rPr>
          <w:rFonts w:ascii="Calibri" w:hAnsi="Calibri" w:cs="Arial"/>
          <w:b/>
          <w:lang w:val="en-US"/>
        </w:rPr>
      </w:pPr>
      <w:r w:rsidRPr="001146E4">
        <w:rPr>
          <w:rFonts w:ascii="Calibri" w:hAnsi="Calibri" w:cs="Arial"/>
          <w:b/>
          <w:lang w:val="en-US"/>
        </w:rPr>
        <w:t>R</w:t>
      </w:r>
      <w:r w:rsidR="00604C0D">
        <w:rPr>
          <w:rFonts w:ascii="Calibri" w:hAnsi="Calibri" w:cs="Arial"/>
          <w:b/>
          <w:lang w:val="en-US"/>
        </w:rPr>
        <w:t>isk Factor Profile for Sudden Cardiac Death</w:t>
      </w:r>
    </w:p>
    <w:p w:rsidR="00184AF8" w:rsidRDefault="00700D15" w:rsidP="006C647A">
      <w:pPr>
        <w:spacing w:line="480" w:lineRule="auto"/>
        <w:rPr>
          <w:rFonts w:ascii="Calibri" w:hAnsi="Calibri" w:cs="Arial"/>
          <w:lang w:val="en-US"/>
        </w:rPr>
      </w:pPr>
      <w:r w:rsidRPr="000F49E6">
        <w:rPr>
          <w:rFonts w:ascii="Calibri" w:hAnsi="Calibri" w:cs="Arial"/>
          <w:lang w:val="en-US"/>
        </w:rPr>
        <w:t>Among</w:t>
      </w:r>
      <w:r w:rsidR="00864E1D" w:rsidRPr="000F49E6">
        <w:rPr>
          <w:rFonts w:ascii="Calibri" w:hAnsi="Calibri" w:cs="Arial"/>
          <w:lang w:val="en-US"/>
        </w:rPr>
        <w:t xml:space="preserve"> 409 patients eligible for survival analysis</w:t>
      </w:r>
      <w:r w:rsidR="00D73AAB">
        <w:rPr>
          <w:rFonts w:ascii="Calibri" w:hAnsi="Calibri" w:cs="Arial"/>
          <w:lang w:val="en-US"/>
        </w:rPr>
        <w:t>,</w:t>
      </w:r>
      <w:r w:rsidR="00864E1D" w:rsidRPr="000F49E6">
        <w:rPr>
          <w:rFonts w:ascii="Calibri" w:hAnsi="Calibri" w:cs="Arial"/>
          <w:lang w:val="en-US"/>
        </w:rPr>
        <w:t xml:space="preserve"> </w:t>
      </w:r>
      <w:r w:rsidR="00704DB5">
        <w:rPr>
          <w:rFonts w:ascii="Calibri" w:hAnsi="Calibri" w:cs="Arial"/>
          <w:lang w:val="en-US"/>
        </w:rPr>
        <w:t xml:space="preserve">there were </w:t>
      </w:r>
      <w:r w:rsidR="00B6140E">
        <w:rPr>
          <w:rFonts w:ascii="Calibri" w:hAnsi="Calibri" w:cs="Arial"/>
          <w:lang w:val="en-US"/>
        </w:rPr>
        <w:t>no ethnic differences</w:t>
      </w:r>
      <w:r w:rsidR="004A362F" w:rsidRPr="000F49E6">
        <w:rPr>
          <w:rFonts w:ascii="Calibri" w:hAnsi="Calibri" w:cs="Arial"/>
          <w:lang w:val="en-US"/>
        </w:rPr>
        <w:t xml:space="preserve"> in the overall risk of SCD</w:t>
      </w:r>
      <w:r w:rsidR="000F49E6" w:rsidRPr="000F49E6">
        <w:rPr>
          <w:rFonts w:ascii="Calibri" w:hAnsi="Calibri" w:cs="Arial"/>
          <w:lang w:val="en-US"/>
        </w:rPr>
        <w:t xml:space="preserve"> based on</w:t>
      </w:r>
      <w:r w:rsidR="007E4D0A" w:rsidRPr="000F49E6">
        <w:rPr>
          <w:rFonts w:ascii="Calibri" w:hAnsi="Calibri" w:cs="times-roman"/>
          <w:color w:val="000000"/>
          <w:lang w:val="en-US" w:eastAsia="en-GB"/>
        </w:rPr>
        <w:t xml:space="preserve"> conventional</w:t>
      </w:r>
      <w:r w:rsidR="006C5380" w:rsidRPr="000F49E6">
        <w:rPr>
          <w:rFonts w:ascii="Calibri" w:hAnsi="Calibri" w:cs="times-roman"/>
          <w:color w:val="000000"/>
          <w:lang w:val="en-US" w:eastAsia="en-GB"/>
        </w:rPr>
        <w:t xml:space="preserve"> risk</w:t>
      </w:r>
      <w:r w:rsidR="007E4D0A" w:rsidRPr="000F49E6">
        <w:rPr>
          <w:rFonts w:ascii="Calibri" w:hAnsi="Calibri" w:cs="times-roman"/>
          <w:color w:val="000000"/>
          <w:lang w:val="en-US" w:eastAsia="en-GB"/>
        </w:rPr>
        <w:t xml:space="preserve"> markers or the recently proposed </w:t>
      </w:r>
      <w:r w:rsidR="00AE4AE9">
        <w:rPr>
          <w:rFonts w:ascii="Calibri" w:hAnsi="Calibri" w:cs="times-roman"/>
          <w:color w:val="000000"/>
          <w:lang w:val="en-US" w:eastAsia="en-GB"/>
        </w:rPr>
        <w:t>European Society of Cardiology</w:t>
      </w:r>
      <w:r w:rsidR="001146E4">
        <w:rPr>
          <w:rFonts w:ascii="Calibri" w:hAnsi="Calibri" w:cs="times-roman"/>
          <w:color w:val="000000"/>
          <w:lang w:val="en-US" w:eastAsia="en-GB"/>
        </w:rPr>
        <w:t xml:space="preserve"> </w:t>
      </w:r>
      <w:r w:rsidR="007E4D0A" w:rsidRPr="000F49E6">
        <w:rPr>
          <w:rFonts w:ascii="Calibri" w:hAnsi="Calibri" w:cs="times-roman"/>
          <w:color w:val="000000"/>
          <w:lang w:val="en-US" w:eastAsia="en-GB"/>
        </w:rPr>
        <w:t>risk stratification tool</w:t>
      </w:r>
      <w:r w:rsidR="001E5E84" w:rsidRPr="000F49E6">
        <w:rPr>
          <w:rFonts w:ascii="Calibri" w:hAnsi="Calibri" w:cs="Arial"/>
          <w:lang w:val="en-US"/>
        </w:rPr>
        <w:t xml:space="preserve"> </w:t>
      </w:r>
      <w:r w:rsidR="007674C1" w:rsidRPr="000F49E6">
        <w:rPr>
          <w:rFonts w:ascii="Calibri" w:hAnsi="Calibri" w:cs="Arial"/>
          <w:lang w:val="en-US"/>
        </w:rPr>
        <w:t>(Table 3)</w:t>
      </w:r>
      <w:r w:rsidR="00A61132">
        <w:rPr>
          <w:rFonts w:ascii="Calibri" w:hAnsi="Calibri" w:cs="Arial"/>
          <w:lang w:val="en-US"/>
        </w:rPr>
        <w:t>.</w:t>
      </w:r>
      <w:r w:rsidR="00F32F98">
        <w:rPr>
          <w:rFonts w:ascii="Calibri" w:hAnsi="Calibri" w:cs="times-roman"/>
          <w:color w:val="000000"/>
          <w:lang w:val="en-US" w:eastAsia="en-GB"/>
        </w:rPr>
        <w:fldChar w:fldCharType="begin" w:fldLock="1"/>
      </w:r>
      <w:r w:rsidR="00843D9D">
        <w:rPr>
          <w:rFonts w:ascii="Calibri" w:hAnsi="Calibri" w:cs="times-roman"/>
          <w:color w:val="000000"/>
          <w:lang w:val="en-US" w:eastAsia="en-GB"/>
        </w:rPr>
        <w:instrText>ADDIN CSL_CITATION { "citationItems" : [ { "id" : "ITEM-1", "itemData" : { "DOI" : "10.1093/eurheartj/eht439", "ISSN" : "1522-9645", "PMID" : "24126876", "abstract" : "AIMS: Hypertrophic cardiomyopathy (HCM) is a leading cause of sudden cardiac death (SCD) in young adults. Current risk algorithms provide only a crude estimate of risk and fail to account for the different effect size of individual risk factors. The aim of this study was to develop and validate a new SCD risk prediction model that provides individualized risk estimates.\n\nMETHODS AND RESULTS: The prognostic model was derived from a retrospective, multi-centre longitudinal cohort study. The model was developed from the entire data set using the Cox proportional hazards model and internally validated using bootstrapping. The cohort consisted of 3675 consecutive patients from six centres. During a follow-up period of 24 313 patient-years (median 5.7 years), 198 patients (5%) died suddenly or had an appropriate implantable cardioverter defibrillator (ICD) shock. Of eight pre-specified predictors, age, maximal left ventricular wall thickness, left atrial diameter, left ventricular outflow tract gradient, family history of SCD, non-sustained ventricular tachycardia, and unexplained syncope were associated with SCD/appropriate ICD shock at the 15% significance level. These predictors were included in the final model to estimate individual probabilities of SCD at 5 years. The calibration slope was 0.91 (95% CI: 0.74, 1.08), C-index was 0.70 (95% CI: 0.68, 0.72), and D-statistic was 1.07 (95% CI: 0.81, 1.32). For every 16 ICDs implanted in patients with \u22654% 5-year SCD risk, potentially 1 patient will be saved from SCD at 5 years. A second model with the data set split into independent development and validation cohorts had very similar estimates of coefficients and performance when externally validated.\n\nCONCLUSION: This is the first validated SCD risk prediction model for patients with HCM and provides accurate individualized estimates for the probability of SCD using readily collected clinical parameters.", "author" : [ { "dropping-particle" : "", "family" : "O'Mahony", "given" : "Constantinos", "non-dropping-particle" : "", "parse-names" : false, "suffix" : "" }, { "dropping-particle" : "", "family" : "Jichi", "given" : "Fatima", "non-dropping-particle" : "", "parse-names" : false, "suffix" : "" }, { "dropping-particle" : "", "family" : "Pavlou", "given" : "Menelaos", "non-dropping-particle" : "", "parse-names" : false, "suffix" : "" }, { "dropping-particle" : "", "family" : "Monserrat", "given" : "Lorenzo", "non-dropping-particle" : "", "parse-names" : false, "suffix" : "" }, { "dropping-particle" : "", "family" : "Anastasakis", "given" : "Aristides", "non-dropping-particle" : "", "parse-names" : false, "suffix" : "" }, { "dropping-particle" : "", "family" : "Rapezzi", "given" : "Claudio", "non-dropping-particle" : "", "parse-names" : false, "suffix" : "" }, { "dropping-particle" : "", "family" : "Biagini", "given" : "Elena", "non-dropping-particle" : "", "parse-names" : false, "suffix" : "" }, { "dropping-particle" : "", "family" : "Gimeno", "given" : "Juan Ramon", "non-dropping-particle" : "", "parse-names" : false, "suffix" : "" }, { "dropping-particle" : "", "family" : "Limongelli", "given" : "Giuseppe", "non-dropping-particle" : "", "parse-names" : false, "suffix" : "" }, { "dropping-particle" : "", "family" : "McKenna", "given" : "William J", "non-dropping-particle" : "", "parse-names" : false, "suffix" : "" }, { "dropping-particle" : "", "family" : "Omar", "given" : "Rumana Z", "non-dropping-particle" : "", "parse-names" : false, "suffix" : "" }, { "dropping-particle" : "", "family" : "Elliott", "given" : "Perry M", "non-dropping-particle" : "", "parse-names" : false, "suffix" : "" } ], "container-title" : "European heart journal", "id" : "ITEM-1", "issue" : "30", "issued" : { "date-parts" : [ [ "2014", "8", "7" ] ] }, "page" : "2010-20", "title" : "A novel clinical risk prediction model for sudden cardiac death in hypertrophic cardiomyopathy (HCM risk-SCD).", "type" : "article-journal", "volume" : "35" }, "uris" : [ "http://www.mendeley.com/documents/?uuid=acfba1f6-9967-4145-9d8a-e6258b58263a" ] }, { "id" : "ITEM-2", "itemData" : { "author" : [ { "dropping-particle" : "", "family" : "Elliott", "given" : "Perry M", "non-dropping-particle" : "", "parse-names" : false, "suffix" : "" }, { "dropping-particle" : "", "family" : "Anastasakis", "given" : "Aris", "non-dropping-particle" : "", "parse-names" : false, "suffix" : "" }, { "dropping-particle" : "", "family" : "Borger", "given" : "Michael A", "non-dropping-particle" : "", "parse-names" : false, "suffix" : "" }, { "dropping-particle" : "", "family" : "Borggrefe", "given" : "Martin", "non-dropping-particle" : "", "parse-names" : false, "suffix" : "" }, { "dropping-particle" : "", "family" : "Cecchi", "given" : "Franco", "non-dropping-particle" : "", "parse-names" : false, "suffix" : "" }, { "dropping-particle" : "", "family" : "Charron", "given" : "Philippe", "non-dropping-particle" : "", "parse-names" : false, "suffix" : "" }, { "dropping-particle" : "", "family" : "Hagege", "given" : "Albert Alain", "non-dropping-particle" : "", "parse-names" : false, "suffix" : "" }, { "dropping-particle" : "", "family" : "Lafont", "given" : "Antoine", "non-dropping-particle" : "", "parse-names" : false, "suffix" : "" }, { "dropping-particle" : "", "family" : "Limongelli", "given" : "Giuseppe", "non-dropping-particle" : "", "parse-names" : false, "suffix" : "" }, { "dropping-particle" : "", "family" : "Mahrholdt", "given" : "Heiko", "non-dropping-particle" : "", "parse-names" : false, "suffix" : "" }, { "dropping-particle" : "", "family" : "McKenna", "given" : "William J", "non-dropping-particle" : "", "parse-names" : false, "suffix" : "" }, { "dropping-particle" : "", "family" : "Mogensen", "given" : "Jens", "non-dropping-particle" : "", "parse-names" : false, "suffix" : "" }, { "dropping-particle" : "", "family" : "Nihoyannopoulos", "given" : "Petros", "non-dropping-particle" : "", "parse-names" : false, "suffix" : "" }, { "dropping-particle" : "", "family" : "Nistri", "given" : "Stefano", "non-dropping-particle" : "", "parse-names" : false, "suffix" : "" }, { "dropping-particle" : "", "family" : "Pieper", "given" : "Petronella G", "non-dropping-particle" : "", "parse-names" : false, "suffix" : "" }, { "dropping-particle" : "", "family" : "Pieske", "given" : "Burkert", "non-dropping-particle" : "", "parse-names" : false, "suffix" : "" }, { "dropping-particle" : "", "family" : "Rapezzi", "given" : "Claudio", "non-dropping-particle" : "", "parse-names" : false, "suffix" : "" }, { "dropping-particle" : "", "family" : "Rutten", "given" : "Frans H", "non-dropping-particle" : "", "parse-names" : false, "suffix" : "" }, { "dropping-particle" : "", "family" : "Tillmanns", "given" : "Christoph", "non-dropping-particle" : "", "parse-names" : false, "suffix" : "" }, { "dropping-particle" : "", "family" : "Watkins", "given" : "Hugh", "non-dropping-particle" : "", "parse-names" : false, "suffix" : "" } ], "container-title" : "European Heart Journal", "id" : "ITEM-2", "issue" : "39", "issued" : { "date-parts" : [ [ "2014" ] ] }, "page" : "2733-2779", "title" : "2014 ESC Guidelines on diagnosis and management of hypertrophic cardiomyopathy", "type" : "article-journal", "volume" : "35" }, "uris" : [ "http://www.mendeley.com/documents/?uuid=c5b8ac14-3a52-476e-8472-d1774c0eb725" ] } ], "mendeley" : { "formattedCitation" : "[17,28]", "plainTextFormattedCitation" : "[17,28]", "previouslyFormattedCitation" : "[17,28]" }, "properties" : { "noteIndex" : 0 }, "schema" : "https://github.com/citation-style-language/schema/raw/master/csl-citation.json" }</w:instrText>
      </w:r>
      <w:r w:rsidR="00F32F98">
        <w:rPr>
          <w:rFonts w:ascii="Calibri" w:hAnsi="Calibri" w:cs="times-roman"/>
          <w:color w:val="000000"/>
          <w:lang w:val="en-US" w:eastAsia="en-GB"/>
        </w:rPr>
        <w:fldChar w:fldCharType="separate"/>
      </w:r>
      <w:r w:rsidR="00843D9D" w:rsidRPr="00843D9D">
        <w:rPr>
          <w:rFonts w:ascii="Calibri" w:hAnsi="Calibri" w:cs="times-roman"/>
          <w:noProof/>
          <w:color w:val="000000"/>
          <w:lang w:val="en-US" w:eastAsia="en-GB"/>
        </w:rPr>
        <w:t>[17,28]</w:t>
      </w:r>
      <w:r w:rsidR="00F32F98">
        <w:rPr>
          <w:rFonts w:ascii="Calibri" w:hAnsi="Calibri" w:cs="times-roman"/>
          <w:color w:val="000000"/>
          <w:lang w:val="en-US" w:eastAsia="en-GB"/>
        </w:rPr>
        <w:fldChar w:fldCharType="end"/>
      </w:r>
      <w:r w:rsidR="007601FB" w:rsidRPr="000F49E6">
        <w:rPr>
          <w:rFonts w:ascii="Calibri" w:hAnsi="Calibri" w:cs="Arial"/>
          <w:lang w:val="en-US"/>
        </w:rPr>
        <w:t xml:space="preserve"> </w:t>
      </w:r>
      <w:r w:rsidR="000F49E6" w:rsidRPr="000F49E6">
        <w:rPr>
          <w:rFonts w:ascii="Calibri" w:hAnsi="Calibri" w:cs="Arial"/>
          <w:lang w:val="en-US"/>
        </w:rPr>
        <w:t>Regarding</w:t>
      </w:r>
      <w:r w:rsidR="00B43D23" w:rsidRPr="000F49E6">
        <w:rPr>
          <w:rFonts w:ascii="Calibri" w:hAnsi="Calibri" w:cs="Arial"/>
          <w:lang w:val="en-US"/>
        </w:rPr>
        <w:t xml:space="preserve"> individual risk factors, a</w:t>
      </w:r>
      <w:r w:rsidR="00E91509" w:rsidRPr="000F49E6">
        <w:rPr>
          <w:rFonts w:ascii="Calibri" w:hAnsi="Calibri" w:cs="Arial"/>
          <w:lang w:val="en-US"/>
        </w:rPr>
        <w:t xml:space="preserve"> history of syncope was</w:t>
      </w:r>
      <w:r w:rsidR="008C1EB3">
        <w:rPr>
          <w:rFonts w:ascii="Calibri" w:hAnsi="Calibri" w:cs="Arial"/>
          <w:lang w:val="en-US"/>
        </w:rPr>
        <w:t xml:space="preserve"> more common</w:t>
      </w:r>
      <w:r w:rsidR="00E91509" w:rsidRPr="000F49E6">
        <w:rPr>
          <w:rFonts w:ascii="Calibri" w:hAnsi="Calibri" w:cs="Arial"/>
          <w:lang w:val="en-US"/>
        </w:rPr>
        <w:t xml:space="preserve"> in black patients whereas </w:t>
      </w:r>
      <w:r w:rsidR="00B74348" w:rsidRPr="000F49E6">
        <w:rPr>
          <w:rFonts w:ascii="Calibri" w:hAnsi="Calibri" w:cs="Arial"/>
          <w:lang w:val="en-US"/>
        </w:rPr>
        <w:t>an abnormal BP</w:t>
      </w:r>
      <w:r w:rsidR="00B62426" w:rsidRPr="000F49E6">
        <w:rPr>
          <w:rFonts w:ascii="Calibri" w:hAnsi="Calibri" w:cs="Arial"/>
          <w:lang w:val="en-US"/>
        </w:rPr>
        <w:t xml:space="preserve"> response to exercise</w:t>
      </w:r>
      <w:r w:rsidR="00BB4FA7" w:rsidRPr="000F49E6">
        <w:rPr>
          <w:rFonts w:ascii="Calibri" w:hAnsi="Calibri" w:cs="Arial"/>
          <w:lang w:val="en-US"/>
        </w:rPr>
        <w:t xml:space="preserve"> </w:t>
      </w:r>
      <w:r w:rsidR="00C847C6" w:rsidRPr="000F49E6">
        <w:rPr>
          <w:rFonts w:ascii="Calibri" w:hAnsi="Calibri" w:cs="Arial"/>
          <w:lang w:val="en-US"/>
        </w:rPr>
        <w:t xml:space="preserve">was </w:t>
      </w:r>
      <w:r w:rsidR="008C1EB3">
        <w:rPr>
          <w:rFonts w:ascii="Calibri" w:hAnsi="Calibri" w:cs="Arial"/>
          <w:lang w:val="en-US"/>
        </w:rPr>
        <w:t>more common in</w:t>
      </w:r>
      <w:r w:rsidR="005A1897" w:rsidRPr="000F49E6">
        <w:rPr>
          <w:rFonts w:ascii="Calibri" w:hAnsi="Calibri" w:cs="Arial"/>
          <w:lang w:val="en-US"/>
        </w:rPr>
        <w:t xml:space="preserve"> white patients</w:t>
      </w:r>
      <w:r w:rsidR="00B43D23" w:rsidRPr="000F49E6">
        <w:rPr>
          <w:rFonts w:ascii="Calibri" w:hAnsi="Calibri" w:cs="Arial"/>
          <w:lang w:val="en-US"/>
        </w:rPr>
        <w:t xml:space="preserve"> (Table 3).</w:t>
      </w:r>
    </w:p>
    <w:p w:rsidR="00184AF8" w:rsidRPr="000F49E6" w:rsidRDefault="00184AF8" w:rsidP="006C647A">
      <w:pPr>
        <w:spacing w:line="480" w:lineRule="auto"/>
        <w:rPr>
          <w:rFonts w:ascii="Calibri" w:hAnsi="Calibri" w:cs="Arial"/>
          <w:lang w:val="en-US"/>
        </w:rPr>
      </w:pPr>
    </w:p>
    <w:p w:rsidR="00184AF8" w:rsidRPr="00AE22D7" w:rsidRDefault="00184AF8" w:rsidP="00184AF8">
      <w:pPr>
        <w:spacing w:line="480" w:lineRule="auto"/>
        <w:rPr>
          <w:rFonts w:ascii="Calibri" w:eastAsia="Times New Roman" w:hAnsi="Calibri" w:cs="Arial"/>
          <w:b/>
          <w:lang w:val="en-US" w:eastAsia="en-GB"/>
        </w:rPr>
      </w:pPr>
      <w:r>
        <w:rPr>
          <w:rFonts w:ascii="Calibri" w:eastAsia="Times New Roman" w:hAnsi="Calibri" w:cs="Arial"/>
          <w:b/>
          <w:lang w:val="en-US" w:eastAsia="en-GB"/>
        </w:rPr>
        <w:t>TABLE 3. Ris</w:t>
      </w:r>
      <w:r w:rsidR="003F1D14">
        <w:rPr>
          <w:rFonts w:ascii="Calibri" w:eastAsia="Times New Roman" w:hAnsi="Calibri" w:cs="Arial"/>
          <w:b/>
          <w:lang w:val="en-US" w:eastAsia="en-GB"/>
        </w:rPr>
        <w:t xml:space="preserve">k factor profile, </w:t>
      </w:r>
      <w:r w:rsidRPr="00D43DB4">
        <w:rPr>
          <w:rFonts w:ascii="Calibri" w:eastAsia="Times New Roman" w:hAnsi="Calibri" w:cs="Arial"/>
          <w:b/>
          <w:lang w:val="en-US" w:eastAsia="en-GB"/>
        </w:rPr>
        <w:t xml:space="preserve">events </w:t>
      </w:r>
      <w:r w:rsidR="003F1D14">
        <w:rPr>
          <w:rFonts w:ascii="Calibri" w:eastAsia="Times New Roman" w:hAnsi="Calibri" w:cs="Arial"/>
          <w:b/>
          <w:lang w:val="en-US" w:eastAsia="en-GB"/>
        </w:rPr>
        <w:t xml:space="preserve">and treatment strategies </w:t>
      </w:r>
      <w:r w:rsidRPr="00D43DB4">
        <w:rPr>
          <w:rFonts w:ascii="Calibri" w:eastAsia="Times New Roman" w:hAnsi="Calibri" w:cs="Arial"/>
          <w:b/>
          <w:lang w:val="en-US" w:eastAsia="en-GB"/>
        </w:rPr>
        <w:t xml:space="preserve">in black </w:t>
      </w:r>
      <w:r>
        <w:rPr>
          <w:rFonts w:ascii="Calibri" w:eastAsia="Times New Roman" w:hAnsi="Calibri" w:cs="Arial"/>
          <w:b/>
          <w:lang w:val="en-US" w:eastAsia="en-GB"/>
        </w:rPr>
        <w:t>versus</w:t>
      </w:r>
      <w:r w:rsidRPr="00D43DB4">
        <w:rPr>
          <w:rFonts w:ascii="Calibri" w:eastAsia="Times New Roman" w:hAnsi="Calibri" w:cs="Arial"/>
          <w:b/>
          <w:lang w:val="en-US" w:eastAsia="en-GB"/>
        </w:rPr>
        <w:t xml:space="preserve"> white </w:t>
      </w:r>
      <w:r>
        <w:rPr>
          <w:rFonts w:ascii="Calibri" w:eastAsia="Times New Roman" w:hAnsi="Calibri" w:cs="Arial"/>
          <w:b/>
          <w:lang w:val="en-US" w:eastAsia="en-GB"/>
        </w:rPr>
        <w:t xml:space="preserve">HCM </w:t>
      </w:r>
      <w:r w:rsidRPr="00D43DB4">
        <w:rPr>
          <w:rFonts w:ascii="Calibri" w:eastAsia="Times New Roman" w:hAnsi="Calibri" w:cs="Arial"/>
          <w:b/>
          <w:lang w:val="en-US" w:eastAsia="en-GB"/>
        </w:rPr>
        <w:t>patients eligible for survival analysis (n=409).</w:t>
      </w:r>
    </w:p>
    <w:tbl>
      <w:tblPr>
        <w:tblW w:w="9062" w:type="dxa"/>
        <w:jc w:val="center"/>
        <w:tblLook w:val="00A0" w:firstRow="1" w:lastRow="0" w:firstColumn="1" w:lastColumn="0" w:noHBand="0" w:noVBand="0"/>
      </w:tblPr>
      <w:tblGrid>
        <w:gridCol w:w="4279"/>
        <w:gridCol w:w="770"/>
        <w:gridCol w:w="1212"/>
        <w:gridCol w:w="348"/>
        <w:gridCol w:w="1353"/>
        <w:gridCol w:w="64"/>
        <w:gridCol w:w="892"/>
        <w:gridCol w:w="144"/>
      </w:tblGrid>
      <w:tr w:rsidR="00184AF8" w:rsidRPr="00AE22D7" w:rsidTr="003F1D14">
        <w:trPr>
          <w:gridAfter w:val="1"/>
          <w:wAfter w:w="144" w:type="dxa"/>
          <w:jc w:val="center"/>
        </w:trPr>
        <w:tc>
          <w:tcPr>
            <w:tcW w:w="5049" w:type="dxa"/>
            <w:gridSpan w:val="2"/>
            <w:tcBorders>
              <w:top w:val="single" w:sz="4" w:space="0" w:color="auto"/>
              <w:bottom w:val="single" w:sz="4" w:space="0" w:color="auto"/>
            </w:tcBorders>
            <w:vAlign w:val="center"/>
          </w:tcPr>
          <w:p w:rsidR="00184AF8" w:rsidRPr="00AE22D7" w:rsidRDefault="00184AF8" w:rsidP="006A46E4">
            <w:pPr>
              <w:spacing w:line="360" w:lineRule="auto"/>
              <w:rPr>
                <w:rFonts w:ascii="Calibri" w:hAnsi="Calibri" w:cs="Arial"/>
                <w:b/>
                <w:lang w:val="en-US"/>
              </w:rPr>
            </w:pPr>
            <w:r w:rsidRPr="00AE22D7">
              <w:rPr>
                <w:rFonts w:ascii="Calibri" w:hAnsi="Calibri" w:cs="Arial"/>
                <w:b/>
                <w:lang w:val="en-US"/>
              </w:rPr>
              <w:t>Parameter</w:t>
            </w:r>
          </w:p>
        </w:tc>
        <w:tc>
          <w:tcPr>
            <w:tcW w:w="1560" w:type="dxa"/>
            <w:gridSpan w:val="2"/>
            <w:tcBorders>
              <w:top w:val="single" w:sz="4" w:space="0" w:color="auto"/>
              <w:bottom w:val="single" w:sz="4" w:space="0" w:color="auto"/>
            </w:tcBorders>
            <w:vAlign w:val="center"/>
          </w:tcPr>
          <w:p w:rsidR="00184AF8" w:rsidRPr="00AE22D7" w:rsidRDefault="00184AF8" w:rsidP="006A46E4">
            <w:pPr>
              <w:spacing w:line="360" w:lineRule="auto"/>
              <w:jc w:val="center"/>
              <w:rPr>
                <w:rFonts w:ascii="Calibri" w:hAnsi="Calibri" w:cs="Arial"/>
                <w:b/>
                <w:lang w:val="en-US"/>
              </w:rPr>
            </w:pPr>
            <w:r w:rsidRPr="00AE22D7">
              <w:rPr>
                <w:rFonts w:ascii="Calibri" w:hAnsi="Calibri" w:cs="Arial"/>
                <w:b/>
                <w:lang w:val="en-US"/>
              </w:rPr>
              <w:t>Black Patients</w:t>
            </w:r>
          </w:p>
          <w:p w:rsidR="00184AF8" w:rsidRPr="00AE22D7" w:rsidRDefault="00184AF8" w:rsidP="006A46E4">
            <w:pPr>
              <w:spacing w:line="360" w:lineRule="auto"/>
              <w:jc w:val="center"/>
              <w:rPr>
                <w:rFonts w:ascii="Calibri" w:hAnsi="Calibri" w:cs="Arial"/>
                <w:b/>
                <w:lang w:val="en-US"/>
              </w:rPr>
            </w:pPr>
            <w:r>
              <w:rPr>
                <w:rFonts w:ascii="Calibri" w:hAnsi="Calibri" w:cs="Arial"/>
                <w:b/>
                <w:lang w:val="en-US"/>
              </w:rPr>
              <w:t>(n=</w:t>
            </w:r>
            <w:r w:rsidRPr="00AE22D7">
              <w:rPr>
                <w:rFonts w:ascii="Calibri" w:hAnsi="Calibri" w:cs="Arial"/>
                <w:b/>
                <w:lang w:val="en-US"/>
              </w:rPr>
              <w:t>155</w:t>
            </w:r>
            <w:r>
              <w:rPr>
                <w:rFonts w:ascii="Calibri" w:hAnsi="Calibri" w:cs="Arial"/>
                <w:b/>
                <w:lang w:val="en-US"/>
              </w:rPr>
              <w:t>)</w:t>
            </w:r>
          </w:p>
        </w:tc>
        <w:tc>
          <w:tcPr>
            <w:tcW w:w="1417" w:type="dxa"/>
            <w:gridSpan w:val="2"/>
            <w:tcBorders>
              <w:top w:val="single" w:sz="4" w:space="0" w:color="auto"/>
              <w:bottom w:val="single" w:sz="4" w:space="0" w:color="auto"/>
            </w:tcBorders>
            <w:vAlign w:val="center"/>
          </w:tcPr>
          <w:p w:rsidR="00184AF8" w:rsidRPr="00AE22D7" w:rsidRDefault="00184AF8" w:rsidP="006A46E4">
            <w:pPr>
              <w:spacing w:line="360" w:lineRule="auto"/>
              <w:jc w:val="center"/>
              <w:rPr>
                <w:rFonts w:ascii="Calibri" w:hAnsi="Calibri" w:cs="Arial"/>
                <w:b/>
                <w:lang w:val="en-US"/>
              </w:rPr>
            </w:pPr>
            <w:r w:rsidRPr="00AE22D7">
              <w:rPr>
                <w:rFonts w:ascii="Calibri" w:hAnsi="Calibri" w:cs="Arial"/>
                <w:b/>
                <w:lang w:val="en-US"/>
              </w:rPr>
              <w:t>White Patients</w:t>
            </w:r>
          </w:p>
          <w:p w:rsidR="00184AF8" w:rsidRPr="00AE22D7" w:rsidRDefault="00184AF8" w:rsidP="006A46E4">
            <w:pPr>
              <w:spacing w:line="360" w:lineRule="auto"/>
              <w:jc w:val="center"/>
              <w:rPr>
                <w:rFonts w:ascii="Calibri" w:hAnsi="Calibri" w:cs="Arial"/>
                <w:b/>
                <w:lang w:val="en-US"/>
              </w:rPr>
            </w:pPr>
            <w:r>
              <w:rPr>
                <w:rFonts w:ascii="Calibri" w:hAnsi="Calibri" w:cs="Arial"/>
                <w:b/>
                <w:lang w:val="en-US"/>
              </w:rPr>
              <w:t>(n=</w:t>
            </w:r>
            <w:r w:rsidRPr="00AE22D7">
              <w:rPr>
                <w:rFonts w:ascii="Calibri" w:hAnsi="Calibri" w:cs="Arial"/>
                <w:b/>
                <w:lang w:val="en-US"/>
              </w:rPr>
              <w:t>254</w:t>
            </w:r>
            <w:r>
              <w:rPr>
                <w:rFonts w:ascii="Calibri" w:hAnsi="Calibri" w:cs="Arial"/>
                <w:b/>
                <w:lang w:val="en-US"/>
              </w:rPr>
              <w:t>)</w:t>
            </w:r>
          </w:p>
        </w:tc>
        <w:tc>
          <w:tcPr>
            <w:tcW w:w="892" w:type="dxa"/>
            <w:tcBorders>
              <w:top w:val="single" w:sz="4" w:space="0" w:color="auto"/>
              <w:bottom w:val="single" w:sz="4" w:space="0" w:color="auto"/>
            </w:tcBorders>
            <w:vAlign w:val="center"/>
          </w:tcPr>
          <w:p w:rsidR="00184AF8" w:rsidRPr="00AE22D7" w:rsidRDefault="00184AF8" w:rsidP="006A46E4">
            <w:pPr>
              <w:spacing w:line="360" w:lineRule="auto"/>
              <w:rPr>
                <w:rFonts w:ascii="Calibri" w:hAnsi="Calibri" w:cs="Arial"/>
                <w:b/>
                <w:lang w:val="en-US"/>
              </w:rPr>
            </w:pPr>
            <w:r w:rsidRPr="00AE22D7">
              <w:rPr>
                <w:rFonts w:ascii="Calibri" w:hAnsi="Calibri" w:cs="Arial"/>
                <w:b/>
                <w:lang w:val="en-US"/>
              </w:rPr>
              <w:t>p-value</w:t>
            </w:r>
          </w:p>
        </w:tc>
      </w:tr>
      <w:tr w:rsidR="00184AF8" w:rsidRPr="00AE22D7" w:rsidTr="003F1D14">
        <w:trPr>
          <w:gridAfter w:val="1"/>
          <w:wAfter w:w="144" w:type="dxa"/>
          <w:jc w:val="center"/>
        </w:trPr>
        <w:tc>
          <w:tcPr>
            <w:tcW w:w="8918" w:type="dxa"/>
            <w:gridSpan w:val="7"/>
            <w:tcBorders>
              <w:top w:val="single" w:sz="4" w:space="0" w:color="auto"/>
            </w:tcBorders>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b/>
                <w:lang w:val="en-US"/>
              </w:rPr>
              <w:t>Prevalence of conventional risk factors – no. (%)</w:t>
            </w:r>
          </w:p>
        </w:tc>
      </w:tr>
      <w:tr w:rsidR="00184AF8" w:rsidRPr="00AE22D7" w:rsidTr="003F1D14">
        <w:trPr>
          <w:gridAfter w:val="1"/>
          <w:wAfter w:w="144" w:type="dxa"/>
          <w:jc w:val="center"/>
        </w:trPr>
        <w:tc>
          <w:tcPr>
            <w:tcW w:w="5049" w:type="dxa"/>
            <w:gridSpan w:val="2"/>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History of Syncope</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36 (23.2)</w:t>
            </w:r>
          </w:p>
        </w:tc>
        <w:tc>
          <w:tcPr>
            <w:tcW w:w="1417"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38 (15.0)</w:t>
            </w:r>
          </w:p>
        </w:tc>
        <w:tc>
          <w:tcPr>
            <w:tcW w:w="892" w:type="dxa"/>
            <w:vAlign w:val="center"/>
          </w:tcPr>
          <w:p w:rsidR="00184AF8" w:rsidRPr="00AE22D7" w:rsidRDefault="00184AF8" w:rsidP="006A46E4">
            <w:pPr>
              <w:spacing w:line="360" w:lineRule="auto"/>
              <w:rPr>
                <w:rFonts w:ascii="Calibri" w:hAnsi="Calibri" w:cs="Arial"/>
                <w:lang w:val="en-US"/>
              </w:rPr>
            </w:pPr>
            <w:r w:rsidRPr="00F53579">
              <w:rPr>
                <w:rFonts w:ascii="Calibri" w:hAnsi="Calibri" w:cs="Arial"/>
                <w:lang w:val="en-US"/>
              </w:rPr>
              <w:t>0.035</w:t>
            </w:r>
          </w:p>
        </w:tc>
      </w:tr>
      <w:tr w:rsidR="00184AF8" w:rsidRPr="00AE22D7" w:rsidTr="003F1D14">
        <w:trPr>
          <w:gridAfter w:val="1"/>
          <w:wAfter w:w="144" w:type="dxa"/>
          <w:jc w:val="center"/>
        </w:trPr>
        <w:tc>
          <w:tcPr>
            <w:tcW w:w="5049" w:type="dxa"/>
            <w:gridSpan w:val="2"/>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Family history of sudden death</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30 (19.4</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47 (18.5)</w:t>
            </w:r>
          </w:p>
        </w:tc>
        <w:tc>
          <w:tcPr>
            <w:tcW w:w="892" w:type="dxa"/>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0.831</w:t>
            </w:r>
          </w:p>
        </w:tc>
      </w:tr>
      <w:tr w:rsidR="00184AF8" w:rsidRPr="00AE22D7" w:rsidTr="003F1D14">
        <w:trPr>
          <w:gridAfter w:val="1"/>
          <w:wAfter w:w="144" w:type="dxa"/>
          <w:jc w:val="center"/>
        </w:trPr>
        <w:tc>
          <w:tcPr>
            <w:tcW w:w="5049" w:type="dxa"/>
            <w:gridSpan w:val="2"/>
            <w:vAlign w:val="center"/>
          </w:tcPr>
          <w:p w:rsidR="00184AF8" w:rsidRPr="00AE22D7" w:rsidRDefault="00184AF8" w:rsidP="006A46E4">
            <w:pPr>
              <w:spacing w:line="360" w:lineRule="auto"/>
              <w:rPr>
                <w:rFonts w:ascii="Calibri" w:hAnsi="Calibri" w:cs="Arial"/>
                <w:lang w:val="en-US"/>
              </w:rPr>
            </w:pPr>
            <w:r>
              <w:rPr>
                <w:rFonts w:ascii="Calibri" w:hAnsi="Calibri" w:cs="Arial"/>
                <w:lang w:val="en-US"/>
              </w:rPr>
              <w:t>NSVT</w:t>
            </w:r>
            <w:r w:rsidRPr="00AE22D7">
              <w:rPr>
                <w:rFonts w:ascii="Calibri" w:hAnsi="Calibri" w:cs="Arial"/>
                <w:lang w:val="en-US"/>
              </w:rPr>
              <w:t xml:space="preserve"> at entry to study</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23 (16.1)</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29 (11.8)</w:t>
            </w:r>
          </w:p>
        </w:tc>
        <w:tc>
          <w:tcPr>
            <w:tcW w:w="892" w:type="dxa"/>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0.236</w:t>
            </w:r>
          </w:p>
        </w:tc>
      </w:tr>
      <w:tr w:rsidR="00184AF8" w:rsidRPr="00AE22D7" w:rsidTr="003F1D14">
        <w:trPr>
          <w:gridAfter w:val="1"/>
          <w:wAfter w:w="144" w:type="dxa"/>
          <w:jc w:val="center"/>
        </w:trPr>
        <w:tc>
          <w:tcPr>
            <w:tcW w:w="5049" w:type="dxa"/>
            <w:gridSpan w:val="2"/>
            <w:vAlign w:val="center"/>
          </w:tcPr>
          <w:p w:rsidR="00184AF8" w:rsidRPr="00AE22D7" w:rsidRDefault="00184AF8" w:rsidP="006A46E4">
            <w:pPr>
              <w:spacing w:line="360" w:lineRule="auto"/>
              <w:rPr>
                <w:rFonts w:ascii="Calibri" w:hAnsi="Calibri" w:cs="Arial"/>
                <w:lang w:val="en-US"/>
              </w:rPr>
            </w:pPr>
            <w:r>
              <w:rPr>
                <w:rFonts w:ascii="Calibri" w:hAnsi="Calibri" w:cs="Arial"/>
                <w:lang w:val="en-US"/>
              </w:rPr>
              <w:t>NSVT</w:t>
            </w:r>
            <w:r w:rsidRPr="00AE22D7">
              <w:rPr>
                <w:rFonts w:ascii="Calibri" w:hAnsi="Calibri" w:cs="Arial"/>
                <w:lang w:val="en-US"/>
              </w:rPr>
              <w:t xml:space="preserve"> at any time since diagnosis</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34 (23.8)</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60 (24.5)</w:t>
            </w:r>
          </w:p>
        </w:tc>
        <w:tc>
          <w:tcPr>
            <w:tcW w:w="892" w:type="dxa"/>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0.874</w:t>
            </w:r>
          </w:p>
        </w:tc>
      </w:tr>
      <w:tr w:rsidR="00184AF8" w:rsidRPr="00AE22D7" w:rsidTr="003F1D14">
        <w:trPr>
          <w:gridAfter w:val="1"/>
          <w:wAfter w:w="144" w:type="dxa"/>
          <w:jc w:val="center"/>
        </w:trPr>
        <w:tc>
          <w:tcPr>
            <w:tcW w:w="5049" w:type="dxa"/>
            <w:gridSpan w:val="2"/>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Left ventricular wall thickness ≥30mm</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9 (5.8)</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9 (3.5)</w:t>
            </w:r>
          </w:p>
        </w:tc>
        <w:tc>
          <w:tcPr>
            <w:tcW w:w="892" w:type="dxa"/>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0.273</w:t>
            </w:r>
          </w:p>
        </w:tc>
      </w:tr>
      <w:tr w:rsidR="00184AF8" w:rsidRPr="00AE22D7" w:rsidTr="003F1D14">
        <w:trPr>
          <w:gridAfter w:val="1"/>
          <w:wAfter w:w="144" w:type="dxa"/>
          <w:jc w:val="center"/>
        </w:trPr>
        <w:tc>
          <w:tcPr>
            <w:tcW w:w="5049" w:type="dxa"/>
            <w:gridSpan w:val="2"/>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Abnormal blood pressure resp</w:t>
            </w:r>
            <w:r>
              <w:rPr>
                <w:rFonts w:ascii="Calibri" w:hAnsi="Calibri" w:cs="Arial"/>
                <w:lang w:val="en-US"/>
              </w:rPr>
              <w:t>onse to</w:t>
            </w:r>
            <w:r w:rsidRPr="00AE22D7">
              <w:rPr>
                <w:rFonts w:ascii="Calibri" w:hAnsi="Calibri" w:cs="Arial"/>
                <w:lang w:val="en-US"/>
              </w:rPr>
              <w:t xml:space="preserve"> exercise</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15 (13.3)</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47 (23.7)</w:t>
            </w:r>
          </w:p>
        </w:tc>
        <w:tc>
          <w:tcPr>
            <w:tcW w:w="892" w:type="dxa"/>
            <w:vAlign w:val="center"/>
          </w:tcPr>
          <w:p w:rsidR="00184AF8" w:rsidRPr="00AE22D7" w:rsidRDefault="00184AF8" w:rsidP="006A46E4">
            <w:pPr>
              <w:spacing w:line="360" w:lineRule="auto"/>
              <w:rPr>
                <w:rFonts w:ascii="Calibri" w:hAnsi="Calibri" w:cs="Arial"/>
                <w:lang w:val="en-US"/>
              </w:rPr>
            </w:pPr>
            <w:r w:rsidRPr="00F53579">
              <w:rPr>
                <w:rFonts w:ascii="Calibri" w:hAnsi="Calibri" w:cs="Arial"/>
                <w:lang w:val="en-US"/>
              </w:rPr>
              <w:t>0.026</w:t>
            </w:r>
          </w:p>
        </w:tc>
      </w:tr>
      <w:tr w:rsidR="00184AF8" w:rsidRPr="00AE22D7" w:rsidTr="003F1D14">
        <w:trPr>
          <w:gridAfter w:val="1"/>
          <w:wAfter w:w="144" w:type="dxa"/>
          <w:jc w:val="center"/>
        </w:trPr>
        <w:tc>
          <w:tcPr>
            <w:tcW w:w="5049" w:type="dxa"/>
            <w:gridSpan w:val="2"/>
            <w:vAlign w:val="center"/>
          </w:tcPr>
          <w:p w:rsidR="00184AF8" w:rsidRPr="00AE22D7" w:rsidRDefault="00184AF8" w:rsidP="006A46E4">
            <w:pPr>
              <w:spacing w:line="360" w:lineRule="auto"/>
              <w:rPr>
                <w:rFonts w:ascii="Calibri" w:hAnsi="Calibri" w:cs="Arial"/>
                <w:color w:val="000000"/>
                <w:lang w:val="en-US"/>
              </w:rPr>
            </w:pPr>
            <w:r w:rsidRPr="00AE22D7">
              <w:rPr>
                <w:rFonts w:ascii="Calibri" w:hAnsi="Calibri" w:cs="Arial"/>
                <w:color w:val="000000"/>
                <w:lang w:val="en-US"/>
              </w:rPr>
              <w:t>0 risk factors</w:t>
            </w:r>
          </w:p>
        </w:tc>
        <w:tc>
          <w:tcPr>
            <w:tcW w:w="1560" w:type="dxa"/>
            <w:gridSpan w:val="2"/>
            <w:vAlign w:val="center"/>
          </w:tcPr>
          <w:p w:rsidR="00184AF8" w:rsidRPr="00AE22D7" w:rsidRDefault="00184AF8" w:rsidP="006A46E4">
            <w:pPr>
              <w:spacing w:line="360" w:lineRule="auto"/>
              <w:jc w:val="center"/>
              <w:rPr>
                <w:rFonts w:ascii="Calibri" w:hAnsi="Calibri" w:cs="Arial"/>
                <w:color w:val="000000"/>
                <w:lang w:val="en-US"/>
              </w:rPr>
            </w:pPr>
            <w:r w:rsidRPr="00AE22D7">
              <w:rPr>
                <w:rFonts w:ascii="Calibri" w:hAnsi="Calibri" w:cs="Arial"/>
                <w:color w:val="000000"/>
                <w:lang w:val="en-US"/>
              </w:rPr>
              <w:t>73 (47.1)</w:t>
            </w:r>
          </w:p>
        </w:tc>
        <w:tc>
          <w:tcPr>
            <w:tcW w:w="1417" w:type="dxa"/>
            <w:gridSpan w:val="2"/>
            <w:vAlign w:val="center"/>
          </w:tcPr>
          <w:p w:rsidR="00184AF8" w:rsidRPr="00AE22D7" w:rsidRDefault="00184AF8" w:rsidP="006A46E4">
            <w:pPr>
              <w:spacing w:line="360" w:lineRule="auto"/>
              <w:jc w:val="center"/>
              <w:rPr>
                <w:rFonts w:ascii="Calibri" w:hAnsi="Calibri"/>
                <w:iCs/>
                <w:color w:val="000000"/>
                <w:lang w:val="en-US"/>
              </w:rPr>
            </w:pPr>
            <w:r w:rsidRPr="00AE22D7">
              <w:rPr>
                <w:rFonts w:ascii="Calibri" w:hAnsi="Calibri"/>
                <w:iCs/>
                <w:color w:val="000000"/>
                <w:lang w:val="en-US"/>
              </w:rPr>
              <w:t>119 (46.9)</w:t>
            </w:r>
          </w:p>
        </w:tc>
        <w:tc>
          <w:tcPr>
            <w:tcW w:w="892" w:type="dxa"/>
            <w:vAlign w:val="center"/>
          </w:tcPr>
          <w:p w:rsidR="00184AF8" w:rsidRPr="00AE22D7" w:rsidRDefault="00184AF8" w:rsidP="006A46E4">
            <w:pPr>
              <w:spacing w:line="360" w:lineRule="auto"/>
              <w:rPr>
                <w:rFonts w:ascii="Calibri" w:hAnsi="Calibri" w:cs="Arial"/>
                <w:color w:val="000000"/>
                <w:lang w:val="en-US"/>
              </w:rPr>
            </w:pPr>
            <w:r w:rsidRPr="00AE22D7">
              <w:rPr>
                <w:rFonts w:ascii="Calibri" w:hAnsi="Calibri" w:cs="Arial"/>
                <w:color w:val="000000"/>
                <w:lang w:val="en-US"/>
              </w:rPr>
              <w:t>0.961</w:t>
            </w: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1 risk factor</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56 (36.1)</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86 (33.9)</w:t>
            </w:r>
          </w:p>
        </w:tc>
        <w:tc>
          <w:tcPr>
            <w:tcW w:w="892" w:type="dxa"/>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0.640</w:t>
            </w: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≥2 risk factors</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26 (16.8)</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49 (19.3)</w:t>
            </w:r>
          </w:p>
        </w:tc>
        <w:tc>
          <w:tcPr>
            <w:tcW w:w="892" w:type="dxa"/>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0.523</w:t>
            </w:r>
          </w:p>
        </w:tc>
      </w:tr>
      <w:tr w:rsidR="00184AF8" w:rsidRPr="00AE22D7" w:rsidTr="003F1D14">
        <w:trPr>
          <w:gridAfter w:val="1"/>
          <w:wAfter w:w="144" w:type="dxa"/>
          <w:jc w:val="center"/>
        </w:trPr>
        <w:tc>
          <w:tcPr>
            <w:tcW w:w="8918" w:type="dxa"/>
            <w:gridSpan w:val="7"/>
          </w:tcPr>
          <w:p w:rsidR="00184AF8" w:rsidRPr="00AE22D7" w:rsidRDefault="00184AF8" w:rsidP="006A46E4">
            <w:pPr>
              <w:spacing w:line="360" w:lineRule="auto"/>
              <w:rPr>
                <w:rFonts w:ascii="Calibri" w:hAnsi="Calibri" w:cs="Arial"/>
                <w:b/>
                <w:lang w:val="en-US"/>
              </w:rPr>
            </w:pPr>
            <w:r w:rsidRPr="00AE22D7">
              <w:rPr>
                <w:rFonts w:ascii="Calibri" w:hAnsi="Calibri" w:cs="Arial"/>
                <w:b/>
                <w:lang w:val="en-US"/>
              </w:rPr>
              <w:t>European Society of Cardiology Risk stratification model</w:t>
            </w: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Overall HCM Risk Score</w:t>
            </w:r>
          </w:p>
        </w:tc>
        <w:tc>
          <w:tcPr>
            <w:tcW w:w="1560" w:type="dxa"/>
            <w:gridSpan w:val="2"/>
          </w:tcPr>
          <w:p w:rsidR="00184AF8" w:rsidRPr="00AE22D7" w:rsidRDefault="00184AF8" w:rsidP="006A46E4">
            <w:pPr>
              <w:spacing w:line="360" w:lineRule="auto"/>
              <w:jc w:val="center"/>
              <w:rPr>
                <w:rFonts w:ascii="Calibri" w:hAnsi="Calibri"/>
                <w:lang w:val="en-US"/>
              </w:rPr>
            </w:pPr>
            <w:r w:rsidRPr="00AE22D7">
              <w:rPr>
                <w:rFonts w:ascii="Calibri" w:hAnsi="Calibri"/>
                <w:lang w:val="en-US"/>
              </w:rPr>
              <w:t>3.45±3.94</w:t>
            </w:r>
          </w:p>
        </w:tc>
        <w:tc>
          <w:tcPr>
            <w:tcW w:w="1417" w:type="dxa"/>
            <w:gridSpan w:val="2"/>
          </w:tcPr>
          <w:p w:rsidR="00184AF8" w:rsidRPr="00AE22D7" w:rsidRDefault="00184AF8" w:rsidP="006A46E4">
            <w:pPr>
              <w:spacing w:line="360" w:lineRule="auto"/>
              <w:jc w:val="center"/>
              <w:rPr>
                <w:rFonts w:ascii="Calibri" w:hAnsi="Calibri"/>
                <w:lang w:val="en-US"/>
              </w:rPr>
            </w:pPr>
            <w:r w:rsidRPr="00AE22D7">
              <w:rPr>
                <w:rFonts w:ascii="Calibri" w:hAnsi="Calibri"/>
                <w:lang w:val="en-US"/>
              </w:rPr>
              <w:t>3.45±3.59</w:t>
            </w:r>
          </w:p>
        </w:tc>
        <w:tc>
          <w:tcPr>
            <w:tcW w:w="892" w:type="dxa"/>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0.483</w:t>
            </w: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HCM Risk Score High – no. (%)</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19 (13.4)</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27 (11.4)</w:t>
            </w:r>
          </w:p>
        </w:tc>
        <w:tc>
          <w:tcPr>
            <w:tcW w:w="892" w:type="dxa"/>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0.566</w:t>
            </w: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b/>
                <w:lang w:val="en-US"/>
              </w:rPr>
            </w:pPr>
            <w:r w:rsidRPr="00AE22D7">
              <w:rPr>
                <w:rFonts w:ascii="Calibri" w:hAnsi="Calibri" w:cs="Arial"/>
                <w:b/>
                <w:lang w:val="en-US"/>
              </w:rPr>
              <w:t>Deaths – no. (%)</w:t>
            </w:r>
          </w:p>
        </w:tc>
        <w:tc>
          <w:tcPr>
            <w:tcW w:w="1560" w:type="dxa"/>
            <w:gridSpan w:val="2"/>
            <w:vAlign w:val="center"/>
          </w:tcPr>
          <w:p w:rsidR="00184AF8" w:rsidRPr="00AE22D7" w:rsidRDefault="00184AF8" w:rsidP="006A46E4">
            <w:pPr>
              <w:spacing w:line="360" w:lineRule="auto"/>
              <w:jc w:val="center"/>
              <w:rPr>
                <w:rFonts w:ascii="Calibri" w:hAnsi="Calibri" w:cs="Arial"/>
                <w:b/>
                <w:lang w:val="en-US"/>
              </w:rPr>
            </w:pPr>
            <w:r w:rsidRPr="00AE22D7">
              <w:rPr>
                <w:rFonts w:ascii="Calibri" w:hAnsi="Calibri" w:cs="Arial"/>
                <w:b/>
                <w:lang w:val="en-US"/>
              </w:rPr>
              <w:t>12 (7.7)</w:t>
            </w:r>
          </w:p>
        </w:tc>
        <w:tc>
          <w:tcPr>
            <w:tcW w:w="1417" w:type="dxa"/>
            <w:gridSpan w:val="2"/>
            <w:vAlign w:val="center"/>
          </w:tcPr>
          <w:p w:rsidR="00184AF8" w:rsidRPr="00AE22D7" w:rsidRDefault="00184AF8" w:rsidP="006A46E4">
            <w:pPr>
              <w:spacing w:line="360" w:lineRule="auto"/>
              <w:jc w:val="center"/>
              <w:rPr>
                <w:rFonts w:ascii="Calibri" w:hAnsi="Calibri"/>
                <w:b/>
                <w:iCs/>
                <w:lang w:val="en-US"/>
              </w:rPr>
            </w:pPr>
            <w:r w:rsidRPr="00AE22D7">
              <w:rPr>
                <w:rFonts w:ascii="Calibri" w:hAnsi="Calibri"/>
                <w:b/>
                <w:iCs/>
                <w:lang w:val="en-US"/>
              </w:rPr>
              <w:t>21 (8.3)</w:t>
            </w:r>
          </w:p>
        </w:tc>
        <w:tc>
          <w:tcPr>
            <w:tcW w:w="892" w:type="dxa"/>
            <w:vAlign w:val="center"/>
          </w:tcPr>
          <w:p w:rsidR="00184AF8" w:rsidRPr="00AE22D7" w:rsidRDefault="00184AF8" w:rsidP="006A46E4">
            <w:pPr>
              <w:spacing w:line="360" w:lineRule="auto"/>
              <w:rPr>
                <w:rFonts w:ascii="Calibri" w:hAnsi="Calibri" w:cs="Arial"/>
                <w:b/>
                <w:lang w:val="en-US"/>
              </w:rPr>
            </w:pPr>
            <w:r w:rsidRPr="00AE22D7">
              <w:rPr>
                <w:rFonts w:ascii="Calibri" w:hAnsi="Calibri" w:cs="Arial"/>
                <w:b/>
                <w:lang w:val="en-US"/>
              </w:rPr>
              <w:t>0.850</w:t>
            </w: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ab/>
              <w:t>Cardiovascular deaths</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9 (5.8)</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16 (6.3)</w:t>
            </w:r>
          </w:p>
        </w:tc>
        <w:tc>
          <w:tcPr>
            <w:tcW w:w="892" w:type="dxa"/>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0.939</w:t>
            </w: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ab/>
            </w:r>
            <w:r w:rsidRPr="00AE22D7">
              <w:rPr>
                <w:rFonts w:ascii="Calibri" w:hAnsi="Calibri" w:cs="Arial"/>
                <w:lang w:val="en-US"/>
              </w:rPr>
              <w:tab/>
            </w:r>
            <w:r w:rsidRPr="008E0EF2">
              <w:rPr>
                <w:rFonts w:ascii="Calibri" w:hAnsi="Calibri" w:cs="Arial"/>
                <w:lang w:val="en-US"/>
              </w:rPr>
              <w:t xml:space="preserve">Sudden death secondary to </w:t>
            </w:r>
            <w:r w:rsidRPr="008E0EF2">
              <w:rPr>
                <w:rFonts w:ascii="Calibri" w:hAnsi="Calibri" w:cs="Arial"/>
                <w:lang w:val="en-US"/>
              </w:rPr>
              <w:tab/>
            </w:r>
            <w:r w:rsidRPr="008E0EF2">
              <w:rPr>
                <w:rFonts w:ascii="Calibri" w:hAnsi="Calibri" w:cs="Arial"/>
                <w:lang w:val="en-US"/>
              </w:rPr>
              <w:tab/>
            </w:r>
            <w:r w:rsidRPr="008E0EF2">
              <w:rPr>
                <w:rFonts w:ascii="Calibri" w:hAnsi="Calibri" w:cs="Arial"/>
                <w:lang w:val="en-US"/>
              </w:rPr>
              <w:tab/>
              <w:t>arrhythmia</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2 (1.3)</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4 (1.6)</w:t>
            </w:r>
          </w:p>
        </w:tc>
        <w:tc>
          <w:tcPr>
            <w:tcW w:w="892" w:type="dxa"/>
            <w:vMerge w:val="restart"/>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0.352</w:t>
            </w: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ab/>
            </w:r>
            <w:r w:rsidRPr="00AE22D7">
              <w:rPr>
                <w:rFonts w:ascii="Calibri" w:hAnsi="Calibri" w:cs="Arial"/>
                <w:lang w:val="en-US"/>
              </w:rPr>
              <w:tab/>
              <w:t>Myocardial Infarction</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1 (0.6)</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2 (0.8)</w:t>
            </w:r>
          </w:p>
        </w:tc>
        <w:tc>
          <w:tcPr>
            <w:tcW w:w="892" w:type="dxa"/>
            <w:vMerge/>
            <w:vAlign w:val="center"/>
          </w:tcPr>
          <w:p w:rsidR="00184AF8" w:rsidRPr="00AE22D7" w:rsidRDefault="00184AF8" w:rsidP="006A46E4">
            <w:pPr>
              <w:spacing w:line="360" w:lineRule="auto"/>
              <w:rPr>
                <w:rFonts w:ascii="Calibri" w:hAnsi="Calibri" w:cs="Arial"/>
                <w:lang w:val="en-US"/>
              </w:rPr>
            </w:pP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ab/>
            </w:r>
            <w:r w:rsidRPr="00AE22D7">
              <w:rPr>
                <w:rFonts w:ascii="Calibri" w:hAnsi="Calibri" w:cs="Arial"/>
                <w:lang w:val="en-US"/>
              </w:rPr>
              <w:tab/>
              <w:t>End stage heart failure*</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1 (0.6)</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7 (2.8)</w:t>
            </w:r>
          </w:p>
        </w:tc>
        <w:tc>
          <w:tcPr>
            <w:tcW w:w="892" w:type="dxa"/>
            <w:vMerge/>
            <w:vAlign w:val="center"/>
          </w:tcPr>
          <w:p w:rsidR="00184AF8" w:rsidRPr="00AE22D7" w:rsidRDefault="00184AF8" w:rsidP="006A46E4">
            <w:pPr>
              <w:spacing w:line="360" w:lineRule="auto"/>
              <w:rPr>
                <w:rFonts w:ascii="Calibri" w:hAnsi="Calibri" w:cs="Arial"/>
                <w:lang w:val="en-US"/>
              </w:rPr>
            </w:pP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ab/>
            </w:r>
            <w:r w:rsidRPr="00AE22D7">
              <w:rPr>
                <w:rFonts w:ascii="Calibri" w:hAnsi="Calibri" w:cs="Arial"/>
                <w:lang w:val="en-US"/>
              </w:rPr>
              <w:tab/>
              <w:t>Other</w:t>
            </w:r>
            <w:r w:rsidRPr="006D4EE0">
              <w:rPr>
                <w:rFonts w:ascii="Calibri" w:eastAsia="OTNEJMScalaSansLF" w:hAnsi="Calibri" w:cs="OTNEJMScalaSansLF" w:hint="eastAsia"/>
                <w:vertAlign w:val="superscript"/>
                <w:lang w:eastAsia="en-GB"/>
              </w:rPr>
              <w:t>†</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3 (1.9)</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2 (0.8)</w:t>
            </w:r>
          </w:p>
        </w:tc>
        <w:tc>
          <w:tcPr>
            <w:tcW w:w="892" w:type="dxa"/>
            <w:vMerge/>
            <w:vAlign w:val="center"/>
          </w:tcPr>
          <w:p w:rsidR="00184AF8" w:rsidRPr="00AE22D7" w:rsidRDefault="00184AF8" w:rsidP="006A46E4">
            <w:pPr>
              <w:spacing w:line="360" w:lineRule="auto"/>
              <w:rPr>
                <w:rFonts w:ascii="Calibri" w:hAnsi="Calibri" w:cs="Arial"/>
                <w:lang w:val="en-US"/>
              </w:rPr>
            </w:pP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ab/>
            </w:r>
            <w:r w:rsidRPr="00AE22D7">
              <w:rPr>
                <w:rFonts w:ascii="Calibri" w:hAnsi="Calibri" w:cs="Arial"/>
                <w:lang w:val="en-US"/>
              </w:rPr>
              <w:tab/>
              <w:t>Stroke</w:t>
            </w:r>
            <w:r w:rsidRPr="006D4EE0">
              <w:rPr>
                <w:rFonts w:ascii="Calibri" w:eastAsia="OTNEJMScalaSansLF" w:hAnsi="Calibri" w:cs="OTNEJMScalaSansLF"/>
                <w:vertAlign w:val="superscript"/>
                <w:lang w:eastAsia="en-GB"/>
              </w:rPr>
              <w:t>‡</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2 (1.3)</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1 (0.4)</w:t>
            </w:r>
          </w:p>
        </w:tc>
        <w:tc>
          <w:tcPr>
            <w:tcW w:w="892" w:type="dxa"/>
            <w:vMerge/>
            <w:vAlign w:val="center"/>
          </w:tcPr>
          <w:p w:rsidR="00184AF8" w:rsidRPr="00AE22D7" w:rsidRDefault="00184AF8" w:rsidP="006A46E4">
            <w:pPr>
              <w:spacing w:line="360" w:lineRule="auto"/>
              <w:rPr>
                <w:rFonts w:ascii="Calibri" w:hAnsi="Calibri" w:cs="Arial"/>
                <w:lang w:val="en-US"/>
              </w:rPr>
            </w:pP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ab/>
              <w:t>Non-cardiovascular deaths</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3 (1.9)</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5 (2.0)</w:t>
            </w:r>
          </w:p>
        </w:tc>
        <w:tc>
          <w:tcPr>
            <w:tcW w:w="892" w:type="dxa"/>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0.939</w:t>
            </w: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ab/>
            </w:r>
            <w:r w:rsidRPr="00AE22D7">
              <w:rPr>
                <w:rFonts w:ascii="Calibri" w:hAnsi="Calibri" w:cs="Arial"/>
                <w:lang w:val="en-US"/>
              </w:rPr>
              <w:tab/>
              <w:t>Cancer</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2 (1.3)</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3 (1.2)</w:t>
            </w:r>
          </w:p>
        </w:tc>
        <w:tc>
          <w:tcPr>
            <w:tcW w:w="892" w:type="dxa"/>
            <w:vMerge w:val="restart"/>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0.979</w:t>
            </w: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ab/>
            </w:r>
            <w:r w:rsidRPr="00AE22D7">
              <w:rPr>
                <w:rFonts w:ascii="Calibri" w:hAnsi="Calibri" w:cs="Arial"/>
                <w:lang w:val="en-US"/>
              </w:rPr>
              <w:tab/>
              <w:t>Other</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1 (0.6)</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2 (0.8)</w:t>
            </w:r>
          </w:p>
        </w:tc>
        <w:tc>
          <w:tcPr>
            <w:tcW w:w="892" w:type="dxa"/>
            <w:vMerge/>
            <w:vAlign w:val="center"/>
          </w:tcPr>
          <w:p w:rsidR="00184AF8" w:rsidRPr="00AE22D7" w:rsidRDefault="00184AF8" w:rsidP="006A46E4">
            <w:pPr>
              <w:spacing w:line="360" w:lineRule="auto"/>
              <w:rPr>
                <w:rFonts w:ascii="Calibri" w:hAnsi="Calibri" w:cs="Arial"/>
                <w:lang w:val="en-US"/>
              </w:rPr>
            </w:pP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b/>
                <w:lang w:val="en-US"/>
              </w:rPr>
              <w:t>Primary Outcome Events – no. (%)</w:t>
            </w:r>
          </w:p>
        </w:tc>
        <w:tc>
          <w:tcPr>
            <w:tcW w:w="1560" w:type="dxa"/>
            <w:gridSpan w:val="2"/>
            <w:vAlign w:val="center"/>
          </w:tcPr>
          <w:p w:rsidR="00184AF8" w:rsidRPr="00AE22D7" w:rsidRDefault="00184AF8" w:rsidP="006A46E4">
            <w:pPr>
              <w:spacing w:line="360" w:lineRule="auto"/>
              <w:jc w:val="center"/>
              <w:rPr>
                <w:rFonts w:ascii="Calibri" w:hAnsi="Calibri" w:cs="Arial"/>
                <w:b/>
                <w:lang w:val="en-US"/>
              </w:rPr>
            </w:pPr>
            <w:r w:rsidRPr="00AE22D7">
              <w:rPr>
                <w:rFonts w:ascii="Calibri" w:hAnsi="Calibri" w:cs="Arial"/>
                <w:b/>
                <w:lang w:val="en-US"/>
              </w:rPr>
              <w:t>20 (12.9%)</w:t>
            </w:r>
          </w:p>
        </w:tc>
        <w:tc>
          <w:tcPr>
            <w:tcW w:w="1417" w:type="dxa"/>
            <w:gridSpan w:val="2"/>
            <w:vAlign w:val="center"/>
          </w:tcPr>
          <w:p w:rsidR="00184AF8" w:rsidRPr="00AE22D7" w:rsidRDefault="00184AF8" w:rsidP="006A46E4">
            <w:pPr>
              <w:spacing w:line="360" w:lineRule="auto"/>
              <w:jc w:val="center"/>
              <w:rPr>
                <w:rFonts w:ascii="Calibri" w:hAnsi="Calibri"/>
                <w:b/>
                <w:iCs/>
                <w:lang w:val="en-US"/>
              </w:rPr>
            </w:pPr>
            <w:r w:rsidRPr="00AE22D7">
              <w:rPr>
                <w:rFonts w:ascii="Calibri" w:hAnsi="Calibri"/>
                <w:b/>
                <w:iCs/>
                <w:lang w:val="en-US"/>
              </w:rPr>
              <w:t>22 (8.7%)</w:t>
            </w:r>
          </w:p>
        </w:tc>
        <w:tc>
          <w:tcPr>
            <w:tcW w:w="892" w:type="dxa"/>
            <w:vAlign w:val="center"/>
          </w:tcPr>
          <w:p w:rsidR="00184AF8" w:rsidRPr="004977C6" w:rsidRDefault="00184AF8" w:rsidP="006A46E4">
            <w:pPr>
              <w:spacing w:line="360" w:lineRule="auto"/>
              <w:rPr>
                <w:rFonts w:ascii="Calibri" w:hAnsi="Calibri" w:cs="Arial"/>
                <w:b/>
                <w:lang w:val="en-US"/>
              </w:rPr>
            </w:pPr>
            <w:r w:rsidRPr="004977C6">
              <w:rPr>
                <w:rFonts w:ascii="Calibri" w:hAnsi="Calibri" w:cs="Arial"/>
                <w:b/>
                <w:lang w:val="en-US"/>
              </w:rPr>
              <w:t>0.170</w:t>
            </w: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ab/>
              <w:t>Cardiovascular cause of death</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9 (5.8)</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15 (5.9)</w:t>
            </w:r>
          </w:p>
        </w:tc>
        <w:tc>
          <w:tcPr>
            <w:tcW w:w="892" w:type="dxa"/>
            <w:vMerge w:val="restart"/>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0.089</w:t>
            </w: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ab/>
            </w:r>
            <w:r w:rsidRPr="00AE22D7">
              <w:rPr>
                <w:rFonts w:ascii="Calibri" w:hAnsi="Calibri" w:cs="Arial"/>
                <w:lang w:val="en-US"/>
              </w:rPr>
              <w:tab/>
              <w:t>HCM-related</w:t>
            </w:r>
            <w:r w:rsidRPr="006D4EE0">
              <w:rPr>
                <w:rFonts w:ascii="Calibri" w:eastAsia="OTNEJMScalaSansLF" w:hAnsi="Calibri" w:cs="OTNEJMScalaSansLF" w:hint="eastAsia"/>
                <w:vertAlign w:val="superscript"/>
                <w:lang w:eastAsia="en-GB"/>
              </w:rPr>
              <w:t>§</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5 (3.2)</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11 (4.3)</w:t>
            </w:r>
          </w:p>
        </w:tc>
        <w:tc>
          <w:tcPr>
            <w:tcW w:w="892" w:type="dxa"/>
            <w:vMerge/>
            <w:vAlign w:val="center"/>
          </w:tcPr>
          <w:p w:rsidR="00184AF8" w:rsidRPr="00AE22D7" w:rsidRDefault="00184AF8" w:rsidP="006A46E4">
            <w:pPr>
              <w:spacing w:line="360" w:lineRule="auto"/>
              <w:rPr>
                <w:rFonts w:ascii="Calibri" w:hAnsi="Calibri" w:cs="Arial"/>
                <w:lang w:val="en-US"/>
              </w:rPr>
            </w:pP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ab/>
            </w:r>
            <w:r w:rsidRPr="00AE22D7">
              <w:rPr>
                <w:rFonts w:ascii="Calibri" w:hAnsi="Calibri" w:cs="Arial"/>
                <w:lang w:val="en-US"/>
              </w:rPr>
              <w:tab/>
              <w:t>Non-HCM related</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4 (2.6)</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4 (1.6)</w:t>
            </w:r>
          </w:p>
        </w:tc>
        <w:tc>
          <w:tcPr>
            <w:tcW w:w="892" w:type="dxa"/>
            <w:vMerge/>
            <w:vAlign w:val="center"/>
          </w:tcPr>
          <w:p w:rsidR="00184AF8" w:rsidRPr="00AE22D7" w:rsidRDefault="00184AF8" w:rsidP="006A46E4">
            <w:pPr>
              <w:spacing w:line="360" w:lineRule="auto"/>
              <w:rPr>
                <w:rFonts w:ascii="Calibri" w:hAnsi="Calibri" w:cs="Arial"/>
                <w:lang w:val="en-US"/>
              </w:rPr>
            </w:pP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ab/>
              <w:t>Aborted Cardiac arrest</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6 (3.9)</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1 (0.4)</w:t>
            </w:r>
          </w:p>
        </w:tc>
        <w:tc>
          <w:tcPr>
            <w:tcW w:w="892" w:type="dxa"/>
            <w:vMerge/>
            <w:vAlign w:val="center"/>
          </w:tcPr>
          <w:p w:rsidR="00184AF8" w:rsidRPr="00AE22D7" w:rsidRDefault="00184AF8" w:rsidP="006A46E4">
            <w:pPr>
              <w:spacing w:line="360" w:lineRule="auto"/>
              <w:rPr>
                <w:rFonts w:ascii="Calibri" w:hAnsi="Calibri" w:cs="Arial"/>
                <w:lang w:val="en-US"/>
              </w:rPr>
            </w:pP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ab/>
              <w:t>Appropriate ICD therapy</w:t>
            </w:r>
            <w:r w:rsidRPr="006D4EE0">
              <w:rPr>
                <w:vertAlign w:val="superscript"/>
              </w:rPr>
              <w:t>||</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5 (3.2)</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6 (2.4)</w:t>
            </w:r>
          </w:p>
        </w:tc>
        <w:tc>
          <w:tcPr>
            <w:tcW w:w="892" w:type="dxa"/>
            <w:vMerge/>
            <w:vAlign w:val="center"/>
          </w:tcPr>
          <w:p w:rsidR="00184AF8" w:rsidRPr="00AE22D7" w:rsidRDefault="00184AF8" w:rsidP="006A46E4">
            <w:pPr>
              <w:spacing w:line="360" w:lineRule="auto"/>
              <w:rPr>
                <w:rFonts w:ascii="Calibri" w:hAnsi="Calibri" w:cs="Arial"/>
                <w:lang w:val="en-US"/>
              </w:rPr>
            </w:pP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b/>
                <w:lang w:val="en-US"/>
              </w:rPr>
            </w:pPr>
            <w:r w:rsidRPr="00AE22D7">
              <w:rPr>
                <w:rFonts w:ascii="Calibri" w:hAnsi="Calibri" w:cs="Arial"/>
                <w:b/>
                <w:lang w:val="en-US"/>
              </w:rPr>
              <w:t>Secondary Outcome Events – no. (%)</w:t>
            </w:r>
          </w:p>
        </w:tc>
        <w:tc>
          <w:tcPr>
            <w:tcW w:w="1560" w:type="dxa"/>
            <w:gridSpan w:val="2"/>
            <w:vAlign w:val="center"/>
          </w:tcPr>
          <w:p w:rsidR="00184AF8" w:rsidRPr="00AE22D7" w:rsidRDefault="00184AF8" w:rsidP="006A46E4">
            <w:pPr>
              <w:spacing w:line="360" w:lineRule="auto"/>
              <w:jc w:val="center"/>
              <w:rPr>
                <w:rFonts w:ascii="Calibri" w:hAnsi="Calibri" w:cs="Arial"/>
                <w:b/>
                <w:lang w:val="en-US"/>
              </w:rPr>
            </w:pPr>
            <w:r w:rsidRPr="00AE22D7">
              <w:rPr>
                <w:rFonts w:ascii="Calibri" w:hAnsi="Calibri" w:cs="Arial"/>
                <w:b/>
                <w:lang w:val="en-US"/>
              </w:rPr>
              <w:t>17 (11.0)</w:t>
            </w:r>
          </w:p>
        </w:tc>
        <w:tc>
          <w:tcPr>
            <w:tcW w:w="1417" w:type="dxa"/>
            <w:gridSpan w:val="2"/>
            <w:vAlign w:val="center"/>
          </w:tcPr>
          <w:p w:rsidR="00184AF8" w:rsidRPr="00AE22D7" w:rsidRDefault="00184AF8" w:rsidP="006A46E4">
            <w:pPr>
              <w:spacing w:line="360" w:lineRule="auto"/>
              <w:jc w:val="center"/>
              <w:rPr>
                <w:rFonts w:ascii="Calibri" w:hAnsi="Calibri"/>
                <w:b/>
                <w:iCs/>
                <w:lang w:val="en-US"/>
              </w:rPr>
            </w:pPr>
            <w:r w:rsidRPr="00AE22D7">
              <w:rPr>
                <w:rFonts w:ascii="Calibri" w:hAnsi="Calibri"/>
                <w:b/>
                <w:iCs/>
                <w:lang w:val="en-US"/>
              </w:rPr>
              <w:t>25 (9.8)</w:t>
            </w:r>
          </w:p>
        </w:tc>
        <w:tc>
          <w:tcPr>
            <w:tcW w:w="892" w:type="dxa"/>
            <w:vAlign w:val="center"/>
          </w:tcPr>
          <w:p w:rsidR="00184AF8" w:rsidRPr="00AE22D7" w:rsidRDefault="00184AF8" w:rsidP="006A46E4">
            <w:pPr>
              <w:spacing w:line="360" w:lineRule="auto"/>
              <w:rPr>
                <w:rFonts w:ascii="Calibri" w:hAnsi="Calibri" w:cs="Arial"/>
                <w:b/>
                <w:lang w:val="en-US"/>
              </w:rPr>
            </w:pPr>
            <w:r w:rsidRPr="00AE22D7">
              <w:rPr>
                <w:rFonts w:ascii="Calibri" w:hAnsi="Calibri" w:cs="Arial"/>
                <w:b/>
                <w:lang w:val="en-US"/>
              </w:rPr>
              <w:t>0.716</w:t>
            </w: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ab/>
              <w:t>Non-fatal Stroke</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12 (7.7)</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17 (6.7)</w:t>
            </w:r>
          </w:p>
        </w:tc>
        <w:tc>
          <w:tcPr>
            <w:tcW w:w="892" w:type="dxa"/>
            <w:vMerge w:val="restart"/>
            <w:vAlign w:val="center"/>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0.921</w:t>
            </w:r>
          </w:p>
        </w:tc>
      </w:tr>
      <w:tr w:rsidR="00184AF8" w:rsidRPr="00AE22D7" w:rsidTr="003F1D14">
        <w:trPr>
          <w:gridAfter w:val="1"/>
          <w:wAfter w:w="144" w:type="dxa"/>
          <w:jc w:val="center"/>
        </w:trPr>
        <w:tc>
          <w:tcPr>
            <w:tcW w:w="5049" w:type="dxa"/>
            <w:gridSpan w:val="2"/>
          </w:tcPr>
          <w:p w:rsidR="00184AF8" w:rsidRPr="00AE22D7" w:rsidRDefault="00184AF8" w:rsidP="006A46E4">
            <w:pPr>
              <w:spacing w:line="360" w:lineRule="auto"/>
              <w:rPr>
                <w:rFonts w:ascii="Calibri" w:hAnsi="Calibri" w:cs="Arial"/>
                <w:lang w:val="en-US"/>
              </w:rPr>
            </w:pPr>
            <w:r w:rsidRPr="00AE22D7">
              <w:rPr>
                <w:rFonts w:ascii="Calibri" w:hAnsi="Calibri" w:cs="Arial"/>
                <w:lang w:val="en-US"/>
              </w:rPr>
              <w:tab/>
              <w:t>Non-fatal Myocardial Infarction</w:t>
            </w:r>
          </w:p>
        </w:tc>
        <w:tc>
          <w:tcPr>
            <w:tcW w:w="1560" w:type="dxa"/>
            <w:gridSpan w:val="2"/>
            <w:vAlign w:val="center"/>
          </w:tcPr>
          <w:p w:rsidR="00184AF8" w:rsidRPr="00AE22D7" w:rsidRDefault="00184AF8" w:rsidP="006A46E4">
            <w:pPr>
              <w:spacing w:line="360" w:lineRule="auto"/>
              <w:jc w:val="center"/>
              <w:rPr>
                <w:rFonts w:ascii="Calibri" w:hAnsi="Calibri" w:cs="Arial"/>
                <w:lang w:val="en-US"/>
              </w:rPr>
            </w:pPr>
            <w:r w:rsidRPr="00AE22D7">
              <w:rPr>
                <w:rFonts w:ascii="Calibri" w:hAnsi="Calibri" w:cs="Arial"/>
                <w:lang w:val="en-US"/>
              </w:rPr>
              <w:t>5 (3.2)</w:t>
            </w:r>
          </w:p>
        </w:tc>
        <w:tc>
          <w:tcPr>
            <w:tcW w:w="1417" w:type="dxa"/>
            <w:gridSpan w:val="2"/>
            <w:vAlign w:val="center"/>
          </w:tcPr>
          <w:p w:rsidR="00184AF8" w:rsidRPr="00AE22D7" w:rsidRDefault="00184AF8" w:rsidP="006A46E4">
            <w:pPr>
              <w:spacing w:line="360" w:lineRule="auto"/>
              <w:jc w:val="center"/>
              <w:rPr>
                <w:rFonts w:ascii="Calibri" w:hAnsi="Calibri"/>
                <w:iCs/>
                <w:lang w:val="en-US"/>
              </w:rPr>
            </w:pPr>
            <w:r w:rsidRPr="00AE22D7">
              <w:rPr>
                <w:rFonts w:ascii="Calibri" w:hAnsi="Calibri"/>
                <w:iCs/>
                <w:lang w:val="en-US"/>
              </w:rPr>
              <w:t>8 (3.1)</w:t>
            </w:r>
          </w:p>
        </w:tc>
        <w:tc>
          <w:tcPr>
            <w:tcW w:w="892" w:type="dxa"/>
            <w:vMerge/>
            <w:vAlign w:val="center"/>
          </w:tcPr>
          <w:p w:rsidR="00184AF8" w:rsidRPr="00AE22D7" w:rsidRDefault="00184AF8" w:rsidP="006A46E4">
            <w:pPr>
              <w:spacing w:line="360" w:lineRule="auto"/>
              <w:rPr>
                <w:rFonts w:ascii="Calibri" w:hAnsi="Calibri" w:cs="Arial"/>
                <w:lang w:val="en-US"/>
              </w:rPr>
            </w:pPr>
          </w:p>
        </w:tc>
      </w:tr>
      <w:tr w:rsidR="003F1D14" w:rsidRPr="006A46E4" w:rsidTr="003F1D14">
        <w:trPr>
          <w:trHeight w:val="277"/>
          <w:jc w:val="center"/>
        </w:trPr>
        <w:tc>
          <w:tcPr>
            <w:tcW w:w="9062" w:type="dxa"/>
            <w:gridSpan w:val="8"/>
            <w:vAlign w:val="center"/>
          </w:tcPr>
          <w:p w:rsidR="003F1D14" w:rsidRPr="006A46E4" w:rsidRDefault="003F1D14" w:rsidP="00FA387E">
            <w:pPr>
              <w:spacing w:line="360" w:lineRule="auto"/>
              <w:rPr>
                <w:rFonts w:ascii="Calibri" w:eastAsia="Times New Roman" w:hAnsi="Calibri" w:cs="Arial"/>
                <w:b/>
                <w:lang w:val="en-US" w:eastAsia="en-GB"/>
              </w:rPr>
            </w:pPr>
            <w:r w:rsidRPr="006A46E4">
              <w:rPr>
                <w:rFonts w:ascii="Calibri" w:eastAsia="Times New Roman" w:hAnsi="Calibri" w:cs="Arial"/>
                <w:b/>
                <w:lang w:val="en-US" w:eastAsia="en-GB"/>
              </w:rPr>
              <w:t>Pharmacological Therapy – no. (%)</w:t>
            </w:r>
          </w:p>
        </w:tc>
      </w:tr>
      <w:tr w:rsidR="003F1D14" w:rsidRPr="00AA151C" w:rsidTr="003F1D14">
        <w:trPr>
          <w:jc w:val="center"/>
        </w:trPr>
        <w:tc>
          <w:tcPr>
            <w:tcW w:w="4279" w:type="dxa"/>
            <w:vAlign w:val="center"/>
          </w:tcPr>
          <w:p w:rsidR="003F1D14" w:rsidRPr="00AA151C" w:rsidRDefault="003F1D14" w:rsidP="003F1D14">
            <w:pPr>
              <w:spacing w:line="360" w:lineRule="auto"/>
              <w:ind w:left="764"/>
              <w:rPr>
                <w:rFonts w:ascii="Calibri" w:eastAsia="Times New Roman" w:hAnsi="Calibri" w:cs="Arial"/>
                <w:lang w:val="en-US" w:eastAsia="en-GB"/>
              </w:rPr>
            </w:pPr>
            <w:r w:rsidRPr="00AA151C">
              <w:rPr>
                <w:rFonts w:ascii="Calibri" w:eastAsia="Times New Roman" w:hAnsi="Calibri" w:cs="Arial"/>
                <w:lang w:val="en-US" w:eastAsia="en-GB"/>
              </w:rPr>
              <w:t>Beta-blockers</w:t>
            </w:r>
          </w:p>
        </w:tc>
        <w:tc>
          <w:tcPr>
            <w:tcW w:w="1982" w:type="dxa"/>
            <w:gridSpan w:val="2"/>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84 (58.7)</w:t>
            </w:r>
          </w:p>
        </w:tc>
        <w:tc>
          <w:tcPr>
            <w:tcW w:w="1701" w:type="dxa"/>
            <w:gridSpan w:val="2"/>
            <w:vAlign w:val="center"/>
          </w:tcPr>
          <w:p w:rsidR="003F1D14" w:rsidRPr="00AA151C" w:rsidRDefault="003F1D14" w:rsidP="00FA387E">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131 (53.7)</w:t>
            </w:r>
          </w:p>
        </w:tc>
        <w:tc>
          <w:tcPr>
            <w:tcW w:w="1100" w:type="dxa"/>
            <w:gridSpan w:val="3"/>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0.334</w:t>
            </w:r>
          </w:p>
        </w:tc>
      </w:tr>
      <w:tr w:rsidR="003F1D14" w:rsidRPr="00AA151C" w:rsidTr="003F1D14">
        <w:trPr>
          <w:jc w:val="center"/>
        </w:trPr>
        <w:tc>
          <w:tcPr>
            <w:tcW w:w="4279" w:type="dxa"/>
            <w:vAlign w:val="center"/>
          </w:tcPr>
          <w:p w:rsidR="003F1D14" w:rsidRPr="00AA151C" w:rsidRDefault="003F1D14" w:rsidP="003F1D14">
            <w:pPr>
              <w:spacing w:line="360" w:lineRule="auto"/>
              <w:ind w:left="764"/>
              <w:rPr>
                <w:rFonts w:ascii="Calibri" w:eastAsia="Times New Roman" w:hAnsi="Calibri" w:cs="Arial"/>
                <w:lang w:val="en-US" w:eastAsia="en-GB"/>
              </w:rPr>
            </w:pPr>
            <w:r w:rsidRPr="00AA151C">
              <w:rPr>
                <w:rFonts w:ascii="Calibri" w:eastAsia="Times New Roman" w:hAnsi="Calibri" w:cs="Arial"/>
                <w:lang w:val="en-US" w:eastAsia="en-GB"/>
              </w:rPr>
              <w:t>Verapamil</w:t>
            </w:r>
          </w:p>
        </w:tc>
        <w:tc>
          <w:tcPr>
            <w:tcW w:w="1982" w:type="dxa"/>
            <w:gridSpan w:val="2"/>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8 (5.6)</w:t>
            </w:r>
          </w:p>
        </w:tc>
        <w:tc>
          <w:tcPr>
            <w:tcW w:w="1701" w:type="dxa"/>
            <w:gridSpan w:val="2"/>
            <w:vAlign w:val="center"/>
          </w:tcPr>
          <w:p w:rsidR="003F1D14" w:rsidRPr="00AA151C" w:rsidRDefault="003F1D14" w:rsidP="00FA387E">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24 (9.8)</w:t>
            </w:r>
          </w:p>
        </w:tc>
        <w:tc>
          <w:tcPr>
            <w:tcW w:w="1100" w:type="dxa"/>
            <w:gridSpan w:val="3"/>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0.144</w:t>
            </w:r>
          </w:p>
        </w:tc>
      </w:tr>
      <w:tr w:rsidR="003F1D14" w:rsidRPr="00AA151C" w:rsidTr="003F1D14">
        <w:trPr>
          <w:jc w:val="center"/>
        </w:trPr>
        <w:tc>
          <w:tcPr>
            <w:tcW w:w="4279" w:type="dxa"/>
            <w:vAlign w:val="center"/>
          </w:tcPr>
          <w:p w:rsidR="003F1D14" w:rsidRPr="00AA151C" w:rsidRDefault="003F1D14" w:rsidP="003F1D14">
            <w:pPr>
              <w:spacing w:line="360" w:lineRule="auto"/>
              <w:ind w:left="764"/>
              <w:rPr>
                <w:rFonts w:ascii="Calibri" w:eastAsia="Times New Roman" w:hAnsi="Calibri" w:cs="Arial"/>
                <w:lang w:val="en-US" w:eastAsia="en-GB"/>
              </w:rPr>
            </w:pPr>
            <w:r w:rsidRPr="00AA151C">
              <w:rPr>
                <w:rFonts w:ascii="Calibri" w:eastAsia="Times New Roman" w:hAnsi="Calibri" w:cs="Arial"/>
                <w:lang w:val="en-US" w:eastAsia="en-GB"/>
              </w:rPr>
              <w:t>Disopyramide</w:t>
            </w:r>
          </w:p>
        </w:tc>
        <w:tc>
          <w:tcPr>
            <w:tcW w:w="1982" w:type="dxa"/>
            <w:gridSpan w:val="2"/>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4 (2.8)</w:t>
            </w:r>
          </w:p>
        </w:tc>
        <w:tc>
          <w:tcPr>
            <w:tcW w:w="1701" w:type="dxa"/>
            <w:gridSpan w:val="2"/>
            <w:vAlign w:val="center"/>
          </w:tcPr>
          <w:p w:rsidR="003F1D14" w:rsidRPr="00AA151C" w:rsidRDefault="003F1D14" w:rsidP="00FA387E">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22 (9.0)</w:t>
            </w:r>
          </w:p>
        </w:tc>
        <w:tc>
          <w:tcPr>
            <w:tcW w:w="1100" w:type="dxa"/>
            <w:gridSpan w:val="3"/>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0.018</w:t>
            </w:r>
          </w:p>
        </w:tc>
      </w:tr>
      <w:tr w:rsidR="003F1D14" w:rsidRPr="00AA151C" w:rsidTr="003F1D14">
        <w:trPr>
          <w:jc w:val="center"/>
        </w:trPr>
        <w:tc>
          <w:tcPr>
            <w:tcW w:w="4279" w:type="dxa"/>
            <w:vAlign w:val="center"/>
          </w:tcPr>
          <w:p w:rsidR="003F1D14" w:rsidRPr="00AA151C" w:rsidRDefault="003F1D14" w:rsidP="003F1D14">
            <w:pPr>
              <w:spacing w:line="360" w:lineRule="auto"/>
              <w:ind w:left="764"/>
              <w:rPr>
                <w:rFonts w:ascii="Calibri" w:eastAsia="Times New Roman" w:hAnsi="Calibri" w:cs="Arial"/>
                <w:lang w:val="en-US" w:eastAsia="en-GB"/>
              </w:rPr>
            </w:pPr>
            <w:r w:rsidRPr="00AA151C">
              <w:rPr>
                <w:rFonts w:ascii="Calibri" w:eastAsia="Times New Roman" w:hAnsi="Calibri" w:cs="Arial"/>
                <w:lang w:val="en-US" w:eastAsia="en-GB"/>
              </w:rPr>
              <w:t>Angiotensin converting enzyme inhibitor or Angiotensin II receptor blocker</w:t>
            </w:r>
          </w:p>
        </w:tc>
        <w:tc>
          <w:tcPr>
            <w:tcW w:w="1982" w:type="dxa"/>
            <w:gridSpan w:val="2"/>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60 (42.0)</w:t>
            </w:r>
          </w:p>
        </w:tc>
        <w:tc>
          <w:tcPr>
            <w:tcW w:w="1701" w:type="dxa"/>
            <w:gridSpan w:val="2"/>
            <w:vAlign w:val="center"/>
          </w:tcPr>
          <w:p w:rsidR="003F1D14" w:rsidRPr="00AA151C" w:rsidRDefault="003F1D14" w:rsidP="00FA387E">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73 (29.9)</w:t>
            </w:r>
          </w:p>
        </w:tc>
        <w:tc>
          <w:tcPr>
            <w:tcW w:w="1100" w:type="dxa"/>
            <w:gridSpan w:val="3"/>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0.016</w:t>
            </w:r>
          </w:p>
        </w:tc>
      </w:tr>
      <w:tr w:rsidR="003F1D14" w:rsidRPr="00AA151C" w:rsidTr="003F1D14">
        <w:trPr>
          <w:jc w:val="center"/>
        </w:trPr>
        <w:tc>
          <w:tcPr>
            <w:tcW w:w="4279" w:type="dxa"/>
            <w:vAlign w:val="center"/>
          </w:tcPr>
          <w:p w:rsidR="003F1D14" w:rsidRPr="00AA151C" w:rsidRDefault="003F1D14" w:rsidP="003F1D14">
            <w:pPr>
              <w:spacing w:line="360" w:lineRule="auto"/>
              <w:ind w:left="764"/>
              <w:rPr>
                <w:rFonts w:ascii="Calibri" w:eastAsia="Times New Roman" w:hAnsi="Calibri" w:cs="Arial"/>
                <w:lang w:val="en-US" w:eastAsia="en-GB"/>
              </w:rPr>
            </w:pPr>
            <w:r w:rsidRPr="00AA151C">
              <w:rPr>
                <w:rFonts w:ascii="Calibri" w:eastAsia="Times New Roman" w:hAnsi="Calibri" w:cs="Arial"/>
                <w:lang w:val="en-US" w:eastAsia="en-GB"/>
              </w:rPr>
              <w:t>Diuretics</w:t>
            </w:r>
          </w:p>
        </w:tc>
        <w:tc>
          <w:tcPr>
            <w:tcW w:w="1982" w:type="dxa"/>
            <w:gridSpan w:val="2"/>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49 (34.3)</w:t>
            </w:r>
          </w:p>
        </w:tc>
        <w:tc>
          <w:tcPr>
            <w:tcW w:w="1701" w:type="dxa"/>
            <w:gridSpan w:val="2"/>
            <w:vAlign w:val="center"/>
          </w:tcPr>
          <w:p w:rsidR="003F1D14" w:rsidRPr="00AA151C" w:rsidRDefault="003F1D14" w:rsidP="00FA387E">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51 (20.9)</w:t>
            </w:r>
          </w:p>
        </w:tc>
        <w:tc>
          <w:tcPr>
            <w:tcW w:w="1100" w:type="dxa"/>
            <w:gridSpan w:val="3"/>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0.004</w:t>
            </w:r>
          </w:p>
        </w:tc>
      </w:tr>
      <w:tr w:rsidR="003F1D14" w:rsidRPr="006A46E4" w:rsidTr="003F1D14">
        <w:trPr>
          <w:jc w:val="center"/>
        </w:trPr>
        <w:tc>
          <w:tcPr>
            <w:tcW w:w="9062" w:type="dxa"/>
            <w:gridSpan w:val="8"/>
            <w:vAlign w:val="center"/>
          </w:tcPr>
          <w:p w:rsidR="003F1D14" w:rsidRPr="006A46E4" w:rsidRDefault="003F1D14" w:rsidP="00FA387E">
            <w:pPr>
              <w:spacing w:line="360" w:lineRule="auto"/>
              <w:rPr>
                <w:rFonts w:ascii="Calibri" w:eastAsia="Times New Roman" w:hAnsi="Calibri" w:cs="Arial"/>
                <w:b/>
                <w:lang w:val="en-US" w:eastAsia="en-GB"/>
              </w:rPr>
            </w:pPr>
            <w:r w:rsidRPr="006A46E4">
              <w:rPr>
                <w:rFonts w:ascii="Calibri" w:eastAsia="Times New Roman" w:hAnsi="Calibri" w:cs="Arial"/>
                <w:b/>
                <w:lang w:val="en-US" w:eastAsia="en-GB"/>
              </w:rPr>
              <w:t>Non-Pharmacological Therapy – no. (%)</w:t>
            </w:r>
          </w:p>
        </w:tc>
      </w:tr>
      <w:tr w:rsidR="003F1D14" w:rsidRPr="00AA151C" w:rsidTr="003F1D14">
        <w:trPr>
          <w:jc w:val="center"/>
        </w:trPr>
        <w:tc>
          <w:tcPr>
            <w:tcW w:w="4279" w:type="dxa"/>
            <w:vAlign w:val="center"/>
          </w:tcPr>
          <w:p w:rsidR="003F1D14" w:rsidRPr="00AA151C" w:rsidRDefault="003F1D14" w:rsidP="003F1D14">
            <w:pPr>
              <w:spacing w:line="360" w:lineRule="auto"/>
              <w:ind w:left="764"/>
              <w:rPr>
                <w:rFonts w:ascii="Calibri" w:eastAsia="Times New Roman" w:hAnsi="Calibri" w:cs="Arial"/>
                <w:lang w:val="en-US" w:eastAsia="en-GB"/>
              </w:rPr>
            </w:pPr>
            <w:r w:rsidRPr="00AA151C">
              <w:rPr>
                <w:rFonts w:ascii="Calibri" w:eastAsia="Times New Roman" w:hAnsi="Calibri" w:cs="Arial"/>
                <w:lang w:val="en-US" w:eastAsia="en-GB"/>
              </w:rPr>
              <w:t>Pacemaker</w:t>
            </w:r>
          </w:p>
        </w:tc>
        <w:tc>
          <w:tcPr>
            <w:tcW w:w="1982" w:type="dxa"/>
            <w:gridSpan w:val="2"/>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8 (5.2)</w:t>
            </w:r>
          </w:p>
        </w:tc>
        <w:tc>
          <w:tcPr>
            <w:tcW w:w="1701" w:type="dxa"/>
            <w:gridSpan w:val="2"/>
            <w:vAlign w:val="center"/>
          </w:tcPr>
          <w:p w:rsidR="003F1D14" w:rsidRPr="00AA151C" w:rsidRDefault="003F1D14" w:rsidP="00FA387E">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17 (6.7)</w:t>
            </w:r>
          </w:p>
        </w:tc>
        <w:tc>
          <w:tcPr>
            <w:tcW w:w="1100" w:type="dxa"/>
            <w:gridSpan w:val="3"/>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0.530</w:t>
            </w:r>
          </w:p>
        </w:tc>
      </w:tr>
      <w:tr w:rsidR="003F1D14" w:rsidRPr="00AA151C" w:rsidTr="003F1D14">
        <w:trPr>
          <w:jc w:val="center"/>
        </w:trPr>
        <w:tc>
          <w:tcPr>
            <w:tcW w:w="4279" w:type="dxa"/>
            <w:vAlign w:val="center"/>
          </w:tcPr>
          <w:p w:rsidR="003F1D14" w:rsidRPr="00AA151C" w:rsidRDefault="003F1D14" w:rsidP="003F1D14">
            <w:pPr>
              <w:spacing w:line="360" w:lineRule="auto"/>
              <w:ind w:left="764"/>
              <w:rPr>
                <w:rFonts w:ascii="Calibri" w:eastAsia="Times New Roman" w:hAnsi="Calibri" w:cs="Arial"/>
                <w:lang w:val="en-US" w:eastAsia="en-GB"/>
              </w:rPr>
            </w:pPr>
            <w:r>
              <w:rPr>
                <w:rFonts w:ascii="Calibri" w:eastAsia="Times New Roman" w:hAnsi="Calibri" w:cs="Arial"/>
                <w:lang w:val="en-US" w:eastAsia="en-GB"/>
              </w:rPr>
              <w:t>ICD</w:t>
            </w:r>
          </w:p>
        </w:tc>
        <w:tc>
          <w:tcPr>
            <w:tcW w:w="1982" w:type="dxa"/>
            <w:gridSpan w:val="2"/>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14 (9.0)</w:t>
            </w:r>
          </w:p>
        </w:tc>
        <w:tc>
          <w:tcPr>
            <w:tcW w:w="1701" w:type="dxa"/>
            <w:gridSpan w:val="2"/>
            <w:vAlign w:val="center"/>
          </w:tcPr>
          <w:p w:rsidR="003F1D14" w:rsidRPr="00AA151C" w:rsidRDefault="003F1D14" w:rsidP="00FA387E">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28 (11.0)</w:t>
            </w:r>
          </w:p>
        </w:tc>
        <w:tc>
          <w:tcPr>
            <w:tcW w:w="1100" w:type="dxa"/>
            <w:gridSpan w:val="3"/>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0.520</w:t>
            </w:r>
          </w:p>
        </w:tc>
      </w:tr>
      <w:tr w:rsidR="003F1D14" w:rsidRPr="00AA151C" w:rsidTr="003F1D14">
        <w:trPr>
          <w:jc w:val="center"/>
        </w:trPr>
        <w:tc>
          <w:tcPr>
            <w:tcW w:w="4279" w:type="dxa"/>
            <w:vAlign w:val="center"/>
          </w:tcPr>
          <w:p w:rsidR="003F1D14" w:rsidRPr="00AA151C" w:rsidRDefault="003F1D14" w:rsidP="003F1D14">
            <w:pPr>
              <w:spacing w:line="360" w:lineRule="auto"/>
              <w:ind w:left="764"/>
              <w:rPr>
                <w:rFonts w:ascii="Calibri" w:eastAsia="Times New Roman" w:hAnsi="Calibri" w:cs="Arial"/>
                <w:lang w:val="en-US" w:eastAsia="en-GB"/>
              </w:rPr>
            </w:pPr>
            <w:r w:rsidRPr="00AA151C">
              <w:rPr>
                <w:rFonts w:ascii="Calibri" w:eastAsia="Times New Roman" w:hAnsi="Calibri" w:cs="Arial"/>
                <w:lang w:val="en-US" w:eastAsia="en-GB"/>
              </w:rPr>
              <w:t>Alcohol septal ablation</w:t>
            </w:r>
          </w:p>
        </w:tc>
        <w:tc>
          <w:tcPr>
            <w:tcW w:w="1982" w:type="dxa"/>
            <w:gridSpan w:val="2"/>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1 (0.6)</w:t>
            </w:r>
          </w:p>
        </w:tc>
        <w:tc>
          <w:tcPr>
            <w:tcW w:w="1701" w:type="dxa"/>
            <w:gridSpan w:val="2"/>
            <w:vAlign w:val="center"/>
          </w:tcPr>
          <w:p w:rsidR="003F1D14" w:rsidRPr="00AA151C" w:rsidRDefault="003F1D14" w:rsidP="00FA387E">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2 (0.8)</w:t>
            </w:r>
          </w:p>
        </w:tc>
        <w:tc>
          <w:tcPr>
            <w:tcW w:w="1100" w:type="dxa"/>
            <w:gridSpan w:val="3"/>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1.000</w:t>
            </w:r>
          </w:p>
        </w:tc>
      </w:tr>
      <w:tr w:rsidR="003F1D14" w:rsidRPr="00AA151C" w:rsidTr="003F1D14">
        <w:trPr>
          <w:jc w:val="center"/>
        </w:trPr>
        <w:tc>
          <w:tcPr>
            <w:tcW w:w="4279" w:type="dxa"/>
            <w:tcBorders>
              <w:bottom w:val="single" w:sz="4" w:space="0" w:color="auto"/>
            </w:tcBorders>
            <w:vAlign w:val="center"/>
          </w:tcPr>
          <w:p w:rsidR="003F1D14" w:rsidRPr="00AA151C" w:rsidRDefault="003F1D14" w:rsidP="003F1D14">
            <w:pPr>
              <w:spacing w:line="360" w:lineRule="auto"/>
              <w:ind w:left="764"/>
              <w:rPr>
                <w:rFonts w:ascii="Calibri" w:eastAsia="Times New Roman" w:hAnsi="Calibri" w:cs="Arial"/>
                <w:lang w:val="en-US" w:eastAsia="en-GB"/>
              </w:rPr>
            </w:pPr>
            <w:r w:rsidRPr="00AA151C">
              <w:rPr>
                <w:rFonts w:ascii="Calibri" w:eastAsia="Times New Roman" w:hAnsi="Calibri" w:cs="Arial"/>
                <w:lang w:val="en-US" w:eastAsia="en-GB"/>
              </w:rPr>
              <w:t>Myectomy</w:t>
            </w:r>
          </w:p>
        </w:tc>
        <w:tc>
          <w:tcPr>
            <w:tcW w:w="1982" w:type="dxa"/>
            <w:gridSpan w:val="2"/>
            <w:tcBorders>
              <w:bottom w:val="single" w:sz="4" w:space="0" w:color="auto"/>
            </w:tcBorders>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2 (1.9)</w:t>
            </w:r>
          </w:p>
        </w:tc>
        <w:tc>
          <w:tcPr>
            <w:tcW w:w="1701" w:type="dxa"/>
            <w:gridSpan w:val="2"/>
            <w:tcBorders>
              <w:bottom w:val="single" w:sz="4" w:space="0" w:color="auto"/>
            </w:tcBorders>
            <w:vAlign w:val="center"/>
          </w:tcPr>
          <w:p w:rsidR="003F1D14" w:rsidRPr="00AA151C" w:rsidRDefault="003F1D14" w:rsidP="00FA387E">
            <w:pPr>
              <w:spacing w:line="360" w:lineRule="auto"/>
              <w:jc w:val="center"/>
              <w:rPr>
                <w:rFonts w:ascii="Calibri" w:eastAsia="Times New Roman" w:hAnsi="Calibri" w:cs="Arial"/>
                <w:iCs/>
                <w:lang w:val="en-US" w:eastAsia="en-GB"/>
              </w:rPr>
            </w:pPr>
            <w:r w:rsidRPr="00AA151C">
              <w:rPr>
                <w:rFonts w:ascii="Calibri" w:eastAsia="Times New Roman" w:hAnsi="Calibri" w:cs="Arial"/>
                <w:iCs/>
                <w:lang w:val="en-US" w:eastAsia="en-GB"/>
              </w:rPr>
              <w:t>22 (8.7)</w:t>
            </w:r>
          </w:p>
        </w:tc>
        <w:tc>
          <w:tcPr>
            <w:tcW w:w="1100" w:type="dxa"/>
            <w:gridSpan w:val="3"/>
            <w:tcBorders>
              <w:bottom w:val="single" w:sz="4" w:space="0" w:color="auto"/>
            </w:tcBorders>
            <w:vAlign w:val="center"/>
          </w:tcPr>
          <w:p w:rsidR="003F1D14" w:rsidRPr="00AA151C" w:rsidRDefault="003F1D14" w:rsidP="00FA387E">
            <w:pPr>
              <w:spacing w:line="360" w:lineRule="auto"/>
              <w:jc w:val="center"/>
              <w:rPr>
                <w:rFonts w:ascii="Calibri" w:eastAsia="Times New Roman" w:hAnsi="Calibri" w:cs="Arial"/>
                <w:lang w:val="en-US" w:eastAsia="en-GB"/>
              </w:rPr>
            </w:pPr>
            <w:r w:rsidRPr="00AA151C">
              <w:rPr>
                <w:rFonts w:ascii="Calibri" w:eastAsia="Times New Roman" w:hAnsi="Calibri" w:cs="Arial"/>
                <w:lang w:val="en-US" w:eastAsia="en-GB"/>
              </w:rPr>
              <w:t>0.006</w:t>
            </w:r>
          </w:p>
        </w:tc>
      </w:tr>
    </w:tbl>
    <w:p w:rsidR="00184AF8" w:rsidRDefault="00184AF8" w:rsidP="00184AF8">
      <w:pPr>
        <w:spacing w:before="240" w:line="480" w:lineRule="auto"/>
        <w:rPr>
          <w:rFonts w:ascii="Calibri" w:eastAsia="Times New Roman" w:hAnsi="Calibri" w:cs="Arial"/>
          <w:b/>
          <w:lang w:val="en-US" w:eastAsia="en-GB"/>
        </w:rPr>
      </w:pPr>
      <w:r>
        <w:rPr>
          <w:rFonts w:ascii="Calibri" w:eastAsia="Times New Roman" w:hAnsi="Calibri" w:cs="Arial"/>
          <w:b/>
          <w:lang w:val="en-US" w:eastAsia="en-GB"/>
        </w:rPr>
        <w:t>HCM, hypertrophic cardiomyopathy; ICD, implantable cardioverter-defibrillator; NSVT, non-sustained ventricular tachycardia</w:t>
      </w:r>
    </w:p>
    <w:p w:rsidR="00184AF8" w:rsidRPr="008E0EF2" w:rsidRDefault="00184AF8" w:rsidP="00184AF8">
      <w:pPr>
        <w:spacing w:line="480" w:lineRule="auto"/>
        <w:rPr>
          <w:rFonts w:ascii="Calibri" w:hAnsi="Calibri" w:cs="Arial"/>
          <w:b/>
          <w:lang w:val="en-US"/>
        </w:rPr>
      </w:pPr>
      <w:r w:rsidRPr="008E0EF2">
        <w:rPr>
          <w:rFonts w:ascii="Calibri" w:eastAsia="Times New Roman" w:hAnsi="Calibri" w:cs="Arial"/>
          <w:b/>
          <w:lang w:val="en-US" w:eastAsia="en-GB"/>
        </w:rPr>
        <w:t>*</w:t>
      </w:r>
      <w:r w:rsidRPr="008E0EF2">
        <w:rPr>
          <w:rFonts w:ascii="Calibri" w:hAnsi="Calibri" w:cs="Arial"/>
          <w:b/>
          <w:lang w:val="en-US"/>
        </w:rPr>
        <w:t>Heart failure death secondary to systolic dysfunction</w:t>
      </w:r>
    </w:p>
    <w:p w:rsidR="00184AF8" w:rsidRPr="008E0EF2" w:rsidRDefault="00184AF8" w:rsidP="00184AF8">
      <w:pPr>
        <w:spacing w:line="480" w:lineRule="auto"/>
        <w:rPr>
          <w:rFonts w:ascii="Calibri" w:hAnsi="Calibri" w:cs="Arial"/>
          <w:b/>
          <w:lang w:val="en-US"/>
        </w:rPr>
      </w:pPr>
      <w:r w:rsidRPr="00524FC4">
        <w:rPr>
          <w:rFonts w:ascii="Calibri" w:eastAsia="OTNEJMScalaSansLF" w:hAnsi="Calibri" w:cs="OTNEJMScalaSansLF" w:hint="eastAsia"/>
          <w:b/>
          <w:vertAlign w:val="superscript"/>
          <w:lang w:eastAsia="en-GB"/>
        </w:rPr>
        <w:t>†</w:t>
      </w:r>
      <w:r w:rsidRPr="008E0EF2">
        <w:rPr>
          <w:rFonts w:ascii="Calibri" w:hAnsi="Calibri" w:cs="Arial"/>
          <w:b/>
          <w:lang w:val="en-US"/>
        </w:rPr>
        <w:t>Fatal aortic aneurysm or cardiac tamponade.</w:t>
      </w:r>
    </w:p>
    <w:p w:rsidR="00184AF8" w:rsidRPr="008E0EF2" w:rsidRDefault="00184AF8" w:rsidP="00184AF8">
      <w:pPr>
        <w:spacing w:line="480" w:lineRule="auto"/>
        <w:rPr>
          <w:rFonts w:ascii="Calibri" w:eastAsia="Times New Roman" w:hAnsi="Calibri" w:cs="Arial"/>
          <w:b/>
          <w:lang w:val="en-US" w:eastAsia="en-GB"/>
        </w:rPr>
      </w:pPr>
      <w:r w:rsidRPr="00524FC4">
        <w:rPr>
          <w:rFonts w:ascii="Calibri" w:eastAsia="Times New Roman" w:hAnsi="Calibri" w:cs="Arial"/>
          <w:b/>
          <w:vertAlign w:val="superscript"/>
          <w:lang w:val="en-US" w:eastAsia="en-GB"/>
        </w:rPr>
        <w:t>‡</w:t>
      </w:r>
      <w:r w:rsidRPr="008E0EF2">
        <w:rPr>
          <w:rFonts w:ascii="Calibri" w:eastAsia="Times New Roman" w:hAnsi="Calibri" w:cs="Arial"/>
          <w:b/>
          <w:lang w:val="en-US" w:eastAsia="en-GB"/>
        </w:rPr>
        <w:t>Two out of three stroke deaths occurred in the context of atrial fibrillation off anticoagulation (anticoagulation declined by one patient and contraindicated in the other)</w:t>
      </w:r>
    </w:p>
    <w:p w:rsidR="00184AF8" w:rsidRPr="00AE22D7" w:rsidRDefault="00184AF8" w:rsidP="00184AF8">
      <w:pPr>
        <w:spacing w:line="480" w:lineRule="auto"/>
        <w:rPr>
          <w:rFonts w:ascii="Calibri" w:eastAsia="OTNEJMScalaSansLF" w:hAnsi="Calibri" w:cs="OTNEJMScalaSansLF"/>
          <w:b/>
          <w:lang w:eastAsia="en-GB"/>
        </w:rPr>
      </w:pPr>
      <w:r w:rsidRPr="005A2772">
        <w:rPr>
          <w:rFonts w:ascii="Calibri" w:eastAsia="OTNEJMScalaSansLF" w:hAnsi="Calibri" w:cs="OTNEJMScalaSansLF" w:hint="eastAsia"/>
          <w:b/>
          <w:vertAlign w:val="superscript"/>
          <w:lang w:eastAsia="en-GB"/>
        </w:rPr>
        <w:t>§</w:t>
      </w:r>
      <w:r w:rsidRPr="005A2772">
        <w:rPr>
          <w:rFonts w:ascii="Calibri" w:eastAsia="OTNEJMScalaSansLF" w:hAnsi="Calibri" w:cs="OTNEJMScalaSansLF" w:hint="eastAsia"/>
          <w:b/>
          <w:vertAlign w:val="superscript"/>
          <w:lang w:eastAsia="en-GB"/>
        </w:rPr>
        <w:t xml:space="preserve"> </w:t>
      </w:r>
      <w:r w:rsidRPr="008E0EF2">
        <w:rPr>
          <w:rFonts w:ascii="Calibri" w:eastAsia="OTNEJMScalaSansLF" w:hAnsi="Calibri" w:cs="OTNEJMScalaSansLF"/>
          <w:b/>
          <w:lang w:eastAsia="en-GB"/>
        </w:rPr>
        <w:t xml:space="preserve">HCM-related deaths refer to (i) sudden death secondary to arrhythmia; (ii) </w:t>
      </w:r>
      <w:r>
        <w:rPr>
          <w:rFonts w:ascii="Calibri" w:eastAsia="OTNEJMScalaSansLF" w:hAnsi="Calibri" w:cs="OTNEJMScalaSansLF"/>
          <w:b/>
          <w:lang w:eastAsia="en-GB"/>
        </w:rPr>
        <w:t xml:space="preserve">death due </w:t>
      </w:r>
      <w:r w:rsidRPr="008E0EF2">
        <w:rPr>
          <w:rFonts w:ascii="Calibri" w:eastAsia="OTNEJMScalaSansLF" w:hAnsi="Calibri" w:cs="OTNEJMScalaSansLF"/>
          <w:b/>
          <w:lang w:eastAsia="en-GB"/>
        </w:rPr>
        <w:t>to</w:t>
      </w:r>
      <w:r>
        <w:rPr>
          <w:rFonts w:ascii="Calibri" w:eastAsia="OTNEJMScalaSansLF" w:hAnsi="Calibri" w:cs="OTNEJMScalaSansLF"/>
          <w:b/>
          <w:lang w:eastAsia="en-GB"/>
        </w:rPr>
        <w:t xml:space="preserve"> </w:t>
      </w:r>
      <w:r w:rsidRPr="00AE22D7">
        <w:rPr>
          <w:rFonts w:ascii="Calibri" w:eastAsia="OTNEJMScalaSansLF" w:hAnsi="Calibri" w:cs="OTNEJMScalaSansLF"/>
          <w:b/>
          <w:lang w:eastAsia="en-GB"/>
        </w:rPr>
        <w:t>end stage heart failure</w:t>
      </w:r>
      <w:r>
        <w:rPr>
          <w:rFonts w:ascii="Calibri" w:eastAsia="OTNEJMScalaSansLF" w:hAnsi="Calibri" w:cs="OTNEJMScalaSansLF"/>
          <w:b/>
          <w:lang w:eastAsia="en-GB"/>
        </w:rPr>
        <w:t xml:space="preserve">; (iii) </w:t>
      </w:r>
      <w:r w:rsidRPr="00AE22D7">
        <w:rPr>
          <w:rFonts w:ascii="Calibri" w:eastAsia="OTNEJMScalaSansLF" w:hAnsi="Calibri" w:cs="OTNEJMScalaSansLF"/>
          <w:b/>
          <w:lang w:eastAsia="en-GB"/>
        </w:rPr>
        <w:t>stroke deaths</w:t>
      </w:r>
    </w:p>
    <w:p w:rsidR="00184AF8" w:rsidRPr="00AE22D7" w:rsidRDefault="00184AF8" w:rsidP="00184AF8">
      <w:pPr>
        <w:spacing w:line="480" w:lineRule="auto"/>
        <w:rPr>
          <w:rFonts w:ascii="Calibri" w:eastAsia="Times New Roman" w:hAnsi="Calibri" w:cs="Arial"/>
          <w:b/>
          <w:lang w:val="en-US" w:eastAsia="en-GB"/>
        </w:rPr>
      </w:pPr>
      <w:r w:rsidRPr="00524FC4">
        <w:rPr>
          <w:b/>
          <w:vertAlign w:val="superscript"/>
        </w:rPr>
        <w:t>||</w:t>
      </w:r>
      <w:r w:rsidRPr="00AE22D7">
        <w:rPr>
          <w:rFonts w:ascii="Calibri" w:eastAsia="Times New Roman" w:hAnsi="Calibri" w:cs="Arial"/>
          <w:b/>
          <w:lang w:val="en-US" w:eastAsia="en-GB"/>
        </w:rPr>
        <w:t>In 42 (10.3%) patients with an implantable cardioverter-defibrillator (ICD) (14 [9.0%] black and 28 [11.0%] white).</w:t>
      </w:r>
    </w:p>
    <w:p w:rsidR="004E5DA6" w:rsidRPr="000F49E6" w:rsidRDefault="004E5DA6" w:rsidP="006C647A">
      <w:pPr>
        <w:spacing w:line="480" w:lineRule="auto"/>
        <w:rPr>
          <w:rFonts w:ascii="Calibri" w:hAnsi="Calibri" w:cs="Arial"/>
          <w:lang w:val="en-US"/>
        </w:rPr>
      </w:pPr>
    </w:p>
    <w:p w:rsidR="00B62426" w:rsidRPr="001146E4" w:rsidRDefault="00211A4C" w:rsidP="006C647A">
      <w:pPr>
        <w:spacing w:line="480" w:lineRule="auto"/>
        <w:rPr>
          <w:rFonts w:ascii="Calibri" w:hAnsi="Calibri" w:cs="Arial"/>
          <w:b/>
          <w:lang w:val="en-US"/>
        </w:rPr>
      </w:pPr>
      <w:r w:rsidRPr="001146E4">
        <w:rPr>
          <w:rFonts w:ascii="Calibri" w:hAnsi="Calibri" w:cs="Arial"/>
          <w:b/>
          <w:lang w:val="en-US"/>
        </w:rPr>
        <w:t>P</w:t>
      </w:r>
      <w:r w:rsidR="00604C0D">
        <w:rPr>
          <w:rFonts w:ascii="Calibri" w:hAnsi="Calibri" w:cs="Arial"/>
          <w:b/>
          <w:lang w:val="en-US"/>
        </w:rPr>
        <w:t>rimary and Secondary</w:t>
      </w:r>
      <w:r w:rsidRPr="001146E4">
        <w:rPr>
          <w:rFonts w:ascii="Calibri" w:hAnsi="Calibri" w:cs="Arial"/>
          <w:b/>
          <w:lang w:val="en-US"/>
        </w:rPr>
        <w:t xml:space="preserve"> </w:t>
      </w:r>
      <w:r w:rsidR="00604C0D">
        <w:rPr>
          <w:rFonts w:ascii="Calibri" w:hAnsi="Calibri" w:cs="Arial"/>
          <w:b/>
          <w:lang w:val="en-US"/>
        </w:rPr>
        <w:t>Outcomes</w:t>
      </w:r>
    </w:p>
    <w:p w:rsidR="00423C17" w:rsidRDefault="00A705BC" w:rsidP="006C647A">
      <w:pPr>
        <w:spacing w:line="480" w:lineRule="auto"/>
        <w:rPr>
          <w:rFonts w:ascii="Calibri" w:hAnsi="Calibri" w:cs="Arial"/>
          <w:lang w:val="en-US"/>
        </w:rPr>
      </w:pPr>
      <w:r w:rsidRPr="00671393">
        <w:rPr>
          <w:rFonts w:ascii="Calibri" w:hAnsi="Calibri" w:cs="Arial"/>
          <w:lang w:val="en-US"/>
        </w:rPr>
        <w:t>During the study period, a</w:t>
      </w:r>
      <w:r w:rsidR="001E5E84" w:rsidRPr="00671393">
        <w:rPr>
          <w:rFonts w:ascii="Calibri" w:hAnsi="Calibri" w:cs="Arial"/>
          <w:lang w:val="en-US"/>
        </w:rPr>
        <w:t xml:space="preserve"> similar p</w:t>
      </w:r>
      <w:r w:rsidR="006E2565" w:rsidRPr="00671393">
        <w:rPr>
          <w:rFonts w:ascii="Calibri" w:hAnsi="Calibri" w:cs="Arial"/>
          <w:lang w:val="en-US"/>
        </w:rPr>
        <w:t>roportion of black and white</w:t>
      </w:r>
      <w:r w:rsidR="001E5E84" w:rsidRPr="00671393">
        <w:rPr>
          <w:rFonts w:ascii="Calibri" w:hAnsi="Calibri" w:cs="Arial"/>
          <w:lang w:val="en-US"/>
        </w:rPr>
        <w:t xml:space="preserve"> patients experience</w:t>
      </w:r>
      <w:r w:rsidRPr="00671393">
        <w:rPr>
          <w:rFonts w:ascii="Calibri" w:hAnsi="Calibri" w:cs="Arial"/>
          <w:lang w:val="en-US"/>
        </w:rPr>
        <w:t xml:space="preserve">d </w:t>
      </w:r>
      <w:r w:rsidR="00423C17" w:rsidRPr="00671393">
        <w:rPr>
          <w:rFonts w:ascii="Calibri" w:hAnsi="Calibri" w:cs="Arial"/>
          <w:lang w:val="en-US"/>
        </w:rPr>
        <w:t xml:space="preserve">primary and secondary outcome </w:t>
      </w:r>
      <w:r w:rsidRPr="00671393">
        <w:rPr>
          <w:rFonts w:ascii="Calibri" w:hAnsi="Calibri" w:cs="Arial"/>
          <w:lang w:val="en-US"/>
        </w:rPr>
        <w:t>events</w:t>
      </w:r>
      <w:r w:rsidR="001E5E84" w:rsidRPr="00671393">
        <w:rPr>
          <w:rFonts w:ascii="Calibri" w:hAnsi="Calibri" w:cs="Arial"/>
          <w:lang w:val="en-US"/>
        </w:rPr>
        <w:t xml:space="preserve"> (Table</w:t>
      </w:r>
      <w:r w:rsidR="000823DF" w:rsidRPr="00671393">
        <w:rPr>
          <w:rFonts w:ascii="Calibri" w:hAnsi="Calibri" w:cs="Arial"/>
          <w:lang w:val="en-US"/>
        </w:rPr>
        <w:t xml:space="preserve"> </w:t>
      </w:r>
      <w:r w:rsidR="001E5E84" w:rsidRPr="00671393">
        <w:rPr>
          <w:rFonts w:ascii="Calibri" w:hAnsi="Calibri" w:cs="Arial"/>
          <w:lang w:val="en-US"/>
        </w:rPr>
        <w:t xml:space="preserve">3). </w:t>
      </w:r>
      <w:r w:rsidR="00D65CA7" w:rsidRPr="00671393">
        <w:rPr>
          <w:rFonts w:ascii="Calibri" w:hAnsi="Calibri" w:cs="Arial"/>
          <w:lang w:val="en-US"/>
        </w:rPr>
        <w:t>Of the 409 patients eligible for survival an</w:t>
      </w:r>
      <w:r w:rsidR="00F270A9" w:rsidRPr="00671393">
        <w:rPr>
          <w:rFonts w:ascii="Calibri" w:hAnsi="Calibri" w:cs="Arial"/>
          <w:lang w:val="en-US"/>
        </w:rPr>
        <w:t>alysis</w:t>
      </w:r>
      <w:r w:rsidR="00C20204" w:rsidRPr="00671393">
        <w:rPr>
          <w:rFonts w:ascii="Calibri" w:hAnsi="Calibri" w:cs="Arial"/>
          <w:lang w:val="en-US"/>
        </w:rPr>
        <w:t>,</w:t>
      </w:r>
      <w:r w:rsidR="00F270A9" w:rsidRPr="00671393">
        <w:rPr>
          <w:rFonts w:ascii="Calibri" w:hAnsi="Calibri" w:cs="Arial"/>
          <w:lang w:val="en-US"/>
        </w:rPr>
        <w:t xml:space="preserve"> 2</w:t>
      </w:r>
      <w:r w:rsidR="001146E4">
        <w:rPr>
          <w:rFonts w:ascii="Calibri" w:hAnsi="Calibri" w:cs="Arial"/>
          <w:lang w:val="en-US"/>
        </w:rPr>
        <w:t>4</w:t>
      </w:r>
      <w:r w:rsidR="00F270A9" w:rsidRPr="00671393">
        <w:rPr>
          <w:rFonts w:ascii="Calibri" w:hAnsi="Calibri" w:cs="Arial"/>
          <w:lang w:val="en-US"/>
        </w:rPr>
        <w:t xml:space="preserve"> (</w:t>
      </w:r>
      <w:r w:rsidR="001146E4">
        <w:rPr>
          <w:rFonts w:ascii="Calibri" w:hAnsi="Calibri" w:cs="Arial"/>
          <w:lang w:val="en-US"/>
        </w:rPr>
        <w:t>5.9</w:t>
      </w:r>
      <w:r w:rsidRPr="00671393">
        <w:rPr>
          <w:rFonts w:ascii="Calibri" w:hAnsi="Calibri" w:cs="Arial"/>
          <w:lang w:val="en-US"/>
        </w:rPr>
        <w:t xml:space="preserve">%) </w:t>
      </w:r>
      <w:r w:rsidR="00F270A9" w:rsidRPr="00671393">
        <w:rPr>
          <w:rFonts w:ascii="Calibri" w:hAnsi="Calibri" w:cs="Arial"/>
          <w:lang w:val="en-US"/>
        </w:rPr>
        <w:t xml:space="preserve">died </w:t>
      </w:r>
      <w:r w:rsidR="00CB7410" w:rsidRPr="00671393">
        <w:rPr>
          <w:rFonts w:ascii="Calibri" w:hAnsi="Calibri" w:cs="Arial"/>
          <w:lang w:val="en-US"/>
        </w:rPr>
        <w:t>from</w:t>
      </w:r>
      <w:r w:rsidR="000823DF" w:rsidRPr="00671393">
        <w:rPr>
          <w:rFonts w:ascii="Calibri" w:hAnsi="Calibri" w:cs="Arial"/>
          <w:lang w:val="en-US"/>
        </w:rPr>
        <w:t xml:space="preserve"> </w:t>
      </w:r>
      <w:r w:rsidRPr="00671393">
        <w:rPr>
          <w:rFonts w:ascii="Calibri" w:hAnsi="Calibri" w:cs="Arial"/>
          <w:lang w:val="en-US"/>
        </w:rPr>
        <w:t>cardiovascular cause</w:t>
      </w:r>
      <w:r w:rsidR="00BA5C0B">
        <w:rPr>
          <w:rFonts w:ascii="Calibri" w:hAnsi="Calibri" w:cs="Arial"/>
          <w:lang w:val="en-US"/>
        </w:rPr>
        <w:t>s</w:t>
      </w:r>
      <w:r w:rsidR="00F270A9" w:rsidRPr="00671393">
        <w:rPr>
          <w:rFonts w:ascii="Calibri" w:hAnsi="Calibri" w:cs="Arial"/>
          <w:lang w:val="en-US"/>
        </w:rPr>
        <w:t>, 7 (1.7%) survived a</w:t>
      </w:r>
      <w:r w:rsidR="000823DF" w:rsidRPr="00671393">
        <w:rPr>
          <w:rFonts w:ascii="Calibri" w:hAnsi="Calibri" w:cs="Arial"/>
          <w:lang w:val="en-US"/>
        </w:rPr>
        <w:t xml:space="preserve"> cardiac arrest and </w:t>
      </w:r>
      <w:r w:rsidR="00F270A9" w:rsidRPr="00671393">
        <w:rPr>
          <w:rFonts w:ascii="Calibri" w:hAnsi="Calibri" w:cs="Arial"/>
          <w:lang w:val="en-US"/>
        </w:rPr>
        <w:t>11 (2.7%)</w:t>
      </w:r>
      <w:r w:rsidR="00C20204" w:rsidRPr="00671393">
        <w:rPr>
          <w:rFonts w:ascii="Calibri" w:hAnsi="Calibri" w:cs="Arial"/>
          <w:lang w:val="en-US"/>
        </w:rPr>
        <w:t xml:space="preserve"> received </w:t>
      </w:r>
      <w:r w:rsidR="000823DF" w:rsidRPr="00671393">
        <w:rPr>
          <w:rFonts w:ascii="Calibri" w:hAnsi="Calibri" w:cs="Arial"/>
          <w:lang w:val="en-US"/>
        </w:rPr>
        <w:t xml:space="preserve">appropriate ICD therapy. </w:t>
      </w:r>
      <w:r w:rsidR="0053481F" w:rsidRPr="00671393">
        <w:rPr>
          <w:rFonts w:ascii="Calibri" w:hAnsi="Calibri" w:cs="Arial"/>
          <w:lang w:val="en-US"/>
        </w:rPr>
        <w:t>Kaplan-M</w:t>
      </w:r>
      <w:r w:rsidR="001E48A3">
        <w:rPr>
          <w:rFonts w:ascii="Calibri" w:hAnsi="Calibri" w:cs="Arial"/>
          <w:lang w:val="en-US"/>
        </w:rPr>
        <w:t>eier</w:t>
      </w:r>
      <w:r w:rsidR="0053481F" w:rsidRPr="00671393">
        <w:rPr>
          <w:rFonts w:ascii="Calibri" w:hAnsi="Calibri" w:cs="Arial"/>
          <w:lang w:val="en-US"/>
        </w:rPr>
        <w:t xml:space="preserve"> survival analysis demonstrated no difference</w:t>
      </w:r>
      <w:r w:rsidR="00CB7410" w:rsidRPr="00671393">
        <w:rPr>
          <w:rFonts w:ascii="Calibri" w:hAnsi="Calibri" w:cs="Arial"/>
          <w:lang w:val="en-US"/>
        </w:rPr>
        <w:t xml:space="preserve">s </w:t>
      </w:r>
      <w:r w:rsidR="009E3536" w:rsidRPr="009E3536">
        <w:rPr>
          <w:rFonts w:ascii="Calibri" w:hAnsi="Calibri" w:cs="Arial"/>
          <w:lang w:val="en-US"/>
        </w:rPr>
        <w:t xml:space="preserve">in estimated freedom from primary outcome in black versus white patients at 5 (82.5% </w:t>
      </w:r>
      <w:r w:rsidR="00BA5C0B">
        <w:rPr>
          <w:rFonts w:ascii="Calibri" w:hAnsi="Calibri" w:cs="Arial"/>
          <w:lang w:val="en-US"/>
        </w:rPr>
        <w:t>versus</w:t>
      </w:r>
      <w:r w:rsidR="009E3536" w:rsidRPr="009E3536">
        <w:rPr>
          <w:rFonts w:ascii="Calibri" w:hAnsi="Calibri" w:cs="Arial"/>
          <w:lang w:val="en-US"/>
        </w:rPr>
        <w:t xml:space="preserve"> 92.1%) or 10 years (71.1% </w:t>
      </w:r>
      <w:r w:rsidR="00BA5C0B">
        <w:rPr>
          <w:rFonts w:ascii="Calibri" w:hAnsi="Calibri" w:cs="Arial"/>
          <w:lang w:val="en-US"/>
        </w:rPr>
        <w:t>versus</w:t>
      </w:r>
      <w:r w:rsidR="009E3536" w:rsidRPr="009E3536">
        <w:rPr>
          <w:rFonts w:ascii="Calibri" w:hAnsi="Calibri" w:cs="Arial"/>
          <w:lang w:val="en-US"/>
        </w:rPr>
        <w:t xml:space="preserve"> 74.1%), respectively (p log-rank=0.095, Figure 1A). </w:t>
      </w:r>
      <w:r w:rsidR="00BA5C0B">
        <w:rPr>
          <w:rFonts w:ascii="Calibri" w:hAnsi="Calibri" w:cs="Arial"/>
          <w:lang w:val="en-US"/>
        </w:rPr>
        <w:t>Similarly</w:t>
      </w:r>
      <w:r w:rsidR="009E3536" w:rsidRPr="009E3536">
        <w:rPr>
          <w:rFonts w:ascii="Calibri" w:hAnsi="Calibri" w:cs="Arial"/>
          <w:lang w:val="en-US"/>
        </w:rPr>
        <w:t>, Kaplan-M</w:t>
      </w:r>
      <w:r w:rsidR="001E48A3">
        <w:rPr>
          <w:rFonts w:ascii="Calibri" w:hAnsi="Calibri" w:cs="Arial"/>
          <w:lang w:val="en-US"/>
        </w:rPr>
        <w:t>eier</w:t>
      </w:r>
      <w:r w:rsidR="009E3536" w:rsidRPr="009E3536">
        <w:rPr>
          <w:rFonts w:ascii="Calibri" w:hAnsi="Calibri" w:cs="Arial"/>
          <w:lang w:val="en-US"/>
        </w:rPr>
        <w:t xml:space="preserve"> survival analysis demonstrated no ethnic difference</w:t>
      </w:r>
      <w:r w:rsidR="009E3536">
        <w:rPr>
          <w:rFonts w:ascii="Calibri" w:hAnsi="Calibri" w:cs="Arial"/>
          <w:lang w:val="en-US"/>
        </w:rPr>
        <w:t>s</w:t>
      </w:r>
      <w:r w:rsidR="009E3536" w:rsidRPr="009E3536">
        <w:rPr>
          <w:rFonts w:ascii="Calibri" w:hAnsi="Calibri" w:cs="Arial"/>
          <w:lang w:val="en-US"/>
        </w:rPr>
        <w:t xml:space="preserve"> in estimated freedom from stroke or myocardial infarction at 5 or 10 years.</w:t>
      </w:r>
    </w:p>
    <w:p w:rsidR="0001107D" w:rsidRDefault="0001107D" w:rsidP="006C647A">
      <w:pPr>
        <w:spacing w:line="480" w:lineRule="auto"/>
        <w:rPr>
          <w:rFonts w:ascii="Calibri" w:hAnsi="Calibri" w:cs="Arial"/>
          <w:u w:val="single"/>
          <w:lang w:val="en-US"/>
        </w:rPr>
      </w:pPr>
    </w:p>
    <w:p w:rsidR="00B62426" w:rsidRPr="004D3546" w:rsidRDefault="00604C0D" w:rsidP="006C647A">
      <w:pPr>
        <w:spacing w:line="480" w:lineRule="auto"/>
        <w:rPr>
          <w:rFonts w:ascii="Calibri" w:hAnsi="Calibri" w:cs="Arial"/>
          <w:u w:val="single"/>
          <w:lang w:val="en-US"/>
        </w:rPr>
      </w:pPr>
      <w:r w:rsidRPr="004D3546">
        <w:rPr>
          <w:rFonts w:ascii="Calibri" w:hAnsi="Calibri" w:cs="Arial"/>
          <w:u w:val="single"/>
          <w:lang w:val="en-US"/>
        </w:rPr>
        <w:t>Determinants of the Primary Outcome</w:t>
      </w:r>
    </w:p>
    <w:p w:rsidR="00800AA8" w:rsidRDefault="00747C7E" w:rsidP="006C647A">
      <w:pPr>
        <w:spacing w:line="480" w:lineRule="auto"/>
        <w:rPr>
          <w:rFonts w:ascii="Calibri" w:hAnsi="Calibri" w:cs="Arial"/>
          <w:lang w:val="en-US"/>
        </w:rPr>
      </w:pPr>
      <w:r w:rsidRPr="00BB7FFD">
        <w:rPr>
          <w:rFonts w:ascii="Calibri" w:hAnsi="Calibri" w:cs="Arial"/>
          <w:lang w:val="en-US"/>
        </w:rPr>
        <w:t>Univariate analysis</w:t>
      </w:r>
      <w:r w:rsidR="007E4910" w:rsidRPr="00BB7FFD">
        <w:rPr>
          <w:rFonts w:ascii="Calibri" w:hAnsi="Calibri" w:cs="Arial"/>
          <w:lang w:val="en-US"/>
        </w:rPr>
        <w:t xml:space="preserve"> demonstrated an </w:t>
      </w:r>
      <w:r w:rsidR="00477708" w:rsidRPr="00BB7FFD">
        <w:rPr>
          <w:rFonts w:ascii="Calibri" w:hAnsi="Calibri" w:cs="Arial"/>
          <w:lang w:val="en-US"/>
        </w:rPr>
        <w:t>association between</w:t>
      </w:r>
      <w:r w:rsidRPr="00BB7FFD">
        <w:rPr>
          <w:rFonts w:ascii="Calibri" w:hAnsi="Calibri" w:cs="Arial"/>
          <w:lang w:val="en-US"/>
        </w:rPr>
        <w:t xml:space="preserve"> the</w:t>
      </w:r>
      <w:r w:rsidR="00477708" w:rsidRPr="00BB7FFD">
        <w:rPr>
          <w:rFonts w:ascii="Calibri" w:hAnsi="Calibri" w:cs="Arial"/>
          <w:lang w:val="en-US"/>
        </w:rPr>
        <w:t xml:space="preserve"> primary outcome and </w:t>
      </w:r>
      <w:r w:rsidR="00E61C44" w:rsidRPr="00BB7FFD">
        <w:rPr>
          <w:rFonts w:ascii="Calibri" w:hAnsi="Calibri" w:cs="Arial"/>
          <w:lang w:val="en-US"/>
        </w:rPr>
        <w:t xml:space="preserve">several cohort characteristics </w:t>
      </w:r>
      <w:r w:rsidR="001006A8" w:rsidRPr="00BB7FFD">
        <w:rPr>
          <w:rFonts w:ascii="Calibri" w:hAnsi="Calibri" w:cs="Arial"/>
          <w:lang w:val="en-US"/>
        </w:rPr>
        <w:t xml:space="preserve">(Table </w:t>
      </w:r>
      <w:r w:rsidR="004D4DE5">
        <w:rPr>
          <w:rFonts w:ascii="Calibri" w:hAnsi="Calibri" w:cs="Arial"/>
          <w:lang w:val="en-US"/>
        </w:rPr>
        <w:t>4A</w:t>
      </w:r>
      <w:r w:rsidR="001006A8" w:rsidRPr="00BB7FFD">
        <w:rPr>
          <w:rFonts w:ascii="Calibri" w:hAnsi="Calibri" w:cs="Arial"/>
          <w:lang w:val="en-US"/>
        </w:rPr>
        <w:t>)</w:t>
      </w:r>
      <w:r w:rsidR="004675F7" w:rsidRPr="00BB7FFD">
        <w:rPr>
          <w:rFonts w:ascii="Calibri" w:hAnsi="Calibri" w:cs="Arial"/>
          <w:lang w:val="en-US"/>
        </w:rPr>
        <w:t xml:space="preserve">. </w:t>
      </w:r>
      <w:r w:rsidR="003978C7">
        <w:rPr>
          <w:rFonts w:ascii="Calibri" w:hAnsi="Calibri" w:cs="Arial"/>
          <w:lang w:val="en-US"/>
        </w:rPr>
        <w:t>However, o</w:t>
      </w:r>
      <w:r w:rsidR="00F84805" w:rsidRPr="00BB7FFD">
        <w:rPr>
          <w:rFonts w:ascii="Calibri" w:hAnsi="Calibri" w:cs="Arial"/>
          <w:lang w:val="en-US"/>
        </w:rPr>
        <w:t>n multivaria</w:t>
      </w:r>
      <w:r w:rsidR="008F0586" w:rsidRPr="00BB7FFD">
        <w:rPr>
          <w:rFonts w:ascii="Calibri" w:hAnsi="Calibri" w:cs="Arial"/>
          <w:lang w:val="en-US"/>
        </w:rPr>
        <w:t>te</w:t>
      </w:r>
      <w:r w:rsidR="00F84805" w:rsidRPr="00BB7FFD">
        <w:rPr>
          <w:rFonts w:ascii="Calibri" w:hAnsi="Calibri" w:cs="Arial"/>
          <w:lang w:val="en-US"/>
        </w:rPr>
        <w:t xml:space="preserve"> analysi</w:t>
      </w:r>
      <w:r w:rsidR="00FD69CA" w:rsidRPr="00BB7FFD">
        <w:rPr>
          <w:rFonts w:ascii="Calibri" w:hAnsi="Calibri" w:cs="Arial"/>
          <w:lang w:val="en-US"/>
        </w:rPr>
        <w:t>s</w:t>
      </w:r>
      <w:r w:rsidR="009033BB">
        <w:rPr>
          <w:rFonts w:ascii="Calibri" w:hAnsi="Calibri" w:cs="Arial"/>
          <w:lang w:val="en-US"/>
        </w:rPr>
        <w:t xml:space="preserve"> (Table 4B)</w:t>
      </w:r>
      <w:r w:rsidR="00FD69CA" w:rsidRPr="00BB7FFD">
        <w:rPr>
          <w:rFonts w:ascii="Calibri" w:hAnsi="Calibri" w:cs="Arial"/>
          <w:lang w:val="en-US"/>
        </w:rPr>
        <w:t xml:space="preserve">, </w:t>
      </w:r>
      <w:r w:rsidR="007F1B3C" w:rsidRPr="00BB7FFD">
        <w:rPr>
          <w:rFonts w:ascii="Calibri" w:hAnsi="Calibri" w:cs="Arial"/>
          <w:lang w:val="en-US"/>
        </w:rPr>
        <w:t xml:space="preserve">only hypertension </w:t>
      </w:r>
      <w:r w:rsidR="0001791C">
        <w:rPr>
          <w:rFonts w:ascii="Calibri" w:hAnsi="Calibri" w:cs="Arial"/>
          <w:lang w:val="en-US"/>
        </w:rPr>
        <w:t>(hazard ratio</w:t>
      </w:r>
      <w:r w:rsidR="007E4910" w:rsidRPr="00BB7FFD">
        <w:rPr>
          <w:rFonts w:ascii="Calibri" w:hAnsi="Calibri" w:cs="Arial"/>
          <w:lang w:val="en-US"/>
        </w:rPr>
        <w:t xml:space="preserve"> 2.02, 95% CI 1.05-3.88, p=0.036) </w:t>
      </w:r>
      <w:r w:rsidR="008A574D" w:rsidRPr="00BB7FFD">
        <w:rPr>
          <w:rFonts w:ascii="Calibri" w:hAnsi="Calibri" w:cs="Arial"/>
          <w:lang w:val="en-US"/>
        </w:rPr>
        <w:t>and</w:t>
      </w:r>
      <w:r w:rsidR="005420CB" w:rsidRPr="00BB7FFD">
        <w:rPr>
          <w:rFonts w:ascii="Calibri" w:hAnsi="Calibri" w:cs="Arial"/>
          <w:lang w:val="en-US"/>
        </w:rPr>
        <w:t xml:space="preserve"> </w:t>
      </w:r>
      <w:r w:rsidR="001146E4" w:rsidRPr="001146E4">
        <w:rPr>
          <w:rFonts w:ascii="Calibri" w:hAnsi="Calibri" w:cs="Arial"/>
          <w:lang w:val="en-US"/>
        </w:rPr>
        <w:t xml:space="preserve">NSVT </w:t>
      </w:r>
      <w:r w:rsidR="0001791C">
        <w:rPr>
          <w:rFonts w:ascii="Calibri" w:hAnsi="Calibri" w:cs="Arial"/>
          <w:lang w:val="en-US"/>
        </w:rPr>
        <w:t>(hazard ratio</w:t>
      </w:r>
      <w:r w:rsidR="007E4910" w:rsidRPr="00BB7FFD">
        <w:rPr>
          <w:rFonts w:ascii="Calibri" w:hAnsi="Calibri" w:cs="Arial"/>
          <w:lang w:val="en-US"/>
        </w:rPr>
        <w:t xml:space="preserve"> 6.03, 95% CI 3.06-11.91, p=&lt;0.001) </w:t>
      </w:r>
      <w:r w:rsidR="00CE4FB7" w:rsidRPr="00BB7FFD">
        <w:rPr>
          <w:rFonts w:ascii="Calibri" w:hAnsi="Calibri" w:cs="Arial"/>
          <w:lang w:val="en-US"/>
        </w:rPr>
        <w:t>remained independent predictors</w:t>
      </w:r>
      <w:r w:rsidR="00507F31">
        <w:rPr>
          <w:rFonts w:ascii="Calibri" w:hAnsi="Calibri" w:cs="Arial"/>
          <w:lang w:val="en-US"/>
        </w:rPr>
        <w:t xml:space="preserve"> of the primary outcome</w:t>
      </w:r>
      <w:r w:rsidR="00E52F10" w:rsidRPr="00BB7FFD">
        <w:rPr>
          <w:rFonts w:ascii="Calibri" w:hAnsi="Calibri" w:cs="Arial"/>
          <w:lang w:val="en-US"/>
        </w:rPr>
        <w:t>.</w:t>
      </w:r>
      <w:r w:rsidR="00EA5443" w:rsidRPr="00BB7FFD">
        <w:rPr>
          <w:rFonts w:ascii="Calibri" w:hAnsi="Calibri" w:cs="Arial"/>
          <w:lang w:val="en-US"/>
        </w:rPr>
        <w:t xml:space="preserve"> </w:t>
      </w:r>
      <w:r w:rsidR="006359D6" w:rsidRPr="00BB7FFD">
        <w:rPr>
          <w:rFonts w:ascii="Calibri" w:hAnsi="Calibri" w:cs="Arial"/>
          <w:lang w:val="en-US"/>
        </w:rPr>
        <w:t>Kaplan-M</w:t>
      </w:r>
      <w:r w:rsidR="001E48A3">
        <w:rPr>
          <w:rFonts w:ascii="Calibri" w:hAnsi="Calibri" w:cs="Arial"/>
          <w:lang w:val="en-US"/>
        </w:rPr>
        <w:t>eier</w:t>
      </w:r>
      <w:r w:rsidR="006359D6" w:rsidRPr="00BB7FFD">
        <w:rPr>
          <w:rFonts w:ascii="Calibri" w:hAnsi="Calibri" w:cs="Arial"/>
          <w:lang w:val="en-US"/>
        </w:rPr>
        <w:t xml:space="preserve"> survival analysis demonstrated </w:t>
      </w:r>
      <w:r w:rsidR="00EA5443" w:rsidRPr="00BB7FFD">
        <w:rPr>
          <w:rFonts w:ascii="Calibri" w:hAnsi="Calibri" w:cs="Arial"/>
          <w:lang w:val="en-US"/>
        </w:rPr>
        <w:t>an additive detrimenta</w:t>
      </w:r>
      <w:r w:rsidR="006359D6" w:rsidRPr="00BB7FFD">
        <w:rPr>
          <w:rFonts w:ascii="Calibri" w:hAnsi="Calibri" w:cs="Arial"/>
          <w:lang w:val="en-US"/>
        </w:rPr>
        <w:t xml:space="preserve">l </w:t>
      </w:r>
      <w:r w:rsidR="00EA5443" w:rsidRPr="00BB7FFD">
        <w:rPr>
          <w:rFonts w:ascii="Calibri" w:hAnsi="Calibri" w:cs="Arial"/>
          <w:lang w:val="en-US"/>
        </w:rPr>
        <w:t>effect on</w:t>
      </w:r>
      <w:r w:rsidR="006359D6" w:rsidRPr="00BB7FFD">
        <w:rPr>
          <w:rFonts w:ascii="Calibri" w:hAnsi="Calibri" w:cs="Arial"/>
          <w:lang w:val="en-US"/>
        </w:rPr>
        <w:t xml:space="preserve"> freedom from primary outcome</w:t>
      </w:r>
      <w:r w:rsidR="000609D9" w:rsidRPr="00BB7FFD">
        <w:rPr>
          <w:rFonts w:ascii="Calibri" w:hAnsi="Calibri" w:cs="Arial"/>
          <w:lang w:val="en-US"/>
        </w:rPr>
        <w:t xml:space="preserve"> among patients with</w:t>
      </w:r>
      <w:r w:rsidR="00EA5443" w:rsidRPr="00BB7FFD">
        <w:rPr>
          <w:rFonts w:ascii="Calibri" w:hAnsi="Calibri" w:cs="Arial"/>
          <w:lang w:val="en-US"/>
        </w:rPr>
        <w:t xml:space="preserve"> hypertension and </w:t>
      </w:r>
      <w:r w:rsidR="001146E4" w:rsidRPr="001146E4">
        <w:rPr>
          <w:rFonts w:ascii="Calibri" w:hAnsi="Calibri" w:cs="Arial"/>
          <w:lang w:val="en-US"/>
        </w:rPr>
        <w:t xml:space="preserve">NSVT </w:t>
      </w:r>
      <w:r w:rsidR="00800AA8" w:rsidRPr="00BB7FFD">
        <w:rPr>
          <w:rFonts w:ascii="Calibri" w:hAnsi="Calibri" w:cs="Arial"/>
          <w:lang w:val="en-US"/>
        </w:rPr>
        <w:t>(Figure 1B</w:t>
      </w:r>
      <w:r w:rsidR="00EA5443" w:rsidRPr="00BB7FFD">
        <w:rPr>
          <w:rFonts w:ascii="Calibri" w:hAnsi="Calibri" w:cs="Arial"/>
          <w:lang w:val="en-US"/>
        </w:rPr>
        <w:t>).</w:t>
      </w:r>
    </w:p>
    <w:p w:rsidR="00184AF8" w:rsidRDefault="00184AF8" w:rsidP="006C647A">
      <w:pPr>
        <w:spacing w:line="480" w:lineRule="auto"/>
        <w:rPr>
          <w:rFonts w:ascii="Calibri" w:hAnsi="Calibri" w:cs="Arial"/>
          <w:lang w:val="en-US"/>
        </w:rPr>
      </w:pPr>
    </w:p>
    <w:p w:rsidR="00184AF8" w:rsidRPr="001D4C5F" w:rsidRDefault="00184AF8" w:rsidP="00184AF8">
      <w:pPr>
        <w:autoSpaceDE w:val="0"/>
        <w:autoSpaceDN w:val="0"/>
        <w:adjustRightInd w:val="0"/>
        <w:spacing w:line="480" w:lineRule="auto"/>
        <w:rPr>
          <w:rFonts w:ascii="Calibri" w:hAnsi="Calibri"/>
          <w:b/>
          <w:lang w:val="en-US"/>
        </w:rPr>
      </w:pPr>
      <w:r>
        <w:rPr>
          <w:rFonts w:ascii="Calibri" w:eastAsia="Times New Roman" w:hAnsi="Calibri" w:cs="Arial"/>
          <w:b/>
          <w:lang w:val="en-US" w:eastAsia="en-GB"/>
        </w:rPr>
        <w:t>TABLE</w:t>
      </w:r>
      <w:r>
        <w:rPr>
          <w:rFonts w:ascii="Calibri" w:hAnsi="Calibri"/>
          <w:b/>
          <w:lang w:val="en-US"/>
        </w:rPr>
        <w:t xml:space="preserve"> 4. Results of </w:t>
      </w:r>
      <w:r w:rsidRPr="001D4C5F">
        <w:rPr>
          <w:rFonts w:ascii="Calibri" w:hAnsi="Calibri"/>
          <w:b/>
          <w:lang w:val="en-US"/>
        </w:rPr>
        <w:t>univariate (A) and multivariate (B) analysis for predictors of the primary endpoint (cardiac death, appropriat</w:t>
      </w:r>
      <w:r>
        <w:rPr>
          <w:rFonts w:ascii="Calibri" w:hAnsi="Calibri"/>
          <w:b/>
          <w:lang w:val="en-US"/>
        </w:rPr>
        <w:t xml:space="preserve">e ICD therapy or cardiac arrest) in the total cohort of black and white HCM patients </w:t>
      </w:r>
      <w:r w:rsidRPr="00D43DB4">
        <w:rPr>
          <w:rFonts w:ascii="Calibri" w:eastAsia="Times New Roman" w:hAnsi="Calibri" w:cs="Arial"/>
          <w:b/>
          <w:lang w:val="en-US" w:eastAsia="en-GB"/>
        </w:rPr>
        <w:t>eligibl</w:t>
      </w:r>
      <w:r>
        <w:rPr>
          <w:rFonts w:ascii="Calibri" w:eastAsia="Times New Roman" w:hAnsi="Calibri" w:cs="Arial"/>
          <w:b/>
          <w:lang w:val="en-US" w:eastAsia="en-GB"/>
        </w:rPr>
        <w:t>e for survival analysis (n=409)</w:t>
      </w:r>
      <w:r>
        <w:rPr>
          <w:rFonts w:ascii="Calibri" w:hAnsi="Calibri"/>
          <w:b/>
          <w:lang w:val="en-US"/>
        </w:rPr>
        <w:t>.</w:t>
      </w:r>
    </w:p>
    <w:tbl>
      <w:tblPr>
        <w:tblW w:w="8505" w:type="dxa"/>
        <w:jc w:val="center"/>
        <w:tblLayout w:type="fixed"/>
        <w:tblLook w:val="04A0" w:firstRow="1" w:lastRow="0" w:firstColumn="1" w:lastColumn="0" w:noHBand="0" w:noVBand="1"/>
      </w:tblPr>
      <w:tblGrid>
        <w:gridCol w:w="4361"/>
        <w:gridCol w:w="1026"/>
        <w:gridCol w:w="1843"/>
        <w:gridCol w:w="1275"/>
      </w:tblGrid>
      <w:tr w:rsidR="00184AF8" w:rsidRPr="001D4C5F" w:rsidTr="006A46E4">
        <w:trPr>
          <w:jc w:val="center"/>
        </w:trPr>
        <w:tc>
          <w:tcPr>
            <w:tcW w:w="4361" w:type="dxa"/>
            <w:tcBorders>
              <w:top w:val="single" w:sz="4" w:space="0" w:color="auto"/>
              <w:bottom w:val="single" w:sz="4" w:space="0" w:color="auto"/>
            </w:tcBorders>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p>
        </w:tc>
        <w:tc>
          <w:tcPr>
            <w:tcW w:w="1026" w:type="dxa"/>
            <w:tcBorders>
              <w:top w:val="single" w:sz="4" w:space="0" w:color="auto"/>
              <w:bottom w:val="single" w:sz="4" w:space="0" w:color="auto"/>
            </w:tcBorders>
            <w:shd w:val="clear" w:color="auto" w:fill="auto"/>
          </w:tcPr>
          <w:p w:rsidR="00184AF8" w:rsidRPr="001D4C5F" w:rsidRDefault="00184AF8" w:rsidP="006A46E4">
            <w:pPr>
              <w:tabs>
                <w:tab w:val="center" w:pos="4320"/>
                <w:tab w:val="right" w:pos="8640"/>
              </w:tabs>
              <w:spacing w:line="360" w:lineRule="auto"/>
              <w:rPr>
                <w:rFonts w:ascii="Calibri" w:hAnsi="Calibri"/>
                <w:b/>
                <w:lang w:val="en-US"/>
              </w:rPr>
            </w:pPr>
            <w:r>
              <w:rPr>
                <w:rFonts w:ascii="Calibri" w:hAnsi="Calibri"/>
                <w:b/>
                <w:lang w:val="en-US"/>
              </w:rPr>
              <w:t>Hazzard ratio</w:t>
            </w:r>
          </w:p>
        </w:tc>
        <w:tc>
          <w:tcPr>
            <w:tcW w:w="1843" w:type="dxa"/>
            <w:tcBorders>
              <w:top w:val="single" w:sz="4" w:space="0" w:color="auto"/>
              <w:bottom w:val="single" w:sz="4" w:space="0" w:color="auto"/>
            </w:tcBorders>
            <w:shd w:val="clear" w:color="auto" w:fill="auto"/>
          </w:tcPr>
          <w:p w:rsidR="00184AF8" w:rsidRPr="001D4C5F" w:rsidRDefault="00184AF8" w:rsidP="006A46E4">
            <w:pPr>
              <w:tabs>
                <w:tab w:val="center" w:pos="4320"/>
                <w:tab w:val="right" w:pos="8640"/>
              </w:tabs>
              <w:spacing w:line="360" w:lineRule="auto"/>
              <w:rPr>
                <w:rFonts w:ascii="Calibri" w:hAnsi="Calibri"/>
                <w:b/>
                <w:lang w:val="en-US"/>
              </w:rPr>
            </w:pPr>
            <w:r w:rsidRPr="001D4C5F">
              <w:rPr>
                <w:rFonts w:ascii="Calibri" w:hAnsi="Calibri"/>
                <w:b/>
                <w:lang w:val="en-US"/>
              </w:rPr>
              <w:t>95% CI</w:t>
            </w:r>
          </w:p>
        </w:tc>
        <w:tc>
          <w:tcPr>
            <w:tcW w:w="1275" w:type="dxa"/>
            <w:tcBorders>
              <w:top w:val="single" w:sz="4" w:space="0" w:color="auto"/>
              <w:bottom w:val="single" w:sz="4" w:space="0" w:color="auto"/>
            </w:tcBorders>
            <w:shd w:val="clear" w:color="auto" w:fill="auto"/>
          </w:tcPr>
          <w:p w:rsidR="00184AF8" w:rsidRPr="001D4C5F" w:rsidRDefault="00184AF8" w:rsidP="006A46E4">
            <w:pPr>
              <w:tabs>
                <w:tab w:val="center" w:pos="4320"/>
                <w:tab w:val="right" w:pos="8640"/>
              </w:tabs>
              <w:spacing w:line="360" w:lineRule="auto"/>
              <w:rPr>
                <w:rFonts w:ascii="Calibri" w:hAnsi="Calibri"/>
                <w:b/>
                <w:lang w:val="en-US"/>
              </w:rPr>
            </w:pPr>
            <w:r w:rsidRPr="001D4C5F">
              <w:rPr>
                <w:rFonts w:ascii="Calibri" w:hAnsi="Calibri"/>
                <w:b/>
                <w:lang w:val="en-US"/>
              </w:rPr>
              <w:t>P-value</w:t>
            </w:r>
          </w:p>
        </w:tc>
      </w:tr>
      <w:tr w:rsidR="00184AF8" w:rsidRPr="001D4C5F" w:rsidTr="006A46E4">
        <w:trPr>
          <w:jc w:val="center"/>
        </w:trPr>
        <w:tc>
          <w:tcPr>
            <w:tcW w:w="8505" w:type="dxa"/>
            <w:gridSpan w:val="4"/>
            <w:tcBorders>
              <w:top w:val="single" w:sz="4" w:space="0" w:color="auto"/>
            </w:tcBorders>
            <w:shd w:val="clear" w:color="auto" w:fill="auto"/>
          </w:tcPr>
          <w:p w:rsidR="00184AF8" w:rsidRPr="001D4C5F" w:rsidRDefault="00184AF8" w:rsidP="006A46E4">
            <w:pPr>
              <w:tabs>
                <w:tab w:val="center" w:pos="4320"/>
                <w:tab w:val="right" w:pos="8640"/>
              </w:tabs>
              <w:spacing w:line="360" w:lineRule="auto"/>
              <w:rPr>
                <w:rFonts w:ascii="Calibri" w:hAnsi="Calibri"/>
                <w:b/>
                <w:lang w:val="en-US"/>
              </w:rPr>
            </w:pPr>
            <w:r>
              <w:rPr>
                <w:rFonts w:ascii="Calibri" w:hAnsi="Calibri"/>
                <w:b/>
                <w:lang w:val="en-US"/>
              </w:rPr>
              <w:t>A: UNIVARIATE ANALYSES</w:t>
            </w:r>
            <w:r w:rsidRPr="001D4C5F">
              <w:rPr>
                <w:rFonts w:ascii="Calibri" w:hAnsi="Calibri"/>
                <w:b/>
                <w:lang w:val="en-US"/>
              </w:rPr>
              <w:t>*</w:t>
            </w:r>
          </w:p>
        </w:tc>
      </w:tr>
      <w:tr w:rsidR="00184AF8" w:rsidRPr="001D4C5F" w:rsidTr="006A46E4">
        <w:trPr>
          <w:jc w:val="center"/>
        </w:trPr>
        <w:tc>
          <w:tcPr>
            <w:tcW w:w="4361"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Age at first evaluation</w:t>
            </w:r>
          </w:p>
        </w:tc>
        <w:tc>
          <w:tcPr>
            <w:tcW w:w="1026"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1.02</w:t>
            </w:r>
          </w:p>
        </w:tc>
        <w:tc>
          <w:tcPr>
            <w:tcW w:w="1843"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1.00 – 1.04</w:t>
            </w:r>
          </w:p>
        </w:tc>
        <w:tc>
          <w:tcPr>
            <w:tcW w:w="1275" w:type="dxa"/>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sidRPr="00F53579">
              <w:rPr>
                <w:rFonts w:ascii="Calibri" w:hAnsi="Calibri"/>
                <w:lang w:val="en-US"/>
              </w:rPr>
              <w:t>0.063</w:t>
            </w:r>
          </w:p>
        </w:tc>
      </w:tr>
      <w:tr w:rsidR="00184AF8" w:rsidRPr="001D4C5F" w:rsidTr="006A46E4">
        <w:trPr>
          <w:jc w:val="center"/>
        </w:trPr>
        <w:tc>
          <w:tcPr>
            <w:tcW w:w="4361"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Black Ethnicity</w:t>
            </w:r>
          </w:p>
        </w:tc>
        <w:tc>
          <w:tcPr>
            <w:tcW w:w="1026"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1.67</w:t>
            </w:r>
          </w:p>
        </w:tc>
        <w:tc>
          <w:tcPr>
            <w:tcW w:w="1843"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0.91 – 3.06</w:t>
            </w:r>
          </w:p>
        </w:tc>
        <w:tc>
          <w:tcPr>
            <w:tcW w:w="1275" w:type="dxa"/>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sidRPr="00F53579">
              <w:rPr>
                <w:rFonts w:ascii="Calibri" w:hAnsi="Calibri"/>
                <w:lang w:val="en-US"/>
              </w:rPr>
              <w:t>0.098</w:t>
            </w:r>
          </w:p>
        </w:tc>
      </w:tr>
      <w:tr w:rsidR="00184AF8" w:rsidRPr="001D4C5F" w:rsidTr="006A46E4">
        <w:trPr>
          <w:jc w:val="center"/>
        </w:trPr>
        <w:tc>
          <w:tcPr>
            <w:tcW w:w="4361"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Male Gender</w:t>
            </w:r>
          </w:p>
        </w:tc>
        <w:tc>
          <w:tcPr>
            <w:tcW w:w="1026"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0.65</w:t>
            </w:r>
          </w:p>
        </w:tc>
        <w:tc>
          <w:tcPr>
            <w:tcW w:w="1843"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0.36 – 1.21</w:t>
            </w:r>
          </w:p>
        </w:tc>
        <w:tc>
          <w:tcPr>
            <w:tcW w:w="1275" w:type="dxa"/>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sidRPr="00F53579">
              <w:rPr>
                <w:rFonts w:ascii="Calibri" w:hAnsi="Calibri"/>
                <w:lang w:val="en-US"/>
              </w:rPr>
              <w:t>0.174</w:t>
            </w:r>
          </w:p>
        </w:tc>
      </w:tr>
      <w:tr w:rsidR="00184AF8" w:rsidRPr="001D4C5F" w:rsidTr="006A46E4">
        <w:trPr>
          <w:jc w:val="center"/>
        </w:trPr>
        <w:tc>
          <w:tcPr>
            <w:tcW w:w="4361"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Family history of sudden cardiac death</w:t>
            </w:r>
          </w:p>
        </w:tc>
        <w:tc>
          <w:tcPr>
            <w:tcW w:w="1026"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0.68</w:t>
            </w:r>
          </w:p>
        </w:tc>
        <w:tc>
          <w:tcPr>
            <w:tcW w:w="1843"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0.29 – 1.62</w:t>
            </w:r>
          </w:p>
        </w:tc>
        <w:tc>
          <w:tcPr>
            <w:tcW w:w="1275" w:type="dxa"/>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sidRPr="00F53579">
              <w:rPr>
                <w:rFonts w:ascii="Calibri" w:hAnsi="Calibri"/>
                <w:lang w:val="en-US"/>
              </w:rPr>
              <w:t>0.388</w:t>
            </w:r>
          </w:p>
        </w:tc>
      </w:tr>
      <w:tr w:rsidR="00184AF8" w:rsidRPr="001D4C5F" w:rsidTr="006A46E4">
        <w:trPr>
          <w:jc w:val="center"/>
        </w:trPr>
        <w:tc>
          <w:tcPr>
            <w:tcW w:w="4361"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Syncope</w:t>
            </w:r>
          </w:p>
        </w:tc>
        <w:tc>
          <w:tcPr>
            <w:tcW w:w="1026"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1.92</w:t>
            </w:r>
          </w:p>
        </w:tc>
        <w:tc>
          <w:tcPr>
            <w:tcW w:w="1843"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1.00 – 3.71</w:t>
            </w:r>
          </w:p>
        </w:tc>
        <w:tc>
          <w:tcPr>
            <w:tcW w:w="1275" w:type="dxa"/>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sidRPr="00F53579">
              <w:rPr>
                <w:rFonts w:ascii="Calibri" w:hAnsi="Calibri"/>
                <w:lang w:val="en-US"/>
              </w:rPr>
              <w:t>0.051</w:t>
            </w:r>
          </w:p>
        </w:tc>
      </w:tr>
      <w:tr w:rsidR="00184AF8" w:rsidRPr="001D4C5F" w:rsidTr="006A46E4">
        <w:trPr>
          <w:jc w:val="center"/>
        </w:trPr>
        <w:tc>
          <w:tcPr>
            <w:tcW w:w="4361"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Pr>
                <w:rFonts w:ascii="Calibri" w:hAnsi="Calibri"/>
                <w:lang w:val="en-US"/>
              </w:rPr>
              <w:t>History of h</w:t>
            </w:r>
            <w:r w:rsidRPr="001D4C5F">
              <w:rPr>
                <w:rFonts w:ascii="Calibri" w:hAnsi="Calibri"/>
                <w:lang w:val="en-US"/>
              </w:rPr>
              <w:t>ypertension at first evaluation</w:t>
            </w:r>
          </w:p>
        </w:tc>
        <w:tc>
          <w:tcPr>
            <w:tcW w:w="1026"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1.78</w:t>
            </w:r>
          </w:p>
        </w:tc>
        <w:tc>
          <w:tcPr>
            <w:tcW w:w="1843"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0.97 – 3.29</w:t>
            </w:r>
          </w:p>
        </w:tc>
        <w:tc>
          <w:tcPr>
            <w:tcW w:w="1275" w:type="dxa"/>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sidRPr="00F53579">
              <w:rPr>
                <w:rFonts w:ascii="Calibri" w:hAnsi="Calibri"/>
                <w:lang w:val="en-US"/>
              </w:rPr>
              <w:t>0.064</w:t>
            </w:r>
          </w:p>
        </w:tc>
      </w:tr>
      <w:tr w:rsidR="00184AF8" w:rsidRPr="001D4C5F" w:rsidTr="006A46E4">
        <w:trPr>
          <w:jc w:val="center"/>
        </w:trPr>
        <w:tc>
          <w:tcPr>
            <w:tcW w:w="4361"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Left atrial size (mm)</w:t>
            </w:r>
          </w:p>
        </w:tc>
        <w:tc>
          <w:tcPr>
            <w:tcW w:w="1026"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1.05</w:t>
            </w:r>
          </w:p>
        </w:tc>
        <w:tc>
          <w:tcPr>
            <w:tcW w:w="1843"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1.00 – 1.09</w:t>
            </w:r>
          </w:p>
        </w:tc>
        <w:tc>
          <w:tcPr>
            <w:tcW w:w="1275" w:type="dxa"/>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sidRPr="00F53579">
              <w:rPr>
                <w:rFonts w:ascii="Calibri" w:hAnsi="Calibri"/>
                <w:lang w:val="en-US"/>
              </w:rPr>
              <w:t>0.059</w:t>
            </w:r>
          </w:p>
        </w:tc>
      </w:tr>
      <w:tr w:rsidR="00184AF8" w:rsidRPr="001D4C5F" w:rsidTr="006A46E4">
        <w:trPr>
          <w:jc w:val="center"/>
        </w:trPr>
        <w:tc>
          <w:tcPr>
            <w:tcW w:w="4361"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Left ventricular wall thickness ≥30mm</w:t>
            </w:r>
          </w:p>
        </w:tc>
        <w:tc>
          <w:tcPr>
            <w:tcW w:w="1026"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4.02</w:t>
            </w:r>
          </w:p>
        </w:tc>
        <w:tc>
          <w:tcPr>
            <w:tcW w:w="1843"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1.77 – 9.14</w:t>
            </w:r>
          </w:p>
        </w:tc>
        <w:tc>
          <w:tcPr>
            <w:tcW w:w="1275" w:type="dxa"/>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sidRPr="00F53579">
              <w:rPr>
                <w:rFonts w:ascii="Calibri" w:hAnsi="Calibri"/>
                <w:lang w:val="en-US"/>
              </w:rPr>
              <w:t>0.001</w:t>
            </w:r>
          </w:p>
        </w:tc>
      </w:tr>
      <w:tr w:rsidR="00184AF8" w:rsidRPr="001D4C5F" w:rsidTr="006A46E4">
        <w:trPr>
          <w:jc w:val="center"/>
        </w:trPr>
        <w:tc>
          <w:tcPr>
            <w:tcW w:w="4361"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Pr>
                <w:rFonts w:ascii="Calibri" w:hAnsi="Calibri"/>
                <w:lang w:val="en-US"/>
              </w:rPr>
              <w:t xml:space="preserve">History of </w:t>
            </w:r>
            <w:r w:rsidRPr="001D4C5F">
              <w:rPr>
                <w:rFonts w:ascii="Calibri" w:hAnsi="Calibri"/>
                <w:lang w:val="en-US"/>
              </w:rPr>
              <w:t>non-sustained ventricular tachycardia at baseline visit</w:t>
            </w:r>
          </w:p>
        </w:tc>
        <w:tc>
          <w:tcPr>
            <w:tcW w:w="1026"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4.94</w:t>
            </w:r>
          </w:p>
        </w:tc>
        <w:tc>
          <w:tcPr>
            <w:tcW w:w="1843"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2.55 – 9.55</w:t>
            </w:r>
          </w:p>
        </w:tc>
        <w:tc>
          <w:tcPr>
            <w:tcW w:w="1275" w:type="dxa"/>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sidRPr="00F53579">
              <w:rPr>
                <w:rFonts w:ascii="Calibri" w:hAnsi="Calibri"/>
                <w:lang w:val="en-US"/>
              </w:rPr>
              <w:t>&lt;0.001</w:t>
            </w:r>
          </w:p>
        </w:tc>
      </w:tr>
      <w:tr w:rsidR="00184AF8" w:rsidRPr="001D4C5F" w:rsidTr="006A46E4">
        <w:trPr>
          <w:jc w:val="center"/>
        </w:trPr>
        <w:tc>
          <w:tcPr>
            <w:tcW w:w="4361"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Abnormal blood pressure response to exercise</w:t>
            </w:r>
          </w:p>
        </w:tc>
        <w:tc>
          <w:tcPr>
            <w:tcW w:w="1026"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1.97</w:t>
            </w:r>
          </w:p>
        </w:tc>
        <w:tc>
          <w:tcPr>
            <w:tcW w:w="1843"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0.85 – 4.54</w:t>
            </w:r>
          </w:p>
        </w:tc>
        <w:tc>
          <w:tcPr>
            <w:tcW w:w="1275"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0.113</w:t>
            </w:r>
          </w:p>
        </w:tc>
      </w:tr>
      <w:tr w:rsidR="00184AF8" w:rsidRPr="001D4C5F" w:rsidTr="006A46E4">
        <w:trPr>
          <w:jc w:val="center"/>
        </w:trPr>
        <w:tc>
          <w:tcPr>
            <w:tcW w:w="4361"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Pr>
                <w:rFonts w:ascii="Calibri" w:hAnsi="Calibri"/>
                <w:lang w:val="en-US"/>
              </w:rPr>
              <w:t>Resting left ventricular outflow tract gradient ≥30mmHg at rest</w:t>
            </w:r>
          </w:p>
        </w:tc>
        <w:tc>
          <w:tcPr>
            <w:tcW w:w="1026"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Pr>
                <w:rFonts w:ascii="Calibri" w:hAnsi="Calibri"/>
                <w:lang w:val="en-US"/>
              </w:rPr>
              <w:t>0.70</w:t>
            </w:r>
          </w:p>
        </w:tc>
        <w:tc>
          <w:tcPr>
            <w:tcW w:w="1843"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Pr>
                <w:rFonts w:ascii="Calibri" w:hAnsi="Calibri"/>
                <w:lang w:val="en-US"/>
              </w:rPr>
              <w:t>0.329</w:t>
            </w:r>
          </w:p>
        </w:tc>
        <w:tc>
          <w:tcPr>
            <w:tcW w:w="1275"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Pr>
                <w:rFonts w:ascii="Calibri" w:hAnsi="Calibri"/>
                <w:lang w:val="en-US"/>
              </w:rPr>
              <w:t>1.465</w:t>
            </w:r>
          </w:p>
        </w:tc>
      </w:tr>
      <w:tr w:rsidR="00184AF8" w:rsidRPr="001D4C5F" w:rsidTr="006A46E4">
        <w:trPr>
          <w:jc w:val="center"/>
        </w:trPr>
        <w:tc>
          <w:tcPr>
            <w:tcW w:w="4361" w:type="dxa"/>
            <w:shd w:val="clear" w:color="auto" w:fill="auto"/>
          </w:tcPr>
          <w:p w:rsidR="00184AF8"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Late Gadolinium enhancement on cardiac</w:t>
            </w:r>
            <w:r>
              <w:rPr>
                <w:rFonts w:ascii="Calibri" w:hAnsi="Calibri"/>
                <w:lang w:val="en-US"/>
              </w:rPr>
              <w:t xml:space="preserve"> magnetic resonance imaging</w:t>
            </w:r>
          </w:p>
          <w:p w:rsidR="00184AF8" w:rsidRPr="001D4C5F" w:rsidRDefault="00184AF8" w:rsidP="006A46E4">
            <w:pPr>
              <w:tabs>
                <w:tab w:val="center" w:pos="4320"/>
                <w:tab w:val="right" w:pos="8640"/>
              </w:tabs>
              <w:spacing w:line="360" w:lineRule="auto"/>
              <w:rPr>
                <w:rFonts w:ascii="Calibri" w:hAnsi="Calibri"/>
                <w:lang w:val="en-US"/>
              </w:rPr>
            </w:pPr>
          </w:p>
        </w:tc>
        <w:tc>
          <w:tcPr>
            <w:tcW w:w="1026"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1.21</w:t>
            </w:r>
          </w:p>
        </w:tc>
        <w:tc>
          <w:tcPr>
            <w:tcW w:w="1843"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0.39 – 3.82</w:t>
            </w:r>
          </w:p>
        </w:tc>
        <w:tc>
          <w:tcPr>
            <w:tcW w:w="1275" w:type="dxa"/>
            <w:shd w:val="clear" w:color="auto" w:fill="auto"/>
          </w:tcPr>
          <w:p w:rsidR="00184AF8" w:rsidRPr="001D4C5F" w:rsidRDefault="00184AF8" w:rsidP="006A46E4">
            <w:pPr>
              <w:tabs>
                <w:tab w:val="center" w:pos="4320"/>
                <w:tab w:val="right" w:pos="8640"/>
              </w:tabs>
              <w:spacing w:line="360" w:lineRule="auto"/>
              <w:rPr>
                <w:rFonts w:ascii="Calibri" w:hAnsi="Calibri"/>
                <w:lang w:val="en-US"/>
              </w:rPr>
            </w:pPr>
            <w:r w:rsidRPr="001D4C5F">
              <w:rPr>
                <w:rFonts w:ascii="Calibri" w:hAnsi="Calibri"/>
                <w:lang w:val="en-US"/>
              </w:rPr>
              <w:t>0.741</w:t>
            </w:r>
          </w:p>
        </w:tc>
      </w:tr>
      <w:tr w:rsidR="00184AF8" w:rsidRPr="001D4C5F" w:rsidTr="006A46E4">
        <w:trPr>
          <w:jc w:val="center"/>
        </w:trPr>
        <w:tc>
          <w:tcPr>
            <w:tcW w:w="8505" w:type="dxa"/>
            <w:gridSpan w:val="4"/>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sidRPr="00F53579">
              <w:rPr>
                <w:rFonts w:ascii="Calibri" w:hAnsi="Calibri"/>
                <w:b/>
                <w:lang w:val="en-US"/>
              </w:rPr>
              <w:t>B: MULTIVARIABLE ANALYSES USING BACKWARD STEPWISE (LIKELIHOOD RATIO) METHOD</w:t>
            </w:r>
            <w:r w:rsidRPr="00CE10E9">
              <w:rPr>
                <w:rFonts w:ascii="Calibri" w:eastAsia="OTNEJMScalaSansLF" w:hAnsi="Calibri" w:cs="OTNEJMScalaSansLF" w:hint="eastAsia"/>
                <w:b/>
                <w:vertAlign w:val="superscript"/>
                <w:lang w:eastAsia="en-GB"/>
              </w:rPr>
              <w:t>†</w:t>
            </w:r>
          </w:p>
        </w:tc>
      </w:tr>
      <w:tr w:rsidR="00184AF8" w:rsidRPr="001D4C5F" w:rsidTr="006A46E4">
        <w:trPr>
          <w:jc w:val="center"/>
        </w:trPr>
        <w:tc>
          <w:tcPr>
            <w:tcW w:w="4361" w:type="dxa"/>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sidRPr="00F53579">
              <w:rPr>
                <w:rFonts w:ascii="Calibri" w:hAnsi="Calibri"/>
                <w:lang w:val="en-US"/>
              </w:rPr>
              <w:t>H</w:t>
            </w:r>
            <w:r>
              <w:rPr>
                <w:rFonts w:ascii="Calibri" w:hAnsi="Calibri"/>
                <w:lang w:val="en-US"/>
              </w:rPr>
              <w:t>istory of h</w:t>
            </w:r>
            <w:r w:rsidRPr="00F53579">
              <w:rPr>
                <w:rFonts w:ascii="Calibri" w:hAnsi="Calibri"/>
                <w:lang w:val="en-US"/>
              </w:rPr>
              <w:t>ypertension at first evaluation</w:t>
            </w:r>
          </w:p>
        </w:tc>
        <w:tc>
          <w:tcPr>
            <w:tcW w:w="1026" w:type="dxa"/>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sidRPr="00F53579">
              <w:rPr>
                <w:rFonts w:ascii="Calibri" w:hAnsi="Calibri"/>
                <w:lang w:val="en-US"/>
              </w:rPr>
              <w:t>2.02</w:t>
            </w:r>
          </w:p>
        </w:tc>
        <w:tc>
          <w:tcPr>
            <w:tcW w:w="1843" w:type="dxa"/>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sidRPr="00F53579">
              <w:rPr>
                <w:rFonts w:ascii="Calibri" w:hAnsi="Calibri"/>
                <w:lang w:val="en-US"/>
              </w:rPr>
              <w:t>1.05 – 3.88</w:t>
            </w:r>
          </w:p>
        </w:tc>
        <w:tc>
          <w:tcPr>
            <w:tcW w:w="1275" w:type="dxa"/>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sidRPr="00F53579">
              <w:rPr>
                <w:rFonts w:ascii="Calibri" w:hAnsi="Calibri"/>
                <w:lang w:val="en-US"/>
              </w:rPr>
              <w:t>0.036</w:t>
            </w:r>
          </w:p>
        </w:tc>
      </w:tr>
      <w:tr w:rsidR="00184AF8" w:rsidRPr="001D4C5F" w:rsidTr="006A46E4">
        <w:trPr>
          <w:jc w:val="center"/>
        </w:trPr>
        <w:tc>
          <w:tcPr>
            <w:tcW w:w="4361" w:type="dxa"/>
            <w:tcBorders>
              <w:bottom w:val="single" w:sz="4" w:space="0" w:color="auto"/>
            </w:tcBorders>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Pr>
                <w:rFonts w:ascii="Calibri" w:hAnsi="Calibri"/>
                <w:lang w:val="en-US"/>
              </w:rPr>
              <w:t>History of n</w:t>
            </w:r>
            <w:r w:rsidRPr="00F53579">
              <w:rPr>
                <w:rFonts w:ascii="Calibri" w:hAnsi="Calibri"/>
                <w:lang w:val="en-US"/>
              </w:rPr>
              <w:t>on-sustained ventricular tachycardia at baseline visit</w:t>
            </w:r>
          </w:p>
        </w:tc>
        <w:tc>
          <w:tcPr>
            <w:tcW w:w="1026" w:type="dxa"/>
            <w:tcBorders>
              <w:bottom w:val="single" w:sz="4" w:space="0" w:color="auto"/>
            </w:tcBorders>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sidRPr="00F53579">
              <w:rPr>
                <w:rFonts w:ascii="Calibri" w:hAnsi="Calibri"/>
                <w:lang w:val="en-US"/>
              </w:rPr>
              <w:t>6.03</w:t>
            </w:r>
          </w:p>
        </w:tc>
        <w:tc>
          <w:tcPr>
            <w:tcW w:w="1843" w:type="dxa"/>
            <w:tcBorders>
              <w:bottom w:val="single" w:sz="4" w:space="0" w:color="auto"/>
            </w:tcBorders>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sidRPr="00F53579">
              <w:rPr>
                <w:rFonts w:ascii="Calibri" w:hAnsi="Calibri"/>
                <w:lang w:val="en-US"/>
              </w:rPr>
              <w:t>3.06 – 11.91</w:t>
            </w:r>
          </w:p>
        </w:tc>
        <w:tc>
          <w:tcPr>
            <w:tcW w:w="1275" w:type="dxa"/>
            <w:tcBorders>
              <w:bottom w:val="single" w:sz="4" w:space="0" w:color="auto"/>
            </w:tcBorders>
            <w:shd w:val="clear" w:color="auto" w:fill="auto"/>
          </w:tcPr>
          <w:p w:rsidR="00184AF8" w:rsidRPr="00F53579" w:rsidRDefault="00184AF8" w:rsidP="006A46E4">
            <w:pPr>
              <w:tabs>
                <w:tab w:val="center" w:pos="4320"/>
                <w:tab w:val="right" w:pos="8640"/>
              </w:tabs>
              <w:spacing w:line="360" w:lineRule="auto"/>
              <w:rPr>
                <w:rFonts w:ascii="Calibri" w:hAnsi="Calibri"/>
                <w:lang w:val="en-US"/>
              </w:rPr>
            </w:pPr>
            <w:r w:rsidRPr="00F53579">
              <w:rPr>
                <w:rFonts w:ascii="Calibri" w:hAnsi="Calibri"/>
                <w:lang w:val="en-US"/>
              </w:rPr>
              <w:t>&lt;0.001</w:t>
            </w:r>
          </w:p>
        </w:tc>
      </w:tr>
    </w:tbl>
    <w:p w:rsidR="00184AF8" w:rsidRDefault="00184AF8" w:rsidP="00184AF8">
      <w:pPr>
        <w:autoSpaceDE w:val="0"/>
        <w:autoSpaceDN w:val="0"/>
        <w:adjustRightInd w:val="0"/>
        <w:spacing w:line="480" w:lineRule="auto"/>
        <w:ind w:left="426" w:right="685"/>
        <w:rPr>
          <w:rFonts w:ascii="Calibri" w:hAnsi="Calibri"/>
          <w:b/>
          <w:lang w:val="en-US"/>
        </w:rPr>
      </w:pPr>
      <w:r w:rsidRPr="00923CE9">
        <w:rPr>
          <w:rFonts w:ascii="Calibri" w:hAnsi="Calibri"/>
          <w:b/>
          <w:lang w:val="en-US"/>
        </w:rPr>
        <w:t xml:space="preserve">*The table depicts statistically significant variables and variables considered to be associated with </w:t>
      </w:r>
      <w:r>
        <w:rPr>
          <w:rFonts w:ascii="Calibri" w:hAnsi="Calibri"/>
          <w:b/>
          <w:lang w:val="en-US"/>
        </w:rPr>
        <w:t xml:space="preserve">an </w:t>
      </w:r>
      <w:r w:rsidRPr="00923CE9">
        <w:rPr>
          <w:rFonts w:ascii="Calibri" w:hAnsi="Calibri"/>
          <w:b/>
          <w:lang w:val="en-US"/>
        </w:rPr>
        <w:t>increased risk of sudden cardiac death</w:t>
      </w:r>
      <w:r>
        <w:rPr>
          <w:rFonts w:ascii="Calibri" w:hAnsi="Calibri"/>
          <w:b/>
          <w:lang w:val="en-US"/>
        </w:rPr>
        <w:t xml:space="preserve"> in hypertrophic cardiomyopathy.</w:t>
      </w:r>
    </w:p>
    <w:p w:rsidR="00184AF8" w:rsidRPr="001D4C5F" w:rsidRDefault="00184AF8" w:rsidP="00184AF8">
      <w:pPr>
        <w:autoSpaceDE w:val="0"/>
        <w:autoSpaceDN w:val="0"/>
        <w:adjustRightInd w:val="0"/>
        <w:spacing w:line="480" w:lineRule="auto"/>
        <w:ind w:left="426" w:right="685"/>
        <w:rPr>
          <w:rFonts w:ascii="Calibri" w:hAnsi="Calibri"/>
          <w:lang w:val="en-US"/>
        </w:rPr>
      </w:pPr>
      <w:r w:rsidRPr="00524FC4">
        <w:rPr>
          <w:rFonts w:ascii="Calibri" w:eastAsia="OTNEJMScalaSansLF" w:hAnsi="Calibri" w:cs="OTNEJMScalaSansLF" w:hint="eastAsia"/>
          <w:b/>
          <w:vertAlign w:val="superscript"/>
          <w:lang w:eastAsia="en-GB"/>
        </w:rPr>
        <w:t>†</w:t>
      </w:r>
      <w:r w:rsidRPr="001D4C5F">
        <w:rPr>
          <w:rFonts w:ascii="Calibri" w:eastAsia="Times New Roman" w:hAnsi="Calibri"/>
          <w:b/>
          <w:lang w:val="en-US"/>
        </w:rPr>
        <w:t>All variables that that demonstrated a p-value of &lt;0.1 in the univariate analyses were included in the multivariable model.</w:t>
      </w:r>
    </w:p>
    <w:p w:rsidR="00800AA8" w:rsidRPr="00196887" w:rsidRDefault="00800AA8" w:rsidP="006C647A">
      <w:pPr>
        <w:spacing w:line="480" w:lineRule="auto"/>
        <w:rPr>
          <w:rFonts w:ascii="Calibri" w:hAnsi="Calibri" w:cs="Arial"/>
          <w:b/>
          <w:highlight w:val="yellow"/>
          <w:lang w:val="en-US"/>
        </w:rPr>
      </w:pPr>
    </w:p>
    <w:p w:rsidR="00B166A5" w:rsidRPr="001146E4" w:rsidRDefault="00604C0D" w:rsidP="006C647A">
      <w:pPr>
        <w:spacing w:line="480" w:lineRule="auto"/>
        <w:rPr>
          <w:rFonts w:ascii="Calibri" w:hAnsi="Calibri" w:cs="Arial"/>
          <w:b/>
          <w:lang w:val="en-US"/>
        </w:rPr>
      </w:pPr>
      <w:r w:rsidRPr="001146E4">
        <w:rPr>
          <w:rFonts w:ascii="Calibri" w:hAnsi="Calibri" w:cs="Arial"/>
          <w:b/>
          <w:lang w:val="en-US"/>
        </w:rPr>
        <w:t>I</w:t>
      </w:r>
      <w:r>
        <w:rPr>
          <w:rFonts w:ascii="Calibri" w:hAnsi="Calibri" w:cs="Arial"/>
          <w:b/>
          <w:lang w:val="en-US"/>
        </w:rPr>
        <w:t>nfluence of Hypertension on the HCM Phenotype</w:t>
      </w:r>
    </w:p>
    <w:p w:rsidR="00940850" w:rsidRDefault="00BB7FFD" w:rsidP="006C647A">
      <w:pPr>
        <w:spacing w:line="480" w:lineRule="auto"/>
        <w:rPr>
          <w:rFonts w:ascii="Calibri" w:hAnsi="Calibri" w:cs="Arial"/>
          <w:lang w:val="en-US"/>
        </w:rPr>
      </w:pPr>
      <w:r w:rsidRPr="00BB7FFD">
        <w:rPr>
          <w:rFonts w:ascii="Calibri" w:hAnsi="Calibri" w:cs="Arial"/>
          <w:lang w:val="en-US"/>
        </w:rPr>
        <w:t>Based on the high prevalence of co-exist</w:t>
      </w:r>
      <w:r>
        <w:rPr>
          <w:rFonts w:ascii="Calibri" w:hAnsi="Calibri" w:cs="Arial"/>
          <w:lang w:val="en-US"/>
        </w:rPr>
        <w:t>e</w:t>
      </w:r>
      <w:r w:rsidRPr="00BB7FFD">
        <w:rPr>
          <w:rFonts w:ascii="Calibri" w:hAnsi="Calibri" w:cs="Arial"/>
          <w:lang w:val="en-US"/>
        </w:rPr>
        <w:t>nt</w:t>
      </w:r>
      <w:r w:rsidR="00D077A4" w:rsidRPr="00BB7FFD">
        <w:rPr>
          <w:rFonts w:ascii="Calibri" w:hAnsi="Calibri" w:cs="Arial"/>
          <w:lang w:val="en-US"/>
        </w:rPr>
        <w:t xml:space="preserve"> hypertension</w:t>
      </w:r>
      <w:r w:rsidR="00AE22D7" w:rsidRPr="00BB7FFD">
        <w:rPr>
          <w:rFonts w:ascii="Calibri" w:hAnsi="Calibri" w:cs="Arial"/>
          <w:lang w:val="en-US"/>
        </w:rPr>
        <w:t xml:space="preserve"> and its association with the primary outcome</w:t>
      </w:r>
      <w:r w:rsidR="00F84805" w:rsidRPr="00BB7FFD">
        <w:rPr>
          <w:rFonts w:ascii="Calibri" w:hAnsi="Calibri" w:cs="Arial"/>
          <w:lang w:val="en-US"/>
        </w:rPr>
        <w:t>,</w:t>
      </w:r>
      <w:r w:rsidR="00D077A4" w:rsidRPr="00BB7FFD">
        <w:rPr>
          <w:rFonts w:ascii="Calibri" w:hAnsi="Calibri" w:cs="Arial"/>
          <w:lang w:val="en-US"/>
        </w:rPr>
        <w:t xml:space="preserve"> </w:t>
      </w:r>
      <w:r w:rsidR="00730779" w:rsidRPr="00BB7FFD">
        <w:rPr>
          <w:rFonts w:ascii="Calibri" w:hAnsi="Calibri" w:cs="Arial"/>
          <w:lang w:val="en-US"/>
        </w:rPr>
        <w:t>we</w:t>
      </w:r>
      <w:r w:rsidR="00D077A4" w:rsidRPr="00BB7FFD">
        <w:rPr>
          <w:rFonts w:ascii="Calibri" w:hAnsi="Calibri" w:cs="Arial"/>
          <w:lang w:val="en-US"/>
        </w:rPr>
        <w:t xml:space="preserve"> performed a separate comparison between the hypertensive </w:t>
      </w:r>
      <w:r w:rsidRPr="00BB7FFD">
        <w:rPr>
          <w:rFonts w:ascii="Calibri" w:hAnsi="Calibri" w:cs="Arial"/>
          <w:lang w:val="en-US"/>
        </w:rPr>
        <w:t>and normotensive group (</w:t>
      </w:r>
      <w:r w:rsidR="00D73AAB">
        <w:rPr>
          <w:rFonts w:ascii="Calibri" w:hAnsi="Calibri" w:cs="Arial"/>
          <w:lang w:val="en-US"/>
        </w:rPr>
        <w:t>T</w:t>
      </w:r>
      <w:r w:rsidR="00344530">
        <w:rPr>
          <w:rFonts w:ascii="Calibri" w:hAnsi="Calibri" w:cs="Arial"/>
          <w:lang w:val="en-US"/>
        </w:rPr>
        <w:t>able 5</w:t>
      </w:r>
      <w:r w:rsidRPr="00BB7FFD">
        <w:rPr>
          <w:rFonts w:ascii="Calibri" w:hAnsi="Calibri" w:cs="Arial"/>
          <w:lang w:val="en-US"/>
        </w:rPr>
        <w:t>)</w:t>
      </w:r>
      <w:r w:rsidR="00D077A4" w:rsidRPr="00BB7FFD">
        <w:rPr>
          <w:rFonts w:ascii="Calibri" w:hAnsi="Calibri" w:cs="Arial"/>
          <w:lang w:val="en-US"/>
        </w:rPr>
        <w:t xml:space="preserve">. Of interest, HCM patients with hypertension were </w:t>
      </w:r>
      <w:r w:rsidR="009B1E0C">
        <w:rPr>
          <w:rFonts w:ascii="Calibri" w:hAnsi="Calibri" w:cs="Arial"/>
          <w:lang w:val="en-US"/>
        </w:rPr>
        <w:t xml:space="preserve">on average 15 years </w:t>
      </w:r>
      <w:r w:rsidR="00D077A4" w:rsidRPr="00BB7FFD">
        <w:rPr>
          <w:rFonts w:ascii="Calibri" w:hAnsi="Calibri" w:cs="Arial"/>
          <w:lang w:val="en-US"/>
        </w:rPr>
        <w:t>older at the time of diagnosis compared to normotensive patients (</w:t>
      </w:r>
      <w:r w:rsidR="00683AE3" w:rsidRPr="00BB7FFD">
        <w:rPr>
          <w:rFonts w:ascii="Calibri" w:hAnsi="Calibri" w:cs="Arial"/>
          <w:lang w:val="en-US"/>
        </w:rPr>
        <w:t>59.</w:t>
      </w:r>
      <w:r w:rsidR="002F7BD2" w:rsidRPr="00BB7FFD">
        <w:rPr>
          <w:rFonts w:ascii="Calibri" w:hAnsi="Calibri" w:cs="Arial"/>
          <w:lang w:val="en-US"/>
        </w:rPr>
        <w:t>5</w:t>
      </w:r>
      <w:r w:rsidR="00507F31">
        <w:rPr>
          <w:rFonts w:ascii="Calibri" w:hAnsi="Calibri" w:cs="Arial"/>
          <w:lang w:val="en-US"/>
        </w:rPr>
        <w:t>±</w:t>
      </w:r>
      <w:r w:rsidR="00683AE3" w:rsidRPr="00BB7FFD">
        <w:rPr>
          <w:rFonts w:ascii="Calibri" w:hAnsi="Calibri" w:cs="Arial"/>
          <w:lang w:val="en-US"/>
        </w:rPr>
        <w:t>13.</w:t>
      </w:r>
      <w:r w:rsidR="002F7BD2" w:rsidRPr="00BB7FFD">
        <w:rPr>
          <w:rFonts w:ascii="Calibri" w:hAnsi="Calibri" w:cs="Arial"/>
          <w:lang w:val="en-US"/>
        </w:rPr>
        <w:t>3</w:t>
      </w:r>
      <w:r w:rsidR="00683AE3" w:rsidRPr="00BB7FFD">
        <w:rPr>
          <w:rFonts w:ascii="Calibri" w:hAnsi="Calibri" w:cs="Arial"/>
          <w:lang w:val="en-US"/>
        </w:rPr>
        <w:t xml:space="preserve"> </w:t>
      </w:r>
      <w:r w:rsidR="00BA5C0B">
        <w:rPr>
          <w:rFonts w:ascii="Calibri" w:hAnsi="Calibri" w:cs="Arial"/>
          <w:lang w:val="en-US"/>
        </w:rPr>
        <w:t>versus</w:t>
      </w:r>
      <w:r w:rsidR="00683AE3" w:rsidRPr="00BB7FFD">
        <w:rPr>
          <w:rFonts w:ascii="Calibri" w:hAnsi="Calibri" w:cs="Arial"/>
          <w:lang w:val="en-US"/>
        </w:rPr>
        <w:t xml:space="preserve"> 44.</w:t>
      </w:r>
      <w:r w:rsidR="002F7BD2" w:rsidRPr="00BB7FFD">
        <w:rPr>
          <w:rFonts w:ascii="Calibri" w:hAnsi="Calibri" w:cs="Arial"/>
          <w:lang w:val="en-US"/>
        </w:rPr>
        <w:t>7</w:t>
      </w:r>
      <w:r w:rsidR="00507F31">
        <w:rPr>
          <w:rFonts w:ascii="Calibri" w:hAnsi="Calibri" w:cs="Arial"/>
          <w:lang w:val="en-US"/>
        </w:rPr>
        <w:t>±</w:t>
      </w:r>
      <w:r w:rsidR="00683AE3" w:rsidRPr="00BB7FFD">
        <w:rPr>
          <w:rFonts w:ascii="Calibri" w:hAnsi="Calibri" w:cs="Arial"/>
          <w:lang w:val="en-US"/>
        </w:rPr>
        <w:t>16.</w:t>
      </w:r>
      <w:r w:rsidR="002F7BD2" w:rsidRPr="00BB7FFD">
        <w:rPr>
          <w:rFonts w:ascii="Calibri" w:hAnsi="Calibri" w:cs="Arial"/>
          <w:lang w:val="en-US"/>
        </w:rPr>
        <w:t>7</w:t>
      </w:r>
      <w:r w:rsidR="00683AE3" w:rsidRPr="00BB7FFD">
        <w:rPr>
          <w:rFonts w:ascii="Calibri" w:hAnsi="Calibri" w:cs="Arial"/>
          <w:lang w:val="en-US"/>
        </w:rPr>
        <w:t xml:space="preserve"> years, p&lt;0.001)</w:t>
      </w:r>
      <w:r w:rsidR="009B1E0C">
        <w:rPr>
          <w:rFonts w:ascii="Calibri" w:hAnsi="Calibri" w:cs="Arial"/>
          <w:lang w:val="en-US"/>
        </w:rPr>
        <w:t>. However, t</w:t>
      </w:r>
      <w:r w:rsidR="00D077A4" w:rsidRPr="00BB7FFD">
        <w:rPr>
          <w:rFonts w:ascii="Calibri" w:hAnsi="Calibri" w:cs="Arial"/>
          <w:lang w:val="en-US"/>
        </w:rPr>
        <w:t>here were no differences between the two groups with respect to the magnitude and pat</w:t>
      </w:r>
      <w:r w:rsidR="00FD1D60">
        <w:rPr>
          <w:rFonts w:ascii="Calibri" w:hAnsi="Calibri" w:cs="Arial"/>
          <w:lang w:val="en-US"/>
        </w:rPr>
        <w:t xml:space="preserve">tern of LVH, prevalence of resting </w:t>
      </w:r>
      <w:r w:rsidR="00B6140E">
        <w:rPr>
          <w:rFonts w:ascii="Calibri" w:hAnsi="Calibri" w:cs="Arial"/>
          <w:lang w:val="en-US"/>
        </w:rPr>
        <w:t>left ventricular</w:t>
      </w:r>
      <w:r w:rsidR="00FD1D60">
        <w:rPr>
          <w:rFonts w:ascii="Calibri" w:hAnsi="Calibri" w:cs="Arial"/>
          <w:lang w:val="en-US"/>
        </w:rPr>
        <w:t xml:space="preserve"> outflow tract</w:t>
      </w:r>
      <w:r w:rsidR="00EF0DA1" w:rsidRPr="00BB7FFD">
        <w:rPr>
          <w:rFonts w:ascii="Calibri" w:hAnsi="Calibri" w:cs="Arial"/>
          <w:lang w:val="en-US"/>
        </w:rPr>
        <w:t xml:space="preserve"> obstruction</w:t>
      </w:r>
      <w:r w:rsidR="00D077A4" w:rsidRPr="00BB7FFD">
        <w:rPr>
          <w:rFonts w:ascii="Calibri" w:hAnsi="Calibri" w:cs="Arial"/>
          <w:lang w:val="en-US"/>
        </w:rPr>
        <w:t xml:space="preserve">, </w:t>
      </w:r>
      <w:r w:rsidRPr="00BB7FFD">
        <w:rPr>
          <w:rFonts w:ascii="Calibri" w:hAnsi="Calibri" w:cs="Arial"/>
          <w:lang w:val="en-US"/>
        </w:rPr>
        <w:t>the proportion</w:t>
      </w:r>
      <w:r w:rsidR="00800AA8" w:rsidRPr="00BB7FFD">
        <w:rPr>
          <w:rFonts w:ascii="Calibri" w:hAnsi="Calibri" w:cs="Arial"/>
          <w:lang w:val="en-US"/>
        </w:rPr>
        <w:t xml:space="preserve"> with a disease causing genetic mutation</w:t>
      </w:r>
      <w:r w:rsidR="009B1E0C">
        <w:rPr>
          <w:rFonts w:ascii="Calibri" w:hAnsi="Calibri" w:cs="Arial"/>
          <w:lang w:val="en-US"/>
        </w:rPr>
        <w:t>,</w:t>
      </w:r>
      <w:r w:rsidR="00800AA8" w:rsidRPr="00BB7FFD">
        <w:rPr>
          <w:rFonts w:ascii="Calibri" w:hAnsi="Calibri" w:cs="Arial"/>
          <w:lang w:val="en-US"/>
        </w:rPr>
        <w:t xml:space="preserve"> </w:t>
      </w:r>
      <w:r w:rsidR="009B1E0C">
        <w:rPr>
          <w:rFonts w:ascii="Calibri" w:hAnsi="Calibri" w:cs="Arial"/>
          <w:lang w:val="en-US"/>
        </w:rPr>
        <w:t>or</w:t>
      </w:r>
      <w:r w:rsidR="00800AA8" w:rsidRPr="00BB7FFD">
        <w:rPr>
          <w:rFonts w:ascii="Calibri" w:hAnsi="Calibri" w:cs="Arial"/>
          <w:lang w:val="en-US"/>
        </w:rPr>
        <w:t xml:space="preserve"> </w:t>
      </w:r>
      <w:r w:rsidR="00D077A4" w:rsidRPr="00BB7FFD">
        <w:rPr>
          <w:rFonts w:ascii="Calibri" w:hAnsi="Calibri" w:cs="Arial"/>
          <w:lang w:val="en-US"/>
        </w:rPr>
        <w:t>conventional risk factors for SCD</w:t>
      </w:r>
      <w:r w:rsidR="00D73AAB">
        <w:rPr>
          <w:rFonts w:ascii="Calibri" w:hAnsi="Calibri" w:cs="Arial"/>
          <w:lang w:val="en-US"/>
        </w:rPr>
        <w:t xml:space="preserve">, </w:t>
      </w:r>
      <w:r w:rsidR="009B1E0C">
        <w:rPr>
          <w:rFonts w:ascii="Calibri" w:hAnsi="Calibri" w:cs="Arial"/>
          <w:lang w:val="en-US"/>
        </w:rPr>
        <w:t xml:space="preserve">with the </w:t>
      </w:r>
      <w:r w:rsidR="00D73AAB">
        <w:rPr>
          <w:rFonts w:ascii="Calibri" w:hAnsi="Calibri" w:cs="Arial"/>
          <w:lang w:val="en-US"/>
        </w:rPr>
        <w:t>except</w:t>
      </w:r>
      <w:r w:rsidR="009B1E0C">
        <w:rPr>
          <w:rFonts w:ascii="Calibri" w:hAnsi="Calibri" w:cs="Arial"/>
          <w:lang w:val="en-US"/>
        </w:rPr>
        <w:t>ion of</w:t>
      </w:r>
      <w:r w:rsidR="00D73AAB">
        <w:rPr>
          <w:rFonts w:ascii="Calibri" w:hAnsi="Calibri" w:cs="Arial"/>
          <w:lang w:val="en-US"/>
        </w:rPr>
        <w:t xml:space="preserve"> </w:t>
      </w:r>
      <w:r w:rsidRPr="00BB7FFD">
        <w:rPr>
          <w:rFonts w:ascii="Calibri" w:hAnsi="Calibri" w:cs="Arial"/>
          <w:lang w:val="en-US"/>
        </w:rPr>
        <w:t xml:space="preserve">a </w:t>
      </w:r>
      <w:r w:rsidR="002F7BD2" w:rsidRPr="00BB7FFD">
        <w:rPr>
          <w:rFonts w:ascii="Calibri" w:hAnsi="Calibri" w:cs="Arial"/>
          <w:lang w:val="en-US"/>
        </w:rPr>
        <w:t>family history of SCD which was commoner in the normotensive group</w:t>
      </w:r>
      <w:r w:rsidR="000B3BDE" w:rsidRPr="00BB7FFD">
        <w:rPr>
          <w:rFonts w:ascii="Calibri" w:hAnsi="Calibri" w:cs="Arial"/>
          <w:lang w:val="en-US"/>
        </w:rPr>
        <w:t xml:space="preserve"> (</w:t>
      </w:r>
      <w:r w:rsidR="005B5DFF" w:rsidRPr="00BB7FFD">
        <w:rPr>
          <w:rFonts w:ascii="Calibri" w:hAnsi="Calibri" w:cs="Arial"/>
          <w:lang w:val="en-US"/>
        </w:rPr>
        <w:t>22.7%</w:t>
      </w:r>
      <w:r w:rsidR="000B3BDE" w:rsidRPr="00BB7FFD">
        <w:rPr>
          <w:rFonts w:ascii="Calibri" w:hAnsi="Calibri" w:cs="Arial"/>
          <w:lang w:val="en-US"/>
        </w:rPr>
        <w:t xml:space="preserve"> </w:t>
      </w:r>
      <w:r w:rsidR="00BA5C0B">
        <w:rPr>
          <w:rFonts w:ascii="Calibri" w:hAnsi="Calibri" w:cs="Arial"/>
          <w:lang w:val="en-US"/>
        </w:rPr>
        <w:t>versus</w:t>
      </w:r>
      <w:r w:rsidR="005B5DFF" w:rsidRPr="00BB7FFD">
        <w:rPr>
          <w:rFonts w:ascii="Calibri" w:hAnsi="Calibri" w:cs="Arial"/>
          <w:lang w:val="en-US"/>
        </w:rPr>
        <w:t xml:space="preserve"> 13.5% p=0.017</w:t>
      </w:r>
      <w:r w:rsidR="002F7BD2" w:rsidRPr="00BB7FFD">
        <w:rPr>
          <w:rFonts w:ascii="Calibri" w:hAnsi="Calibri" w:cs="Arial"/>
          <w:lang w:val="en-US"/>
        </w:rPr>
        <w:t>)</w:t>
      </w:r>
      <w:r w:rsidR="00D077A4" w:rsidRPr="00BB7FFD">
        <w:rPr>
          <w:rFonts w:ascii="Calibri" w:hAnsi="Calibri" w:cs="Arial"/>
          <w:lang w:val="en-US"/>
        </w:rPr>
        <w:t>. Hypertensive patients demonstrated inferior indices of diastolic function (as assessed by E/E’) c</w:t>
      </w:r>
      <w:r w:rsidR="00D73AAB">
        <w:rPr>
          <w:rFonts w:ascii="Calibri" w:hAnsi="Calibri" w:cs="Arial"/>
          <w:lang w:val="en-US"/>
        </w:rPr>
        <w:t xml:space="preserve">ompared to normotensive patients (Table </w:t>
      </w:r>
      <w:r w:rsidR="00344530">
        <w:rPr>
          <w:rFonts w:ascii="Calibri" w:hAnsi="Calibri" w:cs="Arial"/>
          <w:lang w:val="en-US"/>
        </w:rPr>
        <w:t>5</w:t>
      </w:r>
      <w:r w:rsidR="00D73AAB">
        <w:rPr>
          <w:rFonts w:ascii="Calibri" w:hAnsi="Calibri" w:cs="Arial"/>
          <w:lang w:val="en-US"/>
        </w:rPr>
        <w:t>)</w:t>
      </w:r>
      <w:r w:rsidR="000B68AF" w:rsidRPr="00BB7FFD">
        <w:rPr>
          <w:rFonts w:ascii="Calibri" w:hAnsi="Calibri" w:cs="Arial"/>
          <w:lang w:val="en-US"/>
        </w:rPr>
        <w:t>.</w:t>
      </w:r>
    </w:p>
    <w:p w:rsidR="00BF5DAD" w:rsidRDefault="00BF5DAD" w:rsidP="006C647A">
      <w:pPr>
        <w:spacing w:line="480" w:lineRule="auto"/>
        <w:rPr>
          <w:rFonts w:ascii="Calibri" w:hAnsi="Calibri" w:cs="Arial"/>
          <w:lang w:val="en-US"/>
        </w:rPr>
      </w:pPr>
    </w:p>
    <w:p w:rsidR="00BF5DAD" w:rsidRDefault="00BF5DAD" w:rsidP="006C647A">
      <w:pPr>
        <w:spacing w:line="480" w:lineRule="auto"/>
        <w:rPr>
          <w:rFonts w:ascii="Calibri" w:hAnsi="Calibri" w:cs="Arial"/>
          <w:lang w:val="en-US"/>
        </w:rPr>
      </w:pPr>
    </w:p>
    <w:p w:rsidR="00BF5DAD" w:rsidRPr="001D4C5F" w:rsidRDefault="00BF5DAD" w:rsidP="00BF5DAD">
      <w:pPr>
        <w:spacing w:line="480" w:lineRule="auto"/>
        <w:rPr>
          <w:rFonts w:ascii="Calibri" w:hAnsi="Calibri"/>
          <w:b/>
          <w:lang w:val="en-US" w:eastAsia="en-GB"/>
        </w:rPr>
      </w:pPr>
      <w:r>
        <w:rPr>
          <w:rFonts w:ascii="Calibri" w:eastAsia="Times New Roman" w:hAnsi="Calibri" w:cs="Arial"/>
          <w:b/>
          <w:lang w:val="en-US" w:eastAsia="en-GB"/>
        </w:rPr>
        <w:t>TABLE</w:t>
      </w:r>
      <w:r w:rsidRPr="001D4C5F">
        <w:rPr>
          <w:rFonts w:ascii="Calibri" w:hAnsi="Calibri"/>
          <w:b/>
          <w:lang w:val="en-US" w:eastAsia="en-GB"/>
        </w:rPr>
        <w:t xml:space="preserve"> </w:t>
      </w:r>
      <w:r>
        <w:rPr>
          <w:rFonts w:ascii="Calibri" w:hAnsi="Calibri"/>
          <w:b/>
          <w:lang w:val="en-US" w:eastAsia="en-GB"/>
        </w:rPr>
        <w:t>5</w:t>
      </w:r>
      <w:r w:rsidRPr="001D4C5F">
        <w:rPr>
          <w:rFonts w:ascii="Calibri" w:hAnsi="Calibri"/>
          <w:b/>
          <w:lang w:val="en-US" w:eastAsia="en-GB"/>
        </w:rPr>
        <w:t>. Differenc</w:t>
      </w:r>
      <w:r>
        <w:rPr>
          <w:rFonts w:ascii="Calibri" w:hAnsi="Calibri"/>
          <w:b/>
          <w:lang w:val="en-US" w:eastAsia="en-GB"/>
        </w:rPr>
        <w:t xml:space="preserve">es in </w:t>
      </w:r>
      <w:r w:rsidRPr="001D4C5F">
        <w:rPr>
          <w:rFonts w:ascii="Calibri" w:hAnsi="Calibri"/>
          <w:b/>
          <w:lang w:val="en-US" w:eastAsia="en-GB"/>
        </w:rPr>
        <w:t>characteristics of HCM patients</w:t>
      </w:r>
      <w:r>
        <w:rPr>
          <w:rFonts w:ascii="Calibri" w:hAnsi="Calibri"/>
          <w:b/>
          <w:lang w:val="en-US" w:eastAsia="en-GB"/>
        </w:rPr>
        <w:t xml:space="preserve"> with and without hypertension.</w:t>
      </w:r>
    </w:p>
    <w:tbl>
      <w:tblPr>
        <w:tblW w:w="8798" w:type="dxa"/>
        <w:jc w:val="center"/>
        <w:tblLayout w:type="fixed"/>
        <w:tblLook w:val="04A0" w:firstRow="1" w:lastRow="0" w:firstColumn="1" w:lastColumn="0" w:noHBand="0" w:noVBand="1"/>
      </w:tblPr>
      <w:tblGrid>
        <w:gridCol w:w="4421"/>
        <w:gridCol w:w="1559"/>
        <w:gridCol w:w="1633"/>
        <w:gridCol w:w="1185"/>
      </w:tblGrid>
      <w:tr w:rsidR="00BF5DAD" w:rsidRPr="001D4C5F" w:rsidTr="006A46E4">
        <w:trPr>
          <w:jc w:val="center"/>
        </w:trPr>
        <w:tc>
          <w:tcPr>
            <w:tcW w:w="4421" w:type="dxa"/>
            <w:tcBorders>
              <w:top w:val="single" w:sz="4" w:space="0" w:color="auto"/>
              <w:bottom w:val="single" w:sz="4" w:space="0" w:color="auto"/>
            </w:tcBorders>
          </w:tcPr>
          <w:p w:rsidR="00BF5DAD" w:rsidRPr="001D4C5F" w:rsidRDefault="00BF5DAD" w:rsidP="006A46E4">
            <w:pPr>
              <w:tabs>
                <w:tab w:val="center" w:pos="4320"/>
                <w:tab w:val="right" w:pos="8640"/>
              </w:tabs>
              <w:spacing w:line="360" w:lineRule="auto"/>
              <w:rPr>
                <w:rFonts w:ascii="Calibri" w:hAnsi="Calibri"/>
                <w:b/>
                <w:lang w:val="en-US"/>
              </w:rPr>
            </w:pPr>
            <w:r w:rsidRPr="001D4C5F">
              <w:rPr>
                <w:rFonts w:ascii="Calibri" w:hAnsi="Calibri"/>
                <w:b/>
                <w:lang w:val="en-US"/>
              </w:rPr>
              <w:br w:type="page"/>
            </w:r>
          </w:p>
        </w:tc>
        <w:tc>
          <w:tcPr>
            <w:tcW w:w="1559" w:type="dxa"/>
            <w:tcBorders>
              <w:top w:val="single" w:sz="4" w:space="0" w:color="auto"/>
              <w:bottom w:val="single" w:sz="4" w:space="0" w:color="auto"/>
            </w:tcBorders>
            <w:shd w:val="clear" w:color="auto" w:fill="auto"/>
          </w:tcPr>
          <w:p w:rsidR="00BF5DAD" w:rsidRPr="001D4C5F" w:rsidRDefault="00BF5DAD" w:rsidP="006A46E4">
            <w:pPr>
              <w:spacing w:line="360" w:lineRule="auto"/>
              <w:jc w:val="center"/>
              <w:rPr>
                <w:rFonts w:ascii="Calibri" w:hAnsi="Calibri" w:cs="Arial"/>
                <w:b/>
                <w:lang w:val="en-US"/>
              </w:rPr>
            </w:pPr>
            <w:r w:rsidRPr="001D4C5F">
              <w:rPr>
                <w:rFonts w:ascii="Calibri" w:hAnsi="Calibri" w:cs="Arial"/>
                <w:b/>
                <w:lang w:val="en-US"/>
              </w:rPr>
              <w:t>HCM with hypertension</w:t>
            </w:r>
          </w:p>
          <w:p w:rsidR="00BF5DAD" w:rsidRPr="001D4C5F" w:rsidRDefault="00BF5DAD" w:rsidP="006A46E4">
            <w:pPr>
              <w:tabs>
                <w:tab w:val="center" w:pos="4320"/>
                <w:tab w:val="right" w:pos="8640"/>
              </w:tabs>
              <w:spacing w:line="360" w:lineRule="auto"/>
              <w:jc w:val="center"/>
              <w:rPr>
                <w:rFonts w:ascii="Calibri" w:hAnsi="Calibri"/>
                <w:b/>
                <w:lang w:val="en-US"/>
              </w:rPr>
            </w:pPr>
            <w:r w:rsidRPr="001D4C5F">
              <w:rPr>
                <w:rFonts w:ascii="Calibri" w:hAnsi="Calibri" w:cs="Arial"/>
                <w:b/>
                <w:lang w:val="en-US"/>
              </w:rPr>
              <w:t>n=178</w:t>
            </w:r>
          </w:p>
        </w:tc>
        <w:tc>
          <w:tcPr>
            <w:tcW w:w="1633" w:type="dxa"/>
            <w:tcBorders>
              <w:top w:val="single" w:sz="4" w:space="0" w:color="auto"/>
              <w:bottom w:val="single" w:sz="4" w:space="0" w:color="auto"/>
            </w:tcBorders>
          </w:tcPr>
          <w:p w:rsidR="00BF5DAD" w:rsidRPr="001D4C5F" w:rsidRDefault="00BF5DAD" w:rsidP="006A46E4">
            <w:pPr>
              <w:spacing w:line="360" w:lineRule="auto"/>
              <w:jc w:val="center"/>
              <w:rPr>
                <w:rFonts w:ascii="Calibri" w:hAnsi="Calibri" w:cs="Arial"/>
                <w:b/>
                <w:lang w:val="en-US"/>
              </w:rPr>
            </w:pPr>
            <w:r w:rsidRPr="001D4C5F">
              <w:rPr>
                <w:rFonts w:ascii="Calibri" w:hAnsi="Calibri" w:cs="Arial"/>
                <w:b/>
                <w:lang w:val="en-US"/>
              </w:rPr>
              <w:t>HCM without hypertension</w:t>
            </w:r>
          </w:p>
          <w:p w:rsidR="00BF5DAD" w:rsidRPr="001D4C5F" w:rsidRDefault="00BF5DAD" w:rsidP="006A46E4">
            <w:pPr>
              <w:tabs>
                <w:tab w:val="center" w:pos="4320"/>
                <w:tab w:val="right" w:pos="8640"/>
              </w:tabs>
              <w:spacing w:line="360" w:lineRule="auto"/>
              <w:jc w:val="center"/>
              <w:rPr>
                <w:rFonts w:ascii="Calibri" w:hAnsi="Calibri"/>
                <w:b/>
                <w:lang w:val="en-US"/>
              </w:rPr>
            </w:pPr>
            <w:r w:rsidRPr="001D4C5F">
              <w:rPr>
                <w:rFonts w:ascii="Calibri" w:hAnsi="Calibri" w:cs="Arial"/>
                <w:b/>
                <w:lang w:val="en-US"/>
              </w:rPr>
              <w:t>n=247</w:t>
            </w:r>
          </w:p>
        </w:tc>
        <w:tc>
          <w:tcPr>
            <w:tcW w:w="1185" w:type="dxa"/>
            <w:tcBorders>
              <w:top w:val="single" w:sz="4" w:space="0" w:color="auto"/>
              <w:bottom w:val="single" w:sz="4" w:space="0" w:color="auto"/>
            </w:tcBorders>
          </w:tcPr>
          <w:p w:rsidR="00BF5DAD" w:rsidRPr="001D4C5F" w:rsidRDefault="00BF5DAD" w:rsidP="006A46E4">
            <w:pPr>
              <w:spacing w:line="360" w:lineRule="auto"/>
              <w:rPr>
                <w:rFonts w:ascii="Calibri" w:hAnsi="Calibri" w:cs="Arial"/>
                <w:b/>
                <w:lang w:val="en-US"/>
              </w:rPr>
            </w:pPr>
          </w:p>
          <w:p w:rsidR="00BF5DAD" w:rsidRPr="001D4C5F" w:rsidRDefault="00BF5DAD" w:rsidP="006A46E4">
            <w:pPr>
              <w:spacing w:line="360" w:lineRule="auto"/>
              <w:rPr>
                <w:rFonts w:ascii="Calibri" w:hAnsi="Calibri" w:cs="Arial"/>
                <w:b/>
                <w:lang w:val="en-US"/>
              </w:rPr>
            </w:pPr>
            <w:r w:rsidRPr="001D4C5F">
              <w:rPr>
                <w:rFonts w:ascii="Calibri" w:hAnsi="Calibri" w:cs="Arial"/>
                <w:b/>
                <w:lang w:val="en-US"/>
              </w:rPr>
              <w:t>p-value</w:t>
            </w:r>
          </w:p>
        </w:tc>
      </w:tr>
      <w:tr w:rsidR="00BF5DAD" w:rsidRPr="001D4C5F" w:rsidTr="006A46E4">
        <w:trPr>
          <w:jc w:val="center"/>
        </w:trPr>
        <w:tc>
          <w:tcPr>
            <w:tcW w:w="4421" w:type="dxa"/>
            <w:tcBorders>
              <w:top w:val="single" w:sz="4" w:space="0" w:color="auto"/>
            </w:tcBorders>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Age at diagnosis (years)</w:t>
            </w:r>
          </w:p>
        </w:tc>
        <w:tc>
          <w:tcPr>
            <w:tcW w:w="1559" w:type="dxa"/>
            <w:tcBorders>
              <w:top w:val="single" w:sz="4" w:space="0" w:color="auto"/>
            </w:tcBorders>
            <w:shd w:val="clear" w:color="auto" w:fill="auto"/>
          </w:tcPr>
          <w:p w:rsidR="00BF5DAD" w:rsidRPr="001D4C5F" w:rsidRDefault="00BF5DAD" w:rsidP="006A46E4">
            <w:pPr>
              <w:spacing w:line="360" w:lineRule="auto"/>
              <w:rPr>
                <w:rFonts w:ascii="Calibri" w:hAnsi="Calibri" w:cs="Arial"/>
                <w:lang w:val="en-US"/>
              </w:rPr>
            </w:pPr>
            <w:r w:rsidRPr="001D4C5F">
              <w:rPr>
                <w:rFonts w:ascii="Calibri" w:hAnsi="Calibri" w:cs="Arial"/>
                <w:lang w:val="en-US"/>
              </w:rPr>
              <w:t>59.5±13.3</w:t>
            </w:r>
          </w:p>
        </w:tc>
        <w:tc>
          <w:tcPr>
            <w:tcW w:w="1633" w:type="dxa"/>
            <w:tcBorders>
              <w:top w:val="single" w:sz="4" w:space="0" w:color="auto"/>
            </w:tcBorders>
            <w:shd w:val="clear" w:color="auto" w:fill="auto"/>
          </w:tcPr>
          <w:p w:rsidR="00BF5DAD" w:rsidRPr="001D4C5F" w:rsidRDefault="00BF5DAD" w:rsidP="006A46E4">
            <w:pPr>
              <w:spacing w:line="360" w:lineRule="auto"/>
              <w:rPr>
                <w:rFonts w:ascii="Calibri" w:hAnsi="Calibri" w:cs="Arial"/>
                <w:lang w:val="en-US"/>
              </w:rPr>
            </w:pPr>
            <w:r w:rsidRPr="001D4C5F">
              <w:rPr>
                <w:rFonts w:ascii="Calibri" w:hAnsi="Calibri" w:cs="Arial"/>
                <w:lang w:val="en-US"/>
              </w:rPr>
              <w:t>44.7±16.7</w:t>
            </w:r>
          </w:p>
        </w:tc>
        <w:tc>
          <w:tcPr>
            <w:tcW w:w="1185" w:type="dxa"/>
            <w:tcBorders>
              <w:top w:val="single" w:sz="4" w:space="0" w:color="auto"/>
            </w:tcBorders>
            <w:shd w:val="clear" w:color="auto" w:fill="auto"/>
          </w:tcPr>
          <w:p w:rsidR="00BF5DAD" w:rsidRPr="00981F06" w:rsidRDefault="00BF5DAD" w:rsidP="006A46E4">
            <w:pPr>
              <w:spacing w:line="360" w:lineRule="auto"/>
              <w:rPr>
                <w:rFonts w:ascii="Calibri" w:hAnsi="Calibri" w:cs="Arial"/>
                <w:lang w:val="en-US"/>
              </w:rPr>
            </w:pPr>
            <w:r w:rsidRPr="00981F06">
              <w:rPr>
                <w:rFonts w:ascii="Calibri" w:hAnsi="Calibri" w:cs="Arial"/>
                <w:lang w:val="en-US"/>
              </w:rPr>
              <w:t>&lt;0.001</w:t>
            </w:r>
          </w:p>
        </w:tc>
      </w:tr>
      <w:tr w:rsidR="00BF5DAD" w:rsidRPr="001D4C5F" w:rsidTr="006A46E4">
        <w:trPr>
          <w:jc w:val="center"/>
        </w:trPr>
        <w:tc>
          <w:tcPr>
            <w:tcW w:w="4421"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Black ethnicity – no. (%)</w:t>
            </w:r>
          </w:p>
        </w:tc>
        <w:tc>
          <w:tcPr>
            <w:tcW w:w="1559" w:type="dxa"/>
            <w:shd w:val="clear" w:color="auto" w:fill="auto"/>
          </w:tcPr>
          <w:p w:rsidR="00BF5DAD" w:rsidRPr="001D4C5F" w:rsidRDefault="00BF5DAD" w:rsidP="006A46E4">
            <w:pPr>
              <w:spacing w:line="360" w:lineRule="auto"/>
              <w:rPr>
                <w:rFonts w:ascii="Calibri" w:hAnsi="Calibri" w:cs="Arial"/>
                <w:lang w:val="en-US"/>
              </w:rPr>
            </w:pPr>
            <w:r w:rsidRPr="001D4C5F">
              <w:rPr>
                <w:rFonts w:ascii="Calibri" w:hAnsi="Calibri" w:cs="Arial"/>
                <w:lang w:val="en-US"/>
              </w:rPr>
              <w:t>95 (53.4)</w:t>
            </w:r>
          </w:p>
        </w:tc>
        <w:tc>
          <w:tcPr>
            <w:tcW w:w="1633" w:type="dxa"/>
            <w:shd w:val="clear" w:color="auto" w:fill="auto"/>
          </w:tcPr>
          <w:p w:rsidR="00BF5DAD" w:rsidRPr="001D4C5F" w:rsidRDefault="00BF5DAD" w:rsidP="006A46E4">
            <w:pPr>
              <w:spacing w:line="360" w:lineRule="auto"/>
              <w:rPr>
                <w:rFonts w:ascii="Calibri" w:hAnsi="Calibri" w:cs="Arial"/>
                <w:lang w:val="en-US"/>
              </w:rPr>
            </w:pPr>
            <w:r w:rsidRPr="001D4C5F">
              <w:rPr>
                <w:rFonts w:ascii="Calibri" w:hAnsi="Calibri" w:cs="Arial"/>
                <w:lang w:val="en-US"/>
              </w:rPr>
              <w:t>68 (27.5)</w:t>
            </w:r>
          </w:p>
        </w:tc>
        <w:tc>
          <w:tcPr>
            <w:tcW w:w="1185" w:type="dxa"/>
            <w:shd w:val="clear" w:color="auto" w:fill="auto"/>
          </w:tcPr>
          <w:p w:rsidR="00BF5DAD" w:rsidRPr="00981F06" w:rsidRDefault="00BF5DAD" w:rsidP="006A46E4">
            <w:pPr>
              <w:spacing w:line="360" w:lineRule="auto"/>
              <w:rPr>
                <w:rFonts w:ascii="Calibri" w:hAnsi="Calibri" w:cs="Arial"/>
                <w:lang w:val="en-US"/>
              </w:rPr>
            </w:pPr>
            <w:r w:rsidRPr="00981F06">
              <w:rPr>
                <w:rFonts w:ascii="Calibri" w:hAnsi="Calibri" w:cs="Arial"/>
                <w:lang w:val="en-US"/>
              </w:rPr>
              <w:t>&lt;0.001</w:t>
            </w: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Male gender – no. (%)</w:t>
            </w:r>
          </w:p>
        </w:tc>
        <w:tc>
          <w:tcPr>
            <w:tcW w:w="1559" w:type="dxa"/>
            <w:shd w:val="clear" w:color="auto" w:fill="auto"/>
          </w:tcPr>
          <w:p w:rsidR="00BF5DAD" w:rsidRPr="001D4C5F" w:rsidRDefault="00BF5DAD" w:rsidP="006A46E4">
            <w:pPr>
              <w:spacing w:line="360" w:lineRule="auto"/>
              <w:rPr>
                <w:rFonts w:ascii="Calibri" w:hAnsi="Calibri" w:cs="Arial"/>
                <w:lang w:val="en-US"/>
              </w:rPr>
            </w:pPr>
            <w:r w:rsidRPr="001D4C5F">
              <w:rPr>
                <w:rFonts w:ascii="Calibri" w:hAnsi="Calibri" w:cs="Arial"/>
                <w:lang w:val="en-US"/>
              </w:rPr>
              <w:t>100 (56.2)</w:t>
            </w:r>
          </w:p>
        </w:tc>
        <w:tc>
          <w:tcPr>
            <w:tcW w:w="1633" w:type="dxa"/>
          </w:tcPr>
          <w:p w:rsidR="00BF5DAD" w:rsidRPr="001D4C5F" w:rsidRDefault="00BF5DAD" w:rsidP="006A46E4">
            <w:pPr>
              <w:spacing w:line="360" w:lineRule="auto"/>
              <w:rPr>
                <w:rFonts w:ascii="Calibri" w:hAnsi="Calibri" w:cs="Arial"/>
                <w:lang w:val="en-US"/>
              </w:rPr>
            </w:pPr>
            <w:r w:rsidRPr="001D4C5F">
              <w:rPr>
                <w:rFonts w:ascii="Calibri" w:hAnsi="Calibri" w:cs="Arial"/>
                <w:lang w:val="en-US"/>
              </w:rPr>
              <w:t>182 (73.7)</w:t>
            </w:r>
          </w:p>
        </w:tc>
        <w:tc>
          <w:tcPr>
            <w:tcW w:w="1185" w:type="dxa"/>
          </w:tcPr>
          <w:p w:rsidR="00BF5DAD" w:rsidRPr="00981F06" w:rsidRDefault="00BF5DAD" w:rsidP="006A46E4">
            <w:pPr>
              <w:spacing w:line="360" w:lineRule="auto"/>
              <w:rPr>
                <w:rFonts w:ascii="Calibri" w:hAnsi="Calibri" w:cs="Arial"/>
                <w:lang w:val="en-US"/>
              </w:rPr>
            </w:pPr>
            <w:r w:rsidRPr="00981F06">
              <w:rPr>
                <w:rFonts w:ascii="Calibri" w:hAnsi="Calibri" w:cs="Arial"/>
                <w:lang w:val="en-US"/>
              </w:rPr>
              <w:t>&lt;0.001</w:t>
            </w: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Family History of HCM – no. (%)</w:t>
            </w:r>
          </w:p>
        </w:tc>
        <w:tc>
          <w:tcPr>
            <w:tcW w:w="1559"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24 (13.5)</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83 (33.6)</w:t>
            </w:r>
          </w:p>
        </w:tc>
        <w:tc>
          <w:tcPr>
            <w:tcW w:w="1185" w:type="dxa"/>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&lt;0.001</w:t>
            </w:r>
          </w:p>
        </w:tc>
      </w:tr>
      <w:tr w:rsidR="00BF5DAD" w:rsidRPr="001D4C5F" w:rsidTr="006A46E4">
        <w:trPr>
          <w:jc w:val="center"/>
        </w:trPr>
        <w:tc>
          <w:tcPr>
            <w:tcW w:w="4421"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Implantable cardioverter-defibrillator – no. (%)</w:t>
            </w:r>
          </w:p>
        </w:tc>
        <w:tc>
          <w:tcPr>
            <w:tcW w:w="1559"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15 (8.4)</w:t>
            </w:r>
          </w:p>
        </w:tc>
        <w:tc>
          <w:tcPr>
            <w:tcW w:w="1633"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31 (12.6)</w:t>
            </w:r>
          </w:p>
        </w:tc>
        <w:tc>
          <w:tcPr>
            <w:tcW w:w="1185" w:type="dxa"/>
            <w:shd w:val="clear" w:color="auto" w:fill="auto"/>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0.177</w:t>
            </w:r>
          </w:p>
        </w:tc>
      </w:tr>
      <w:tr w:rsidR="00BF5DAD" w:rsidRPr="001D4C5F" w:rsidTr="006A46E4">
        <w:trPr>
          <w:jc w:val="center"/>
        </w:trPr>
        <w:tc>
          <w:tcPr>
            <w:tcW w:w="4421"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Abnormal ECG – no. (%)</w:t>
            </w:r>
          </w:p>
        </w:tc>
        <w:tc>
          <w:tcPr>
            <w:tcW w:w="1559"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169 (94.9)</w:t>
            </w:r>
          </w:p>
        </w:tc>
        <w:tc>
          <w:tcPr>
            <w:tcW w:w="1633"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228 (92.3)</w:t>
            </w:r>
          </w:p>
        </w:tc>
        <w:tc>
          <w:tcPr>
            <w:tcW w:w="1185" w:type="dxa"/>
            <w:shd w:val="clear" w:color="auto" w:fill="auto"/>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0.280</w:t>
            </w: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Left atrial dimension (mm)</w:t>
            </w:r>
          </w:p>
        </w:tc>
        <w:tc>
          <w:tcPr>
            <w:tcW w:w="1559" w:type="dxa"/>
            <w:shd w:val="clear" w:color="auto" w:fill="auto"/>
          </w:tcPr>
          <w:p w:rsidR="00BF5DAD" w:rsidRPr="001D4C5F" w:rsidRDefault="00BF5DAD" w:rsidP="006A46E4">
            <w:pPr>
              <w:spacing w:line="360" w:lineRule="auto"/>
              <w:rPr>
                <w:rFonts w:ascii="Calibri" w:hAnsi="Calibri"/>
                <w:lang w:val="en-US"/>
              </w:rPr>
            </w:pPr>
            <w:r w:rsidRPr="001D4C5F">
              <w:rPr>
                <w:rFonts w:ascii="Calibri" w:hAnsi="Calibri"/>
                <w:lang w:val="en-US"/>
              </w:rPr>
              <w:t>42.5±7.3</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40.6±7.2</w:t>
            </w:r>
          </w:p>
        </w:tc>
        <w:tc>
          <w:tcPr>
            <w:tcW w:w="1185" w:type="dxa"/>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0.010</w:t>
            </w: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LV end diastolic dimension (mm)</w:t>
            </w:r>
          </w:p>
        </w:tc>
        <w:tc>
          <w:tcPr>
            <w:tcW w:w="1559" w:type="dxa"/>
            <w:shd w:val="clear" w:color="auto" w:fill="auto"/>
          </w:tcPr>
          <w:p w:rsidR="00BF5DAD" w:rsidRPr="001D4C5F" w:rsidRDefault="00BF5DAD" w:rsidP="006A46E4">
            <w:pPr>
              <w:spacing w:line="360" w:lineRule="auto"/>
              <w:rPr>
                <w:rFonts w:ascii="Calibri" w:hAnsi="Calibri"/>
                <w:lang w:val="en-US"/>
              </w:rPr>
            </w:pPr>
            <w:r w:rsidRPr="001D4C5F">
              <w:rPr>
                <w:rFonts w:ascii="Calibri" w:hAnsi="Calibri"/>
                <w:lang w:val="en-US"/>
              </w:rPr>
              <w:t>45.8±7.0</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44.9±7.0</w:t>
            </w:r>
          </w:p>
        </w:tc>
        <w:tc>
          <w:tcPr>
            <w:tcW w:w="1185" w:type="dxa"/>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0.217</w:t>
            </w: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Maximum left ventricular wall thickness (mm)</w:t>
            </w:r>
          </w:p>
        </w:tc>
        <w:tc>
          <w:tcPr>
            <w:tcW w:w="1559" w:type="dxa"/>
            <w:shd w:val="clear" w:color="auto" w:fill="auto"/>
          </w:tcPr>
          <w:p w:rsidR="00BF5DAD" w:rsidRPr="001D4C5F" w:rsidRDefault="00BF5DAD" w:rsidP="006A46E4">
            <w:pPr>
              <w:spacing w:line="360" w:lineRule="auto"/>
              <w:rPr>
                <w:rFonts w:ascii="Calibri" w:hAnsi="Calibri"/>
                <w:lang w:val="en-US"/>
              </w:rPr>
            </w:pPr>
            <w:r w:rsidRPr="001D4C5F">
              <w:rPr>
                <w:rFonts w:ascii="Calibri" w:hAnsi="Calibri"/>
                <w:lang w:val="en-US"/>
              </w:rPr>
              <w:t>19.3±4.3</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18.5±5.6</w:t>
            </w:r>
          </w:p>
        </w:tc>
        <w:tc>
          <w:tcPr>
            <w:tcW w:w="1185" w:type="dxa"/>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0.089</w:t>
            </w: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Simpson’s Ejection fraction (%)</w:t>
            </w:r>
          </w:p>
        </w:tc>
        <w:tc>
          <w:tcPr>
            <w:tcW w:w="1559" w:type="dxa"/>
            <w:shd w:val="clear" w:color="auto" w:fill="auto"/>
          </w:tcPr>
          <w:p w:rsidR="00BF5DAD" w:rsidRPr="001D4C5F" w:rsidRDefault="00BF5DAD" w:rsidP="006A46E4">
            <w:pPr>
              <w:spacing w:line="360" w:lineRule="auto"/>
              <w:rPr>
                <w:rFonts w:ascii="Calibri" w:hAnsi="Calibri"/>
                <w:lang w:val="en-US"/>
              </w:rPr>
            </w:pPr>
            <w:r w:rsidRPr="001D4C5F">
              <w:rPr>
                <w:rFonts w:ascii="Calibri" w:hAnsi="Calibri"/>
                <w:lang w:val="en-US"/>
              </w:rPr>
              <w:t>66.0±10.0</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62.6±10.5</w:t>
            </w:r>
          </w:p>
        </w:tc>
        <w:tc>
          <w:tcPr>
            <w:tcW w:w="1185" w:type="dxa"/>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0.118</w:t>
            </w: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E/A ratio</w:t>
            </w:r>
          </w:p>
        </w:tc>
        <w:tc>
          <w:tcPr>
            <w:tcW w:w="1559" w:type="dxa"/>
            <w:shd w:val="clear" w:color="auto" w:fill="auto"/>
          </w:tcPr>
          <w:p w:rsidR="00BF5DAD" w:rsidRPr="001D4C5F" w:rsidRDefault="00BF5DAD" w:rsidP="006A46E4">
            <w:pPr>
              <w:spacing w:line="360" w:lineRule="auto"/>
              <w:rPr>
                <w:rFonts w:ascii="Calibri" w:hAnsi="Calibri"/>
                <w:lang w:val="en-US"/>
              </w:rPr>
            </w:pPr>
            <w:r w:rsidRPr="001D4C5F">
              <w:rPr>
                <w:rFonts w:ascii="Calibri" w:hAnsi="Calibri"/>
                <w:lang w:val="en-US"/>
              </w:rPr>
              <w:t>1.10±0.58</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1.28±0.58</w:t>
            </w:r>
          </w:p>
        </w:tc>
        <w:tc>
          <w:tcPr>
            <w:tcW w:w="1185" w:type="dxa"/>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0.002</w:t>
            </w: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Average E/E'</w:t>
            </w:r>
          </w:p>
        </w:tc>
        <w:tc>
          <w:tcPr>
            <w:tcW w:w="1559" w:type="dxa"/>
            <w:shd w:val="clear" w:color="auto" w:fill="auto"/>
          </w:tcPr>
          <w:p w:rsidR="00BF5DAD" w:rsidRPr="001D4C5F" w:rsidRDefault="00BF5DAD" w:rsidP="006A46E4">
            <w:pPr>
              <w:spacing w:line="360" w:lineRule="auto"/>
              <w:rPr>
                <w:rFonts w:ascii="Calibri" w:hAnsi="Calibri"/>
                <w:lang w:val="en-US"/>
              </w:rPr>
            </w:pPr>
            <w:r w:rsidRPr="001D4C5F">
              <w:rPr>
                <w:rFonts w:ascii="Calibri" w:hAnsi="Calibri"/>
                <w:lang w:val="en-US"/>
              </w:rPr>
              <w:t>13.81±5.49</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11.75±6.03</w:t>
            </w:r>
          </w:p>
        </w:tc>
        <w:tc>
          <w:tcPr>
            <w:tcW w:w="1185" w:type="dxa"/>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0.001</w:t>
            </w: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Complete SAM at rest – no. (%)</w:t>
            </w:r>
          </w:p>
        </w:tc>
        <w:tc>
          <w:tcPr>
            <w:tcW w:w="1559"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39 (21.9)</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60 (24.6)</w:t>
            </w:r>
          </w:p>
        </w:tc>
        <w:tc>
          <w:tcPr>
            <w:tcW w:w="1185" w:type="dxa"/>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0.521</w:t>
            </w: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Resting gradient ≥30mmHg – no. (%)</w:t>
            </w:r>
          </w:p>
        </w:tc>
        <w:tc>
          <w:tcPr>
            <w:tcW w:w="1559"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29 (16.6)</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38 (15.7)</w:t>
            </w:r>
          </w:p>
        </w:tc>
        <w:tc>
          <w:tcPr>
            <w:tcW w:w="1185" w:type="dxa"/>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0.812</w:t>
            </w:r>
          </w:p>
        </w:tc>
      </w:tr>
      <w:tr w:rsidR="00BF5DAD" w:rsidRPr="001D4C5F" w:rsidTr="006A46E4">
        <w:trPr>
          <w:jc w:val="center"/>
        </w:trPr>
        <w:tc>
          <w:tcPr>
            <w:tcW w:w="8798" w:type="dxa"/>
            <w:gridSpan w:val="4"/>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Left ventricular hypertrophy pattern – no. (%)</w:t>
            </w:r>
          </w:p>
        </w:tc>
      </w:tr>
      <w:tr w:rsidR="00BF5DAD" w:rsidRPr="001D4C5F" w:rsidTr="006A46E4">
        <w:trPr>
          <w:jc w:val="center"/>
        </w:trPr>
        <w:tc>
          <w:tcPr>
            <w:tcW w:w="4421" w:type="dxa"/>
          </w:tcPr>
          <w:p w:rsidR="00BF5DAD" w:rsidRPr="001D4C5F" w:rsidRDefault="00BF5DAD" w:rsidP="006A46E4">
            <w:pPr>
              <w:tabs>
                <w:tab w:val="left" w:pos="1985"/>
                <w:tab w:val="center" w:pos="4320"/>
                <w:tab w:val="right" w:pos="8640"/>
              </w:tabs>
              <w:spacing w:line="360" w:lineRule="auto"/>
              <w:ind w:left="426" w:hanging="426"/>
              <w:rPr>
                <w:rFonts w:ascii="Calibri" w:hAnsi="Calibri"/>
                <w:lang w:val="en-US"/>
              </w:rPr>
            </w:pPr>
            <w:r w:rsidRPr="001D4C5F">
              <w:rPr>
                <w:rFonts w:ascii="Calibri" w:hAnsi="Calibri"/>
                <w:lang w:val="en-US"/>
              </w:rPr>
              <w:tab/>
              <w:t>Pure Septal</w:t>
            </w:r>
          </w:p>
        </w:tc>
        <w:tc>
          <w:tcPr>
            <w:tcW w:w="1559"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75 (42.1)</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119 (48.4)</w:t>
            </w:r>
          </w:p>
        </w:tc>
        <w:tc>
          <w:tcPr>
            <w:tcW w:w="1185" w:type="dxa"/>
            <w:vMerge w:val="restart"/>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0.226</w:t>
            </w:r>
          </w:p>
        </w:tc>
      </w:tr>
      <w:tr w:rsidR="00BF5DAD" w:rsidRPr="001D4C5F" w:rsidTr="006A46E4">
        <w:trPr>
          <w:jc w:val="center"/>
        </w:trPr>
        <w:tc>
          <w:tcPr>
            <w:tcW w:w="4421" w:type="dxa"/>
          </w:tcPr>
          <w:p w:rsidR="00BF5DAD" w:rsidRPr="001D4C5F" w:rsidRDefault="00BF5DAD" w:rsidP="006A46E4">
            <w:pPr>
              <w:tabs>
                <w:tab w:val="left" w:pos="1985"/>
                <w:tab w:val="center" w:pos="4320"/>
                <w:tab w:val="right" w:pos="8640"/>
              </w:tabs>
              <w:spacing w:line="360" w:lineRule="auto"/>
              <w:ind w:left="426" w:hanging="426"/>
              <w:rPr>
                <w:rFonts w:ascii="Calibri" w:hAnsi="Calibri"/>
                <w:lang w:val="en-US"/>
              </w:rPr>
            </w:pPr>
            <w:r w:rsidRPr="001D4C5F">
              <w:rPr>
                <w:rFonts w:ascii="Calibri" w:hAnsi="Calibri"/>
                <w:lang w:val="en-US"/>
              </w:rPr>
              <w:tab/>
              <w:t>Pure Apical</w:t>
            </w:r>
          </w:p>
        </w:tc>
        <w:tc>
          <w:tcPr>
            <w:tcW w:w="1559"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34 (19.1)</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30 (12.2)</w:t>
            </w:r>
          </w:p>
        </w:tc>
        <w:tc>
          <w:tcPr>
            <w:tcW w:w="1185" w:type="dxa"/>
            <w:vMerge/>
          </w:tcPr>
          <w:p w:rsidR="00BF5DAD" w:rsidRPr="00981F06" w:rsidRDefault="00BF5DAD" w:rsidP="006A46E4">
            <w:pPr>
              <w:tabs>
                <w:tab w:val="center" w:pos="4320"/>
                <w:tab w:val="right" w:pos="8640"/>
              </w:tabs>
              <w:spacing w:line="360" w:lineRule="auto"/>
              <w:rPr>
                <w:rFonts w:ascii="Calibri" w:hAnsi="Calibri"/>
                <w:lang w:val="en-US"/>
              </w:rPr>
            </w:pP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ind w:left="426"/>
              <w:rPr>
                <w:rFonts w:ascii="Calibri" w:hAnsi="Calibri"/>
                <w:b/>
                <w:lang w:val="en-US"/>
              </w:rPr>
            </w:pPr>
            <w:r w:rsidRPr="001D4C5F">
              <w:rPr>
                <w:rFonts w:ascii="Calibri" w:hAnsi="Calibri"/>
                <w:lang w:val="en-US"/>
              </w:rPr>
              <w:t>Pure Concentric</w:t>
            </w:r>
          </w:p>
        </w:tc>
        <w:tc>
          <w:tcPr>
            <w:tcW w:w="1559"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7 (3.9)</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12 (4.9)</w:t>
            </w:r>
          </w:p>
        </w:tc>
        <w:tc>
          <w:tcPr>
            <w:tcW w:w="1185" w:type="dxa"/>
            <w:vMerge/>
          </w:tcPr>
          <w:p w:rsidR="00BF5DAD" w:rsidRPr="00981F06" w:rsidRDefault="00BF5DAD" w:rsidP="006A46E4">
            <w:pPr>
              <w:tabs>
                <w:tab w:val="center" w:pos="4320"/>
                <w:tab w:val="right" w:pos="8640"/>
              </w:tabs>
              <w:spacing w:line="360" w:lineRule="auto"/>
              <w:rPr>
                <w:rFonts w:ascii="Calibri" w:hAnsi="Calibri"/>
                <w:lang w:val="en-US"/>
              </w:rPr>
            </w:pP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ind w:left="426"/>
              <w:rPr>
                <w:rFonts w:ascii="Calibri" w:hAnsi="Calibri"/>
                <w:lang w:val="en-US"/>
              </w:rPr>
            </w:pPr>
            <w:r w:rsidRPr="001D4C5F">
              <w:rPr>
                <w:rFonts w:ascii="Calibri" w:hAnsi="Calibri"/>
                <w:lang w:val="en-US"/>
              </w:rPr>
              <w:t>Mixed Patterns</w:t>
            </w:r>
          </w:p>
        </w:tc>
        <w:tc>
          <w:tcPr>
            <w:tcW w:w="1559"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62 (34.8)</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85 (34.6)</w:t>
            </w:r>
          </w:p>
        </w:tc>
        <w:tc>
          <w:tcPr>
            <w:tcW w:w="1185" w:type="dxa"/>
            <w:vMerge/>
          </w:tcPr>
          <w:p w:rsidR="00BF5DAD" w:rsidRPr="00981F06" w:rsidRDefault="00BF5DAD" w:rsidP="006A46E4">
            <w:pPr>
              <w:tabs>
                <w:tab w:val="center" w:pos="4320"/>
                <w:tab w:val="right" w:pos="8640"/>
              </w:tabs>
              <w:spacing w:line="360" w:lineRule="auto"/>
              <w:rPr>
                <w:rFonts w:ascii="Calibri" w:hAnsi="Calibri"/>
                <w:lang w:val="en-US"/>
              </w:rPr>
            </w:pP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rPr>
                <w:rFonts w:ascii="Calibri" w:hAnsi="Calibri"/>
                <w:b/>
                <w:lang w:val="en-US"/>
              </w:rPr>
            </w:pPr>
            <w:r w:rsidRPr="001D4C5F">
              <w:rPr>
                <w:rFonts w:ascii="Calibri" w:hAnsi="Calibri"/>
                <w:b/>
                <w:lang w:val="en-US"/>
              </w:rPr>
              <w:t>Cardiac MRI – no. (%)</w:t>
            </w:r>
          </w:p>
        </w:tc>
        <w:tc>
          <w:tcPr>
            <w:tcW w:w="1559"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107 (60.1)</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139 (56.3)</w:t>
            </w:r>
          </w:p>
        </w:tc>
        <w:tc>
          <w:tcPr>
            <w:tcW w:w="1185" w:type="dxa"/>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0.429</w:t>
            </w: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LV mass index (g/m</w:t>
            </w:r>
            <w:r w:rsidRPr="001D4C5F">
              <w:rPr>
                <w:rFonts w:ascii="Calibri" w:hAnsi="Calibri"/>
                <w:vertAlign w:val="superscript"/>
                <w:lang w:val="en-US"/>
              </w:rPr>
              <w:t>2</w:t>
            </w:r>
            <w:r w:rsidRPr="001D4C5F">
              <w:rPr>
                <w:rFonts w:ascii="Calibri" w:hAnsi="Calibri"/>
                <w:lang w:val="en-US"/>
              </w:rPr>
              <w:t>)</w:t>
            </w:r>
          </w:p>
        </w:tc>
        <w:tc>
          <w:tcPr>
            <w:tcW w:w="1559"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111±44</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98±38</w:t>
            </w:r>
          </w:p>
        </w:tc>
        <w:tc>
          <w:tcPr>
            <w:tcW w:w="1185" w:type="dxa"/>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0.045</w:t>
            </w: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LV end diastolic volume index (ml/m</w:t>
            </w:r>
            <w:r w:rsidRPr="001D4C5F">
              <w:rPr>
                <w:rFonts w:ascii="Calibri" w:hAnsi="Calibri"/>
                <w:vertAlign w:val="superscript"/>
                <w:lang w:val="en-US"/>
              </w:rPr>
              <w:t>2</w:t>
            </w:r>
            <w:r w:rsidRPr="001D4C5F">
              <w:rPr>
                <w:rFonts w:ascii="Calibri" w:hAnsi="Calibri"/>
                <w:lang w:val="en-US"/>
              </w:rPr>
              <w:t>)</w:t>
            </w:r>
          </w:p>
        </w:tc>
        <w:tc>
          <w:tcPr>
            <w:tcW w:w="1559"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69±20</w:t>
            </w:r>
          </w:p>
        </w:tc>
        <w:tc>
          <w:tcPr>
            <w:tcW w:w="1633" w:type="dxa"/>
          </w:tcPr>
          <w:p w:rsidR="00BF5DAD" w:rsidRPr="001D4C5F" w:rsidRDefault="00BF5DAD" w:rsidP="006A46E4">
            <w:pPr>
              <w:tabs>
                <w:tab w:val="center" w:pos="4320"/>
                <w:tab w:val="right" w:pos="8640"/>
              </w:tabs>
              <w:spacing w:line="360" w:lineRule="auto"/>
              <w:rPr>
                <w:rFonts w:ascii="Calibri" w:hAnsi="Calibri"/>
                <w:b/>
                <w:lang w:val="en-US"/>
              </w:rPr>
            </w:pPr>
            <w:r w:rsidRPr="001D4C5F">
              <w:rPr>
                <w:rFonts w:ascii="Calibri" w:hAnsi="Calibri"/>
                <w:lang w:val="en-US"/>
              </w:rPr>
              <w:t>75±19</w:t>
            </w:r>
          </w:p>
        </w:tc>
        <w:tc>
          <w:tcPr>
            <w:tcW w:w="1185" w:type="dxa"/>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0.138</w:t>
            </w: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Late gadolinium enhancement – no. (%)</w:t>
            </w:r>
          </w:p>
        </w:tc>
        <w:tc>
          <w:tcPr>
            <w:tcW w:w="1559"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68 (64.8)</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87 (64.4)</w:t>
            </w:r>
          </w:p>
        </w:tc>
        <w:tc>
          <w:tcPr>
            <w:tcW w:w="1185" w:type="dxa"/>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0.959</w:t>
            </w: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b/>
                <w:lang w:val="en-US"/>
              </w:rPr>
              <w:t>Number Gene Tested – no. (%)</w:t>
            </w:r>
          </w:p>
        </w:tc>
        <w:tc>
          <w:tcPr>
            <w:tcW w:w="1559"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64 (36.0)</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131 (53)</w:t>
            </w:r>
          </w:p>
        </w:tc>
        <w:tc>
          <w:tcPr>
            <w:tcW w:w="1185" w:type="dxa"/>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&lt;0.001</w:t>
            </w:r>
          </w:p>
        </w:tc>
      </w:tr>
      <w:tr w:rsidR="00BF5DAD" w:rsidRPr="001D4C5F" w:rsidTr="006A46E4">
        <w:trPr>
          <w:jc w:val="center"/>
        </w:trPr>
        <w:tc>
          <w:tcPr>
            <w:tcW w:w="4421"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Gene Positive of those tested – no. (%)</w:t>
            </w:r>
          </w:p>
        </w:tc>
        <w:tc>
          <w:tcPr>
            <w:tcW w:w="1559"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31 (48.4)</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70 (53.4)</w:t>
            </w:r>
          </w:p>
        </w:tc>
        <w:tc>
          <w:tcPr>
            <w:tcW w:w="1185" w:type="dxa"/>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0.512</w:t>
            </w:r>
          </w:p>
        </w:tc>
      </w:tr>
      <w:tr w:rsidR="00BF5DAD" w:rsidRPr="001D4C5F" w:rsidTr="006A46E4">
        <w:trPr>
          <w:jc w:val="center"/>
        </w:trPr>
        <w:tc>
          <w:tcPr>
            <w:tcW w:w="4421" w:type="dxa"/>
            <w:vAlign w:val="center"/>
          </w:tcPr>
          <w:p w:rsidR="00BF5DAD" w:rsidRPr="001D4C5F" w:rsidRDefault="00BF5DAD" w:rsidP="006A46E4">
            <w:pPr>
              <w:spacing w:line="360" w:lineRule="auto"/>
              <w:rPr>
                <w:rFonts w:ascii="Calibri" w:hAnsi="Calibri" w:cs="Arial"/>
                <w:b/>
                <w:lang w:val="en-US"/>
              </w:rPr>
            </w:pPr>
            <w:r w:rsidRPr="001D4C5F">
              <w:rPr>
                <w:rFonts w:ascii="Calibri" w:hAnsi="Calibri" w:cs="Arial"/>
                <w:b/>
                <w:lang w:val="en-US"/>
              </w:rPr>
              <w:t>Conventional Risk Factors – no. (%)</w:t>
            </w:r>
          </w:p>
        </w:tc>
        <w:tc>
          <w:tcPr>
            <w:tcW w:w="1559" w:type="dxa"/>
            <w:shd w:val="clear" w:color="auto" w:fill="auto"/>
            <w:vAlign w:val="center"/>
          </w:tcPr>
          <w:p w:rsidR="00BF5DAD" w:rsidRPr="001D4C5F" w:rsidRDefault="00BF5DAD" w:rsidP="006A46E4">
            <w:pPr>
              <w:spacing w:line="360" w:lineRule="auto"/>
              <w:rPr>
                <w:rFonts w:ascii="Calibri" w:hAnsi="Calibri"/>
                <w:lang w:val="en-US"/>
              </w:rPr>
            </w:pPr>
          </w:p>
        </w:tc>
        <w:tc>
          <w:tcPr>
            <w:tcW w:w="1633" w:type="dxa"/>
            <w:vAlign w:val="center"/>
          </w:tcPr>
          <w:p w:rsidR="00BF5DAD" w:rsidRPr="001D4C5F" w:rsidRDefault="00BF5DAD" w:rsidP="006A46E4">
            <w:pPr>
              <w:spacing w:line="360" w:lineRule="auto"/>
              <w:rPr>
                <w:rFonts w:ascii="Calibri" w:hAnsi="Calibri" w:cs="Arial"/>
                <w:lang w:val="en-US"/>
              </w:rPr>
            </w:pPr>
          </w:p>
        </w:tc>
        <w:tc>
          <w:tcPr>
            <w:tcW w:w="1185" w:type="dxa"/>
          </w:tcPr>
          <w:p w:rsidR="00BF5DAD" w:rsidRPr="00981F06" w:rsidRDefault="00BF5DAD" w:rsidP="006A46E4">
            <w:pPr>
              <w:spacing w:line="360" w:lineRule="auto"/>
              <w:rPr>
                <w:rFonts w:ascii="Calibri" w:hAnsi="Calibri" w:cs="Arial"/>
                <w:lang w:val="en-US"/>
              </w:rPr>
            </w:pPr>
          </w:p>
        </w:tc>
      </w:tr>
      <w:tr w:rsidR="00BF5DAD" w:rsidRPr="001D4C5F" w:rsidTr="006A46E4">
        <w:trPr>
          <w:jc w:val="center"/>
        </w:trPr>
        <w:tc>
          <w:tcPr>
            <w:tcW w:w="4421" w:type="dxa"/>
            <w:vAlign w:val="center"/>
          </w:tcPr>
          <w:p w:rsidR="00BF5DAD" w:rsidRPr="001D4C5F" w:rsidRDefault="00BF5DAD" w:rsidP="006A46E4">
            <w:pPr>
              <w:spacing w:line="360" w:lineRule="auto"/>
              <w:ind w:left="487"/>
              <w:rPr>
                <w:rFonts w:ascii="Calibri" w:hAnsi="Calibri" w:cs="Arial"/>
                <w:lang w:val="en-US"/>
              </w:rPr>
            </w:pPr>
            <w:r w:rsidRPr="001D4C5F">
              <w:rPr>
                <w:rFonts w:ascii="Calibri" w:hAnsi="Calibri" w:cs="Arial"/>
                <w:lang w:val="en-US"/>
              </w:rPr>
              <w:t>History of Syncope</w:t>
            </w:r>
          </w:p>
        </w:tc>
        <w:tc>
          <w:tcPr>
            <w:tcW w:w="1559" w:type="dxa"/>
            <w:shd w:val="clear" w:color="auto" w:fill="auto"/>
            <w:vAlign w:val="center"/>
          </w:tcPr>
          <w:p w:rsidR="00BF5DAD" w:rsidRPr="001D4C5F" w:rsidRDefault="00BF5DAD" w:rsidP="006A46E4">
            <w:pPr>
              <w:spacing w:line="360" w:lineRule="auto"/>
              <w:rPr>
                <w:rFonts w:ascii="Calibri" w:hAnsi="Calibri" w:cs="Arial"/>
                <w:lang w:val="en-US"/>
              </w:rPr>
            </w:pPr>
            <w:r w:rsidRPr="001D4C5F">
              <w:rPr>
                <w:rFonts w:ascii="Calibri" w:hAnsi="Calibri"/>
                <w:lang w:val="en-US"/>
              </w:rPr>
              <w:t>32 (18.0)</w:t>
            </w:r>
          </w:p>
        </w:tc>
        <w:tc>
          <w:tcPr>
            <w:tcW w:w="1633" w:type="dxa"/>
            <w:vAlign w:val="center"/>
          </w:tcPr>
          <w:p w:rsidR="00BF5DAD" w:rsidRPr="001D4C5F" w:rsidRDefault="00BF5DAD" w:rsidP="006A46E4">
            <w:pPr>
              <w:spacing w:line="360" w:lineRule="auto"/>
              <w:rPr>
                <w:rFonts w:ascii="Calibri" w:hAnsi="Calibri" w:cs="Arial"/>
                <w:lang w:val="en-US"/>
              </w:rPr>
            </w:pPr>
            <w:r w:rsidRPr="001D4C5F">
              <w:rPr>
                <w:rFonts w:ascii="Calibri" w:hAnsi="Calibri" w:cs="Arial"/>
                <w:lang w:val="en-US"/>
              </w:rPr>
              <w:t>48 (19.4)</w:t>
            </w:r>
          </w:p>
        </w:tc>
        <w:tc>
          <w:tcPr>
            <w:tcW w:w="1185" w:type="dxa"/>
          </w:tcPr>
          <w:p w:rsidR="00BF5DAD" w:rsidRPr="00981F06" w:rsidRDefault="00BF5DAD" w:rsidP="006A46E4">
            <w:pPr>
              <w:spacing w:line="360" w:lineRule="auto"/>
              <w:rPr>
                <w:rFonts w:ascii="Calibri" w:hAnsi="Calibri" w:cs="Arial"/>
                <w:lang w:val="en-US"/>
              </w:rPr>
            </w:pPr>
            <w:r w:rsidRPr="00981F06">
              <w:rPr>
                <w:rFonts w:ascii="Calibri" w:hAnsi="Calibri" w:cs="Arial"/>
                <w:lang w:val="en-US"/>
              </w:rPr>
              <w:t>0.705</w:t>
            </w:r>
          </w:p>
        </w:tc>
      </w:tr>
      <w:tr w:rsidR="00BF5DAD" w:rsidRPr="001D4C5F" w:rsidTr="006A46E4">
        <w:trPr>
          <w:jc w:val="center"/>
        </w:trPr>
        <w:tc>
          <w:tcPr>
            <w:tcW w:w="4421" w:type="dxa"/>
            <w:vAlign w:val="center"/>
          </w:tcPr>
          <w:p w:rsidR="00BF5DAD" w:rsidRPr="001D4C5F" w:rsidRDefault="00BF5DAD" w:rsidP="006A46E4">
            <w:pPr>
              <w:spacing w:line="360" w:lineRule="auto"/>
              <w:ind w:left="487"/>
              <w:rPr>
                <w:rFonts w:ascii="Calibri" w:hAnsi="Calibri" w:cs="Arial"/>
                <w:lang w:val="en-US"/>
              </w:rPr>
            </w:pPr>
            <w:r w:rsidRPr="001D4C5F">
              <w:rPr>
                <w:rFonts w:ascii="Calibri" w:hAnsi="Calibri" w:cs="Arial"/>
                <w:lang w:val="en-US"/>
              </w:rPr>
              <w:t>Family history of SCD</w:t>
            </w:r>
          </w:p>
        </w:tc>
        <w:tc>
          <w:tcPr>
            <w:tcW w:w="1559" w:type="dxa"/>
            <w:shd w:val="clear" w:color="auto" w:fill="auto"/>
            <w:vAlign w:val="center"/>
          </w:tcPr>
          <w:p w:rsidR="00BF5DAD" w:rsidRPr="001D4C5F" w:rsidRDefault="00BF5DAD" w:rsidP="006A46E4">
            <w:pPr>
              <w:spacing w:line="360" w:lineRule="auto"/>
              <w:rPr>
                <w:rFonts w:ascii="Calibri" w:hAnsi="Calibri" w:cs="Arial"/>
                <w:lang w:val="en-US"/>
              </w:rPr>
            </w:pPr>
            <w:r w:rsidRPr="001D4C5F">
              <w:rPr>
                <w:rFonts w:ascii="Calibri" w:hAnsi="Calibri"/>
                <w:lang w:val="en-US"/>
              </w:rPr>
              <w:t>24 (13.5)</w:t>
            </w:r>
          </w:p>
        </w:tc>
        <w:tc>
          <w:tcPr>
            <w:tcW w:w="1633" w:type="dxa"/>
            <w:vAlign w:val="center"/>
          </w:tcPr>
          <w:p w:rsidR="00BF5DAD" w:rsidRPr="001D4C5F" w:rsidRDefault="00BF5DAD" w:rsidP="006A46E4">
            <w:pPr>
              <w:spacing w:line="360" w:lineRule="auto"/>
              <w:rPr>
                <w:rFonts w:ascii="Calibri" w:hAnsi="Calibri"/>
                <w:iCs/>
                <w:lang w:val="en-US"/>
              </w:rPr>
            </w:pPr>
            <w:r w:rsidRPr="001D4C5F">
              <w:rPr>
                <w:rFonts w:ascii="Calibri" w:hAnsi="Calibri"/>
                <w:iCs/>
                <w:lang w:val="en-US"/>
              </w:rPr>
              <w:t>56 (22.7)</w:t>
            </w:r>
          </w:p>
        </w:tc>
        <w:tc>
          <w:tcPr>
            <w:tcW w:w="1185" w:type="dxa"/>
          </w:tcPr>
          <w:p w:rsidR="00BF5DAD" w:rsidRPr="00981F06" w:rsidRDefault="00BF5DAD" w:rsidP="006A46E4">
            <w:pPr>
              <w:spacing w:line="360" w:lineRule="auto"/>
              <w:rPr>
                <w:rFonts w:ascii="Calibri" w:hAnsi="Calibri" w:cs="Arial"/>
                <w:lang w:val="en-US"/>
              </w:rPr>
            </w:pPr>
            <w:r w:rsidRPr="00981F06">
              <w:rPr>
                <w:rFonts w:ascii="Calibri" w:hAnsi="Calibri" w:cs="Arial"/>
                <w:lang w:val="en-US"/>
              </w:rPr>
              <w:t>0.017</w:t>
            </w:r>
          </w:p>
        </w:tc>
      </w:tr>
      <w:tr w:rsidR="00BF5DAD" w:rsidRPr="001D4C5F" w:rsidTr="006A46E4">
        <w:trPr>
          <w:jc w:val="center"/>
        </w:trPr>
        <w:tc>
          <w:tcPr>
            <w:tcW w:w="4421" w:type="dxa"/>
            <w:vAlign w:val="center"/>
          </w:tcPr>
          <w:p w:rsidR="00BF5DAD" w:rsidRPr="001D4C5F" w:rsidRDefault="00BF5DAD" w:rsidP="006A46E4">
            <w:pPr>
              <w:spacing w:line="360" w:lineRule="auto"/>
              <w:ind w:left="487"/>
              <w:rPr>
                <w:rFonts w:ascii="Calibri" w:hAnsi="Calibri" w:cs="Arial"/>
                <w:lang w:val="en-US"/>
              </w:rPr>
            </w:pPr>
            <w:r w:rsidRPr="001D4C5F">
              <w:rPr>
                <w:rFonts w:ascii="Calibri" w:hAnsi="Calibri" w:cs="Arial"/>
                <w:lang w:val="en-US"/>
              </w:rPr>
              <w:t>Ventricular tachycardia</w:t>
            </w:r>
          </w:p>
        </w:tc>
        <w:tc>
          <w:tcPr>
            <w:tcW w:w="1559" w:type="dxa"/>
            <w:shd w:val="clear" w:color="auto" w:fill="auto"/>
            <w:vAlign w:val="center"/>
          </w:tcPr>
          <w:p w:rsidR="00BF5DAD" w:rsidRPr="001D4C5F" w:rsidRDefault="00BF5DAD" w:rsidP="006A46E4">
            <w:pPr>
              <w:spacing w:line="360" w:lineRule="auto"/>
              <w:rPr>
                <w:rFonts w:ascii="Calibri" w:hAnsi="Calibri" w:cs="Arial"/>
                <w:lang w:val="en-US"/>
              </w:rPr>
            </w:pPr>
            <w:r w:rsidRPr="001D4C5F">
              <w:rPr>
                <w:rFonts w:ascii="Calibri" w:hAnsi="Calibri" w:cs="Arial"/>
                <w:lang w:val="en-US"/>
              </w:rPr>
              <w:t>45 (26.2)</w:t>
            </w:r>
          </w:p>
        </w:tc>
        <w:tc>
          <w:tcPr>
            <w:tcW w:w="1633" w:type="dxa"/>
            <w:vAlign w:val="center"/>
          </w:tcPr>
          <w:p w:rsidR="00BF5DAD" w:rsidRPr="001D4C5F" w:rsidRDefault="00BF5DAD" w:rsidP="006A46E4">
            <w:pPr>
              <w:spacing w:line="360" w:lineRule="auto"/>
              <w:rPr>
                <w:rFonts w:ascii="Calibri" w:hAnsi="Calibri"/>
                <w:iCs/>
                <w:lang w:val="en-US"/>
              </w:rPr>
            </w:pPr>
            <w:r w:rsidRPr="001D4C5F">
              <w:rPr>
                <w:rFonts w:ascii="Calibri" w:hAnsi="Calibri"/>
                <w:iCs/>
                <w:lang w:val="en-US"/>
              </w:rPr>
              <w:t>57 (24.9)</w:t>
            </w:r>
          </w:p>
        </w:tc>
        <w:tc>
          <w:tcPr>
            <w:tcW w:w="1185" w:type="dxa"/>
          </w:tcPr>
          <w:p w:rsidR="00BF5DAD" w:rsidRPr="00981F06" w:rsidRDefault="00BF5DAD" w:rsidP="006A46E4">
            <w:pPr>
              <w:spacing w:line="360" w:lineRule="auto"/>
              <w:rPr>
                <w:rFonts w:ascii="Calibri" w:hAnsi="Calibri" w:cs="Arial"/>
                <w:lang w:val="en-US"/>
              </w:rPr>
            </w:pPr>
            <w:r w:rsidRPr="00981F06">
              <w:rPr>
                <w:rFonts w:ascii="Calibri" w:hAnsi="Calibri" w:cs="Arial"/>
                <w:lang w:val="en-US"/>
              </w:rPr>
              <w:t>0.772</w:t>
            </w:r>
          </w:p>
        </w:tc>
      </w:tr>
      <w:tr w:rsidR="00BF5DAD" w:rsidRPr="001D4C5F" w:rsidTr="006A46E4">
        <w:trPr>
          <w:jc w:val="center"/>
        </w:trPr>
        <w:tc>
          <w:tcPr>
            <w:tcW w:w="4421" w:type="dxa"/>
            <w:vAlign w:val="center"/>
          </w:tcPr>
          <w:p w:rsidR="00BF5DAD" w:rsidRPr="001D4C5F" w:rsidRDefault="00BF5DAD" w:rsidP="006A46E4">
            <w:pPr>
              <w:spacing w:line="360" w:lineRule="auto"/>
              <w:ind w:left="487"/>
              <w:rPr>
                <w:rFonts w:ascii="Calibri" w:hAnsi="Calibri" w:cs="Arial"/>
                <w:lang w:val="en-US"/>
              </w:rPr>
            </w:pPr>
            <w:r w:rsidRPr="001D4C5F">
              <w:rPr>
                <w:rFonts w:ascii="Calibri" w:hAnsi="Calibri" w:cs="Arial"/>
                <w:lang w:val="en-US"/>
              </w:rPr>
              <w:t>LV wall thickness ≥30mm</w:t>
            </w:r>
          </w:p>
        </w:tc>
        <w:tc>
          <w:tcPr>
            <w:tcW w:w="1559" w:type="dxa"/>
            <w:shd w:val="clear" w:color="auto" w:fill="auto"/>
            <w:vAlign w:val="center"/>
          </w:tcPr>
          <w:p w:rsidR="00BF5DAD" w:rsidRPr="001D4C5F" w:rsidRDefault="00BF5DAD" w:rsidP="006A46E4">
            <w:pPr>
              <w:spacing w:line="360" w:lineRule="auto"/>
              <w:rPr>
                <w:rFonts w:ascii="Calibri" w:hAnsi="Calibri" w:cs="Arial"/>
                <w:lang w:val="en-US"/>
              </w:rPr>
            </w:pPr>
            <w:r w:rsidRPr="001D4C5F">
              <w:rPr>
                <w:rFonts w:ascii="Calibri" w:hAnsi="Calibri" w:cs="Arial"/>
                <w:lang w:val="en-US"/>
              </w:rPr>
              <w:t>6 (3.4)</w:t>
            </w:r>
          </w:p>
        </w:tc>
        <w:tc>
          <w:tcPr>
            <w:tcW w:w="1633" w:type="dxa"/>
            <w:vAlign w:val="center"/>
          </w:tcPr>
          <w:p w:rsidR="00BF5DAD" w:rsidRPr="001D4C5F" w:rsidRDefault="00BF5DAD" w:rsidP="006A46E4">
            <w:pPr>
              <w:spacing w:line="360" w:lineRule="auto"/>
              <w:rPr>
                <w:rFonts w:ascii="Calibri" w:hAnsi="Calibri"/>
                <w:iCs/>
                <w:lang w:val="en-US"/>
              </w:rPr>
            </w:pPr>
            <w:r w:rsidRPr="001D4C5F">
              <w:rPr>
                <w:rFonts w:ascii="Calibri" w:hAnsi="Calibri"/>
                <w:iCs/>
                <w:lang w:val="en-US"/>
              </w:rPr>
              <w:t>12 (4.9)</w:t>
            </w:r>
          </w:p>
        </w:tc>
        <w:tc>
          <w:tcPr>
            <w:tcW w:w="1185" w:type="dxa"/>
          </w:tcPr>
          <w:p w:rsidR="00BF5DAD" w:rsidRPr="00981F06" w:rsidRDefault="00BF5DAD" w:rsidP="006A46E4">
            <w:pPr>
              <w:spacing w:line="360" w:lineRule="auto"/>
              <w:rPr>
                <w:rFonts w:ascii="Calibri" w:hAnsi="Calibri" w:cs="Arial"/>
                <w:lang w:val="en-US"/>
              </w:rPr>
            </w:pPr>
            <w:r w:rsidRPr="00981F06">
              <w:rPr>
                <w:rFonts w:ascii="Calibri" w:hAnsi="Calibri" w:cs="Arial"/>
                <w:lang w:val="en-US"/>
              </w:rPr>
              <w:t>0.442</w:t>
            </w:r>
          </w:p>
        </w:tc>
      </w:tr>
      <w:tr w:rsidR="00BF5DAD" w:rsidRPr="001D4C5F" w:rsidTr="006A46E4">
        <w:trPr>
          <w:jc w:val="center"/>
        </w:trPr>
        <w:tc>
          <w:tcPr>
            <w:tcW w:w="4421" w:type="dxa"/>
            <w:vAlign w:val="center"/>
          </w:tcPr>
          <w:p w:rsidR="00BF5DAD" w:rsidRPr="001D4C5F" w:rsidRDefault="00BF5DAD" w:rsidP="006A46E4">
            <w:pPr>
              <w:spacing w:line="360" w:lineRule="auto"/>
              <w:ind w:left="487"/>
              <w:rPr>
                <w:rFonts w:ascii="Calibri" w:hAnsi="Calibri" w:cs="Arial"/>
                <w:lang w:val="en-US"/>
              </w:rPr>
            </w:pPr>
            <w:r w:rsidRPr="001D4C5F">
              <w:rPr>
                <w:rFonts w:ascii="Calibri" w:hAnsi="Calibri" w:cs="Arial"/>
                <w:lang w:val="en-US"/>
              </w:rPr>
              <w:t>Abnormal BP response to exercise</w:t>
            </w:r>
          </w:p>
        </w:tc>
        <w:tc>
          <w:tcPr>
            <w:tcW w:w="1559" w:type="dxa"/>
            <w:shd w:val="clear" w:color="auto" w:fill="auto"/>
            <w:vAlign w:val="center"/>
          </w:tcPr>
          <w:p w:rsidR="00BF5DAD" w:rsidRPr="001D4C5F" w:rsidRDefault="00BF5DAD" w:rsidP="006A46E4">
            <w:pPr>
              <w:spacing w:line="360" w:lineRule="auto"/>
              <w:rPr>
                <w:rFonts w:ascii="Calibri" w:hAnsi="Calibri" w:cs="Arial"/>
                <w:lang w:val="en-US"/>
              </w:rPr>
            </w:pPr>
            <w:r w:rsidRPr="001D4C5F">
              <w:rPr>
                <w:rFonts w:ascii="Calibri" w:hAnsi="Calibri" w:cs="Arial"/>
                <w:lang w:val="en-US"/>
              </w:rPr>
              <w:t>21 (17.6)</w:t>
            </w:r>
          </w:p>
        </w:tc>
        <w:tc>
          <w:tcPr>
            <w:tcW w:w="1633" w:type="dxa"/>
            <w:vAlign w:val="center"/>
          </w:tcPr>
          <w:p w:rsidR="00BF5DAD" w:rsidRPr="001D4C5F" w:rsidRDefault="00BF5DAD" w:rsidP="006A46E4">
            <w:pPr>
              <w:spacing w:line="360" w:lineRule="auto"/>
              <w:rPr>
                <w:rFonts w:ascii="Calibri" w:hAnsi="Calibri"/>
                <w:iCs/>
                <w:lang w:val="en-US"/>
              </w:rPr>
            </w:pPr>
            <w:r w:rsidRPr="001D4C5F">
              <w:rPr>
                <w:rFonts w:ascii="Calibri" w:hAnsi="Calibri"/>
                <w:iCs/>
                <w:lang w:val="en-US"/>
              </w:rPr>
              <w:t>41 (20.2)</w:t>
            </w:r>
          </w:p>
        </w:tc>
        <w:tc>
          <w:tcPr>
            <w:tcW w:w="1185" w:type="dxa"/>
          </w:tcPr>
          <w:p w:rsidR="00BF5DAD" w:rsidRPr="00981F06" w:rsidRDefault="00BF5DAD" w:rsidP="006A46E4">
            <w:pPr>
              <w:spacing w:line="360" w:lineRule="auto"/>
              <w:rPr>
                <w:rFonts w:ascii="Calibri" w:hAnsi="Calibri" w:cs="Arial"/>
                <w:lang w:val="en-US"/>
              </w:rPr>
            </w:pPr>
            <w:r w:rsidRPr="00981F06">
              <w:rPr>
                <w:rFonts w:ascii="Calibri" w:hAnsi="Calibri" w:cs="Arial"/>
                <w:lang w:val="en-US"/>
              </w:rPr>
              <w:t>0.575</w:t>
            </w:r>
          </w:p>
        </w:tc>
      </w:tr>
      <w:tr w:rsidR="00BF5DAD" w:rsidRPr="001D4C5F" w:rsidTr="006A46E4">
        <w:trPr>
          <w:jc w:val="center"/>
        </w:trPr>
        <w:tc>
          <w:tcPr>
            <w:tcW w:w="4421" w:type="dxa"/>
          </w:tcPr>
          <w:p w:rsidR="00BF5DAD" w:rsidRPr="001D4C5F" w:rsidRDefault="00BF5DAD" w:rsidP="006A46E4">
            <w:pPr>
              <w:spacing w:line="360" w:lineRule="auto"/>
              <w:ind w:left="487"/>
              <w:rPr>
                <w:rFonts w:ascii="Calibri" w:hAnsi="Calibri" w:cs="Arial"/>
                <w:lang w:val="en-US"/>
              </w:rPr>
            </w:pPr>
            <w:r w:rsidRPr="001D4C5F">
              <w:rPr>
                <w:rFonts w:ascii="Calibri" w:hAnsi="Calibri" w:cs="Arial"/>
                <w:lang w:val="en-US"/>
              </w:rPr>
              <w:t>1 risk factor</w:t>
            </w:r>
          </w:p>
        </w:tc>
        <w:tc>
          <w:tcPr>
            <w:tcW w:w="1559" w:type="dxa"/>
            <w:shd w:val="clear" w:color="auto" w:fill="auto"/>
            <w:vAlign w:val="center"/>
          </w:tcPr>
          <w:p w:rsidR="00BF5DAD" w:rsidRPr="001D4C5F" w:rsidRDefault="00BF5DAD" w:rsidP="006A46E4">
            <w:pPr>
              <w:spacing w:line="360" w:lineRule="auto"/>
              <w:rPr>
                <w:rFonts w:ascii="Calibri" w:hAnsi="Calibri" w:cs="Arial"/>
                <w:lang w:val="en-US"/>
              </w:rPr>
            </w:pPr>
            <w:r w:rsidRPr="001D4C5F">
              <w:rPr>
                <w:rFonts w:ascii="Calibri" w:hAnsi="Calibri" w:cs="Arial"/>
                <w:lang w:val="en-US"/>
              </w:rPr>
              <w:t>56 (31.5)</w:t>
            </w:r>
          </w:p>
        </w:tc>
        <w:tc>
          <w:tcPr>
            <w:tcW w:w="1633" w:type="dxa"/>
            <w:vAlign w:val="center"/>
          </w:tcPr>
          <w:p w:rsidR="00BF5DAD" w:rsidRPr="001D4C5F" w:rsidRDefault="00BF5DAD" w:rsidP="006A46E4">
            <w:pPr>
              <w:spacing w:line="360" w:lineRule="auto"/>
              <w:rPr>
                <w:rFonts w:ascii="Calibri" w:hAnsi="Calibri"/>
                <w:iCs/>
                <w:lang w:val="en-US"/>
              </w:rPr>
            </w:pPr>
            <w:r w:rsidRPr="001D4C5F">
              <w:rPr>
                <w:rFonts w:ascii="Calibri" w:hAnsi="Calibri"/>
                <w:iCs/>
                <w:lang w:val="en-US"/>
              </w:rPr>
              <w:t>88 (35.6)</w:t>
            </w:r>
          </w:p>
        </w:tc>
        <w:tc>
          <w:tcPr>
            <w:tcW w:w="1185" w:type="dxa"/>
          </w:tcPr>
          <w:p w:rsidR="00BF5DAD" w:rsidRPr="00981F06" w:rsidRDefault="00BF5DAD" w:rsidP="006A46E4">
            <w:pPr>
              <w:spacing w:line="360" w:lineRule="auto"/>
              <w:rPr>
                <w:rFonts w:ascii="Calibri" w:hAnsi="Calibri" w:cs="Arial"/>
                <w:lang w:val="en-US"/>
              </w:rPr>
            </w:pPr>
            <w:r w:rsidRPr="00981F06">
              <w:rPr>
                <w:rFonts w:ascii="Calibri" w:hAnsi="Calibri" w:cs="Arial"/>
                <w:lang w:val="en-US"/>
              </w:rPr>
              <w:t>0.371</w:t>
            </w:r>
          </w:p>
        </w:tc>
      </w:tr>
      <w:tr w:rsidR="00BF5DAD" w:rsidRPr="001D4C5F" w:rsidTr="006A46E4">
        <w:trPr>
          <w:jc w:val="center"/>
        </w:trPr>
        <w:tc>
          <w:tcPr>
            <w:tcW w:w="4421" w:type="dxa"/>
          </w:tcPr>
          <w:p w:rsidR="00BF5DAD" w:rsidRPr="001D4C5F" w:rsidRDefault="00BF5DAD" w:rsidP="006A46E4">
            <w:pPr>
              <w:spacing w:line="360" w:lineRule="auto"/>
              <w:ind w:left="487"/>
              <w:rPr>
                <w:rFonts w:ascii="Calibri" w:hAnsi="Calibri" w:cs="Arial"/>
                <w:lang w:val="en-US"/>
              </w:rPr>
            </w:pPr>
            <w:r w:rsidRPr="001D4C5F">
              <w:rPr>
                <w:rFonts w:ascii="Calibri" w:hAnsi="Calibri" w:cs="Arial"/>
                <w:lang w:val="en-US"/>
              </w:rPr>
              <w:t>≥2 risk factors</w:t>
            </w:r>
          </w:p>
        </w:tc>
        <w:tc>
          <w:tcPr>
            <w:tcW w:w="1559" w:type="dxa"/>
            <w:shd w:val="clear" w:color="auto" w:fill="auto"/>
            <w:vAlign w:val="center"/>
          </w:tcPr>
          <w:p w:rsidR="00BF5DAD" w:rsidRPr="001D4C5F" w:rsidRDefault="00BF5DAD" w:rsidP="006A46E4">
            <w:pPr>
              <w:spacing w:line="360" w:lineRule="auto"/>
              <w:rPr>
                <w:rFonts w:ascii="Calibri" w:hAnsi="Calibri" w:cs="Arial"/>
                <w:lang w:val="en-US"/>
              </w:rPr>
            </w:pPr>
            <w:r w:rsidRPr="001D4C5F">
              <w:rPr>
                <w:rFonts w:ascii="Calibri" w:hAnsi="Calibri" w:cs="Arial"/>
                <w:lang w:val="en-US"/>
              </w:rPr>
              <w:t>30 (16.9)</w:t>
            </w:r>
          </w:p>
        </w:tc>
        <w:tc>
          <w:tcPr>
            <w:tcW w:w="1633" w:type="dxa"/>
            <w:vAlign w:val="center"/>
          </w:tcPr>
          <w:p w:rsidR="00BF5DAD" w:rsidRPr="001D4C5F" w:rsidRDefault="00BF5DAD" w:rsidP="006A46E4">
            <w:pPr>
              <w:spacing w:line="360" w:lineRule="auto"/>
              <w:rPr>
                <w:rFonts w:ascii="Calibri" w:hAnsi="Calibri"/>
                <w:iCs/>
                <w:lang w:val="en-US"/>
              </w:rPr>
            </w:pPr>
            <w:r w:rsidRPr="001D4C5F">
              <w:rPr>
                <w:rFonts w:ascii="Calibri" w:hAnsi="Calibri"/>
                <w:iCs/>
                <w:lang w:val="en-US"/>
              </w:rPr>
              <w:t>52 (21.1)</w:t>
            </w:r>
          </w:p>
        </w:tc>
        <w:tc>
          <w:tcPr>
            <w:tcW w:w="1185" w:type="dxa"/>
          </w:tcPr>
          <w:p w:rsidR="00BF5DAD" w:rsidRPr="00981F06" w:rsidRDefault="00BF5DAD" w:rsidP="006A46E4">
            <w:pPr>
              <w:spacing w:line="360" w:lineRule="auto"/>
              <w:rPr>
                <w:rFonts w:ascii="Calibri" w:hAnsi="Calibri" w:cs="Arial"/>
                <w:lang w:val="en-US"/>
              </w:rPr>
            </w:pPr>
            <w:r w:rsidRPr="00981F06">
              <w:rPr>
                <w:rFonts w:ascii="Calibri" w:hAnsi="Calibri" w:cs="Arial"/>
                <w:lang w:val="en-US"/>
              </w:rPr>
              <w:t>0.279</w:t>
            </w:r>
          </w:p>
        </w:tc>
      </w:tr>
      <w:tr w:rsidR="00BF5DAD" w:rsidRPr="001D4C5F" w:rsidTr="006A46E4">
        <w:trPr>
          <w:jc w:val="center"/>
        </w:trPr>
        <w:tc>
          <w:tcPr>
            <w:tcW w:w="8798" w:type="dxa"/>
            <w:gridSpan w:val="4"/>
          </w:tcPr>
          <w:p w:rsidR="00BF5DAD" w:rsidRPr="00981F06" w:rsidRDefault="00BF5DAD" w:rsidP="006A46E4">
            <w:pPr>
              <w:spacing w:line="360" w:lineRule="auto"/>
              <w:rPr>
                <w:rFonts w:ascii="Calibri" w:hAnsi="Calibri" w:cs="Arial"/>
                <w:lang w:val="en-US"/>
              </w:rPr>
            </w:pPr>
            <w:r>
              <w:rPr>
                <w:rFonts w:ascii="Calibri" w:hAnsi="Calibri" w:cs="Arial"/>
                <w:b/>
                <w:lang w:val="en-US"/>
              </w:rPr>
              <w:t>European Society</w:t>
            </w:r>
            <w:r w:rsidRPr="001D4C5F">
              <w:rPr>
                <w:rFonts w:ascii="Calibri" w:hAnsi="Calibri" w:cs="Arial"/>
                <w:b/>
                <w:lang w:val="en-US"/>
              </w:rPr>
              <w:t xml:space="preserve"> </w:t>
            </w:r>
            <w:r>
              <w:rPr>
                <w:rFonts w:ascii="Calibri" w:hAnsi="Calibri" w:cs="Arial"/>
                <w:b/>
                <w:lang w:val="en-US"/>
              </w:rPr>
              <w:t xml:space="preserve">of Cardiology </w:t>
            </w:r>
            <w:r w:rsidRPr="001D4C5F">
              <w:rPr>
                <w:rFonts w:ascii="Calibri" w:hAnsi="Calibri" w:cs="Arial"/>
                <w:b/>
                <w:lang w:val="en-US"/>
              </w:rPr>
              <w:t>Risk Stratification Model</w:t>
            </w:r>
          </w:p>
        </w:tc>
      </w:tr>
      <w:tr w:rsidR="00BF5DAD" w:rsidRPr="001D4C5F" w:rsidTr="006A46E4">
        <w:trPr>
          <w:jc w:val="center"/>
        </w:trPr>
        <w:tc>
          <w:tcPr>
            <w:tcW w:w="4421" w:type="dxa"/>
          </w:tcPr>
          <w:p w:rsidR="00BF5DAD" w:rsidRPr="001D4C5F" w:rsidRDefault="00BF5DAD" w:rsidP="006A46E4">
            <w:pPr>
              <w:spacing w:line="360" w:lineRule="auto"/>
              <w:rPr>
                <w:rFonts w:ascii="Calibri" w:hAnsi="Calibri" w:cs="Arial"/>
                <w:b/>
                <w:lang w:val="en-US"/>
              </w:rPr>
            </w:pPr>
            <w:r w:rsidRPr="001D4C5F">
              <w:rPr>
                <w:rFonts w:ascii="Calibri" w:hAnsi="Calibri" w:cs="Arial"/>
                <w:lang w:val="en-US"/>
              </w:rPr>
              <w:t>Overall HCM Risk Score</w:t>
            </w:r>
          </w:p>
        </w:tc>
        <w:tc>
          <w:tcPr>
            <w:tcW w:w="1559" w:type="dxa"/>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3.12±2.99</w:t>
            </w:r>
          </w:p>
        </w:tc>
        <w:tc>
          <w:tcPr>
            <w:tcW w:w="1633" w:type="dxa"/>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3.89±4.50</w:t>
            </w:r>
          </w:p>
        </w:tc>
        <w:tc>
          <w:tcPr>
            <w:tcW w:w="1185" w:type="dxa"/>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0.024</w:t>
            </w:r>
          </w:p>
        </w:tc>
      </w:tr>
      <w:tr w:rsidR="00BF5DAD" w:rsidRPr="001D4C5F" w:rsidTr="006A46E4">
        <w:trPr>
          <w:jc w:val="center"/>
        </w:trPr>
        <w:tc>
          <w:tcPr>
            <w:tcW w:w="4421" w:type="dxa"/>
            <w:tcBorders>
              <w:bottom w:val="single" w:sz="4" w:space="0" w:color="auto"/>
            </w:tcBorders>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High Risk (</w:t>
            </w:r>
            <w:r w:rsidRPr="001D4C5F">
              <w:rPr>
                <w:rFonts w:ascii="Calibri" w:hAnsi="Calibri" w:cs="times-roman"/>
                <w:color w:val="000000"/>
                <w:lang w:val="en-US" w:eastAsia="en-GB"/>
              </w:rPr>
              <w:t>≥6% 5-year risk of SCD) – no. (%)</w:t>
            </w:r>
          </w:p>
        </w:tc>
        <w:tc>
          <w:tcPr>
            <w:tcW w:w="1559" w:type="dxa"/>
            <w:tcBorders>
              <w:bottom w:val="single" w:sz="4" w:space="0" w:color="auto"/>
            </w:tcBorders>
            <w:shd w:val="clear" w:color="auto" w:fill="auto"/>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21 (12.7)</w:t>
            </w:r>
          </w:p>
        </w:tc>
        <w:tc>
          <w:tcPr>
            <w:tcW w:w="1633" w:type="dxa"/>
            <w:tcBorders>
              <w:bottom w:val="single" w:sz="4" w:space="0" w:color="auto"/>
            </w:tcBorders>
          </w:tcPr>
          <w:p w:rsidR="00BF5DAD" w:rsidRPr="001D4C5F" w:rsidRDefault="00BF5DAD" w:rsidP="006A46E4">
            <w:pPr>
              <w:tabs>
                <w:tab w:val="center" w:pos="4320"/>
                <w:tab w:val="right" w:pos="8640"/>
              </w:tabs>
              <w:spacing w:line="360" w:lineRule="auto"/>
              <w:rPr>
                <w:rFonts w:ascii="Calibri" w:hAnsi="Calibri"/>
                <w:lang w:val="en-US"/>
              </w:rPr>
            </w:pPr>
            <w:r w:rsidRPr="001D4C5F">
              <w:rPr>
                <w:rFonts w:ascii="Calibri" w:hAnsi="Calibri"/>
                <w:lang w:val="en-US"/>
              </w:rPr>
              <w:t>29 (12.9)</w:t>
            </w:r>
          </w:p>
        </w:tc>
        <w:tc>
          <w:tcPr>
            <w:tcW w:w="1185" w:type="dxa"/>
            <w:tcBorders>
              <w:bottom w:val="single" w:sz="4" w:space="0" w:color="auto"/>
            </w:tcBorders>
          </w:tcPr>
          <w:p w:rsidR="00BF5DAD" w:rsidRPr="00981F06" w:rsidRDefault="00BF5DAD" w:rsidP="006A46E4">
            <w:pPr>
              <w:tabs>
                <w:tab w:val="center" w:pos="4320"/>
                <w:tab w:val="right" w:pos="8640"/>
              </w:tabs>
              <w:spacing w:line="360" w:lineRule="auto"/>
              <w:rPr>
                <w:rFonts w:ascii="Calibri" w:hAnsi="Calibri"/>
                <w:lang w:val="en-US"/>
              </w:rPr>
            </w:pPr>
            <w:r w:rsidRPr="00981F06">
              <w:rPr>
                <w:rFonts w:ascii="Calibri" w:hAnsi="Calibri"/>
                <w:lang w:val="en-US"/>
              </w:rPr>
              <w:t>0.944</w:t>
            </w:r>
          </w:p>
        </w:tc>
      </w:tr>
    </w:tbl>
    <w:p w:rsidR="00BF5DAD" w:rsidRDefault="00BF5DAD" w:rsidP="00BF5DAD">
      <w:pPr>
        <w:spacing w:line="480" w:lineRule="auto"/>
        <w:ind w:left="284" w:right="260"/>
        <w:rPr>
          <w:rFonts w:ascii="Calibri" w:eastAsia="Times New Roman" w:hAnsi="Calibri" w:cs="Arial"/>
          <w:b/>
          <w:lang w:val="en-US" w:eastAsia="en-GB"/>
        </w:rPr>
      </w:pPr>
    </w:p>
    <w:p w:rsidR="00BF5DAD" w:rsidRDefault="00BF5DAD" w:rsidP="00BF5DAD">
      <w:pPr>
        <w:spacing w:line="480" w:lineRule="auto"/>
        <w:ind w:right="260"/>
        <w:rPr>
          <w:rFonts w:ascii="Calibri" w:eastAsia="Times New Roman" w:hAnsi="Calibri" w:cs="Arial"/>
          <w:b/>
          <w:lang w:val="en-US" w:eastAsia="en-GB"/>
        </w:rPr>
      </w:pPr>
      <w:r>
        <w:rPr>
          <w:rFonts w:ascii="Calibri" w:eastAsia="Times New Roman" w:hAnsi="Calibri" w:cs="Arial"/>
          <w:b/>
          <w:lang w:val="en-US" w:eastAsia="en-GB"/>
        </w:rPr>
        <w:t>BP blood pressure; HCM, hypertrophic cardiomyopathy; LV,</w:t>
      </w:r>
      <w:r w:rsidRPr="005260FC">
        <w:rPr>
          <w:rFonts w:ascii="Calibri" w:eastAsia="Times New Roman" w:hAnsi="Calibri" w:cs="Arial"/>
          <w:b/>
          <w:lang w:val="en-US" w:eastAsia="en-GB"/>
        </w:rPr>
        <w:t xml:space="preserve"> left ventricular</w:t>
      </w:r>
      <w:r>
        <w:rPr>
          <w:rFonts w:ascii="Calibri" w:eastAsia="Times New Roman" w:hAnsi="Calibri" w:cs="Arial"/>
          <w:b/>
          <w:lang w:val="en-US" w:eastAsia="en-GB"/>
        </w:rPr>
        <w:t>; SAM,</w:t>
      </w:r>
      <w:r w:rsidRPr="005260FC">
        <w:rPr>
          <w:rFonts w:ascii="Calibri" w:eastAsia="Times New Roman" w:hAnsi="Calibri" w:cs="Arial"/>
          <w:b/>
          <w:lang w:val="en-US" w:eastAsia="en-GB"/>
        </w:rPr>
        <w:t xml:space="preserve"> systolic anterior motion of the mitral valve leaflets</w:t>
      </w:r>
      <w:r>
        <w:rPr>
          <w:rFonts w:ascii="Calibri" w:eastAsia="Times New Roman" w:hAnsi="Calibri" w:cs="Arial"/>
          <w:b/>
          <w:lang w:val="en-US" w:eastAsia="en-GB"/>
        </w:rPr>
        <w:t xml:space="preserve">; SCD, </w:t>
      </w:r>
      <w:r w:rsidRPr="005260FC">
        <w:rPr>
          <w:rFonts w:ascii="Calibri" w:eastAsia="Times New Roman" w:hAnsi="Calibri" w:cs="Arial"/>
          <w:b/>
          <w:lang w:val="en-US" w:eastAsia="en-GB"/>
        </w:rPr>
        <w:t>sudden cardiac death</w:t>
      </w:r>
      <w:r>
        <w:rPr>
          <w:rFonts w:ascii="Calibri" w:eastAsia="Times New Roman" w:hAnsi="Calibri" w:cs="Arial"/>
          <w:b/>
          <w:lang w:val="en-US" w:eastAsia="en-GB"/>
        </w:rPr>
        <w:t>.</w:t>
      </w:r>
    </w:p>
    <w:p w:rsidR="00BF5DAD" w:rsidRDefault="00BF5DAD" w:rsidP="006C647A">
      <w:pPr>
        <w:spacing w:line="480" w:lineRule="auto"/>
        <w:rPr>
          <w:rFonts w:ascii="Calibri" w:hAnsi="Calibri" w:cs="Arial"/>
          <w:lang w:val="en-US"/>
        </w:rPr>
      </w:pPr>
    </w:p>
    <w:p w:rsidR="00D50F2B" w:rsidRDefault="00D50F2B" w:rsidP="006C647A">
      <w:pPr>
        <w:spacing w:line="480" w:lineRule="auto"/>
        <w:rPr>
          <w:rFonts w:ascii="Calibri" w:hAnsi="Calibri" w:cs="Arial"/>
          <w:lang w:val="en-US"/>
        </w:rPr>
      </w:pPr>
    </w:p>
    <w:p w:rsidR="00B62426" w:rsidRPr="00604C0D" w:rsidRDefault="00B62426" w:rsidP="006C647A">
      <w:pPr>
        <w:spacing w:line="480" w:lineRule="auto"/>
        <w:rPr>
          <w:rFonts w:ascii="Calibri" w:hAnsi="Calibri" w:cs="Arial"/>
          <w:b/>
          <w:lang w:val="en-US"/>
        </w:rPr>
      </w:pPr>
      <w:r w:rsidRPr="00604C0D">
        <w:rPr>
          <w:rFonts w:ascii="Calibri" w:hAnsi="Calibri" w:cs="Arial"/>
          <w:b/>
          <w:lang w:val="en-US"/>
        </w:rPr>
        <w:t>DISCUSSION</w:t>
      </w:r>
    </w:p>
    <w:p w:rsidR="00B62426" w:rsidRPr="00923CE9" w:rsidRDefault="00B62426" w:rsidP="006C647A">
      <w:pPr>
        <w:spacing w:line="480" w:lineRule="auto"/>
        <w:rPr>
          <w:rFonts w:ascii="Calibri" w:hAnsi="Calibri" w:cs="Arial"/>
          <w:lang w:val="en-US"/>
        </w:rPr>
      </w:pPr>
      <w:r w:rsidRPr="00923CE9">
        <w:rPr>
          <w:rFonts w:ascii="Calibri" w:hAnsi="Calibri" w:cs="Arial"/>
          <w:lang w:val="en-US"/>
        </w:rPr>
        <w:t>Hypertrophic ca</w:t>
      </w:r>
      <w:r w:rsidR="00930A36" w:rsidRPr="00923CE9">
        <w:rPr>
          <w:rFonts w:ascii="Calibri" w:hAnsi="Calibri" w:cs="Arial"/>
          <w:lang w:val="en-US"/>
        </w:rPr>
        <w:t>rdiomyopathy i</w:t>
      </w:r>
      <w:r w:rsidRPr="00923CE9">
        <w:rPr>
          <w:rFonts w:ascii="Calibri" w:hAnsi="Calibri" w:cs="Arial"/>
          <w:lang w:val="en-US"/>
        </w:rPr>
        <w:t xml:space="preserve">s a </w:t>
      </w:r>
      <w:r w:rsidR="00F36DBB" w:rsidRPr="00923CE9">
        <w:rPr>
          <w:rFonts w:ascii="Calibri" w:hAnsi="Calibri" w:cs="Arial"/>
          <w:lang w:val="en-US"/>
        </w:rPr>
        <w:t xml:space="preserve">relatively </w:t>
      </w:r>
      <w:r w:rsidRPr="00923CE9">
        <w:rPr>
          <w:rFonts w:ascii="Calibri" w:hAnsi="Calibri" w:cs="Arial"/>
          <w:lang w:val="en-US"/>
        </w:rPr>
        <w:t xml:space="preserve">common and treatable </w:t>
      </w:r>
      <w:r w:rsidR="00095AE8" w:rsidRPr="00923CE9">
        <w:rPr>
          <w:rFonts w:ascii="Calibri" w:hAnsi="Calibri" w:cs="Arial"/>
          <w:lang w:val="en-US"/>
        </w:rPr>
        <w:t>condition</w:t>
      </w:r>
      <w:r w:rsidRPr="00923CE9">
        <w:rPr>
          <w:rFonts w:ascii="Calibri" w:hAnsi="Calibri" w:cs="Arial"/>
          <w:lang w:val="en-US"/>
        </w:rPr>
        <w:t xml:space="preserve"> with a </w:t>
      </w:r>
      <w:r w:rsidR="0089574C">
        <w:rPr>
          <w:rFonts w:ascii="Calibri" w:hAnsi="Calibri" w:cs="Arial"/>
          <w:lang w:val="en-US"/>
        </w:rPr>
        <w:t>relatively</w:t>
      </w:r>
      <w:r w:rsidR="00F36DBB" w:rsidRPr="00923CE9">
        <w:rPr>
          <w:rFonts w:ascii="Calibri" w:hAnsi="Calibri" w:cs="Arial"/>
          <w:lang w:val="en-US"/>
        </w:rPr>
        <w:t xml:space="preserve"> </w:t>
      </w:r>
      <w:r w:rsidR="00BB7FFD">
        <w:rPr>
          <w:rFonts w:ascii="Calibri" w:hAnsi="Calibri" w:cs="Arial"/>
          <w:lang w:val="en-US"/>
        </w:rPr>
        <w:t>benign course in most</w:t>
      </w:r>
      <w:r w:rsidR="00A61132">
        <w:rPr>
          <w:rFonts w:ascii="Calibri" w:hAnsi="Calibri" w:cs="Arial"/>
          <w:lang w:val="en-US"/>
        </w:rPr>
        <w:t xml:space="preserve"> patients.</w:t>
      </w:r>
      <w:r w:rsidRPr="00923CE9">
        <w:rPr>
          <w:rFonts w:ascii="Calibri" w:hAnsi="Calibri" w:cs="Arial"/>
          <w:lang w:val="en-US"/>
        </w:rPr>
        <w:fldChar w:fldCharType="begin" w:fldLock="1"/>
      </w:r>
      <w:r w:rsidR="00843D9D">
        <w:rPr>
          <w:rFonts w:ascii="Calibri" w:hAnsi="Calibri" w:cs="Arial"/>
          <w:lang w:val="en-US"/>
        </w:rPr>
        <w:instrText>ADDIN CSL_CITATION { "citationItems" : [ { "id" : "ITEM-1", "itemData" : { "DOI" : "10.1016/j.jacc.2014.05.003", "ISSN" : "1558-3597", "PMID" : "24998133", "abstract" : "Hypertrophic cardiomyopathy (HCM) is a common inherited heart disease with diverse phenotypic and genetic expression, clinical presentation, and natural history. HCM has been recognized for 55 years, but recently substantial advances in diagnosis and treatment options have evolved, as well as increased recognition of the disease in clinical practice. Nevertheless, most genetically and clinically affected individuals probably remain undiagnosed, largely free from disease-related complications, although HCM may progress along 1 or more of its major disease pathways (i.e., arrhythmic sudden death risk; progressive heart failure [HF] due to dynamic left ventricular [LV] outflow obstruction or due to systolic dysfunction in the absence of obstruction; or atrial fibrillation with risk of stroke). Effective treatments are available for each adverse HCM complication, including implantable cardioverter-defibrillators (ICDs) for sudden death prevention, heart transplantation for end-stage failure, surgical myectomy (or selectively, alcohol septal ablation) to alleviate HF symptoms by abolishing outflow obstruction, and catheter-based procedures to control atrial fibrillation. These and other strategies have now resulted in a low disease-related mortality rate of\u00a0&lt;1%/year. Therefore, HCM has emerged from an era of misunderstanding, stigma, and pessimism, experiencing vast changes in its clinical profile, and acquiring an effective and diverse management armamentarium. These advances have changed its natural history, with prevention of sudden death and reversal of HF, thereby restoring quality of life with extended (if not normal) longevity for most patients, and transforming HCM into a contemporary treatable cardiovascular disease.", "author" : [ { "dropping-particle" : "", "family" : "Maron", "given" : "Barry J", "non-dropping-particle" : "", "parse-names" : false, "suffix" : "" }, { "dropping-particle" : "", "family" : "Ommen", "given" : "Steve R", "non-dropping-particle" : "", "parse-names" : false, "suffix" : "" }, { "dropping-particle" : "", "family" : "Semsarian", "given" : "Christopher", "non-dropping-particle" : "", "parse-names" : false, "suffix" : "" }, { "dropping-particle" : "", "family" : "Spirito", "given" : "Paolo", "non-dropping-particle" : "", "parse-names" : false, "suffix" : "" }, { "dropping-particle" : "", "family" : "Olivotto", "given" : "Iacopo", "non-dropping-particle" : "", "parse-names" : false, "suffix" : "" }, { "dropping-particle" : "", "family" : "Maron", "given" : "Martin S", "non-dropping-particle" : "", "parse-names" : false, "suffix" : "" } ], "container-title" : "Journal of the American College of Cardiology", "id" : "ITEM-1", "issue" : "1", "issued" : { "date-parts" : [ [ "2014", "7", "8" ] ] }, "page" : "83-99", "title" : "Hypertrophic Cardiomyopathy: Present and Future, With Translation Into Contemporary Cardiovascular Medicine.", "type" : "article-journal", "volume" : "64" }, "uris" : [ "http://www.mendeley.com/documents/?uuid=90f89eec-c9f7-4144-8622-d905582d89d4" ] } ], "mendeley" : { "formattedCitation" : "[1]", "plainTextFormattedCitation" : "[1]", "previouslyFormattedCitation" : "[1]" }, "properties" : { "noteIndex" : 0 }, "schema" : "https://github.com/citation-style-language/schema/raw/master/csl-citation.json" }</w:instrText>
      </w:r>
      <w:r w:rsidRPr="00923CE9">
        <w:rPr>
          <w:rFonts w:ascii="Calibri" w:hAnsi="Calibri" w:cs="Arial"/>
          <w:lang w:val="en-US"/>
        </w:rPr>
        <w:fldChar w:fldCharType="separate"/>
      </w:r>
      <w:r w:rsidR="00843D9D" w:rsidRPr="00843D9D">
        <w:rPr>
          <w:rFonts w:ascii="Calibri" w:hAnsi="Calibri" w:cs="Arial"/>
          <w:noProof/>
          <w:lang w:val="en-US"/>
        </w:rPr>
        <w:t>[1]</w:t>
      </w:r>
      <w:r w:rsidRPr="00923CE9">
        <w:rPr>
          <w:rFonts w:ascii="Calibri" w:hAnsi="Calibri" w:cs="Arial"/>
          <w:lang w:val="en-US"/>
        </w:rPr>
        <w:fldChar w:fldCharType="end"/>
      </w:r>
      <w:r w:rsidRPr="00923CE9">
        <w:rPr>
          <w:rFonts w:ascii="Calibri" w:hAnsi="Calibri" w:cs="Arial"/>
          <w:lang w:val="en-US"/>
        </w:rPr>
        <w:t xml:space="preserve"> </w:t>
      </w:r>
      <w:r w:rsidR="00F36DBB" w:rsidRPr="00923CE9">
        <w:rPr>
          <w:rFonts w:ascii="Calibri" w:hAnsi="Calibri" w:cs="Arial"/>
          <w:lang w:val="en-US"/>
        </w:rPr>
        <w:t>D</w:t>
      </w:r>
      <w:r w:rsidRPr="00923CE9">
        <w:rPr>
          <w:rFonts w:ascii="Calibri" w:hAnsi="Calibri" w:cs="Arial"/>
          <w:lang w:val="en-US"/>
        </w:rPr>
        <w:t xml:space="preserve">espite being </w:t>
      </w:r>
      <w:r w:rsidR="00895ED4" w:rsidRPr="00923CE9">
        <w:rPr>
          <w:rFonts w:ascii="Calibri" w:hAnsi="Calibri" w:cs="Arial"/>
          <w:lang w:val="en-US"/>
        </w:rPr>
        <w:t>recognized</w:t>
      </w:r>
      <w:r w:rsidRPr="00923CE9">
        <w:rPr>
          <w:rFonts w:ascii="Calibri" w:hAnsi="Calibri" w:cs="Arial"/>
          <w:lang w:val="en-US"/>
        </w:rPr>
        <w:t xml:space="preserve"> as a global disorder, data </w:t>
      </w:r>
      <w:r w:rsidR="00F36DBB" w:rsidRPr="00923CE9">
        <w:rPr>
          <w:rFonts w:ascii="Calibri" w:hAnsi="Calibri" w:cs="Arial"/>
          <w:lang w:val="en-US"/>
        </w:rPr>
        <w:t>relating to the phenotypic manifestations and natural history in</w:t>
      </w:r>
      <w:r w:rsidR="00C832A4">
        <w:rPr>
          <w:rFonts w:ascii="Calibri" w:hAnsi="Calibri" w:cs="Arial"/>
          <w:lang w:val="en-US"/>
        </w:rPr>
        <w:t xml:space="preserve"> black patients are</w:t>
      </w:r>
      <w:r w:rsidR="00BB7FFD">
        <w:rPr>
          <w:rFonts w:ascii="Calibri" w:hAnsi="Calibri" w:cs="Arial"/>
          <w:lang w:val="en-US"/>
        </w:rPr>
        <w:t xml:space="preserve"> scarce</w:t>
      </w:r>
      <w:r w:rsidR="00A61132">
        <w:rPr>
          <w:rFonts w:ascii="Calibri" w:hAnsi="Calibri" w:cs="Arial"/>
          <w:lang w:val="en-US"/>
        </w:rPr>
        <w:t>.</w:t>
      </w:r>
      <w:r w:rsidRPr="00923CE9">
        <w:rPr>
          <w:rFonts w:ascii="Calibri" w:hAnsi="Calibri" w:cs="Arial"/>
          <w:lang w:val="en-US"/>
        </w:rPr>
        <w:fldChar w:fldCharType="begin" w:fldLock="1"/>
      </w:r>
      <w:r w:rsidR="00843D9D">
        <w:rPr>
          <w:rFonts w:ascii="Calibri" w:hAnsi="Calibri" w:cs="Arial"/>
          <w:lang w:val="en-US"/>
        </w:rPr>
        <w:instrText>ADDIN CSL_CITATION { "citationItems" : [ { "id" : "ITEM-1", "itemData" : { "ISSN" : "0256-9574", "PMID" : "4735640", "author" : [ { "dropping-particle" : "", "family" : "Lewis", "given" : "B S", "non-dropping-particle" : "", "parse-names" : false, "suffix" : "" }, { "dropping-particle" : "", "family" : "Armstrong", "given" : "T G", "non-dropping-particle" : "", "parse-names" : false, "suffix" : "" }, { "dropping-particle" : "", "family" : "Mitha", "given" : "a S", "non-dropping-particle" : "", "parse-names" : false, "suffix" : "" }, { "dropping-particle" : "", "family" : "Gotsman", "given" : "M S", "non-dropping-particle" : "", "parse-names" : false, "suffix" : "" } ], "container-title" : "South African medical journal = Suid-Afrikaanse tydskrif vir geneeskunde", "id" : "ITEM-1", "issue" : "14", "issued" : { "date-parts" : [ [ "1973", "4", "14" ] ] }, "page" : "599-604", "title" : "Hypertrophic obstructive cardiomyopathy in the South African Bantu.", "type" : "article-journal", "volume" : "47" }, "uris" : [ "http://www.mendeley.com/documents/?uuid=c504fb58-a59c-497b-9a1c-436e3aef5090" ] }, { "id" : "ITEM-2", "itemData" : { "DOI" : "10.1086/302623", "ISSN" : "0002-9297", "PMID" : "10521296", "abstract" : "Hypertrophic cardiomyopathy (HCM) is an autosomal dominantly inherited disease of the cardiac sarcomere, caused by numerous mutations in genes encoding protein components of this structure. Mutation carriers are at risk of sudden cardiac death, mostly as adolescents or young adults. The reproductive disadvantage incurred may explain both the global occurrence of diverse independent HCM-associated mutations and the rare reports of founder effects within populations. We have investigated whether this holds true for two South African subpopulations, one of mixed ancestry and one of northern-European descent. Previously, we had detected three novel mutations-Ala797Thr in the beta-myosin heavy-chain gene (betaMHC), Arg92Trp in the cardiac troponin T gene (cTnT), and Arg645His in the myosin-binding protein C gene (MyBPC)-and two documented betaMHC mutations (Arg403Trp and Arg249Gln). Here we report three additional novel mutations-Gln499Lys in betaMHC and Val896Met and Deltac756 in MyBPC-and the documented betaMHC Arg719Gln mutation. Seven of the nine HCM-causing mutations arose independently; no conclusions can be drawn for the remaining two. However, the betaMHC Arg403Trp and Ala797Thr and cTnT Arg92Trp mutations were detected in another one, eight, and four probands, respectively, and haplotype analysis in families carrying these recurring mutations inferred their origin from three common ancestors. The milder phenotype of the betaMHC mutations may account for the presence of these founder effects, whereas population dynamics alone may have overridden the reproductive disadvantage incurred by the more lethal, cTnT Arg92Trp mutation", "author" : [ { "dropping-particle" : "", "family" : "Moolman-Smook", "given" : "J C", "non-dropping-particle" : "", "parse-names" : false, "suffix" : "" }, { "dropping-particle" : "", "family" : "Lange", "given" : "W J", "non-dropping-particle" : "De", "parse-names" : false, "suffix" : "" }, { "dropping-particle" : "", "family" : "Bruwer", "given" : "E C", "non-dropping-particle" : "", "parse-names" : false, "suffix" : "" }, { "dropping-particle" : "", "family" : "Brink", "given" : "Paul A", "non-dropping-particle" : "", "parse-names" : false, "suffix" : "" }, { "dropping-particle" : "", "family" : "Corfield", "given" : "Valerie A", "non-dropping-particle" : "", "parse-names" : false, "suffix" : "" } ], "container-title" : "Am J Hum Genet", "id" : "ITEM-2", "issue" : "0002-9297 (Print)", "issued" : { "date-parts" : [ [ "1999" ] ] }, "page" : "1308-1320", "title" : "The origins of hypertrophic cardiomyopathy-causing mutations in two South African subpopulations: a unique profile of both independent and founder events", "type" : "article-journal", "volume" : "65" }, "uris" : [ "http://www.mendeley.com/documents/?uuid=432632f0-7db2-4e50-a3bb-764eb2a7989b" ] }, { "id" : "ITEM-3", "itemData" : { "DOI" : "10.1186/1476-7120-8-54", "ISSN" : "1476-7120", "PMID" : "21143986", "abstract" : "The goal of this study was to evaluate the prevalence of suspected hypertrophic cardiomyopathy (HCM) in a population of teenagers undergoing screening echocardiography for the detection of HCM.", "author" : [ { "dropping-particle" : "", "family" : "Movahed", "given" : "Mohammad Reza", "non-dropping-particle" : "", "parse-names" : false, "suffix" : "" }, { "dropping-particle" : "", "family" : "Strootman", "given" : "Deborah", "non-dropping-particle" : "", "parse-names" : false, "suffix" : "" }, { "dropping-particle" : "", "family" : "Bates", "given" : "Sharon", "non-dropping-particle" : "", "parse-names" : false, "suffix" : "" }, { "dropping-particle" : "", "family" : "Sattur", "given" : "Sudhakar", "non-dropping-particle" : "", "parse-names" : false, "suffix" : "" } ], "container-title" : "Cardiovascular ultrasound", "id" : "ITEM-3", "issue" : "1", "issued" : { "date-parts" : [ [ "2010", "1" ] ] }, "page" : "54", "publisher" : "BioMed Central Ltd", "title" : "Prevalence of suspected hypertrophic cardiomyopathy or left ventricular hypertrophy based on race and gender in teenagers using screening echocardiography.", "type" : "article-journal", "volume" : "8" }, "uris" : [ "http://www.mendeley.com/documents/?uuid=be7c3243-f50c-4c07-8fb8-cb822c3608bd" ] }, { "id" : "ITEM-4", "itemData" : { "ISSN" : "0735-1097", "PMID" : "12651044", "abstract" : "OBJECTIVES: The goal of this study was to determine the impact of race on identification of hypertrophic cardiomyopathy (HCM). BACKGROUND: Sudden death in young competitive athletes is due to a variety of cardiovascular diseases (CVDs) and, most commonly, HCM. These catastrophes have become an important issue for African Americans, although HCM has been previously regarded as rare in this segment of the U.S. population. METHODS: We studied the relationship of race to the prevalence of CVDs causing sudden death in our national athlete registry, and compared these findings with a representative multicenter hospital-based cohort of patients with HCM. RESULTS: Of 584 athlete deaths, 286 were documented to be due to CVD at ages 17 +/- 3 years; 156 (55%) were white, and 120 (42%) were African American. Most were male (90%), and 67% participated in basketball and football. Among the 286 cardiovascular deaths, most were due to HCM (n = 102; 36%) or anomalous coronary artery of wrong sinus origin (n = 37; 13%). Of the athletes who died of HCM, 42 (41%) were white, but 56 (55%) were African American. In contrast, of 1,986 clinically identified HCM patients, only 158 (8%) were African American (p &lt; 0.001). CONCLUSIONS: In this autopsy series, HCM represented a common cause of sudden death in young and previously undiagnosed African American male athletes, in sharp contrast with the infrequent clinical identification of HCM in a hospital-based population (i.e., by seven-fold). This discrepancy suggests that many HCM cases go unrecognized in the African American community, underscoring the need for enhanced clinical recognition of HCM to create the opportunity for preventive measures to be employed in high-risk patients with this complex disease.", "author" : [ { "dropping-particle" : "", "family" : "Maron", "given" : "Barry J", "non-dropping-particle" : "", "parse-names" : false, "suffix" : "" }, { "dropping-particle" : "", "family" : "Carney", "given" : "Kevin P", "non-dropping-particle" : "", "parse-names" : false, "suffix" : "" }, { "dropping-particle" : "", "family" : "Lever", "given" : "Harry M", "non-dropping-particle" : "", "parse-names" : false, "suffix" : "" }, { "dropping-particle" : "", "family" : "Lewis", "given" : "Jannet F", "non-dropping-particle" : "", "parse-names" : false, "suffix" : "" }, { "dropping-particle" : "", "family" : "Barac", "given" : "Ivan", "non-dropping-particle" : "", "parse-names" : false, "suffix" : "" }, { "dropping-particle" : "", "family" : "Casey", "given" : "Susan A", "non-dropping-particle" : "", "parse-names" : false, "suffix" : "" }, { "dropping-particle" : "V", "family" : "Sherrid", "given" : "Mark", "non-dropping-particle" : "", "parse-names" : false, "suffix" : "" } ], "container-title" : "Journal of the American College of Cardiology", "id" : "ITEM-4", "issue" : "6", "issued" : { "date-parts" : [ [ "2003", "3" ] ] }, "page" : "974-80", "title" : "Relationship of race to sudden cardiac death in competitive athletes with hypertrophic cardiomyopathy.", "type" : "article-journal", "volume" : "41" }, "uris" : [ "http://www.mendeley.com/documents/?uuid=82748aa0-4135-4d00-bbcd-84c5f52cd62d" ] }, { "id" : "ITEM-5", "itemData" : { "author" : [ { "dropping-particle" : "", "family" : "Colyn", "given" : "H. J. R.", "non-dropping-particle" : "", "parse-names" : false, "suffix" : "" }, { "dropping-particle" : "", "family" : "Kleynhans", "given" : "P. H. T.", "non-dropping-particle" : "", "parse-names" : false, "suffix" : "" } ], "container-title" : "South African medical journal = Suid-Afrikaanse tydskrif vir geneeskunde", "id" : "ITEM-5", "issue" : "3", "issued" : { "date-parts" : [ [ "1990" ] ] }, "page" : "165", "title" : "Hypertrophic cardiomyopathy in the black population of South Africa", "type" : "article-journal", "volume" : "77" }, "uris" : [ "http://www.mendeley.com/documents/?uuid=415fb9ae-fffa-4c9e-8594-c6654ce9f60c" ] }, { "id" : "ITEM-6", "itemData" : { "ISSN" : "0256-9574", "PMID" : "6681681", "abstract" : "Hypertrophic cardiomyopathy (HCM) has been considered rare among the Black population of southern Africa. We report 7 patients with the disease who presented during a 14-month period. Current concepts in the approach to the diagnosis and treatment of HCM are discussed. It is possible that with greater awareness of the occurrence of the condition in Blacks the diagnosis of HCM will be made in more members of this population group.", "author" : [ { "dropping-particle" : "", "family" : "Lewis", "given" : "B S", "non-dropping-particle" : "", "parse-names" : false, "suffix" : "" }, { "dropping-particle" : "", "family" : "Agathangelou", "given" : "N E", "non-dropping-particle" : "", "parse-names" : false, "suffix" : "" }, { "dropping-particle" : "", "family" : "Flax", "given" : "H", "non-dropping-particle" : "", "parse-names" : false, "suffix" : "" }, { "dropping-particle" : "", "family" : "Taams", "given" : "M a", "non-dropping-particle" : "", "parse-names" : false, "suffix" : "" }, { "dropping-particle" : "", "family" : "Barlow", "given" : "J B", "non-dropping-particle" : "", "parse-names" : false, "suffix" : "" } ], "container-title" : "South African medical journal = Suid-Afrikaanse tydskrif vir geneeskunde", "id" : "ITEM-6", "issue" : "8", "issued" : { "date-parts" : [ [ "1983", "2" ] ] }, "page" : "266-70", "title" : "Hypertrophic cardiomyopathy in South African Blacks.", "type" : "article-journal", "volume" : "63" }, "uris" : [ "http://www.mendeley.com/documents/?uuid=19ece49e-f049-4632-957e-2f8c3bf827f6" ] }, { "id" : "ITEM-7", "itemData" : { "author" : [ { "dropping-particle" : "", "family" : "Abegaz", "given" : "B", "non-dropping-particle" : "", "parse-names" : false, "suffix" : "" } ], "container-title" : "East African Medical Journal", "id" : "ITEM-7", "issue" : "8", "issued" : { "date-parts" : [ [ "1990" ] ] }, "page" : "556-67", "title" : "The impact of echocardiography in the diagnosis of hypertrophic cardiomyopathy", "type" : "article-journal", "volume" : "67" }, "uris" : [ "http://www.mendeley.com/documents/?uuid=c78db1d7-157f-4a43-8eff-f8de08abf69a" ] } ], "mendeley" : { "formattedCitation" : "[12,29\u201334]", "plainTextFormattedCitation" : "[12,29\u201334]", "previouslyFormattedCitation" : "[12,29\u201334]" }, "properties" : { "noteIndex" : 0 }, "schema" : "https://github.com/citation-style-language/schema/raw/master/csl-citation.json" }</w:instrText>
      </w:r>
      <w:r w:rsidRPr="00923CE9">
        <w:rPr>
          <w:rFonts w:ascii="Calibri" w:hAnsi="Calibri" w:cs="Arial"/>
          <w:lang w:val="en-US"/>
        </w:rPr>
        <w:fldChar w:fldCharType="separate"/>
      </w:r>
      <w:r w:rsidR="00843D9D" w:rsidRPr="00843D9D">
        <w:rPr>
          <w:rFonts w:ascii="Calibri" w:hAnsi="Calibri" w:cs="Arial"/>
          <w:noProof/>
          <w:lang w:val="en-US"/>
        </w:rPr>
        <w:t>[12,29–34]</w:t>
      </w:r>
      <w:r w:rsidRPr="00923CE9">
        <w:rPr>
          <w:rFonts w:ascii="Calibri" w:hAnsi="Calibri" w:cs="Arial"/>
          <w:lang w:val="en-US"/>
        </w:rPr>
        <w:fldChar w:fldCharType="end"/>
      </w:r>
      <w:r w:rsidRPr="00923CE9">
        <w:rPr>
          <w:rFonts w:ascii="Calibri" w:hAnsi="Calibri" w:cs="Arial"/>
          <w:lang w:val="en-US"/>
        </w:rPr>
        <w:t xml:space="preserve"> </w:t>
      </w:r>
      <w:r w:rsidR="00BB7FFD">
        <w:rPr>
          <w:rFonts w:ascii="Calibri" w:hAnsi="Calibri" w:cs="Arial"/>
          <w:lang w:val="en-US"/>
        </w:rPr>
        <w:t xml:space="preserve"> A</w:t>
      </w:r>
      <w:r w:rsidR="00196887">
        <w:rPr>
          <w:rFonts w:ascii="Calibri" w:hAnsi="Calibri" w:cs="Arial"/>
          <w:lang w:val="en-US"/>
        </w:rPr>
        <w:t>ddition</w:t>
      </w:r>
      <w:r w:rsidR="00BB7FFD">
        <w:rPr>
          <w:rFonts w:ascii="Calibri" w:hAnsi="Calibri" w:cs="Arial"/>
          <w:lang w:val="en-US"/>
        </w:rPr>
        <w:t>ally</w:t>
      </w:r>
      <w:r w:rsidR="00196887">
        <w:rPr>
          <w:rFonts w:ascii="Calibri" w:hAnsi="Calibri" w:cs="Arial"/>
          <w:lang w:val="en-US"/>
        </w:rPr>
        <w:t>, b</w:t>
      </w:r>
      <w:r w:rsidR="00930A36" w:rsidRPr="00923CE9">
        <w:rPr>
          <w:rFonts w:ascii="Calibri" w:hAnsi="Calibri" w:cs="Arial"/>
          <w:lang w:val="en-US"/>
        </w:rPr>
        <w:t>lack patients have a high prevalence of hypertension, which is conventionally regarded as an exclusion criterion for the diagnosis of HCM</w:t>
      </w:r>
      <w:r w:rsidR="00292AAF">
        <w:rPr>
          <w:rFonts w:ascii="Calibri" w:hAnsi="Calibri" w:cs="Arial"/>
          <w:lang w:val="en-US"/>
        </w:rPr>
        <w:t>;</w:t>
      </w:r>
      <w:r w:rsidR="00BB7FFD">
        <w:rPr>
          <w:rFonts w:ascii="Calibri" w:hAnsi="Calibri" w:cs="Arial"/>
          <w:lang w:val="en-US"/>
        </w:rPr>
        <w:t xml:space="preserve"> t</w:t>
      </w:r>
      <w:r w:rsidR="00930A36" w:rsidRPr="00923CE9">
        <w:rPr>
          <w:rFonts w:ascii="Calibri" w:hAnsi="Calibri" w:cs="Arial"/>
          <w:lang w:val="en-US"/>
        </w:rPr>
        <w:t xml:space="preserve">herefore the diagnosis of HCM is probably under-reported in this cohort. </w:t>
      </w:r>
      <w:r w:rsidR="00756293" w:rsidRPr="00923CE9">
        <w:rPr>
          <w:rFonts w:ascii="Calibri" w:hAnsi="Calibri" w:cs="Arial"/>
          <w:lang w:val="en-US"/>
        </w:rPr>
        <w:t>However, b</w:t>
      </w:r>
      <w:r w:rsidRPr="00923CE9">
        <w:rPr>
          <w:rFonts w:ascii="Calibri" w:hAnsi="Calibri" w:cs="Arial"/>
          <w:lang w:val="en-US"/>
        </w:rPr>
        <w:t>lack ethnicity modulate</w:t>
      </w:r>
      <w:r w:rsidR="00F36DBB" w:rsidRPr="00923CE9">
        <w:rPr>
          <w:rFonts w:ascii="Calibri" w:hAnsi="Calibri" w:cs="Arial"/>
          <w:lang w:val="en-US"/>
        </w:rPr>
        <w:t>s</w:t>
      </w:r>
      <w:r w:rsidRPr="00923CE9">
        <w:rPr>
          <w:rFonts w:ascii="Calibri" w:hAnsi="Calibri" w:cs="Arial"/>
          <w:lang w:val="en-US"/>
        </w:rPr>
        <w:t xml:space="preserve"> a number of cardiovascular diseases, </w:t>
      </w:r>
      <w:r w:rsidR="00C81243">
        <w:rPr>
          <w:rFonts w:ascii="Calibri" w:hAnsi="Calibri" w:cs="Arial"/>
          <w:lang w:val="en-US"/>
        </w:rPr>
        <w:t>including myocardial infarction</w:t>
      </w:r>
      <w:r w:rsidR="00A61132">
        <w:rPr>
          <w:rFonts w:ascii="Calibri" w:hAnsi="Calibri" w:cs="Arial"/>
          <w:lang w:val="en-US"/>
        </w:rPr>
        <w:t>,</w:t>
      </w:r>
      <w:r w:rsidRPr="00923CE9">
        <w:rPr>
          <w:rFonts w:ascii="Calibri" w:hAnsi="Calibri" w:cs="Arial"/>
          <w:lang w:val="en-US"/>
        </w:rPr>
        <w:fldChar w:fldCharType="begin" w:fldLock="1"/>
      </w:r>
      <w:r w:rsidR="00843D9D">
        <w:rPr>
          <w:rFonts w:ascii="Calibri" w:hAnsi="Calibri" w:cs="Arial"/>
          <w:lang w:val="en-US"/>
        </w:rPr>
        <w:instrText>ADDIN CSL_CITATION { "citationItems" : [ { "id" : "ITEM-1", "itemData" : { "DOI" : "10.1016/j.amjcard.2005.11.011", "ISBN" : "0002-9149", "ISSN" : "0002-9149", "PMID" : "16442932", "abstract" : "Racial/ethnic minorities in the United States have a risk for coronary artery disease (CAD) that is at least equivalent to that in the white majority. African Americans have greater cardiovascular mortality rates and greater risk for early mortality caused by CAD. Risk may be associated with a greater clustering of risk factors in African Americans and other minority groups and may be associated with inadequate screening and evidence-based treatment of these groups in clinical practice. Data are beginning to emerge showing racial/ethnic variation in levels of the inflammatory marker high-sensitivity C-reactive protein, with higher levels in African Americans than in whites. There remain significant challenges to understanding racial/ethnic differences in cardiovascular risk factors and to including minority groups in clinical trials of therapeutic interventions, thereby ensuring optimal treatment for all.", "author" : [ { "dropping-particle" : "", "family" : "Ferdinand", "given" : "Keith C", "non-dropping-particle" : "", "parse-names" : false, "suffix" : "" } ], "container-title" : "The American journal of cardiology", "id" : "ITEM-1", "issue" : "2A", "issued" : { "date-parts" : [ [ "2006" ] ] }, "page" : "12A-19A", "title" : "Coronary artery disease in minority racial and ethnic groups in the United States.", "type" : "article-journal", "volume" : "97" }, "uris" : [ "http://www.mendeley.com/documents/?uuid=f2e1ce35-85cb-414b-818f-79ed574d4ee4" ] } ], "mendeley" : { "formattedCitation" : "[35]", "plainTextFormattedCitation" : "[35]", "previouslyFormattedCitation" : "[35]" }, "properties" : { "noteIndex" : 0 }, "schema" : "https://github.com/citation-style-language/schema/raw/master/csl-citation.json" }</w:instrText>
      </w:r>
      <w:r w:rsidRPr="00923CE9">
        <w:rPr>
          <w:rFonts w:ascii="Calibri" w:hAnsi="Calibri" w:cs="Arial"/>
          <w:lang w:val="en-US"/>
        </w:rPr>
        <w:fldChar w:fldCharType="separate"/>
      </w:r>
      <w:r w:rsidR="00843D9D" w:rsidRPr="00843D9D">
        <w:rPr>
          <w:rFonts w:ascii="Calibri" w:hAnsi="Calibri" w:cs="Arial"/>
          <w:noProof/>
          <w:lang w:val="en-US"/>
        </w:rPr>
        <w:t>[35]</w:t>
      </w:r>
      <w:r w:rsidRPr="00923CE9">
        <w:rPr>
          <w:rFonts w:ascii="Calibri" w:hAnsi="Calibri" w:cs="Arial"/>
          <w:lang w:val="en-US"/>
        </w:rPr>
        <w:fldChar w:fldCharType="end"/>
      </w:r>
      <w:r w:rsidRPr="00923CE9">
        <w:rPr>
          <w:rFonts w:ascii="Calibri" w:hAnsi="Calibri" w:cs="Arial"/>
          <w:lang w:val="en-US"/>
        </w:rPr>
        <w:t xml:space="preserve"> stroke</w:t>
      </w:r>
      <w:r w:rsidR="00A61132">
        <w:rPr>
          <w:rFonts w:ascii="Calibri" w:hAnsi="Calibri" w:cs="Arial"/>
          <w:lang w:val="en-US"/>
        </w:rPr>
        <w:t>,</w:t>
      </w:r>
      <w:r w:rsidRPr="00923CE9">
        <w:rPr>
          <w:rFonts w:ascii="Calibri" w:hAnsi="Calibri" w:cs="Arial"/>
          <w:lang w:val="en-US"/>
        </w:rPr>
        <w:fldChar w:fldCharType="begin" w:fldLock="1"/>
      </w:r>
      <w:r w:rsidR="00843D9D">
        <w:rPr>
          <w:rFonts w:ascii="Calibri" w:hAnsi="Calibri" w:cs="Arial"/>
          <w:lang w:val="en-US"/>
        </w:rPr>
        <w:instrText>ADDIN CSL_CITATION { "citationItems" : [ { "id" : "ITEM-1", "itemData" : { "DOI" : "10.1161/CIRCULATIONAHA.109.881490", "ISSN" : "1524-4539", "PMID" : "20308617", "abstract" : "BACKGROUND: Prior studies suggest differences in stroke care associated with race/ethnicity. We sought to determine whether such differences existed in a population of black, Hispanic, and white patients hospitalized with stroke among hospitals participating in a quality-improvement program.\n\nMETHODS AND RESULTS: We analyzed in-hospital mortality and 7 stroke performance measures among 397,257 patients admitted with ischemic stroke to 1181 hospitals participating in the Get With The Guidelines-Stroke program 2003 through 2008. Relative to white patients, black and Hispanic patients were younger and more often had diabetes mellitus and hypertension. After adjustment for both patient- and hospital-level variables, black patients had lower odds relative to white patients of receiving intravenous thrombolysis (odds ratio [OR], 0.84; 95% confidence interval [CI], 0.77 to 0.91), deep vein thrombosis prophylaxis (OR, 0.88; 95% CI, 0.83 to 0.92), smoking cessation (OR, 0.85; 95% CI, 0.79 to 0.91), discharge antithrombotics (OR, 0.88; 95% CI, 0.84 to 0.92), anticoagulants for atrial fibrillation (OR, 0.84; 95% CI, 0.75 to 0.94), and lipid therapy (OR, 0.91; 95% CI, 0.88 to 0.96), and of dying in-hospital (OR, 0.90; 95% CI, 0.85 to 0.95). Hispanic patients received similar care as their white counterparts on all 7 measures and had similar in-hospital mortality. Black (OR, 1.31; 95% CI, 1.28 to 1.35) and Hispanic (OR, 1.16; 95% CI, 1.11 to 1.20) patients had higher odds of exceeding the median length of hospital stay relative to whites. During the study, quality of care improved in all 3 race/ethnicity groups.\n\nCONCLUSIONS: Black patients with stroke received fewer evidence-based care processes than Hispanic or white patients. These differences could lead to increased risk of recurrent stroke. Quality of care improved substantially in the Get With The Guidelines-Stroke Program over time for all 3 racial/ethnic groups.", "author" : [ { "dropping-particle" : "", "family" : "Schwamm", "given" : "Lee H", "non-dropping-particle" : "", "parse-names" : false, "suffix" : "" }, { "dropping-particle" : "", "family" : "Reeves", "given" : "Mathew J", "non-dropping-particle" : "", "parse-names" : false, "suffix" : "" }, { "dropping-particle" : "", "family" : "Pan", "given" : "Wenqin", "non-dropping-particle" : "", "parse-names" : false, "suffix" : "" }, { "dropping-particle" : "", "family" : "Smith", "given" : "Eric E", "non-dropping-particle" : "", "parse-names" : false, "suffix" : "" }, { "dropping-particle" : "", "family" : "Frankel", "given" : "Michael R", "non-dropping-particle" : "", "parse-names" : false, "suffix" : "" }, { "dropping-particle" : "", "family" : "Olson", "given" : "DaiWai", "non-dropping-particle" : "", "parse-names" : false, "suffix" : "" }, { "dropping-particle" : "", "family" : "Zhao", "given" : "Xin", "non-dropping-particle" : "", "parse-names" : false, "suffix" : "" }, { "dropping-particle" : "", "family" : "Peterson", "given" : "Eric", "non-dropping-particle" : "", "parse-names" : false, "suffix" : "" }, { "dropping-particle" : "", "family" : "Fonarow", "given" : "Gregg C", "non-dropping-particle" : "", "parse-names" : false, "suffix" : "" } ], "container-title" : "Circulation", "id" : "ITEM-1", "issue" : "13", "issued" : { "date-parts" : [ [ "2010", "4", "6" ] ] }, "page" : "1492-501", "title" : "Race/ethnicity, quality of care, and outcomes in ischemic stroke.", "type" : "article-journal", "volume" : "121" }, "uris" : [ "http://www.mendeley.com/documents/?uuid=1a7d544b-35e8-4a7d-b0c9-79cb5f52d982" ] } ], "mendeley" : { "formattedCitation" : "[36]", "plainTextFormattedCitation" : "[36]", "previouslyFormattedCitation" : "[36]" }, "properties" : { "noteIndex" : 0 }, "schema" : "https://github.com/citation-style-language/schema/raw/master/csl-citation.json" }</w:instrText>
      </w:r>
      <w:r w:rsidRPr="00923CE9">
        <w:rPr>
          <w:rFonts w:ascii="Calibri" w:hAnsi="Calibri" w:cs="Arial"/>
          <w:lang w:val="en-US"/>
        </w:rPr>
        <w:fldChar w:fldCharType="separate"/>
      </w:r>
      <w:r w:rsidR="00843D9D" w:rsidRPr="00843D9D">
        <w:rPr>
          <w:rFonts w:ascii="Calibri" w:hAnsi="Calibri" w:cs="Arial"/>
          <w:noProof/>
          <w:lang w:val="en-US"/>
        </w:rPr>
        <w:t>[36]</w:t>
      </w:r>
      <w:r w:rsidRPr="00923CE9">
        <w:rPr>
          <w:rFonts w:ascii="Calibri" w:hAnsi="Calibri" w:cs="Arial"/>
          <w:lang w:val="en-US"/>
        </w:rPr>
        <w:fldChar w:fldCharType="end"/>
      </w:r>
      <w:r w:rsidR="00C81243">
        <w:rPr>
          <w:rFonts w:ascii="Calibri" w:hAnsi="Calibri" w:cs="Arial"/>
          <w:lang w:val="en-US"/>
        </w:rPr>
        <w:t xml:space="preserve"> and heart failure</w:t>
      </w:r>
      <w:r w:rsidR="00A61132">
        <w:rPr>
          <w:rFonts w:ascii="Calibri" w:hAnsi="Calibri" w:cs="Arial"/>
          <w:lang w:val="en-US"/>
        </w:rPr>
        <w:t>.</w:t>
      </w:r>
      <w:r w:rsidRPr="00923CE9">
        <w:rPr>
          <w:rFonts w:ascii="Calibri" w:hAnsi="Calibri" w:cs="Arial"/>
          <w:lang w:val="en-US"/>
        </w:rPr>
        <w:fldChar w:fldCharType="begin" w:fldLock="1"/>
      </w:r>
      <w:r w:rsidR="00843D9D">
        <w:rPr>
          <w:rFonts w:ascii="Calibri" w:hAnsi="Calibri" w:cs="Arial"/>
          <w:lang w:val="en-US"/>
        </w:rPr>
        <w:instrText>ADDIN CSL_CITATION { "citationItems" : [ { "id" : "ITEM-1", "itemData" : { "author" : [ { "dropping-particle" : "", "family" : "Bibbins-Domingo", "given" : "K", "non-dropping-particle" : "", "parse-names" : false, "suffix" : "" }, { "dropping-particle" : "", "family" : "Pletcher", "given" : "MJ", "non-dropping-particle" : "", "parse-names" : false, "suffix" : "" }, { "dropping-particle" : "", "family" : "Lin", "given" : "F", "non-dropping-particle" : "", "parse-names" : false, "suffix" : "" }, { "dropping-particle" : "", "family" : "Vittinghoff", "given" : "E", "non-dropping-particle" : "", "parse-names" : false, "suffix" : "" }, { "dropping-particle" : "", "family" : "Gardin", "given" : "JM", "non-dropping-particle" : "", "parse-names" : false, "suffix" : "" }, { "dropping-particle" : "", "family" : "Arynchyn", "given" : "A", "non-dropping-particle" : "", "parse-names" : false, "suffix" : "" }, { "dropping-particle" : "", "family" : "Lewis", "given" : "CE", "non-dropping-particle" : "", "parse-names" : false, "suffix" : "" }, { "dropping-particle" : "", "family" : "Williams", "given" : "OD", "non-dropping-particle" : "", "parse-names" : false, "suffix" : "" }, { "dropping-particle" : "", "family" : "SB", "given" : "Hulley", "non-dropping-particle" : "", "parse-names" : false, "suffix" : "" } ], "container-title" : "New England Journal of Medicine", "id" : "ITEM-1", "issue" : "12", "issued" : { "date-parts" : [ [ "2009" ] ] }, "page" : "1179-1190", "title" : "Racial differences in incident heart failure among young adults", "type" : "article-journal", "volume" : "360" }, "uris" : [ "http://www.mendeley.com/documents/?uuid=c6e4c1b7-d10d-439c-8301-07a92671e441" ] } ], "mendeley" : { "formattedCitation" : "[37]", "plainTextFormattedCitation" : "[37]", "previouslyFormattedCitation" : "[37]" }, "properties" : { "noteIndex" : 0 }, "schema" : "https://github.com/citation-style-language/schema/raw/master/csl-citation.json" }</w:instrText>
      </w:r>
      <w:r w:rsidRPr="00923CE9">
        <w:rPr>
          <w:rFonts w:ascii="Calibri" w:hAnsi="Calibri" w:cs="Arial"/>
          <w:lang w:val="en-US"/>
        </w:rPr>
        <w:fldChar w:fldCharType="separate"/>
      </w:r>
      <w:r w:rsidR="00843D9D" w:rsidRPr="00843D9D">
        <w:rPr>
          <w:rFonts w:ascii="Calibri" w:hAnsi="Calibri" w:cs="Arial"/>
          <w:noProof/>
          <w:lang w:val="en-US"/>
        </w:rPr>
        <w:t>[37]</w:t>
      </w:r>
      <w:r w:rsidRPr="00923CE9">
        <w:rPr>
          <w:rFonts w:ascii="Calibri" w:hAnsi="Calibri" w:cs="Arial"/>
          <w:lang w:val="en-US"/>
        </w:rPr>
        <w:fldChar w:fldCharType="end"/>
      </w:r>
      <w:r w:rsidR="00756293" w:rsidRPr="00923CE9">
        <w:rPr>
          <w:rFonts w:ascii="Calibri" w:hAnsi="Calibri" w:cs="Arial"/>
          <w:lang w:val="en-US"/>
        </w:rPr>
        <w:t xml:space="preserve"> The present study provides</w:t>
      </w:r>
      <w:r w:rsidRPr="00923CE9">
        <w:rPr>
          <w:rFonts w:ascii="Calibri" w:hAnsi="Calibri" w:cs="Arial"/>
          <w:lang w:val="en-US"/>
        </w:rPr>
        <w:t xml:space="preserve"> a comprehensive description of the </w:t>
      </w:r>
      <w:r w:rsidR="00F36DBB" w:rsidRPr="00923CE9">
        <w:rPr>
          <w:rFonts w:ascii="Calibri" w:hAnsi="Calibri" w:cs="Arial"/>
          <w:lang w:val="en-US"/>
        </w:rPr>
        <w:t xml:space="preserve">clinical </w:t>
      </w:r>
      <w:r w:rsidR="0089574C">
        <w:rPr>
          <w:rFonts w:ascii="Calibri" w:hAnsi="Calibri" w:cs="Arial"/>
          <w:lang w:val="en-US"/>
        </w:rPr>
        <w:t>phenotype and natural course</w:t>
      </w:r>
      <w:r w:rsidRPr="00923CE9">
        <w:rPr>
          <w:rFonts w:ascii="Calibri" w:hAnsi="Calibri" w:cs="Arial"/>
          <w:lang w:val="en-US"/>
        </w:rPr>
        <w:t xml:space="preserve"> of HCM in </w:t>
      </w:r>
      <w:r w:rsidR="009400E7">
        <w:rPr>
          <w:rFonts w:ascii="Calibri" w:hAnsi="Calibri" w:cs="Arial"/>
          <w:lang w:val="en-US"/>
        </w:rPr>
        <w:t xml:space="preserve">a </w:t>
      </w:r>
      <w:r w:rsidR="00756293" w:rsidRPr="00923CE9">
        <w:rPr>
          <w:rFonts w:ascii="Calibri" w:hAnsi="Calibri" w:cs="Arial"/>
          <w:lang w:val="en-US"/>
        </w:rPr>
        <w:t>well-</w:t>
      </w:r>
      <w:r w:rsidR="00895ED4" w:rsidRPr="00923CE9">
        <w:rPr>
          <w:rFonts w:ascii="Calibri" w:hAnsi="Calibri" w:cs="Arial"/>
          <w:lang w:val="en-US"/>
        </w:rPr>
        <w:t>characterized</w:t>
      </w:r>
      <w:r w:rsidR="00756293" w:rsidRPr="00923CE9">
        <w:rPr>
          <w:rFonts w:ascii="Calibri" w:hAnsi="Calibri" w:cs="Arial"/>
          <w:lang w:val="en-US"/>
        </w:rPr>
        <w:t xml:space="preserve"> </w:t>
      </w:r>
      <w:r w:rsidR="009400E7">
        <w:rPr>
          <w:rFonts w:ascii="Calibri" w:hAnsi="Calibri" w:cs="Arial"/>
          <w:lang w:val="en-US"/>
        </w:rPr>
        <w:t xml:space="preserve">cohort of </w:t>
      </w:r>
      <w:r w:rsidRPr="00923CE9">
        <w:rPr>
          <w:rFonts w:ascii="Calibri" w:hAnsi="Calibri" w:cs="Arial"/>
          <w:lang w:val="en-US"/>
        </w:rPr>
        <w:t xml:space="preserve">black </w:t>
      </w:r>
      <w:r w:rsidR="00807469">
        <w:rPr>
          <w:rFonts w:ascii="Calibri" w:hAnsi="Calibri" w:cs="Arial"/>
          <w:lang w:val="en-US"/>
        </w:rPr>
        <w:t>and white patients in the UK</w:t>
      </w:r>
      <w:r w:rsidR="00756293" w:rsidRPr="00923CE9">
        <w:rPr>
          <w:rFonts w:ascii="Calibri" w:hAnsi="Calibri" w:cs="Arial"/>
          <w:lang w:val="en-US"/>
        </w:rPr>
        <w:t xml:space="preserve"> with equal access to a national health care system</w:t>
      </w:r>
      <w:r w:rsidR="00A44B45" w:rsidRPr="00923CE9">
        <w:rPr>
          <w:rFonts w:ascii="Calibri" w:hAnsi="Calibri" w:cs="Arial"/>
          <w:lang w:val="en-US"/>
        </w:rPr>
        <w:t>.</w:t>
      </w:r>
    </w:p>
    <w:p w:rsidR="00316FAE" w:rsidRDefault="00316FAE" w:rsidP="006C647A">
      <w:pPr>
        <w:spacing w:line="480" w:lineRule="auto"/>
        <w:rPr>
          <w:rFonts w:ascii="Calibri" w:hAnsi="Calibri" w:cs="Arial"/>
          <w:lang w:val="en-US"/>
        </w:rPr>
      </w:pPr>
    </w:p>
    <w:p w:rsidR="00604C0D" w:rsidRPr="00604C0D" w:rsidRDefault="00604C0D" w:rsidP="006C647A">
      <w:pPr>
        <w:spacing w:line="480" w:lineRule="auto"/>
        <w:rPr>
          <w:rFonts w:ascii="Calibri" w:hAnsi="Calibri" w:cs="Arial"/>
          <w:b/>
          <w:lang w:val="en-US"/>
        </w:rPr>
      </w:pPr>
      <w:r w:rsidRPr="00604C0D">
        <w:rPr>
          <w:rFonts w:ascii="Calibri" w:hAnsi="Calibri" w:cs="Arial"/>
          <w:b/>
          <w:lang w:val="en-US"/>
        </w:rPr>
        <w:t>Phenotypic Difference between Black and White Patients</w:t>
      </w:r>
    </w:p>
    <w:p w:rsidR="00421F0F" w:rsidRPr="00923CE9" w:rsidRDefault="00756293" w:rsidP="006C647A">
      <w:pPr>
        <w:spacing w:line="480" w:lineRule="auto"/>
        <w:rPr>
          <w:rFonts w:ascii="Calibri" w:hAnsi="Calibri" w:cs="Arial"/>
          <w:lang w:val="en-US"/>
        </w:rPr>
      </w:pPr>
      <w:r w:rsidRPr="00923CE9">
        <w:rPr>
          <w:rFonts w:ascii="Calibri" w:hAnsi="Calibri" w:cs="Arial"/>
          <w:lang w:val="en-US"/>
        </w:rPr>
        <w:t>Almost all</w:t>
      </w:r>
      <w:r w:rsidR="00421F0F" w:rsidRPr="00923CE9">
        <w:rPr>
          <w:rFonts w:ascii="Calibri" w:hAnsi="Calibri" w:cs="Arial"/>
          <w:lang w:val="en-US"/>
        </w:rPr>
        <w:t xml:space="preserve"> (</w:t>
      </w:r>
      <w:r w:rsidR="0051341F">
        <w:rPr>
          <w:rFonts w:ascii="Calibri" w:hAnsi="Calibri" w:cs="Arial"/>
          <w:lang w:val="en-US"/>
        </w:rPr>
        <w:t xml:space="preserve">n=160, </w:t>
      </w:r>
      <w:r w:rsidR="00421F0F" w:rsidRPr="00923CE9">
        <w:rPr>
          <w:rFonts w:ascii="Calibri" w:hAnsi="Calibri" w:cs="Arial"/>
          <w:lang w:val="en-US"/>
        </w:rPr>
        <w:t>98.2%)</w:t>
      </w:r>
      <w:r w:rsidR="00095AE8" w:rsidRPr="00923CE9">
        <w:rPr>
          <w:rFonts w:ascii="Calibri" w:hAnsi="Calibri" w:cs="Arial"/>
          <w:lang w:val="en-US"/>
        </w:rPr>
        <w:t xml:space="preserve"> black patient</w:t>
      </w:r>
      <w:r w:rsidRPr="00923CE9">
        <w:rPr>
          <w:rFonts w:ascii="Calibri" w:hAnsi="Calibri" w:cs="Arial"/>
          <w:lang w:val="en-US"/>
        </w:rPr>
        <w:t>s</w:t>
      </w:r>
      <w:r w:rsidR="00421F0F" w:rsidRPr="00923CE9">
        <w:rPr>
          <w:rFonts w:ascii="Calibri" w:hAnsi="Calibri" w:cs="Arial"/>
          <w:lang w:val="en-US"/>
        </w:rPr>
        <w:t xml:space="preserve"> </w:t>
      </w:r>
      <w:r w:rsidRPr="00923CE9">
        <w:rPr>
          <w:rFonts w:ascii="Calibri" w:hAnsi="Calibri" w:cs="Arial"/>
          <w:lang w:val="en-US"/>
        </w:rPr>
        <w:t>exhibited an abnormal ECG, with</w:t>
      </w:r>
      <w:r w:rsidR="00421F0F" w:rsidRPr="00923CE9">
        <w:rPr>
          <w:rFonts w:ascii="Calibri" w:hAnsi="Calibri" w:cs="Arial"/>
          <w:lang w:val="en-US"/>
        </w:rPr>
        <w:t xml:space="preserve"> a high prevalence of T-wave inve</w:t>
      </w:r>
      <w:r w:rsidR="00095AE8" w:rsidRPr="00923CE9">
        <w:rPr>
          <w:rFonts w:ascii="Calibri" w:hAnsi="Calibri" w:cs="Arial"/>
          <w:lang w:val="en-US"/>
        </w:rPr>
        <w:t>rsion (</w:t>
      </w:r>
      <w:r w:rsidR="0051341F">
        <w:rPr>
          <w:rFonts w:ascii="Calibri" w:hAnsi="Calibri" w:cs="Arial"/>
          <w:lang w:val="en-US"/>
        </w:rPr>
        <w:t xml:space="preserve">n=148, </w:t>
      </w:r>
      <w:r w:rsidR="00095AE8" w:rsidRPr="00923CE9">
        <w:rPr>
          <w:rFonts w:ascii="Calibri" w:hAnsi="Calibri" w:cs="Arial"/>
          <w:lang w:val="en-US"/>
        </w:rPr>
        <w:t>91.</w:t>
      </w:r>
      <w:r w:rsidR="007F7289">
        <w:rPr>
          <w:rFonts w:ascii="Calibri" w:hAnsi="Calibri" w:cs="Arial"/>
          <w:lang w:val="en-US"/>
        </w:rPr>
        <w:t>4</w:t>
      </w:r>
      <w:r w:rsidR="00095AE8" w:rsidRPr="00923CE9">
        <w:rPr>
          <w:rFonts w:ascii="Calibri" w:hAnsi="Calibri" w:cs="Arial"/>
          <w:lang w:val="en-US"/>
        </w:rPr>
        <w:t>%), which</w:t>
      </w:r>
      <w:r w:rsidRPr="00923CE9">
        <w:rPr>
          <w:rFonts w:ascii="Calibri" w:hAnsi="Calibri" w:cs="Arial"/>
          <w:lang w:val="en-US"/>
        </w:rPr>
        <w:t xml:space="preserve"> was frequently</w:t>
      </w:r>
      <w:r w:rsidR="00421F0F" w:rsidRPr="00923CE9">
        <w:rPr>
          <w:rFonts w:ascii="Calibri" w:hAnsi="Calibri" w:cs="Arial"/>
          <w:lang w:val="en-US"/>
        </w:rPr>
        <w:t xml:space="preserve"> deep (</w:t>
      </w:r>
      <w:r w:rsidR="0051341F">
        <w:rPr>
          <w:rFonts w:ascii="Calibri" w:hAnsi="Calibri" w:cs="Arial"/>
          <w:lang w:val="en-US"/>
        </w:rPr>
        <w:t xml:space="preserve">n=130, </w:t>
      </w:r>
      <w:r w:rsidR="00D429DA">
        <w:rPr>
          <w:rFonts w:ascii="Calibri" w:hAnsi="Calibri" w:cs="Arial"/>
          <w:lang w:val="en-US"/>
        </w:rPr>
        <w:t>80.2</w:t>
      </w:r>
      <w:r w:rsidRPr="00923CE9">
        <w:rPr>
          <w:rFonts w:ascii="Calibri" w:hAnsi="Calibri" w:cs="Arial"/>
          <w:lang w:val="en-US"/>
        </w:rPr>
        <w:t>%) and involved</w:t>
      </w:r>
      <w:r w:rsidR="00421F0F" w:rsidRPr="00923CE9">
        <w:rPr>
          <w:rFonts w:ascii="Calibri" w:hAnsi="Calibri" w:cs="Arial"/>
          <w:lang w:val="en-US"/>
        </w:rPr>
        <w:t xml:space="preserve"> the lateral leads (</w:t>
      </w:r>
      <w:r w:rsidR="0051341F">
        <w:rPr>
          <w:rFonts w:ascii="Calibri" w:hAnsi="Calibri" w:cs="Arial"/>
          <w:lang w:val="en-US"/>
        </w:rPr>
        <w:t xml:space="preserve">n=136, </w:t>
      </w:r>
      <w:r w:rsidR="00D429DA">
        <w:rPr>
          <w:rFonts w:ascii="Calibri" w:hAnsi="Calibri" w:cs="Arial"/>
          <w:lang w:val="en-US"/>
        </w:rPr>
        <w:t>84.0</w:t>
      </w:r>
      <w:r w:rsidR="00421F0F" w:rsidRPr="00923CE9">
        <w:rPr>
          <w:rFonts w:ascii="Calibri" w:hAnsi="Calibri" w:cs="Arial"/>
          <w:lang w:val="en-US"/>
        </w:rPr>
        <w:t xml:space="preserve">%). </w:t>
      </w:r>
      <w:r w:rsidR="00BA4E40" w:rsidRPr="00923CE9">
        <w:rPr>
          <w:rFonts w:ascii="Calibri" w:hAnsi="Calibri" w:cs="Arial"/>
          <w:lang w:val="en-US"/>
        </w:rPr>
        <w:t>In contrast, almost 10% of white patients revealed a normal ECG.</w:t>
      </w:r>
      <w:r w:rsidR="00BA4E40">
        <w:rPr>
          <w:rFonts w:ascii="Calibri" w:hAnsi="Calibri" w:cs="Arial"/>
          <w:lang w:val="en-US"/>
        </w:rPr>
        <w:t xml:space="preserve"> </w:t>
      </w:r>
      <w:r w:rsidR="00421F0F" w:rsidRPr="00923CE9">
        <w:rPr>
          <w:rFonts w:ascii="Calibri" w:hAnsi="Calibri" w:cs="Arial"/>
          <w:lang w:val="en-US"/>
        </w:rPr>
        <w:t xml:space="preserve">Given that </w:t>
      </w:r>
      <w:r w:rsidR="00EB70C9" w:rsidRPr="00923CE9">
        <w:rPr>
          <w:rFonts w:ascii="Calibri" w:hAnsi="Calibri" w:cs="Arial"/>
          <w:lang w:val="en-US"/>
        </w:rPr>
        <w:t xml:space="preserve">the reported prevalence of </w:t>
      </w:r>
      <w:r w:rsidR="00895ED4" w:rsidRPr="00923CE9">
        <w:rPr>
          <w:rFonts w:ascii="Calibri" w:hAnsi="Calibri" w:cs="Arial"/>
          <w:lang w:val="en-US"/>
        </w:rPr>
        <w:t>repolarization</w:t>
      </w:r>
      <w:r w:rsidR="00421F0F" w:rsidRPr="00923CE9">
        <w:rPr>
          <w:rFonts w:ascii="Calibri" w:hAnsi="Calibri" w:cs="Arial"/>
          <w:lang w:val="en-US"/>
        </w:rPr>
        <w:t xml:space="preserve"> changes in black hypertensive patients </w:t>
      </w:r>
      <w:r w:rsidR="00EB70C9" w:rsidRPr="00923CE9">
        <w:rPr>
          <w:rFonts w:ascii="Calibri" w:hAnsi="Calibri" w:cs="Arial"/>
          <w:lang w:val="en-US"/>
        </w:rPr>
        <w:t xml:space="preserve">is </w:t>
      </w:r>
      <w:r w:rsidR="003F1E3F" w:rsidRPr="00923CE9">
        <w:rPr>
          <w:rFonts w:ascii="Calibri" w:hAnsi="Calibri" w:cs="Arial"/>
          <w:lang w:val="en-US"/>
        </w:rPr>
        <w:t>≤</w:t>
      </w:r>
      <w:r w:rsidR="00EB70C9" w:rsidRPr="00923CE9">
        <w:rPr>
          <w:rFonts w:ascii="Calibri" w:hAnsi="Calibri" w:cs="Arial"/>
          <w:lang w:val="en-US"/>
        </w:rPr>
        <w:t>3</w:t>
      </w:r>
      <w:r w:rsidR="00A61132">
        <w:rPr>
          <w:rFonts w:ascii="Calibri" w:hAnsi="Calibri" w:cs="Arial"/>
          <w:lang w:val="en-US"/>
        </w:rPr>
        <w:t>0%,</w:t>
      </w:r>
      <w:r w:rsidR="00F32F98">
        <w:rPr>
          <w:rFonts w:ascii="Calibri" w:hAnsi="Calibri" w:cs="Arial"/>
          <w:lang w:val="en-US"/>
        </w:rPr>
        <w:fldChar w:fldCharType="begin" w:fldLock="1"/>
      </w:r>
      <w:r w:rsidR="00843D9D">
        <w:rPr>
          <w:rFonts w:ascii="Calibri" w:hAnsi="Calibri" w:cs="Arial"/>
          <w:lang w:val="en-US"/>
        </w:rPr>
        <w:instrText>ADDIN CSL_CITATION { "citationItems" : [ { "id" : "ITEM-1", "itemData" : { "DOI" : "10.1016/S0735-1097(01)01378-X", "ISSN" : "07351097", "author" : [ { "dropping-particle" : "", "family" : "Okin", "given" : "Peter M", "non-dropping-particle" : "", "parse-names" : false, "suffix" : "" }, { "dropping-particle" : "", "family" : "Devereux", "given" : "Richard B", "non-dropping-particle" : "", "parse-names" : false, "suffix" : "" }, { "dropping-particle" : "", "family" : "Nieminen", "given" : "Markku S", "non-dropping-particle" : "", "parse-names" : false, "suffix" : "" }, { "dropping-particle" : "", "family" : "Jern", "given" : "Sverker", "non-dropping-particle" : "", "parse-names" : false, "suffix" : "" }, { "dropping-particle" : "", "family" : "Oikarinen", "given" : "Lasse", "non-dropping-particle" : "", "parse-names" : false, "suffix" : "" }, { "dropping-particle" : "", "family" : "Viitasalo", "given" : "Matti", "non-dropping-particle" : "", "parse-names" : false, "suffix" : "" }, { "dropping-particle" : "", "family" : "Toivonen", "given" : "Lauri", "non-dropping-particle" : "", "parse-names" : false, "suffix" : "" }, { "dropping-particle" : "", "family" : "Kjeldsen", "given" : "Sverre E", "non-dropping-particle" : "", "parse-names" : false, "suffix" : "" }, { "dropping-particle" : "", "family" : "Julius", "given" : "Stevo", "non-dropping-particle" : "", "parse-names" : false, "suffix" : "" }, { "dropping-particle" : "", "family" : "Dahl\u00f6f", "given" : "Bj\u00f6rn", "non-dropping-particle" : "", "parse-names" : false, "suffix" : "" } ], "container-title" : "Journal of the American College of Cardiology", "id" : "ITEM-1", "issue" : "2", "issued" : { "date-parts" : [ [ "2001", "8" ] ] }, "page" : "514-520", "title" : "Relationship of the electrocardiographic strain pattern to left ventricular structure and function in hypertensive patients: the LIFE study", "type" : "article-journal", "volume" : "38" }, "uris" : [ "http://www.mendeley.com/documents/?uuid=6e58f670-7edf-4824-a589-bcd6a340553e" ] }, { "id" : "ITEM-2", "itemData" : { "author" : [ { "dropping-particle" : "", "family" : "Elliott", "given" : "Perry M", "non-dropping-particle" : "", "parse-names" : false, "suffix" : "" }, { "dropping-particle" : "", "family" : "Anastasakis", "given" : "Aris", "non-dropping-particle" : "", "parse-names" : false, "suffix" : "" }, { "dropping-particle" : "", "family" : "Borger", "given" : "Michael A", "non-dropping-particle" : "", "parse-names" : false, "suffix" : "" }, { "dropping-particle" : "", "family" : "Borggrefe", "given" : "Martin", "non-dropping-particle" : "", "parse-names" : false, "suffix" : "" }, { "dropping-particle" : "", "family" : "Cecchi", "given" : "Franco", "non-dropping-particle" : "", "parse-names" : false, "suffix" : "" }, { "dropping-particle" : "", "family" : "Charron", "given" : "Philippe", "non-dropping-particle" : "", "parse-names" : false, "suffix" : "" }, { "dropping-particle" : "", "family" : "Hagege", "given" : "Albert Alain", "non-dropping-particle" : "", "parse-names" : false, "suffix" : "" }, { "dropping-particle" : "", "family" : "Lafont", "given" : "Antoine", "non-dropping-particle" : "", "parse-names" : false, "suffix" : "" }, { "dropping-particle" : "", "family" : "Limongelli", "given" : "Giuseppe", "non-dropping-particle" : "", "parse-names" : false, "suffix" : "" }, { "dropping-particle" : "", "family" : "Mahrholdt", "given" : "Heiko", "non-dropping-particle" : "", "parse-names" : false, "suffix" : "" }, { "dropping-particle" : "", "family" : "McKenna", "given" : "William J", "non-dropping-particle" : "", "parse-names" : false, "suffix" : "" }, { "dropping-particle" : "", "family" : "Mogensen", "given" : "Jens", "non-dropping-particle" : "", "parse-names" : false, "suffix" : "" }, { "dropping-particle" : "", "family" : "Nihoyannopoulos", "given" : "Petros", "non-dropping-particle" : "", "parse-names" : false, "suffix" : "" }, { "dropping-particle" : "", "family" : "Nistri", "given" : "Stefano", "non-dropping-particle" : "", "parse-names" : false, "suffix" : "" }, { "dropping-particle" : "", "family" : "Pieper", "given" : "Petronella G", "non-dropping-particle" : "", "parse-names" : false, "suffix" : "" }, { "dropping-particle" : "", "family" : "Pieske", "given" : "Burkert", "non-dropping-particle" : "", "parse-names" : false, "suffix" : "" }, { "dropping-particle" : "", "family" : "Rapezzi", "given" : "Claudio", "non-dropping-particle" : "", "parse-names" : false, "suffix" : "" }, { "dropping-particle" : "", "family" : "Rutten", "given" : "Frans H", "non-dropping-particle" : "", "parse-names" : false, "suffix" : "" }, { "dropping-particle" : "", "family" : "Tillmanns", "given" : "Christoph", "non-dropping-particle" : "", "parse-names" : false, "suffix" : "" }, { "dropping-particle" : "", "family" : "Watkins", "given" : "Hugh", "non-dropping-particle" : "", "parse-names" : false, "suffix" : "" } ], "container-title" : "European Heart Journal", "id" : "ITEM-2", "issue" : "39", "issued" : { "date-parts" : [ [ "2014" ] ] }, "page" : "2733-2779", "title" : "2014 ESC Guidelines on diagnosis and management of hypertrophic cardiomyopathy", "type" : "article-journal", "volume" : "35" }, "uris" : [ "http://www.mendeley.com/documents/?uuid=c5b8ac14-3a52-476e-8472-d1774c0eb725" ] } ], "mendeley" : { "formattedCitation" : "[17,38]", "plainTextFormattedCitation" : "[17,38]", "previouslyFormattedCitation" : "[17,38]" }, "properties" : { "noteIndex" : 0 }, "schema" : "https://github.com/citation-style-language/schema/raw/master/csl-citation.json" }</w:instrText>
      </w:r>
      <w:r w:rsidR="00F32F98">
        <w:rPr>
          <w:rFonts w:ascii="Calibri" w:hAnsi="Calibri" w:cs="Arial"/>
          <w:lang w:val="en-US"/>
        </w:rPr>
        <w:fldChar w:fldCharType="separate"/>
      </w:r>
      <w:r w:rsidR="00843D9D" w:rsidRPr="00843D9D">
        <w:rPr>
          <w:rFonts w:ascii="Calibri" w:hAnsi="Calibri" w:cs="Arial"/>
          <w:noProof/>
          <w:lang w:val="en-US"/>
        </w:rPr>
        <w:t>[17,38]</w:t>
      </w:r>
      <w:r w:rsidR="00F32F98">
        <w:rPr>
          <w:rFonts w:ascii="Calibri" w:hAnsi="Calibri" w:cs="Arial"/>
          <w:lang w:val="en-US"/>
        </w:rPr>
        <w:fldChar w:fldCharType="end"/>
      </w:r>
      <w:r w:rsidR="00421F0F" w:rsidRPr="00923CE9">
        <w:rPr>
          <w:rFonts w:ascii="Calibri" w:hAnsi="Calibri" w:cs="Arial"/>
          <w:lang w:val="en-US"/>
        </w:rPr>
        <w:t xml:space="preserve"> the diagnosis of HCM should be </w:t>
      </w:r>
      <w:r w:rsidR="00700EF9" w:rsidRPr="00923CE9">
        <w:rPr>
          <w:rFonts w:ascii="Calibri" w:hAnsi="Calibri" w:cs="Arial"/>
          <w:lang w:val="en-US"/>
        </w:rPr>
        <w:t>considered</w:t>
      </w:r>
      <w:r w:rsidR="00421F0F" w:rsidRPr="00923CE9">
        <w:rPr>
          <w:rFonts w:ascii="Calibri" w:hAnsi="Calibri" w:cs="Arial"/>
          <w:lang w:val="en-US"/>
        </w:rPr>
        <w:t xml:space="preserve"> in any black </w:t>
      </w:r>
      <w:r w:rsidR="00092EA6" w:rsidRPr="00923CE9">
        <w:rPr>
          <w:rFonts w:ascii="Calibri" w:hAnsi="Calibri" w:cs="Arial"/>
          <w:lang w:val="en-US"/>
        </w:rPr>
        <w:t xml:space="preserve">hypertensive </w:t>
      </w:r>
      <w:r w:rsidR="00421F0F" w:rsidRPr="00923CE9">
        <w:rPr>
          <w:rFonts w:ascii="Calibri" w:hAnsi="Calibri" w:cs="Arial"/>
          <w:lang w:val="en-US"/>
        </w:rPr>
        <w:t xml:space="preserve">individual </w:t>
      </w:r>
      <w:r w:rsidR="00183B99" w:rsidRPr="00923CE9">
        <w:rPr>
          <w:rFonts w:ascii="Calibri" w:hAnsi="Calibri" w:cs="Arial"/>
          <w:lang w:val="en-US"/>
        </w:rPr>
        <w:t>with LVH on imaging studies who exhibits</w:t>
      </w:r>
      <w:r w:rsidR="00421F0F" w:rsidRPr="00923CE9">
        <w:rPr>
          <w:rFonts w:ascii="Calibri" w:hAnsi="Calibri" w:cs="Arial"/>
          <w:lang w:val="en-US"/>
        </w:rPr>
        <w:t xml:space="preserve"> </w:t>
      </w:r>
      <w:r w:rsidR="00E24F7A" w:rsidRPr="00923CE9">
        <w:rPr>
          <w:rFonts w:ascii="Calibri" w:hAnsi="Calibri" w:cs="Arial"/>
          <w:lang w:val="en-US"/>
        </w:rPr>
        <w:t xml:space="preserve">marked </w:t>
      </w:r>
      <w:r w:rsidR="008E555B" w:rsidRPr="00923CE9">
        <w:rPr>
          <w:rFonts w:ascii="Calibri" w:hAnsi="Calibri" w:cs="Arial"/>
          <w:lang w:val="en-US"/>
        </w:rPr>
        <w:t xml:space="preserve">ECG </w:t>
      </w:r>
      <w:r w:rsidR="00895ED4" w:rsidRPr="00923CE9">
        <w:rPr>
          <w:rFonts w:ascii="Calibri" w:hAnsi="Calibri" w:cs="Arial"/>
          <w:lang w:val="en-US"/>
        </w:rPr>
        <w:t>repolarization</w:t>
      </w:r>
      <w:r w:rsidR="00E24F7A" w:rsidRPr="00923CE9">
        <w:rPr>
          <w:rFonts w:ascii="Calibri" w:hAnsi="Calibri" w:cs="Arial"/>
          <w:lang w:val="en-US"/>
        </w:rPr>
        <w:t xml:space="preserve"> anomalies</w:t>
      </w:r>
      <w:r w:rsidR="003F1E3F" w:rsidRPr="00923CE9">
        <w:rPr>
          <w:rFonts w:ascii="Calibri" w:hAnsi="Calibri" w:cs="Arial"/>
          <w:lang w:val="en-US"/>
        </w:rPr>
        <w:t>,</w:t>
      </w:r>
      <w:r w:rsidR="00700EF9" w:rsidRPr="00923CE9">
        <w:rPr>
          <w:rFonts w:ascii="Calibri" w:hAnsi="Calibri" w:cs="Arial"/>
          <w:lang w:val="en-US"/>
        </w:rPr>
        <w:t xml:space="preserve"> particularly </w:t>
      </w:r>
      <w:r w:rsidR="003F1E3F" w:rsidRPr="00923CE9">
        <w:rPr>
          <w:rFonts w:ascii="Calibri" w:hAnsi="Calibri" w:cs="Arial"/>
          <w:lang w:val="en-US"/>
        </w:rPr>
        <w:t>if the</w:t>
      </w:r>
      <w:r w:rsidRPr="00923CE9">
        <w:rPr>
          <w:rFonts w:ascii="Calibri" w:hAnsi="Calibri" w:cs="Arial"/>
          <w:lang w:val="en-US"/>
        </w:rPr>
        <w:t>re is persistence of</w:t>
      </w:r>
      <w:r w:rsidR="00383968" w:rsidRPr="00923CE9">
        <w:rPr>
          <w:rFonts w:ascii="Calibri" w:hAnsi="Calibri" w:cs="Arial"/>
          <w:lang w:val="en-US"/>
        </w:rPr>
        <w:t xml:space="preserve"> </w:t>
      </w:r>
      <w:r w:rsidR="003F1E3F" w:rsidRPr="00923CE9">
        <w:rPr>
          <w:rFonts w:ascii="Calibri" w:hAnsi="Calibri" w:cs="Arial"/>
          <w:lang w:val="en-US"/>
        </w:rPr>
        <w:t xml:space="preserve">ECG </w:t>
      </w:r>
      <w:r w:rsidR="00CE2F4D" w:rsidRPr="00923CE9">
        <w:rPr>
          <w:rFonts w:ascii="Calibri" w:hAnsi="Calibri" w:cs="Arial"/>
          <w:lang w:val="en-US"/>
        </w:rPr>
        <w:t>changes</w:t>
      </w:r>
      <w:r w:rsidRPr="00923CE9">
        <w:rPr>
          <w:rFonts w:ascii="Calibri" w:hAnsi="Calibri" w:cs="Arial"/>
          <w:lang w:val="en-US"/>
        </w:rPr>
        <w:t xml:space="preserve"> and LVH</w:t>
      </w:r>
      <w:r w:rsidR="003F1E3F" w:rsidRPr="00923CE9">
        <w:rPr>
          <w:rFonts w:ascii="Calibri" w:hAnsi="Calibri" w:cs="Arial"/>
          <w:lang w:val="en-US"/>
        </w:rPr>
        <w:t xml:space="preserve"> </w:t>
      </w:r>
      <w:r w:rsidR="00383968" w:rsidRPr="00923CE9">
        <w:rPr>
          <w:rFonts w:ascii="Calibri" w:hAnsi="Calibri" w:cs="Arial"/>
          <w:lang w:val="en-US"/>
        </w:rPr>
        <w:t xml:space="preserve">despite good BP </w:t>
      </w:r>
      <w:r w:rsidR="00A61132">
        <w:rPr>
          <w:rFonts w:ascii="Calibri" w:hAnsi="Calibri" w:cs="Arial"/>
          <w:lang w:val="en-US"/>
        </w:rPr>
        <w:t>control.</w:t>
      </w:r>
      <w:r w:rsidR="00E667D3" w:rsidRPr="00923CE9">
        <w:rPr>
          <w:rFonts w:ascii="Calibri" w:hAnsi="Calibri" w:cs="Arial"/>
          <w:lang w:val="en-US"/>
        </w:rPr>
        <w:fldChar w:fldCharType="begin" w:fldLock="1"/>
      </w:r>
      <w:r w:rsidR="00843D9D">
        <w:rPr>
          <w:rFonts w:ascii="Calibri" w:hAnsi="Calibri" w:cs="Arial"/>
          <w:lang w:val="en-US"/>
        </w:rPr>
        <w:instrText>ADDIN CSL_CITATION { "citationItems" : [ { "id" : "ITEM-1", "itemData" : { "DOI" : "10.1161/01.CIR.0000141573.44737.5A", "ISSN" : "1524-4539", "PMID" : "15326072", "abstract" : "BACKGROUND: An echocardiographic substudy of the Losartan Intervention for Endpoint Reduction in Hypertension (LIFE) trial was designed to test the ability of losartan to reduce left ventricular (LV) mass more than atenolol.\n\nMETHODS AND RESULTS: A total of 960 patients with essential hypertension and LV hypertrophy (LVH) on screening ECG were enrolled at centers in 7 countries and studied by echocardiography at baseline and after 1, 2, 3, 4, and 5 years' randomized therapy. Clinical examination and blinded readings of echocardiograms in 457 losartan-treated and 459 atenolol-treated participants with &gt; or =1 follow-up measurement of LV mass index (LVMI) were used in an intention-to-treat analysis. Losartan-based therapy induced greater reduction in LVMI from baseline to the last available study than atenolol with adjustment for baseline LVMI and blood pressure and in-treatment pressure (-21.7+/-21.8 versus -17.7+/-19.6 g/m2; P=0.021). Greater LVMI reduction with losartan was observed in women and men, participants &gt;65 or &lt;65 years of age, and with mild or more severe baseline hypertrophy. The difference between treatment arms in LVH regression was due mainly to reduced concentricity of LV geometry in both groups and lesser increase in LV internal diameter in losartan-treated patients.\n\nCONCLUSIONS: Antihypertensive treatment with losartan, plus hydrochlorothiazide and other medications when needed for pressure control, resulted in greater LVH regression in patients with ECG LVH than conventional atenolol-based treatment. Thus, angiotensin receptor antagonism by losartan has superior efficacy for reversing LVH, a cardinal manifestation of hypertensive target organ damage.", "author" : [ { "dropping-particle" : "", "family" : "Devereux", "given" : "Richard B", "non-dropping-particle" : "", "parse-names" : false, "suffix" : "" }, { "dropping-particle" : "", "family" : "Dahl\u00f6f", "given" : "Bj\u00f6rn", "non-dropping-particle" : "", "parse-names" : false, "suffix" : "" }, { "dropping-particle" : "", "family" : "Gerdts", "given" : "Eva", "non-dropping-particle" : "", "parse-names" : false, "suffix" : "" }, { "dropping-particle" : "", "family" : "Boman", "given" : "Kurt", "non-dropping-particle" : "", "parse-names" : false, "suffix" : "" }, { "dropping-particle" : "", "family" : "Nieminen", "given" : "Markku S", "non-dropping-particle" : "", "parse-names" : false, "suffix" : "" }, { "dropping-particle" : "", "family" : "Papademetriou", "given" : "Vasilios", "non-dropping-particle" : "", "parse-names" : false, "suffix" : "" }, { "dropping-particle" : "", "family" : "Rokkedal", "given" : "Jens", "non-dropping-particle" : "", "parse-names" : false, "suffix" : "" }, { "dropping-particle" : "", "family" : "Harris", "given" : "Katherine E", "non-dropping-particle" : "", "parse-names" : false, "suffix" : "" }, { "dropping-particle" : "", "family" : "Edelman", "given" : "Jonathan M", "non-dropping-particle" : "", "parse-names" : false, "suffix" : "" }, { "dropping-particle" : "", "family" : "Wachtell", "given" : "Kristian", "non-dropping-particle" : "", "parse-names" : false, "suffix" : "" } ], "container-title" : "Circulation", "id" : "ITEM-1", "issue" : "11", "issued" : { "date-parts" : [ [ "2004", "9", "14" ] ] }, "page" : "1456-62", "title" : "Regression of hypertensive left ventricular hypertrophy by losartan compared with atenolol: the Losartan Intervention for Endpoint Reduction in Hypertension (LIFE) trial.", "type" : "article-journal", "volume" : "110" }, "uris" : [ "http://www.mendeley.com/documents/?uuid=7b38e26f-0587-4134-b628-2e7639dd5d8a" ] }, { "id" : "ITEM-2", "itemData" : { "DOI" : "10.1161/01.CIR.0000083724.28630.C3", "ISSN" : "1524-4539", "PMID" : "12885747", "abstract" : "BACKGROUND: Electrocardiographic left ventricular hypertrophy (LVH) predicts cardiovascular morbidity and mortality, and regression of ECG LVH may predict improved prognosis in hypertensive patients. However, uncertainty persists as to how best to regress ECG LVH.\n\nMETHODS AND RESULTS: Regression of ECG LVH with losartan versus atenolol therapy was assessed in 9193 hypertensive patients with ECG LVH by Sokolow-Lyon voltage or Cornell voltage-duration product criteria enrolled in the Losartan Intervention For Endpoint Reduction in Hypertension (LIFE) Study. Patients had ECGs at study baseline and after 6 months, 1, 2, 3, 4, and 5 years of blinded losartan-based or atenolol-based therapy. After 6 months' follow-up, adjusting for baseline ECG LVH levels, baseline and in-treatment systolic and diastolic pressures, and for diuretic therapy, losartan-based therapy was associated with greater regression of both Cornell product (adjusted means, -200 versus -69 mm. ms, P&lt;0.001) and Sokolow-Lyon voltage (-2.5 versus -0.7 mm, P&lt;0.001) than was atenolol-based therapy. Greater regression of ECG LVH persisted at each subsequent annual evaluation in the losartan-treated group, with between 140 and 164 mm. ms greater mean reductions in Cornell product and from 1.7 to 2.2 mm greater mean reductions in Sokolow-Lyon voltage (all P&lt;0.001). The effect of losartan was consistent across subgroups defined by gender, age, ethnicity, and diabetes.\n\nCONCLUSIONS: After adjusting for baseline and in-treatment blood pressure and baseline severity of ECG LVH, losartan-based antihypertensive therapy resulted in greater regression of ECG LVH by Cornell voltage-duration product and Sokolow-Lyon voltage criteria than did atenolol-based therapy. These findings support the value of angiotensin receptor blockade with losartan for reversing ECG LVH.", "author" : [ { "dropping-particle" : "", "family" : "Okin", "given" : "Peter M", "non-dropping-particle" : "", "parse-names" : false, "suffix" : "" }, { "dropping-particle" : "", "family" : "Devereux", "given" : "Richard B", "non-dropping-particle" : "", "parse-names" : false, "suffix" : "" }, { "dropping-particle" : "", "family" : "Jern", "given" : "Sverker", "non-dropping-particle" : "", "parse-names" : false, "suffix" : "" }, { "dropping-particle" : "", "family" : "Kjeldsen", "given" : "Sverre E", "non-dropping-particle" : "", "parse-names" : false, "suffix" : "" }, { "dropping-particle" : "", "family" : "Julius", "given" : "Stevo", "non-dropping-particle" : "", "parse-names" : false, "suffix" : "" }, { "dropping-particle" : "", "family" : "Nieminen", "given" : "Markku S", "non-dropping-particle" : "", "parse-names" : false, "suffix" : "" }, { "dropping-particle" : "", "family" : "Snapinn", "given" : "Steven", "non-dropping-particle" : "", "parse-names" : false, "suffix" : "" }, { "dropping-particle" : "", "family" : "Harris", "given" : "Katherine E", "non-dropping-particle" : "", "parse-names" : false, "suffix" : "" }, { "dropping-particle" : "", "family" : "Aurup", "given" : "Peter", "non-dropping-particle" : "", "parse-names" : false, "suffix" : "" }, { "dropping-particle" : "", "family" : "Edelman", "given" : "Jonathan M", "non-dropping-particle" : "", "parse-names" : false, "suffix" : "" }, { "dropping-particle" : "", "family" : "Dahlof", "given" : "Bjorn", "non-dropping-particle" : "", "parse-names" : false, "suffix" : "" } ], "container-title" : "Circulation", "id" : "ITEM-2", "issue" : "6", "issued" : { "date-parts" : [ [ "2003", "8", "12" ] ] }, "page" : "684-90", "title" : "Regression of electrocardiographic left ventricular hypertrophy by losartan versus atenolol: The Losartan Intervention for Endpoint reduction in Hypertension (LIFE) Study.", "type" : "article-journal", "volume" : "108" }, "uris" : [ "http://www.mendeley.com/documents/?uuid=252c88d9-c5bb-4628-8bdb-e334834596e2" ] } ], "mendeley" : { "formattedCitation" : "[39,40]", "plainTextFormattedCitation" : "[39,40]", "previouslyFormattedCitation" : "[39,40]" }, "properties" : { "noteIndex" : 0 }, "schema" : "https://github.com/citation-style-language/schema/raw/master/csl-citation.json" }</w:instrText>
      </w:r>
      <w:r w:rsidR="00E667D3" w:rsidRPr="00923CE9">
        <w:rPr>
          <w:rFonts w:ascii="Calibri" w:hAnsi="Calibri" w:cs="Arial"/>
          <w:lang w:val="en-US"/>
        </w:rPr>
        <w:fldChar w:fldCharType="separate"/>
      </w:r>
      <w:r w:rsidR="00843D9D" w:rsidRPr="00843D9D">
        <w:rPr>
          <w:rFonts w:ascii="Calibri" w:hAnsi="Calibri" w:cs="Arial"/>
          <w:noProof/>
          <w:lang w:val="en-US"/>
        </w:rPr>
        <w:t>[39,40]</w:t>
      </w:r>
      <w:r w:rsidR="00E667D3" w:rsidRPr="00923CE9">
        <w:rPr>
          <w:rFonts w:ascii="Calibri" w:hAnsi="Calibri" w:cs="Arial"/>
          <w:lang w:val="en-US"/>
        </w:rPr>
        <w:fldChar w:fldCharType="end"/>
      </w:r>
      <w:r w:rsidR="0011342C" w:rsidRPr="00923CE9">
        <w:rPr>
          <w:rFonts w:ascii="Calibri" w:hAnsi="Calibri" w:cs="Arial"/>
          <w:lang w:val="en-US"/>
        </w:rPr>
        <w:t xml:space="preserve"> </w:t>
      </w:r>
    </w:p>
    <w:p w:rsidR="003F1E3F" w:rsidRPr="00923CE9" w:rsidRDefault="003F1E3F" w:rsidP="006C647A">
      <w:pPr>
        <w:spacing w:line="480" w:lineRule="auto"/>
        <w:rPr>
          <w:rFonts w:ascii="Calibri" w:hAnsi="Calibri"/>
          <w:lang w:val="en-US"/>
        </w:rPr>
      </w:pPr>
    </w:p>
    <w:p w:rsidR="00F545A0" w:rsidRDefault="005A1897" w:rsidP="006C647A">
      <w:pPr>
        <w:spacing w:line="480" w:lineRule="auto"/>
        <w:rPr>
          <w:rFonts w:ascii="Calibri" w:hAnsi="Calibri" w:cs="Arial"/>
          <w:lang w:val="en-US"/>
        </w:rPr>
      </w:pPr>
      <w:r w:rsidRPr="00923CE9">
        <w:rPr>
          <w:rFonts w:ascii="Calibri" w:hAnsi="Calibri"/>
          <w:lang w:val="en-US"/>
        </w:rPr>
        <w:t>A</w:t>
      </w:r>
      <w:r w:rsidR="00756293" w:rsidRPr="00923CE9">
        <w:rPr>
          <w:rFonts w:ascii="Calibri" w:hAnsi="Calibri"/>
          <w:lang w:val="en-US"/>
        </w:rPr>
        <w:t xml:space="preserve"> third of black patients</w:t>
      </w:r>
      <w:r w:rsidR="00DE3310" w:rsidRPr="00923CE9">
        <w:rPr>
          <w:rFonts w:ascii="Calibri" w:hAnsi="Calibri"/>
          <w:lang w:val="en-US"/>
        </w:rPr>
        <w:t xml:space="preserve"> exhibited apical or</w:t>
      </w:r>
      <w:r w:rsidR="00421F0F" w:rsidRPr="00923CE9">
        <w:rPr>
          <w:rFonts w:ascii="Calibri" w:hAnsi="Calibri"/>
          <w:lang w:val="en-US"/>
        </w:rPr>
        <w:t xml:space="preserve"> concentric patterns of hypertrophy</w:t>
      </w:r>
      <w:r w:rsidR="00DE3310" w:rsidRPr="00923CE9">
        <w:rPr>
          <w:rFonts w:ascii="Calibri" w:hAnsi="Calibri"/>
          <w:lang w:val="en-US"/>
        </w:rPr>
        <w:t xml:space="preserve"> compared to only </w:t>
      </w:r>
      <w:r w:rsidR="00FE161E" w:rsidRPr="00923CE9">
        <w:rPr>
          <w:rFonts w:ascii="Calibri" w:hAnsi="Calibri"/>
          <w:lang w:val="en-US"/>
        </w:rPr>
        <w:t>12</w:t>
      </w:r>
      <w:r w:rsidR="00DE3310" w:rsidRPr="00923CE9">
        <w:rPr>
          <w:rFonts w:ascii="Calibri" w:hAnsi="Calibri"/>
          <w:lang w:val="en-US"/>
        </w:rPr>
        <w:t>% of white patients</w:t>
      </w:r>
      <w:r w:rsidR="00421F0F" w:rsidRPr="00923CE9">
        <w:rPr>
          <w:rFonts w:ascii="Calibri" w:hAnsi="Calibri"/>
          <w:lang w:val="en-US"/>
        </w:rPr>
        <w:t xml:space="preserve">. Both </w:t>
      </w:r>
      <w:r w:rsidR="00DE3310" w:rsidRPr="00923CE9">
        <w:rPr>
          <w:rFonts w:ascii="Calibri" w:hAnsi="Calibri"/>
          <w:lang w:val="en-US"/>
        </w:rPr>
        <w:t xml:space="preserve">patterns of hypertrophy </w:t>
      </w:r>
      <w:r w:rsidR="00421F0F" w:rsidRPr="00923CE9">
        <w:rPr>
          <w:rFonts w:ascii="Calibri" w:hAnsi="Calibri"/>
          <w:lang w:val="en-US"/>
        </w:rPr>
        <w:t xml:space="preserve">may </w:t>
      </w:r>
      <w:r w:rsidR="00756293" w:rsidRPr="00923CE9">
        <w:rPr>
          <w:rFonts w:ascii="Calibri" w:hAnsi="Calibri"/>
          <w:lang w:val="en-US"/>
        </w:rPr>
        <w:t>be responsible for</w:t>
      </w:r>
      <w:r w:rsidR="009A75BF" w:rsidRPr="00923CE9">
        <w:rPr>
          <w:rFonts w:ascii="Calibri" w:hAnsi="Calibri"/>
          <w:lang w:val="en-US"/>
        </w:rPr>
        <w:t xml:space="preserve"> failure to diagnose </w:t>
      </w:r>
      <w:r w:rsidR="00421F0F" w:rsidRPr="00923CE9">
        <w:rPr>
          <w:rFonts w:ascii="Calibri" w:hAnsi="Calibri"/>
          <w:lang w:val="en-US"/>
        </w:rPr>
        <w:t xml:space="preserve">HCM </w:t>
      </w:r>
      <w:r w:rsidR="009A75BF" w:rsidRPr="00923CE9">
        <w:rPr>
          <w:rFonts w:ascii="Calibri" w:hAnsi="Calibri"/>
          <w:lang w:val="en-US"/>
        </w:rPr>
        <w:t xml:space="preserve">in </w:t>
      </w:r>
      <w:r w:rsidR="00421F0F" w:rsidRPr="00923CE9">
        <w:rPr>
          <w:rFonts w:ascii="Calibri" w:hAnsi="Calibri"/>
          <w:lang w:val="en-US"/>
        </w:rPr>
        <w:t xml:space="preserve">black </w:t>
      </w:r>
      <w:r w:rsidR="009A75BF" w:rsidRPr="00923CE9">
        <w:rPr>
          <w:rFonts w:ascii="Calibri" w:hAnsi="Calibri"/>
          <w:lang w:val="en-US"/>
        </w:rPr>
        <w:t>individuals</w:t>
      </w:r>
      <w:r w:rsidR="00E9170B" w:rsidRPr="00923CE9">
        <w:rPr>
          <w:rFonts w:ascii="Calibri" w:hAnsi="Calibri" w:cs="Arial"/>
          <w:lang w:val="en-US"/>
        </w:rPr>
        <w:t xml:space="preserve"> leaving them vulnerable to complications</w:t>
      </w:r>
      <w:r w:rsidR="00DB580F" w:rsidRPr="00923CE9">
        <w:rPr>
          <w:rFonts w:ascii="Calibri" w:hAnsi="Calibri"/>
          <w:lang w:val="en-US"/>
        </w:rPr>
        <w:t xml:space="preserve">. </w:t>
      </w:r>
      <w:r w:rsidR="009A75BF" w:rsidRPr="00923CE9">
        <w:rPr>
          <w:rFonts w:ascii="Calibri" w:hAnsi="Calibri" w:cs="Arial"/>
          <w:lang w:val="en-US"/>
        </w:rPr>
        <w:t>I</w:t>
      </w:r>
      <w:r w:rsidR="00DB580F" w:rsidRPr="00923CE9">
        <w:rPr>
          <w:rFonts w:ascii="Calibri" w:hAnsi="Calibri"/>
          <w:lang w:val="en-US"/>
        </w:rPr>
        <w:t xml:space="preserve">n the context of hypertension, </w:t>
      </w:r>
      <w:r w:rsidR="00421F0F" w:rsidRPr="00923CE9">
        <w:rPr>
          <w:rFonts w:ascii="Calibri" w:hAnsi="Calibri"/>
          <w:lang w:val="en-US"/>
        </w:rPr>
        <w:t xml:space="preserve">concentric LVH </w:t>
      </w:r>
      <w:r w:rsidR="00DB580F" w:rsidRPr="00923CE9">
        <w:rPr>
          <w:rFonts w:ascii="Calibri" w:hAnsi="Calibri"/>
          <w:lang w:val="en-US"/>
        </w:rPr>
        <w:t>may be</w:t>
      </w:r>
      <w:r w:rsidR="00421F0F" w:rsidRPr="00923CE9">
        <w:rPr>
          <w:rFonts w:ascii="Calibri" w:hAnsi="Calibri"/>
          <w:lang w:val="en-US"/>
        </w:rPr>
        <w:t xml:space="preserve"> mistaken fo</w:t>
      </w:r>
      <w:r w:rsidR="00DB580F" w:rsidRPr="00923CE9">
        <w:rPr>
          <w:rFonts w:ascii="Calibri" w:hAnsi="Calibri"/>
          <w:lang w:val="en-US"/>
        </w:rPr>
        <w:t>r hypertensive heart disease, while</w:t>
      </w:r>
      <w:r w:rsidR="00421F0F" w:rsidRPr="00923CE9">
        <w:rPr>
          <w:rFonts w:ascii="Calibri" w:hAnsi="Calibri"/>
          <w:lang w:val="en-US"/>
        </w:rPr>
        <w:t xml:space="preserve"> apical hypertrophy </w:t>
      </w:r>
      <w:r w:rsidR="00756293" w:rsidRPr="008C3C62">
        <w:rPr>
          <w:rFonts w:ascii="Calibri" w:hAnsi="Calibri"/>
          <w:lang w:val="en-US"/>
        </w:rPr>
        <w:t xml:space="preserve">may </w:t>
      </w:r>
      <w:r w:rsidR="0051341F" w:rsidRPr="008C3C62">
        <w:rPr>
          <w:rFonts w:ascii="Calibri" w:hAnsi="Calibri"/>
          <w:lang w:val="en-US"/>
        </w:rPr>
        <w:t>go</w:t>
      </w:r>
      <w:r w:rsidR="00756293" w:rsidRPr="008C3C62">
        <w:rPr>
          <w:rFonts w:ascii="Calibri" w:hAnsi="Calibri"/>
          <w:lang w:val="en-US"/>
        </w:rPr>
        <w:t xml:space="preserve"> </w:t>
      </w:r>
      <w:r w:rsidR="0051341F" w:rsidRPr="008C3C62">
        <w:rPr>
          <w:rFonts w:ascii="Calibri" w:hAnsi="Calibri"/>
          <w:lang w:val="en-US"/>
        </w:rPr>
        <w:t>un</w:t>
      </w:r>
      <w:r w:rsidR="00756293" w:rsidRPr="008C3C62">
        <w:rPr>
          <w:rFonts w:ascii="Calibri" w:hAnsi="Calibri"/>
          <w:lang w:val="en-US"/>
        </w:rPr>
        <w:t>detected</w:t>
      </w:r>
      <w:r w:rsidR="00421F0F" w:rsidRPr="008C3C62">
        <w:rPr>
          <w:rFonts w:ascii="Calibri" w:hAnsi="Calibri"/>
          <w:lang w:val="en-US"/>
        </w:rPr>
        <w:t xml:space="preserve"> on conventional echocardiography</w:t>
      </w:r>
      <w:r w:rsidR="00DB580F" w:rsidRPr="008C3C62">
        <w:rPr>
          <w:rFonts w:ascii="Calibri" w:hAnsi="Calibri"/>
          <w:lang w:val="en-US"/>
        </w:rPr>
        <w:t xml:space="preserve"> and the associated</w:t>
      </w:r>
      <w:r w:rsidR="005E42A1">
        <w:rPr>
          <w:rFonts w:ascii="Calibri" w:hAnsi="Calibri"/>
          <w:lang w:val="en-US"/>
        </w:rPr>
        <w:t xml:space="preserve"> marked</w:t>
      </w:r>
      <w:r w:rsidR="00DB580F" w:rsidRPr="008C3C62">
        <w:rPr>
          <w:rFonts w:ascii="Calibri" w:hAnsi="Calibri"/>
          <w:lang w:val="en-US"/>
        </w:rPr>
        <w:t xml:space="preserve"> </w:t>
      </w:r>
      <w:r w:rsidR="00895ED4" w:rsidRPr="008C3C62">
        <w:rPr>
          <w:rFonts w:ascii="Calibri" w:hAnsi="Calibri"/>
          <w:lang w:val="en-US"/>
        </w:rPr>
        <w:t>repolarization</w:t>
      </w:r>
      <w:r w:rsidR="00DB580F" w:rsidRPr="008C3C62">
        <w:rPr>
          <w:rFonts w:ascii="Calibri" w:hAnsi="Calibri"/>
          <w:lang w:val="en-US"/>
        </w:rPr>
        <w:t xml:space="preserve"> changes </w:t>
      </w:r>
      <w:r w:rsidR="00756293" w:rsidRPr="008C3C62">
        <w:rPr>
          <w:rFonts w:ascii="Calibri" w:hAnsi="Calibri"/>
          <w:lang w:val="en-US"/>
        </w:rPr>
        <w:t xml:space="preserve">falsely </w:t>
      </w:r>
      <w:r w:rsidR="00DB580F" w:rsidRPr="008C3C62">
        <w:rPr>
          <w:rFonts w:ascii="Calibri" w:hAnsi="Calibri"/>
          <w:lang w:val="en-US"/>
        </w:rPr>
        <w:t>attributed</w:t>
      </w:r>
      <w:r w:rsidR="00DB580F" w:rsidRPr="00923CE9">
        <w:rPr>
          <w:rFonts w:ascii="Calibri" w:hAnsi="Calibri"/>
          <w:lang w:val="en-US"/>
        </w:rPr>
        <w:t xml:space="preserve"> to </w:t>
      </w:r>
      <w:r w:rsidR="008C3C62">
        <w:rPr>
          <w:rFonts w:ascii="Calibri" w:hAnsi="Calibri"/>
          <w:lang w:val="en-US"/>
        </w:rPr>
        <w:t>“</w:t>
      </w:r>
      <w:r w:rsidR="00B6140E">
        <w:rPr>
          <w:rFonts w:ascii="Calibri" w:hAnsi="Calibri"/>
          <w:lang w:val="en-US"/>
        </w:rPr>
        <w:t>left ventricular</w:t>
      </w:r>
      <w:r w:rsidR="008C3C62">
        <w:rPr>
          <w:rFonts w:ascii="Calibri" w:hAnsi="Calibri"/>
          <w:lang w:val="en-US"/>
        </w:rPr>
        <w:t xml:space="preserve"> strain</w:t>
      </w:r>
      <w:r w:rsidR="003F117A">
        <w:rPr>
          <w:rFonts w:ascii="Calibri" w:hAnsi="Calibri"/>
          <w:lang w:val="en-US"/>
        </w:rPr>
        <w:t xml:space="preserve"> pattern</w:t>
      </w:r>
      <w:r w:rsidR="008C3C62">
        <w:rPr>
          <w:rFonts w:ascii="Calibri" w:hAnsi="Calibri"/>
          <w:lang w:val="en-US"/>
        </w:rPr>
        <w:t>”</w:t>
      </w:r>
      <w:r w:rsidR="00421F0F" w:rsidRPr="00923CE9">
        <w:rPr>
          <w:rFonts w:ascii="Calibri" w:hAnsi="Calibri"/>
          <w:lang w:val="en-US"/>
        </w:rPr>
        <w:t xml:space="preserve">. </w:t>
      </w:r>
      <w:r w:rsidR="00B62426" w:rsidRPr="00923CE9">
        <w:rPr>
          <w:rFonts w:ascii="Calibri" w:hAnsi="Calibri" w:cs="Arial"/>
          <w:lang w:val="en-US"/>
        </w:rPr>
        <w:t xml:space="preserve">The observation that patients with a history of hypertension </w:t>
      </w:r>
      <w:r w:rsidR="009A75BF" w:rsidRPr="00923CE9">
        <w:rPr>
          <w:rFonts w:ascii="Calibri" w:hAnsi="Calibri" w:cs="Arial"/>
          <w:lang w:val="en-US"/>
        </w:rPr>
        <w:t xml:space="preserve">(mainly black) </w:t>
      </w:r>
      <w:r w:rsidR="00B62426" w:rsidRPr="00923CE9">
        <w:rPr>
          <w:rFonts w:ascii="Calibri" w:hAnsi="Calibri" w:cs="Arial"/>
          <w:lang w:val="en-US"/>
        </w:rPr>
        <w:t>were diagnosed with HCM, on average,</w:t>
      </w:r>
      <w:r w:rsidR="0090535C" w:rsidRPr="00923CE9">
        <w:rPr>
          <w:rFonts w:ascii="Calibri" w:hAnsi="Calibri" w:cs="Arial"/>
          <w:lang w:val="en-US"/>
        </w:rPr>
        <w:t xml:space="preserve"> 15</w:t>
      </w:r>
      <w:r w:rsidR="00FB03A4" w:rsidRPr="00923CE9">
        <w:rPr>
          <w:rFonts w:ascii="Calibri" w:hAnsi="Calibri" w:cs="Arial"/>
          <w:lang w:val="en-US"/>
        </w:rPr>
        <w:t xml:space="preserve"> years</w:t>
      </w:r>
      <w:r w:rsidR="00B62426" w:rsidRPr="00923CE9">
        <w:rPr>
          <w:rFonts w:ascii="Calibri" w:hAnsi="Calibri" w:cs="Arial"/>
          <w:lang w:val="en-US"/>
        </w:rPr>
        <w:t xml:space="preserve"> later than normotensiv</w:t>
      </w:r>
      <w:r w:rsidR="009A75BF" w:rsidRPr="00923CE9">
        <w:rPr>
          <w:rFonts w:ascii="Calibri" w:hAnsi="Calibri" w:cs="Arial"/>
          <w:lang w:val="en-US"/>
        </w:rPr>
        <w:t>e patients</w:t>
      </w:r>
      <w:r w:rsidR="0051341F">
        <w:rPr>
          <w:rFonts w:ascii="Calibri" w:hAnsi="Calibri" w:cs="Arial"/>
          <w:lang w:val="en-US"/>
        </w:rPr>
        <w:t xml:space="preserve"> </w:t>
      </w:r>
      <w:r w:rsidR="008E555B" w:rsidRPr="00923CE9">
        <w:rPr>
          <w:rFonts w:ascii="Calibri" w:hAnsi="Calibri" w:cs="Arial"/>
          <w:lang w:val="en-US"/>
        </w:rPr>
        <w:t>and</w:t>
      </w:r>
      <w:r w:rsidR="003C3883" w:rsidRPr="00923CE9">
        <w:rPr>
          <w:rFonts w:ascii="Calibri" w:hAnsi="Calibri" w:cs="Arial"/>
          <w:lang w:val="en-US"/>
        </w:rPr>
        <w:t xml:space="preserve"> </w:t>
      </w:r>
      <w:r w:rsidR="00F23D39" w:rsidRPr="00923CE9">
        <w:rPr>
          <w:rFonts w:ascii="Calibri" w:hAnsi="Calibri" w:cs="Arial"/>
          <w:lang w:val="en-US"/>
        </w:rPr>
        <w:t xml:space="preserve">that </w:t>
      </w:r>
      <w:r w:rsidR="003C3883" w:rsidRPr="00923CE9">
        <w:rPr>
          <w:rFonts w:ascii="Calibri" w:hAnsi="Calibri" w:cs="Arial"/>
          <w:lang w:val="en-US"/>
        </w:rPr>
        <w:t xml:space="preserve">3% of black patients </w:t>
      </w:r>
      <w:r w:rsidR="008E555B" w:rsidRPr="00923CE9">
        <w:rPr>
          <w:rFonts w:ascii="Calibri" w:hAnsi="Calibri" w:cs="Arial"/>
          <w:lang w:val="en-US"/>
        </w:rPr>
        <w:t>compared to</w:t>
      </w:r>
      <w:r w:rsidR="003C3883" w:rsidRPr="00923CE9">
        <w:rPr>
          <w:rFonts w:ascii="Calibri" w:hAnsi="Calibri" w:cs="Arial"/>
          <w:lang w:val="en-US"/>
        </w:rPr>
        <w:t xml:space="preserve"> none of the white </w:t>
      </w:r>
      <w:r w:rsidR="008E555B" w:rsidRPr="00923CE9">
        <w:rPr>
          <w:rFonts w:ascii="Calibri" w:hAnsi="Calibri" w:cs="Arial"/>
          <w:lang w:val="en-US"/>
        </w:rPr>
        <w:t xml:space="preserve">patients </w:t>
      </w:r>
      <w:r w:rsidR="003C3883" w:rsidRPr="00923CE9">
        <w:rPr>
          <w:rFonts w:ascii="Calibri" w:hAnsi="Calibri" w:cs="Arial"/>
          <w:lang w:val="en-US"/>
        </w:rPr>
        <w:t xml:space="preserve">presented with </w:t>
      </w:r>
      <w:r w:rsidR="009A75BF" w:rsidRPr="00923CE9">
        <w:rPr>
          <w:rFonts w:ascii="Calibri" w:hAnsi="Calibri" w:cs="Arial"/>
          <w:lang w:val="en-US"/>
        </w:rPr>
        <w:t>cardia</w:t>
      </w:r>
      <w:r w:rsidR="003C3883" w:rsidRPr="00923CE9">
        <w:rPr>
          <w:rFonts w:ascii="Calibri" w:hAnsi="Calibri" w:cs="Arial"/>
          <w:lang w:val="en-US"/>
        </w:rPr>
        <w:t>c arrest</w:t>
      </w:r>
      <w:r w:rsidR="00756293" w:rsidRPr="00923CE9">
        <w:rPr>
          <w:rFonts w:ascii="Calibri" w:hAnsi="Calibri" w:cs="Arial"/>
          <w:lang w:val="en-US"/>
        </w:rPr>
        <w:t xml:space="preserve"> supports this theory</w:t>
      </w:r>
      <w:r w:rsidR="005E0385">
        <w:rPr>
          <w:rFonts w:ascii="Calibri" w:hAnsi="Calibri" w:cs="Arial"/>
          <w:lang w:val="en-US"/>
        </w:rPr>
        <w:t>.</w:t>
      </w:r>
    </w:p>
    <w:p w:rsidR="005E0385" w:rsidRPr="005E42A1" w:rsidRDefault="005E0385" w:rsidP="006C647A">
      <w:pPr>
        <w:spacing w:line="480" w:lineRule="auto"/>
        <w:rPr>
          <w:rFonts w:ascii="Calibri" w:hAnsi="Calibri"/>
          <w:b/>
          <w:sz w:val="22"/>
          <w:szCs w:val="22"/>
          <w:lang w:val="en-US"/>
        </w:rPr>
      </w:pPr>
    </w:p>
    <w:p w:rsidR="00B62426" w:rsidRPr="001146E4" w:rsidRDefault="00604C0D" w:rsidP="006C647A">
      <w:pPr>
        <w:spacing w:line="480" w:lineRule="auto"/>
        <w:rPr>
          <w:rFonts w:ascii="Calibri" w:hAnsi="Calibri"/>
          <w:b/>
          <w:sz w:val="22"/>
          <w:szCs w:val="22"/>
          <w:lang w:val="en-US"/>
        </w:rPr>
      </w:pPr>
      <w:r w:rsidRPr="001146E4">
        <w:rPr>
          <w:rFonts w:ascii="Calibri" w:hAnsi="Calibri"/>
          <w:b/>
          <w:sz w:val="22"/>
          <w:szCs w:val="22"/>
          <w:lang w:val="en-US"/>
        </w:rPr>
        <w:t>E</w:t>
      </w:r>
      <w:r>
        <w:rPr>
          <w:rFonts w:ascii="Calibri" w:hAnsi="Calibri"/>
          <w:b/>
          <w:sz w:val="22"/>
          <w:szCs w:val="22"/>
          <w:lang w:val="en-US"/>
        </w:rPr>
        <w:t>thnic Differences in HCM Risk Profile</w:t>
      </w:r>
    </w:p>
    <w:p w:rsidR="004E5DA6" w:rsidRDefault="00CC4C76" w:rsidP="006C647A">
      <w:pPr>
        <w:spacing w:line="480" w:lineRule="auto"/>
        <w:rPr>
          <w:rFonts w:ascii="Calibri" w:hAnsi="Calibri" w:cs="Arial"/>
          <w:lang w:val="en-US"/>
        </w:rPr>
      </w:pPr>
      <w:r w:rsidRPr="00923CE9">
        <w:rPr>
          <w:rFonts w:ascii="Calibri" w:hAnsi="Calibri"/>
          <w:lang w:val="en-US"/>
        </w:rPr>
        <w:t xml:space="preserve">Black patients did not exhibit a higher </w:t>
      </w:r>
      <w:r w:rsidR="00B62426" w:rsidRPr="00923CE9">
        <w:rPr>
          <w:rFonts w:ascii="Calibri" w:hAnsi="Calibri"/>
          <w:lang w:val="en-US"/>
        </w:rPr>
        <w:t>prevalence of conventional risk markers for SCD</w:t>
      </w:r>
      <w:r w:rsidR="00317D36" w:rsidRPr="00923CE9">
        <w:rPr>
          <w:rFonts w:ascii="Calibri" w:hAnsi="Calibri"/>
          <w:lang w:val="en-US"/>
        </w:rPr>
        <w:t xml:space="preserve"> or</w:t>
      </w:r>
      <w:r w:rsidRPr="00923CE9">
        <w:rPr>
          <w:rFonts w:ascii="Calibri" w:hAnsi="Calibri"/>
          <w:lang w:val="en-US"/>
        </w:rPr>
        <w:t xml:space="preserve"> higher</w:t>
      </w:r>
      <w:r w:rsidR="00B62426" w:rsidRPr="00923CE9">
        <w:rPr>
          <w:rFonts w:ascii="Calibri" w:hAnsi="Calibri"/>
          <w:lang w:val="en-US"/>
        </w:rPr>
        <w:t xml:space="preserve"> 5-year risk</w:t>
      </w:r>
      <w:r w:rsidR="00A61132">
        <w:rPr>
          <w:rFonts w:ascii="Calibri" w:hAnsi="Calibri"/>
          <w:lang w:val="en-US"/>
        </w:rPr>
        <w:t>.</w:t>
      </w:r>
      <w:r w:rsidR="00F32F98">
        <w:rPr>
          <w:rFonts w:ascii="Calibri" w:hAnsi="Calibri" w:cs="times-roman"/>
          <w:color w:val="000000"/>
          <w:lang w:val="en-US" w:eastAsia="en-GB"/>
        </w:rPr>
        <w:fldChar w:fldCharType="begin" w:fldLock="1"/>
      </w:r>
      <w:r w:rsidR="00843D9D">
        <w:rPr>
          <w:rFonts w:ascii="Calibri" w:hAnsi="Calibri" w:cs="times-roman"/>
          <w:color w:val="000000"/>
          <w:lang w:val="en-US" w:eastAsia="en-GB"/>
        </w:rPr>
        <w:instrText>ADDIN CSL_CITATION { "citationItems" : [ { "id" : "ITEM-1", "itemData" : { "DOI" : "10.1093/eurheartj/eht439", "ISSN" : "1522-9645", "PMID" : "24126876", "abstract" : "AIMS: Hypertrophic cardiomyopathy (HCM) is a leading cause of sudden cardiac death (SCD) in young adults. Current risk algorithms provide only a crude estimate of risk and fail to account for the different effect size of individual risk factors. The aim of this study was to develop and validate a new SCD risk prediction model that provides individualized risk estimates.\n\nMETHODS AND RESULTS: The prognostic model was derived from a retrospective, multi-centre longitudinal cohort study. The model was developed from the entire data set using the Cox proportional hazards model and internally validated using bootstrapping. The cohort consisted of 3675 consecutive patients from six centres. During a follow-up period of 24 313 patient-years (median 5.7 years), 198 patients (5%) died suddenly or had an appropriate implantable cardioverter defibrillator (ICD) shock. Of eight pre-specified predictors, age, maximal left ventricular wall thickness, left atrial diameter, left ventricular outflow tract gradient, family history of SCD, non-sustained ventricular tachycardia, and unexplained syncope were associated with SCD/appropriate ICD shock at the 15% significance level. These predictors were included in the final model to estimate individual probabilities of SCD at 5 years. The calibration slope was 0.91 (95% CI: 0.74, 1.08), C-index was 0.70 (95% CI: 0.68, 0.72), and D-statistic was 1.07 (95% CI: 0.81, 1.32). For every 16 ICDs implanted in patients with \u22654% 5-year SCD risk, potentially 1 patient will be saved from SCD at 5 years. A second model with the data set split into independent development and validation cohorts had very similar estimates of coefficients and performance when externally validated.\n\nCONCLUSION: This is the first validated SCD risk prediction model for patients with HCM and provides accurate individualized estimates for the probability of SCD using readily collected clinical parameters.", "author" : [ { "dropping-particle" : "", "family" : "O'Mahony", "given" : "Constantinos", "non-dropping-particle" : "", "parse-names" : false, "suffix" : "" }, { "dropping-particle" : "", "family" : "Jichi", "given" : "Fatima", "non-dropping-particle" : "", "parse-names" : false, "suffix" : "" }, { "dropping-particle" : "", "family" : "Pavlou", "given" : "Menelaos", "non-dropping-particle" : "", "parse-names" : false, "suffix" : "" }, { "dropping-particle" : "", "family" : "Monserrat", "given" : "Lorenzo", "non-dropping-particle" : "", "parse-names" : false, "suffix" : "" }, { "dropping-particle" : "", "family" : "Anastasakis", "given" : "Aristides", "non-dropping-particle" : "", "parse-names" : false, "suffix" : "" }, { "dropping-particle" : "", "family" : "Rapezzi", "given" : "Claudio", "non-dropping-particle" : "", "parse-names" : false, "suffix" : "" }, { "dropping-particle" : "", "family" : "Biagini", "given" : "Elena", "non-dropping-particle" : "", "parse-names" : false, "suffix" : "" }, { "dropping-particle" : "", "family" : "Gimeno", "given" : "Juan Ramon", "non-dropping-particle" : "", "parse-names" : false, "suffix" : "" }, { "dropping-particle" : "", "family" : "Limongelli", "given" : "Giuseppe", "non-dropping-particle" : "", "parse-names" : false, "suffix" : "" }, { "dropping-particle" : "", "family" : "McKenna", "given" : "William J", "non-dropping-particle" : "", "parse-names" : false, "suffix" : "" }, { "dropping-particle" : "", "family" : "Omar", "given" : "Rumana Z", "non-dropping-particle" : "", "parse-names" : false, "suffix" : "" }, { "dropping-particle" : "", "family" : "Elliott", "given" : "Perry M", "non-dropping-particle" : "", "parse-names" : false, "suffix" : "" } ], "container-title" : "European heart journal", "id" : "ITEM-1", "issue" : "30", "issued" : { "date-parts" : [ [ "2014", "8", "7" ] ] }, "page" : "2010-20", "title" : "A novel clinical risk prediction model for sudden cardiac death in hypertrophic cardiomyopathy (HCM risk-SCD).", "type" : "article-journal", "volume" : "35" }, "uris" : [ "http://www.mendeley.com/documents/?uuid=acfba1f6-9967-4145-9d8a-e6258b58263a" ] }, { "id" : "ITEM-2", "itemData" : { "author" : [ { "dropping-particle" : "", "family" : "Elliott", "given" : "Perry M", "non-dropping-particle" : "", "parse-names" : false, "suffix" : "" }, { "dropping-particle" : "", "family" : "Anastasakis", "given" : "Aris", "non-dropping-particle" : "", "parse-names" : false, "suffix" : "" }, { "dropping-particle" : "", "family" : "Borger", "given" : "Michael A", "non-dropping-particle" : "", "parse-names" : false, "suffix" : "" }, { "dropping-particle" : "", "family" : "Borggrefe", "given" : "Martin", "non-dropping-particle" : "", "parse-names" : false, "suffix" : "" }, { "dropping-particle" : "", "family" : "Cecchi", "given" : "Franco", "non-dropping-particle" : "", "parse-names" : false, "suffix" : "" }, { "dropping-particle" : "", "family" : "Charron", "given" : "Philippe", "non-dropping-particle" : "", "parse-names" : false, "suffix" : "" }, { "dropping-particle" : "", "family" : "Hagege", "given" : "Albert Alain", "non-dropping-particle" : "", "parse-names" : false, "suffix" : "" }, { "dropping-particle" : "", "family" : "Lafont", "given" : "Antoine", "non-dropping-particle" : "", "parse-names" : false, "suffix" : "" }, { "dropping-particle" : "", "family" : "Limongelli", "given" : "Giuseppe", "non-dropping-particle" : "", "parse-names" : false, "suffix" : "" }, { "dropping-particle" : "", "family" : "Mahrholdt", "given" : "Heiko", "non-dropping-particle" : "", "parse-names" : false, "suffix" : "" }, { "dropping-particle" : "", "family" : "McKenna", "given" : "William J", "non-dropping-particle" : "", "parse-names" : false, "suffix" : "" }, { "dropping-particle" : "", "family" : "Mogensen", "given" : "Jens", "non-dropping-particle" : "", "parse-names" : false, "suffix" : "" }, { "dropping-particle" : "", "family" : "Nihoyannopoulos", "given" : "Petros", "non-dropping-particle" : "", "parse-names" : false, "suffix" : "" }, { "dropping-particle" : "", "family" : "Nistri", "given" : "Stefano", "non-dropping-particle" : "", "parse-names" : false, "suffix" : "" }, { "dropping-particle" : "", "family" : "Pieper", "given" : "Petronella G", "non-dropping-particle" : "", "parse-names" : false, "suffix" : "" }, { "dropping-particle" : "", "family" : "Pieske", "given" : "Burkert", "non-dropping-particle" : "", "parse-names" : false, "suffix" : "" }, { "dropping-particle" : "", "family" : "Rapezzi", "given" : "Claudio", "non-dropping-particle" : "", "parse-names" : false, "suffix" : "" }, { "dropping-particle" : "", "family" : "Rutten", "given" : "Frans H", "non-dropping-particle" : "", "parse-names" : false, "suffix" : "" }, { "dropping-particle" : "", "family" : "Tillmanns", "given" : "Christoph", "non-dropping-particle" : "", "parse-names" : false, "suffix" : "" }, { "dropping-particle" : "", "family" : "Watkins", "given" : "Hugh", "non-dropping-particle" : "", "parse-names" : false, "suffix" : "" } ], "container-title" : "European Heart Journal", "id" : "ITEM-2", "issue" : "39", "issued" : { "date-parts" : [ [ "2014" ] ] }, "page" : "2733-2779", "title" : "2014 ESC Guidelines on diagnosis and management of hypertrophic cardiomyopathy", "type" : "article-journal", "volume" : "35" }, "uris" : [ "http://www.mendeley.com/documents/?uuid=c5b8ac14-3a52-476e-8472-d1774c0eb725" ] } ], "mendeley" : { "formattedCitation" : "[17,28]", "plainTextFormattedCitation" : "[17,28]", "previouslyFormattedCitation" : "[17,28]" }, "properties" : { "noteIndex" : 0 }, "schema" : "https://github.com/citation-style-language/schema/raw/master/csl-citation.json" }</w:instrText>
      </w:r>
      <w:r w:rsidR="00F32F98">
        <w:rPr>
          <w:rFonts w:ascii="Calibri" w:hAnsi="Calibri" w:cs="times-roman"/>
          <w:color w:val="000000"/>
          <w:lang w:val="en-US" w:eastAsia="en-GB"/>
        </w:rPr>
        <w:fldChar w:fldCharType="separate"/>
      </w:r>
      <w:r w:rsidR="00843D9D" w:rsidRPr="00843D9D">
        <w:rPr>
          <w:rFonts w:ascii="Calibri" w:hAnsi="Calibri" w:cs="times-roman"/>
          <w:noProof/>
          <w:color w:val="000000"/>
          <w:lang w:val="en-US" w:eastAsia="en-GB"/>
        </w:rPr>
        <w:t>[17,28]</w:t>
      </w:r>
      <w:r w:rsidR="00F32F98">
        <w:rPr>
          <w:rFonts w:ascii="Calibri" w:hAnsi="Calibri" w:cs="times-roman"/>
          <w:color w:val="000000"/>
          <w:lang w:val="en-US" w:eastAsia="en-GB"/>
        </w:rPr>
        <w:fldChar w:fldCharType="end"/>
      </w:r>
      <w:r w:rsidR="00B62426" w:rsidRPr="00923CE9">
        <w:rPr>
          <w:rFonts w:ascii="Calibri" w:hAnsi="Calibri"/>
          <w:lang w:val="en-US"/>
        </w:rPr>
        <w:t xml:space="preserve"> </w:t>
      </w:r>
      <w:r w:rsidR="00BF2C40" w:rsidRPr="00923CE9">
        <w:rPr>
          <w:rFonts w:ascii="Calibri" w:hAnsi="Calibri"/>
          <w:lang w:val="en-US"/>
        </w:rPr>
        <w:t xml:space="preserve">In addition, ethnicity was not a determinant of </w:t>
      </w:r>
      <w:r w:rsidR="00807DF8" w:rsidRPr="00923CE9">
        <w:rPr>
          <w:rFonts w:ascii="Calibri" w:hAnsi="Calibri" w:cs="Arial"/>
          <w:lang w:val="en-US"/>
        </w:rPr>
        <w:t xml:space="preserve">the composite primary </w:t>
      </w:r>
      <w:r w:rsidR="00CC2FC2" w:rsidRPr="00923CE9">
        <w:rPr>
          <w:rFonts w:ascii="Calibri" w:hAnsi="Calibri" w:cs="Arial"/>
          <w:lang w:val="en-US"/>
        </w:rPr>
        <w:t>outcome</w:t>
      </w:r>
      <w:r w:rsidR="004C4D35" w:rsidRPr="00923CE9">
        <w:rPr>
          <w:rFonts w:ascii="Calibri" w:hAnsi="Calibri" w:cs="Arial"/>
          <w:lang w:val="en-US"/>
        </w:rPr>
        <w:t xml:space="preserve"> of death, cardiac arr</w:t>
      </w:r>
      <w:r w:rsidR="00BF2C40" w:rsidRPr="00923CE9">
        <w:rPr>
          <w:rFonts w:ascii="Calibri" w:hAnsi="Calibri" w:cs="Arial"/>
          <w:lang w:val="en-US"/>
        </w:rPr>
        <w:t xml:space="preserve">est </w:t>
      </w:r>
      <w:r w:rsidR="00614972">
        <w:rPr>
          <w:rFonts w:ascii="Calibri" w:hAnsi="Calibri" w:cs="Arial"/>
          <w:lang w:val="en-US"/>
        </w:rPr>
        <w:t>or</w:t>
      </w:r>
      <w:r w:rsidR="00BF2C40" w:rsidRPr="00923CE9">
        <w:rPr>
          <w:rFonts w:ascii="Calibri" w:hAnsi="Calibri" w:cs="Arial"/>
          <w:lang w:val="en-US"/>
        </w:rPr>
        <w:t xml:space="preserve"> appropriate ICD therapy</w:t>
      </w:r>
      <w:r w:rsidR="004C4D35" w:rsidRPr="00923CE9">
        <w:rPr>
          <w:rFonts w:ascii="Calibri" w:hAnsi="Calibri" w:cs="Arial"/>
          <w:lang w:val="en-US"/>
        </w:rPr>
        <w:t>.</w:t>
      </w:r>
      <w:r w:rsidR="008C5484" w:rsidRPr="00923CE9">
        <w:rPr>
          <w:rFonts w:ascii="Calibri" w:hAnsi="Calibri" w:cs="Arial"/>
          <w:lang w:val="en-US"/>
        </w:rPr>
        <w:t xml:space="preserve"> </w:t>
      </w:r>
      <w:r w:rsidR="00292AAF">
        <w:rPr>
          <w:rFonts w:ascii="Calibri" w:hAnsi="Calibri" w:cs="Arial"/>
          <w:lang w:val="en-US"/>
        </w:rPr>
        <w:t xml:space="preserve">Therefore, </w:t>
      </w:r>
      <w:r w:rsidR="00292AAF">
        <w:rPr>
          <w:rFonts w:ascii="Calibri" w:hAnsi="Calibri"/>
          <w:lang w:val="en-US"/>
        </w:rPr>
        <w:t>o</w:t>
      </w:r>
      <w:r w:rsidR="005E42A1">
        <w:rPr>
          <w:rFonts w:ascii="Calibri" w:hAnsi="Calibri"/>
          <w:lang w:val="en-US"/>
        </w:rPr>
        <w:t>ur findings</w:t>
      </w:r>
      <w:r w:rsidR="00B728A1" w:rsidRPr="00923CE9">
        <w:rPr>
          <w:rFonts w:ascii="Calibri" w:hAnsi="Calibri"/>
          <w:lang w:val="en-US"/>
        </w:rPr>
        <w:t xml:space="preserve"> do not indicate</w:t>
      </w:r>
      <w:r w:rsidR="00F26F45" w:rsidRPr="00923CE9">
        <w:rPr>
          <w:rFonts w:ascii="Calibri" w:hAnsi="Calibri"/>
          <w:lang w:val="en-US"/>
        </w:rPr>
        <w:t xml:space="preserve"> a more malignant course of HCM in </w:t>
      </w:r>
      <w:r w:rsidR="00885901" w:rsidRPr="00923CE9">
        <w:rPr>
          <w:rFonts w:ascii="Calibri" w:hAnsi="Calibri"/>
          <w:lang w:val="en-US"/>
        </w:rPr>
        <w:t xml:space="preserve">black </w:t>
      </w:r>
      <w:r w:rsidR="00F26F45" w:rsidRPr="00923CE9">
        <w:rPr>
          <w:rFonts w:ascii="Calibri" w:hAnsi="Calibri"/>
          <w:lang w:val="en-US"/>
        </w:rPr>
        <w:t xml:space="preserve">patients. </w:t>
      </w:r>
      <w:r w:rsidR="00CE2F4D" w:rsidRPr="00923CE9">
        <w:rPr>
          <w:rFonts w:ascii="Calibri" w:hAnsi="Calibri"/>
          <w:lang w:val="en-US"/>
        </w:rPr>
        <w:t xml:space="preserve">In contrast, </w:t>
      </w:r>
      <w:r w:rsidR="00B728A1" w:rsidRPr="00923CE9">
        <w:rPr>
          <w:rFonts w:ascii="Calibri" w:hAnsi="Calibri"/>
          <w:lang w:val="en-US"/>
        </w:rPr>
        <w:t>data from a registry of SCD in young</w:t>
      </w:r>
      <w:r w:rsidR="007E2A74" w:rsidRPr="00923CE9">
        <w:rPr>
          <w:rFonts w:ascii="Calibri" w:hAnsi="Calibri"/>
          <w:lang w:val="en-US"/>
        </w:rPr>
        <w:t xml:space="preserve"> athletes in the US report</w:t>
      </w:r>
      <w:r w:rsidR="005E42A1">
        <w:rPr>
          <w:rFonts w:ascii="Calibri" w:hAnsi="Calibri"/>
          <w:lang w:val="en-US"/>
        </w:rPr>
        <w:t>ed</w:t>
      </w:r>
      <w:r w:rsidR="007E2A74" w:rsidRPr="00923CE9">
        <w:rPr>
          <w:rFonts w:ascii="Calibri" w:hAnsi="Calibri"/>
          <w:lang w:val="en-US"/>
        </w:rPr>
        <w:t xml:space="preserve"> a higher number of HCM related</w:t>
      </w:r>
      <w:r w:rsidR="00BA2A1F" w:rsidRPr="00923CE9">
        <w:rPr>
          <w:rFonts w:ascii="Calibri" w:hAnsi="Calibri"/>
          <w:lang w:val="en-US"/>
        </w:rPr>
        <w:t xml:space="preserve"> SCDs in black</w:t>
      </w:r>
      <w:r w:rsidR="00A61132">
        <w:rPr>
          <w:rFonts w:ascii="Calibri" w:hAnsi="Calibri"/>
          <w:lang w:val="en-US"/>
        </w:rPr>
        <w:t xml:space="preserve"> athletes.</w:t>
      </w:r>
      <w:r w:rsidR="00E423E4">
        <w:rPr>
          <w:rFonts w:ascii="Calibri" w:hAnsi="Calibri" w:cs="Arial"/>
          <w:lang w:val="en-US"/>
        </w:rPr>
        <w:fldChar w:fldCharType="begin" w:fldLock="1"/>
      </w:r>
      <w:r w:rsidR="00843D9D">
        <w:rPr>
          <w:rFonts w:ascii="Calibri" w:hAnsi="Calibri" w:cs="Arial"/>
          <w:lang w:val="en-US"/>
        </w:rPr>
        <w:instrText>ADDIN CSL_CITATION { "citationItems" : [ { "id" : "ITEM-1", "itemData" : { "ISSN" : "0735-1097", "PMID" : "12651044", "abstract" : "OBJECTIVES: The goal of this study was to determine the impact of race on identification of hypertrophic cardiomyopathy (HCM). BACKGROUND: Sudden death in young competitive athletes is due to a variety of cardiovascular diseases (CVDs) and, most commonly, HCM. These catastrophes have become an important issue for African Americans, although HCM has been previously regarded as rare in this segment of the U.S. population. METHODS: We studied the relationship of race to the prevalence of CVDs causing sudden death in our national athlete registry, and compared these findings with a representative multicenter hospital-based cohort of patients with HCM. RESULTS: Of 584 athlete deaths, 286 were documented to be due to CVD at ages 17 +/- 3 years; 156 (55%) were white, and 120 (42%) were African American. Most were male (90%), and 67% participated in basketball and football. Among the 286 cardiovascular deaths, most were due to HCM (n = 102; 36%) or anomalous coronary artery of wrong sinus origin (n = 37; 13%). Of the athletes who died of HCM, 42 (41%) were white, but 56 (55%) were African American. In contrast, of 1,986 clinically identified HCM patients, only 158 (8%) were African American (p &lt; 0.001). CONCLUSIONS: In this autopsy series, HCM represented a common cause of sudden death in young and previously undiagnosed African American male athletes, in sharp contrast with the infrequent clinical identification of HCM in a hospital-based population (i.e., by seven-fold). This discrepancy suggests that many HCM cases go unrecognized in the African American community, underscoring the need for enhanced clinical recognition of HCM to create the opportunity for preventive measures to be employed in high-risk patients with this complex disease.", "author" : [ { "dropping-particle" : "", "family" : "Maron", "given" : "Barry J", "non-dropping-particle" : "", "parse-names" : false, "suffix" : "" }, { "dropping-particle" : "", "family" : "Carney", "given" : "Kevin P", "non-dropping-particle" : "", "parse-names" : false, "suffix" : "" }, { "dropping-particle" : "", "family" : "Lever", "given" : "Harry M", "non-dropping-particle" : "", "parse-names" : false, "suffix" : "" }, { "dropping-particle" : "", "family" : "Lewis", "given" : "Jannet F", "non-dropping-particle" : "", "parse-names" : false, "suffix" : "" }, { "dropping-particle" : "", "family" : "Barac", "given" : "Ivan", "non-dropping-particle" : "", "parse-names" : false, "suffix" : "" }, { "dropping-particle" : "", "family" : "Casey", "given" : "Susan A", "non-dropping-particle" : "", "parse-names" : false, "suffix" : "" }, { "dropping-particle" : "V", "family" : "Sherrid", "given" : "Mark", "non-dropping-particle" : "", "parse-names" : false, "suffix" : "" } ], "container-title" : "Journal of the American College of Cardiology", "id" : "ITEM-1", "issue" : "6", "issued" : { "date-parts" : [ [ "2003", "3" ] ] }, "page" : "974-80", "title" : "Relationship of race to sudden cardiac death in competitive athletes with hypertrophic cardiomyopathy.", "type" : "article-journal", "volume" : "41" }, "uris" : [ "http://www.mendeley.com/documents/?uuid=82748aa0-4135-4d00-bbcd-84c5f52cd62d" ] }, { "id" : "ITEM-2", "itemData" : { "DOI" : "10.1161/CIRCULATIONAHA.108.804617", "ISSN" : "1524-4539", "PMID" : "19221222", "abstract" : "BACKGROUND: Sudden deaths in young competitive athletes are highly visible events with substantial impact on the physician and lay communities. However, the magnitude of this public health issue has become a source of controversy. METHODS AND RESULTS: To estimate the absolute number of sudden deaths in US competitive athletes, we have assembled a large registry over a 27-year period using systematic identification and tracking strategies. A total of 1866 athletes who died suddenly (or survived cardiac arrest), 19+/-6 years of age, were identified throughout the United States from 1980 to 2006 in 38 diverse sports. Reports were less common during 1980 to 1993 (576 [31%]) than during 1994 to 2006 (1290 [69%], P&lt;0.001) and increased at a rate of 6% per year. Sudden deaths were predominantly due to cardiovascular disease (1049 [56%]), but causes also included blunt trauma that caused structural damage (416 [22%]), commotio cordis (65 [3%]), and heat stroke (46 [2%]). Among the 1049 cardiovascular deaths, the highest number of events in a single year was 76 (2005 and 2006), with an average of 66 deaths per year (range 50 to 76) over the last 6 years; 29% occurred in blacks, 54% in high school students, and 82% with physical exertion during competition/training, whereas only 11% occurred in females (although this increased with time; P=0.023). The most common cardiovascular causes were hypertrophic cardiomyopathy (36%) and congenital coronary artery anomalies (17%). CONCLUSIONS: In this national registry, the absolute number of cardiovascular sudden deaths in young US athletes was somewhat higher than previous estimates but relatively low nevertheless, with a rate of &lt;100 per year. These data are relevant to the current debate surrounding preparticipation screening programs with ECGs and also suggest the need for systematic and mandatory reporting of athlete sudden deaths to a national registry.", "author" : [ { "dropping-particle" : "", "family" : "Maron", "given" : "Barry J", "non-dropping-particle" : "", "parse-names" : false, "suffix" : "" }, { "dropping-particle" : "", "family" : "Doerer", "given" : "Joseph J", "non-dropping-particle" : "", "parse-names" : false, "suffix" : "" }, { "dropping-particle" : "", "family" : "Haas", "given" : "Tammy S", "non-dropping-particle" : "", "parse-names" : false, "suffix" : "" }, { "dropping-particle" : "", "family" : "Tierney", "given" : "David M", "non-dropping-particle" : "", "parse-names" : false, "suffix" : "" }, { "dropping-particle" : "", "family" : "Mueller", "given" : "Frederick O", "non-dropping-particle" : "", "parse-names" : false, "suffix" : "" } ], "container-title" : "Circulation", "id" : "ITEM-2", "issue" : "8", "issued" : { "date-parts" : [ [ "2009", "3" ] ] }, "page" : "1085-92", "title" : "Sudden deaths in young competitive athletes: analysis of 1866 deaths in the United States, 1980-2006.", "type" : "article-journal", "volume" : "119" }, "uris" : [ "http://www.mendeley.com/documents/?uuid=807b8c89-bc1f-4478-8909-3a05942acf42" ] } ], "mendeley" : { "formattedCitation" : "[12,41]", "plainTextFormattedCitation" : "[12,41]", "previouslyFormattedCitation" : "[12,41]" }, "properties" : { "noteIndex" : 0 }, "schema" : "https://github.com/citation-style-language/schema/raw/master/csl-citation.json" }</w:instrText>
      </w:r>
      <w:r w:rsidR="00E423E4">
        <w:rPr>
          <w:rFonts w:ascii="Calibri" w:hAnsi="Calibri" w:cs="Arial"/>
          <w:lang w:val="en-US"/>
        </w:rPr>
        <w:fldChar w:fldCharType="separate"/>
      </w:r>
      <w:r w:rsidR="00843D9D" w:rsidRPr="00843D9D">
        <w:rPr>
          <w:rFonts w:ascii="Calibri" w:hAnsi="Calibri" w:cs="Arial"/>
          <w:noProof/>
          <w:lang w:val="en-US"/>
        </w:rPr>
        <w:t>[12,41]</w:t>
      </w:r>
      <w:r w:rsidR="00E423E4">
        <w:rPr>
          <w:rFonts w:ascii="Calibri" w:hAnsi="Calibri" w:cs="Arial"/>
          <w:lang w:val="en-US"/>
        </w:rPr>
        <w:fldChar w:fldCharType="end"/>
      </w:r>
      <w:r w:rsidR="005F1529" w:rsidRPr="00923CE9">
        <w:rPr>
          <w:rFonts w:ascii="Calibri" w:hAnsi="Calibri" w:cs="Arial"/>
          <w:lang w:val="en-US"/>
        </w:rPr>
        <w:t xml:space="preserve"> </w:t>
      </w:r>
      <w:r w:rsidR="00B2382B" w:rsidRPr="00923CE9">
        <w:rPr>
          <w:rFonts w:ascii="Calibri" w:hAnsi="Calibri" w:cs="Arial"/>
          <w:lang w:val="en-US"/>
        </w:rPr>
        <w:t xml:space="preserve">Although </w:t>
      </w:r>
      <w:r w:rsidR="00A67453" w:rsidRPr="00923CE9">
        <w:rPr>
          <w:rFonts w:ascii="Calibri" w:hAnsi="Calibri" w:cs="Arial"/>
          <w:lang w:val="en-US"/>
        </w:rPr>
        <w:t>a</w:t>
      </w:r>
      <w:r w:rsidR="00BA2A1F" w:rsidRPr="00923CE9">
        <w:rPr>
          <w:rFonts w:ascii="Calibri" w:hAnsi="Calibri" w:cs="Arial"/>
          <w:lang w:val="en-US"/>
        </w:rPr>
        <w:t>n increased predisposition to fatal arrhythmias during</w:t>
      </w:r>
      <w:r w:rsidR="00A67453" w:rsidRPr="00923CE9">
        <w:rPr>
          <w:rFonts w:ascii="Calibri" w:hAnsi="Calibri" w:cs="Arial"/>
          <w:lang w:val="en-US"/>
        </w:rPr>
        <w:t xml:space="preserve"> strenuous exercise on </w:t>
      </w:r>
      <w:r w:rsidR="00CE2F4D" w:rsidRPr="00923CE9">
        <w:rPr>
          <w:rFonts w:ascii="Calibri" w:hAnsi="Calibri" w:cs="Arial"/>
          <w:lang w:val="en-US"/>
        </w:rPr>
        <w:t>the</w:t>
      </w:r>
      <w:r w:rsidR="00A67453" w:rsidRPr="00923CE9">
        <w:rPr>
          <w:rFonts w:ascii="Calibri" w:hAnsi="Calibri" w:cs="Arial"/>
          <w:lang w:val="en-US"/>
        </w:rPr>
        <w:t xml:space="preserve"> HCM </w:t>
      </w:r>
      <w:r w:rsidR="00CE2F4D" w:rsidRPr="00923CE9">
        <w:rPr>
          <w:rFonts w:ascii="Calibri" w:hAnsi="Calibri" w:cs="Arial"/>
          <w:lang w:val="en-US"/>
        </w:rPr>
        <w:t xml:space="preserve">phenotype </w:t>
      </w:r>
      <w:r w:rsidR="00A67453" w:rsidRPr="00923CE9">
        <w:rPr>
          <w:rFonts w:ascii="Calibri" w:hAnsi="Calibri" w:cs="Arial"/>
          <w:lang w:val="en-US"/>
        </w:rPr>
        <w:t xml:space="preserve">in black athletes cannot be excluded, the registry findings are likely to reflect </w:t>
      </w:r>
      <w:r w:rsidR="00BA2A1F" w:rsidRPr="00923CE9">
        <w:rPr>
          <w:rFonts w:ascii="Calibri" w:hAnsi="Calibri" w:cs="Arial"/>
          <w:lang w:val="en-US"/>
        </w:rPr>
        <w:t xml:space="preserve">relatively </w:t>
      </w:r>
      <w:r w:rsidR="00A67453" w:rsidRPr="00923CE9">
        <w:rPr>
          <w:rFonts w:ascii="Calibri" w:hAnsi="Calibri" w:cs="Arial"/>
          <w:lang w:val="en-US"/>
        </w:rPr>
        <w:t>higher participation rates,</w:t>
      </w:r>
      <w:r w:rsidR="00BA2A1F" w:rsidRPr="00923CE9">
        <w:rPr>
          <w:rFonts w:ascii="Calibri" w:hAnsi="Calibri" w:cs="Arial"/>
          <w:lang w:val="en-US"/>
        </w:rPr>
        <w:t xml:space="preserve"> lower accessibility to healthcare</w:t>
      </w:r>
      <w:r w:rsidR="00A67453" w:rsidRPr="00923CE9">
        <w:rPr>
          <w:rFonts w:ascii="Calibri" w:hAnsi="Calibri" w:cs="Arial"/>
          <w:lang w:val="en-US"/>
        </w:rPr>
        <w:t>, or under diagnosis of HCM in black athletes duri</w:t>
      </w:r>
      <w:r w:rsidR="00A61132">
        <w:rPr>
          <w:rFonts w:ascii="Calibri" w:hAnsi="Calibri" w:cs="Arial"/>
          <w:lang w:val="en-US"/>
        </w:rPr>
        <w:t>ng pre-participation evaluation.</w:t>
      </w:r>
      <w:r w:rsidR="00A67453" w:rsidRPr="00923CE9">
        <w:rPr>
          <w:rFonts w:ascii="Calibri" w:hAnsi="Calibri" w:cs="Arial"/>
          <w:lang w:val="en-US"/>
        </w:rPr>
        <w:fldChar w:fldCharType="begin" w:fldLock="1"/>
      </w:r>
      <w:r w:rsidR="00843D9D">
        <w:rPr>
          <w:rFonts w:ascii="Calibri" w:hAnsi="Calibri" w:cs="Arial"/>
          <w:lang w:val="en-US"/>
        </w:rPr>
        <w:instrText>ADDIN CSL_CITATION { "citationItems" : [ { "id" : "ITEM-1", "itemData" : { "DOI" : "10.1016/j.jacc.2007.12.061", "ISSN" : "1558-3597", "PMID" : "18534273", "abstract" : "OBJECTIVES: The purpose of this study was to evaluate ethnic differences in left ventricular (LV) remodeling between highly-trained athletes of African/Afro-Caribbean (black) and Caucasian (white) athletes. BACKGROUND: The upper limits of left ventricular hypertrophy (LVH) are established in white athletes and aid the differentiation of physiologic LVH from hypertrophic cardiomyopathy (HCM). However, there are few data regarding LV remodeling in black athletes, in whom deaths from HCM are more prevalent. METHODS: Between 2003 and 2007, 300 nationally ranked black male athletes (mean age 20.5 years) underwent 12-lead electrocardiogram and 2-dimensional echocardiography. The results were compared with 150 black and white sedentary individuals and 300 highly-trained white male athletes matched for age, size, and sport. RESULTS: Black athletes exhibited greater LV wall thickness and cavity size compared with sedentary black and white individuals. Black athletes had greater LV wall thickness compared with white athletes (11.3 +/- 1.6 mm vs. 10 +/- 1.5 mm; p &lt; 0.001). In absolute terms, 54 black athletes (18%) had LV wall thickness &gt;12 mm compared with 12 white athletes (4%), and 3% of black athletes exhibited LV wall thickness &gt;/=15 mm compared with none of the white athletes. Black athletes with LVH displayed an enlarged LV cavity and normal diastolic function. CONCLUSIONS: Black athletes develop a greater magnitude of LVH compared with white athletes; therefore, extrapolation of conclusions derived from white athletes has the potential of generating false-positive diagnoses of HCM in black athletes.", "author" : [ { "dropping-particle" : "", "family" : "Basavarajaiah", "given" : "Sandeep", "non-dropping-particle" : "", "parse-names" : false, "suffix" : "" }, { "dropping-particle" : "", "family" : "Boraita", "given" : "Araceli", "non-dropping-particle" : "", "parse-names" : false, "suffix" : "" }, { "dropping-particle" : "", "family" : "Whyte", "given" : "Gregory", "non-dropping-particle" : "", "parse-names" : false, "suffix" : "" }, { "dropping-particle" : "", "family" : "Wilson", "given" : "Mathew", "non-dropping-particle" : "", "parse-names" : false, "suffix" : "" }, { "dropping-particle" : "", "family" : "Carby", "given" : "Lorna", "non-dropping-particle" : "", "parse-names" : false, "suffix" : "" }, { "dropping-particle" : "", "family" : "Shah", "given" : "Ajay", "non-dropping-particle" : "", "parse-names" : false, "suffix" : "" }, { "dropping-particle" : "", "family" : "Sharma", "given" : "Sanjay", "non-dropping-particle" : "", "parse-names" : false, "suffix" : "" } ], "container-title" : "Journal of the American College of Cardiology", "id" : "ITEM-1", "issue" : "23", "issued" : { "date-parts" : [ [ "2008", "6" ] ] }, "page" : "2256-62", "title" : "Ethnic differences in left ventricular remodeling in highly-trained athletes relevance to differentiating physiologic left ventricular hypertrophy from hypertrophic cardiomyopathy.", "type" : "article-journal", "volume" : "51" }, "uris" : [ "http://www.mendeley.com/documents/?uuid=a17db6a1-79e2-4a9e-a74c-62c4952236ae" ] }, { "id" : "ITEM-2", "itemData" : { "DOI" : "10.1093/eurheartj/ehr140", "ISSN" : "1522-9645", "PMID" : "21613263", "abstract" : "Aims Athletic training in male black athletes (BAs) is associated with marked ECG repolarization changes that overlap with hypertrophic cardiomyopathy (HCM). Differentiating between the two entities is prudent since BAs exhibit a higher prevalence of exercise-related sudden death from HCM compared with white athletes (WAs). Methods and results Between 1996 and 2010, 904 BAs underwent serial cardiac evaluations including ECG and echocardiography. Athletes exhibiting T-wave inversions were investigated further for HCM. Results were compared with 1819 WAs, 119 black controls (BCs), and 52 black HCM patients. Athletes were followed up for 69.7 \u00b1 29.6 months. T-wave inversions were present in 82.7% HCM patients, 22.8% BAs, 10.1% BCs, and 3.7% WAs. In athletes, the major determinant of T-wave inversions was black ethnicity. T-wave inversions in BAs (12.7%) were predominantly confined to contiguous anterior leads (V1-V4). Only 4.1% of BAs exhibited T-wave inversions in the lateral leads. In contrast, both BCs and HCM patients exhibited lower prevalence of T-wave inversions in leads V1-V4 (4.2 and 3.8%, respectively) with most T-wave inversions in HCM patients (76.9%) involving the lateral leads. During follow-up one BA survived cardiac arrest and two athletes (one BA, one WA) were diagnosed with HCM. All three exhibited T-wave inversions in the lateral leads. Conclusions T-wave inversions in leads V1-V4 appear to represent an ethnic variant of 'athlete's heart'. Conversely, T-wave inversions in the lateral leads may represent the initial expression of underlying cardiomyopathy and merit further evaluation and regular surveillance.", "author" : [ { "dropping-particle" : "", "family" : "Papadakis", "given" : "Michael", "non-dropping-particle" : "", "parse-names" : false, "suffix" : "" }, { "dropping-particle" : "", "family" : "Carre", "given" : "Francois", "non-dropping-particle" : "", "parse-names" : false, "suffix" : "" }, { "dropping-particle" : "", "family" : "Kervio", "given" : "Gaelle", "non-dropping-particle" : "", "parse-names" : false, "suffix" : "" }, { "dropping-particle" : "", "family" : "Rawlins", "given" : "John", "non-dropping-particle" : "", "parse-names" : false, "suffix" : "" }, { "dropping-particle" : "", "family" : "Panoulas", "given" : "Vasileios F", "non-dropping-particle" : "", "parse-names" : false, "suffix" : "" }, { "dropping-particle" : "", "family" : "Chandra", "given" : "Navin", "non-dropping-particle" : "", "parse-names" : false, "suffix" : "" }, { "dropping-particle" : "", "family" : "Basavarajaiah", "given" : "Sandeep", "non-dropping-particle" : "", "parse-names" : false, "suffix" : "" }, { "dropping-particle" : "", "family" : "Carby", "given" : "Lorna", "non-dropping-particle" : "", "parse-names" : false, "suffix" : "" }, { "dropping-particle" : "", "family" : "Fonseca", "given" : "Tiago", "non-dropping-particle" : "", "parse-names" : false, "suffix" : "" }, { "dropping-particle" : "", "family" : "Sharma", "given" : "Sanjay", "non-dropping-particle" : "", "parse-names" : false, "suffix" : "" } ], "container-title" : "European Heart Journal", "id" : "ITEM-2", "issue" : "18", "issued" : { "date-parts" : [ [ "2011", "5", "25" ] ] }, "page" : "2304-2313", "title" : "The prevalence, distribution, and clinical outcomes of electrocardiographic repolarization patterns in male athletes of African/Afro-Caribbean origin.", "type" : "article-journal", "volume" : "32" }, "uris" : [ "http://www.mendeley.com/documents/?uuid=be93a90e-4530-4f43-84e5-f9de73587e79" ] } ], "mendeley" : { "formattedCitation" : "[2,3]", "plainTextFormattedCitation" : "[2,3]", "previouslyFormattedCitation" : "[2,3]" }, "properties" : { "noteIndex" : 0 }, "schema" : "https://github.com/citation-style-language/schema/raw/master/csl-citation.json" }</w:instrText>
      </w:r>
      <w:r w:rsidR="00A67453" w:rsidRPr="00923CE9">
        <w:rPr>
          <w:rFonts w:ascii="Calibri" w:hAnsi="Calibri" w:cs="Arial"/>
          <w:lang w:val="en-US"/>
        </w:rPr>
        <w:fldChar w:fldCharType="separate"/>
      </w:r>
      <w:r w:rsidR="00843D9D" w:rsidRPr="00843D9D">
        <w:rPr>
          <w:rFonts w:ascii="Calibri" w:hAnsi="Calibri" w:cs="Arial"/>
          <w:noProof/>
          <w:lang w:val="en-US"/>
        </w:rPr>
        <w:t>[2,3]</w:t>
      </w:r>
      <w:r w:rsidR="00A67453" w:rsidRPr="00923CE9">
        <w:rPr>
          <w:rFonts w:ascii="Calibri" w:hAnsi="Calibri" w:cs="Arial"/>
          <w:lang w:val="en-US"/>
        </w:rPr>
        <w:fldChar w:fldCharType="end"/>
      </w:r>
    </w:p>
    <w:p w:rsidR="004E5DA6" w:rsidRDefault="004E5DA6" w:rsidP="006C647A">
      <w:pPr>
        <w:spacing w:line="480" w:lineRule="auto"/>
        <w:rPr>
          <w:rFonts w:ascii="Calibri" w:hAnsi="Calibri" w:cs="Arial"/>
          <w:lang w:val="en-US"/>
        </w:rPr>
      </w:pPr>
    </w:p>
    <w:p w:rsidR="004D3546" w:rsidRPr="00597699" w:rsidRDefault="004D3546" w:rsidP="006C647A">
      <w:pPr>
        <w:spacing w:line="480" w:lineRule="auto"/>
        <w:rPr>
          <w:rFonts w:ascii="Calibri" w:hAnsi="Calibri" w:cs="Arial"/>
          <w:lang w:val="en-US"/>
        </w:rPr>
      </w:pPr>
    </w:p>
    <w:p w:rsidR="00B06BA7" w:rsidRPr="008C1EB3" w:rsidRDefault="009448FA" w:rsidP="006C647A">
      <w:pPr>
        <w:spacing w:line="480" w:lineRule="auto"/>
        <w:rPr>
          <w:rFonts w:ascii="Calibri" w:hAnsi="Calibri" w:cs="Arial"/>
          <w:b/>
          <w:sz w:val="22"/>
          <w:szCs w:val="22"/>
          <w:lang w:val="en-US"/>
        </w:rPr>
      </w:pPr>
      <w:r w:rsidRPr="008C1EB3">
        <w:rPr>
          <w:rFonts w:ascii="Calibri" w:hAnsi="Calibri" w:cs="Arial"/>
          <w:b/>
          <w:sz w:val="22"/>
          <w:szCs w:val="22"/>
          <w:lang w:val="en-US"/>
        </w:rPr>
        <w:t>T</w:t>
      </w:r>
      <w:r w:rsidR="00604C0D">
        <w:rPr>
          <w:rFonts w:ascii="Calibri" w:hAnsi="Calibri" w:cs="Arial"/>
          <w:b/>
          <w:sz w:val="22"/>
          <w:szCs w:val="22"/>
          <w:lang w:val="en-US"/>
        </w:rPr>
        <w:t>he Influence of Hypertension on Outcome in HCM</w:t>
      </w:r>
    </w:p>
    <w:p w:rsidR="00013566" w:rsidRPr="00923CE9" w:rsidRDefault="00E34E7B" w:rsidP="006C647A">
      <w:pPr>
        <w:spacing w:line="480" w:lineRule="auto"/>
        <w:rPr>
          <w:rFonts w:ascii="Calibri" w:hAnsi="Calibri" w:cs="Arial"/>
          <w:lang w:val="en-US"/>
        </w:rPr>
      </w:pPr>
      <w:r w:rsidRPr="008C1EB3">
        <w:rPr>
          <w:rFonts w:ascii="Calibri" w:hAnsi="Calibri" w:cs="Arial"/>
          <w:lang w:val="en-US"/>
        </w:rPr>
        <w:t xml:space="preserve">The prevalence of hypertension in our cohort was similar to </w:t>
      </w:r>
      <w:r w:rsidR="003722CA" w:rsidRPr="008C1EB3">
        <w:rPr>
          <w:rFonts w:ascii="Calibri" w:hAnsi="Calibri" w:cs="Arial"/>
          <w:lang w:val="en-US"/>
        </w:rPr>
        <w:t>that reported</w:t>
      </w:r>
      <w:r w:rsidRPr="008C1EB3">
        <w:rPr>
          <w:rFonts w:ascii="Calibri" w:hAnsi="Calibri" w:cs="Arial"/>
          <w:lang w:val="en-US"/>
        </w:rPr>
        <w:t xml:space="preserve"> in the general black and white population</w:t>
      </w:r>
      <w:r w:rsidRPr="008C1EB3">
        <w:rPr>
          <w:rFonts w:ascii="Calibri" w:hAnsi="Calibri" w:cs="Arial"/>
          <w:lang w:val="en-US"/>
        </w:rPr>
        <w:fldChar w:fldCharType="begin" w:fldLock="1"/>
      </w:r>
      <w:r w:rsidR="00843D9D">
        <w:rPr>
          <w:rFonts w:ascii="Calibri" w:hAnsi="Calibri" w:cs="Arial"/>
          <w:lang w:val="en-US"/>
        </w:rPr>
        <w:instrText>ADDIN CSL_CITATION { "citationItems" : [ { "id" : "ITEM-1", "itemData" : { "DOI" : "10.1016/j.amjhyper.2004.06.001", "ISBN" : "0895-7061", "ISSN" : "08957061", "PMID" : "15485761", "abstract" : "Most previous studies investigating the association between ethnicity and hypertension focused on differences between African Americans and whites and did not include other racial/ethnic groups such as Chinese or Hispanics. We used data from the Multi-Ethnic Study of Atherosclerosis (MESA), a population-based study of 6814 adults without clinical cardiovascular disease, to examine the association between ethnicity and hypertension and hypertension treatment among white, African American, Chinese, and Hispanic ethnic groups. The prevalence of hypertension, defined as systolic blood pressure (BP) &lt;140 mm Hg and diastolic BP &lt;90 mm Hg or self-reported treatment for hypertension, was significantly higher in African Americans compared to whites (60% v 38%; P &lt; .0001), whereas prevalence in Hispanic (42%) and Chinese participants (39%) did not differ significantly from that in whites. After adjustment for age, body mass index, prevalence of diabetes mellitus, and smoking, African American (odds ratio [OR] 2.21; 95% confidence interval [95% CI] 1.91-2.56) and Chinese (OR 1.30; 95% CI 1.07-1.56) ethnicity were significantly associated with hypertension compared to whites. Among hypertensive MESA participants, the percentage of treated but uncontrolled hypertension in whites (24%) was significantly lower than in African Americans (35%, P &lt; .0001), Chinese (33%, P =. 003), and Hispanics (32%, P =. 0005), but only African-American race/ethnicity remained significantly associated with treated but uncontrolled hypertension after controlling for socioeconomic factors (OR 1.35; 95% CI 1.07-1.71). Diuretic use was lowest in the Chinese (22%) and Hispanic participants (32%) and was significantly lower in these groups compared with white participants (47%; P &lt; .0001 for both comparisons). Programs to improve hypertension treatment and control should focus on a better understanding of differences in the prevalence of hypertension and hypertension control among minority groups in the United States, especially African Americans, compared with whites, and on techniques to prevent hypertension and improve control in high-risk groups. ?? 2004 American Journal of Hypertension, Ltd.", "author" : [ { "dropping-particle" : "", "family" : "Kramer", "given" : "Holly", "non-dropping-particle" : "", "parse-names" : false, "suffix" : "" }, { "dropping-particle" : "", "family" : "Han", "given" : "Cong", "non-dropping-particle" : "", "parse-names" : false, "suffix" : "" }, { "dropping-particle" : "", "family" : "Post", "given" : "Wendy", "non-dropping-particle" : "", "parse-names" : false, "suffix" : "" }, { "dropping-particle" : "", "family" : "Goff", "given" : "David", "non-dropping-particle" : "", "parse-names" : false, "suffix" : "" }, { "dropping-particle" : "", "family" : "Diez-Roux", "given" : "Ana", "non-dropping-particle" : "", "parse-names" : false, "suffix" : "" }, { "dropping-particle" : "", "family" : "Cooper", "given" : "Richard", "non-dropping-particle" : "", "parse-names" : false, "suffix" : "" }, { "dropping-particle" : "", "family" : "Jinagouda", "given" : "Sujata", "non-dropping-particle" : "", "parse-names" : false, "suffix" : "" }, { "dropping-particle" : "", "family" : "Shea", "given" : "Steven", "non-dropping-particle" : "", "parse-names" : false, "suffix" : "" } ], "container-title" : "American Journal of Hypertension", "id" : "ITEM-1", "issue" : "10", "issued" : { "date-parts" : [ [ "2004" ] ] }, "page" : "963-970", "title" : "Racial/ethnic differences in hypertension and hypertension treatment and control in the Multi-Ethnic Study of Atherosclerosis (MESA)", "type" : "article-journal", "volume" : "17" }, "uris" : [ "http://www.mendeley.com/documents/?uuid=382c5aac-87a5-47e4-a1c0-3cb1a43913d3" ] } ], "mendeley" : { "formattedCitation" : "[42]", "plainTextFormattedCitation" : "[42]", "previouslyFormattedCitation" : "[42]" }, "properties" : { "noteIndex" : 0 }, "schema" : "https://github.com/citation-style-language/schema/raw/master/csl-citation.json" }</w:instrText>
      </w:r>
      <w:r w:rsidRPr="008C1EB3">
        <w:rPr>
          <w:rFonts w:ascii="Calibri" w:hAnsi="Calibri" w:cs="Arial"/>
          <w:lang w:val="en-US"/>
        </w:rPr>
        <w:fldChar w:fldCharType="separate"/>
      </w:r>
      <w:r w:rsidR="00843D9D" w:rsidRPr="00843D9D">
        <w:rPr>
          <w:rFonts w:ascii="Calibri" w:hAnsi="Calibri" w:cs="Arial"/>
          <w:noProof/>
          <w:lang w:val="en-US"/>
        </w:rPr>
        <w:t>[42]</w:t>
      </w:r>
      <w:r w:rsidRPr="008C1EB3">
        <w:rPr>
          <w:rFonts w:ascii="Calibri" w:hAnsi="Calibri" w:cs="Arial"/>
          <w:lang w:val="en-US"/>
        </w:rPr>
        <w:fldChar w:fldCharType="end"/>
      </w:r>
      <w:r w:rsidRPr="008C1EB3">
        <w:rPr>
          <w:rFonts w:ascii="Calibri" w:hAnsi="Calibri" w:cs="Arial"/>
          <w:lang w:val="en-US"/>
        </w:rPr>
        <w:t xml:space="preserve"> and some HCM cohorts,</w:t>
      </w:r>
      <w:r w:rsidRPr="008C1EB3">
        <w:rPr>
          <w:rFonts w:ascii="Calibri" w:hAnsi="Calibri" w:cs="Arial"/>
          <w:lang w:val="en-US"/>
        </w:rPr>
        <w:fldChar w:fldCharType="begin" w:fldLock="1"/>
      </w:r>
      <w:r w:rsidR="00843D9D">
        <w:rPr>
          <w:rFonts w:ascii="Calibri" w:hAnsi="Calibri" w:cs="Arial"/>
          <w:lang w:val="en-US"/>
        </w:rPr>
        <w:instrText>ADDIN CSL_CITATION { "citationItems" : [ { "id" : "ITEM-1", "itemData" : { "DOI" : "10.1111/j.1751-7176.2009.00251.x", "ISSN" : "1751-7176", "PMID" : "20433544", "abstract" : "Between 1995 and 2005, 196 adults with hypertrophic cardiomyopathy (HCM) were evaluated. Among these, 122 (62%, group 1) patients also had systemic hypertension. The clinical presentation, management, outcome, and echocardiographic findings of these patients were compared with 74 (38%, group 2) patients without systemic hypertension. Patients in group 1 were older at the time of HCM diagnosis and had a higher prevalence of diabetes (28% vs 9%; P=.02) and coronary artery disease (40% vs 25%; P=.03). In addition, echocardiography showed a significantly higher prevalence of systolic anterior motion of the anterior mitral valve in association with dynamic left ventricular outflow obstruction (52% vs 19%; P=.02) and mitral annular calcification (27% vs 13%; P=.03) in group 1 patients. Left ventricular wall thickness (17 mm vs 19 mm), end-diastolic diameter (42 mm vs 42 mm), resting outflow tract gradient &gt;30 mm Hg (17% vs 16%), and ejection fraction (65% vs 64%) were similar in the two groups. HCM frequently coexists with systemic hypertension in the adult population. Presence of systemic hypertension in HCM patients is associated with older age and higher risk of diabetes, coronary artery disease, and noncardiac death.", "author" : [ { "dropping-particle" : "", "family" : "Aslam", "given" : "Farhan", "non-dropping-particle" : "", "parse-names" : false, "suffix" : "" }, { "dropping-particle" : "", "family" : "Haque", "given" : "Attiya", "non-dropping-particle" : "", "parse-names" : false, "suffix" : "" }, { "dropping-particle" : "", "family" : "Foody", "given" : "Joanne", "non-dropping-particle" : "", "parse-names" : false, "suffix" : "" }, { "dropping-particle" : "", "family" : "Shirani", "given" : "Jamshid", "non-dropping-particle" : "", "parse-names" : false, "suffix" : "" } ], "container-title" : "Journal of clinical hypertension (Greenwich, Conn.)", "id" : "ITEM-1", "issue" : "4", "issued" : { "date-parts" : [ [ "2010", "4" ] ] }, "page" : "240-5", "title" : "The frequency and functional impact of overlapping hypertension on hypertrophic cardiomyopathy: a single-center experience.", "type" : "article-journal", "volume" : "12" }, "uris" : [ "http://www.mendeley.com/documents/?uuid=60245171-23be-4491-98d3-cefb065ef38d" ] } ], "mendeley" : { "formattedCitation" : "[43]", "plainTextFormattedCitation" : "[43]", "previouslyFormattedCitation" : "[43]" }, "properties" : { "noteIndex" : 0 }, "schema" : "https://github.com/citation-style-language/schema/raw/master/csl-citation.json" }</w:instrText>
      </w:r>
      <w:r w:rsidRPr="008C1EB3">
        <w:rPr>
          <w:rFonts w:ascii="Calibri" w:hAnsi="Calibri" w:cs="Arial"/>
          <w:lang w:val="en-US"/>
        </w:rPr>
        <w:fldChar w:fldCharType="separate"/>
      </w:r>
      <w:r w:rsidR="00843D9D" w:rsidRPr="00843D9D">
        <w:rPr>
          <w:rFonts w:ascii="Calibri" w:hAnsi="Calibri" w:cs="Arial"/>
          <w:noProof/>
          <w:lang w:val="en-US"/>
        </w:rPr>
        <w:t>[43]</w:t>
      </w:r>
      <w:r w:rsidRPr="008C1EB3">
        <w:rPr>
          <w:rFonts w:ascii="Calibri" w:hAnsi="Calibri" w:cs="Arial"/>
          <w:lang w:val="en-US"/>
        </w:rPr>
        <w:fldChar w:fldCharType="end"/>
      </w:r>
      <w:r w:rsidRPr="008C1EB3">
        <w:rPr>
          <w:rFonts w:ascii="Calibri" w:hAnsi="Calibri" w:cs="Arial"/>
          <w:lang w:val="en-US"/>
        </w:rPr>
        <w:t xml:space="preserve"> a</w:t>
      </w:r>
      <w:r w:rsidR="00466AA5">
        <w:rPr>
          <w:rFonts w:ascii="Calibri" w:hAnsi="Calibri" w:cs="Arial"/>
          <w:lang w:val="en-US"/>
        </w:rPr>
        <w:t>lthough higher</w:t>
      </w:r>
      <w:r w:rsidRPr="008C1EB3">
        <w:rPr>
          <w:rFonts w:ascii="Calibri" w:hAnsi="Calibri" w:cs="Arial"/>
          <w:lang w:val="en-US"/>
        </w:rPr>
        <w:t xml:space="preserve"> that that reported</w:t>
      </w:r>
      <w:r w:rsidR="008C1EB3">
        <w:rPr>
          <w:rFonts w:ascii="Calibri" w:hAnsi="Calibri" w:cs="Arial"/>
          <w:lang w:val="en-US"/>
        </w:rPr>
        <w:t xml:space="preserve"> in</w:t>
      </w:r>
      <w:r w:rsidRPr="008C1EB3">
        <w:rPr>
          <w:rFonts w:ascii="Calibri" w:hAnsi="Calibri" w:cs="Arial"/>
          <w:lang w:val="en-US"/>
        </w:rPr>
        <w:t xml:space="preserve"> other </w:t>
      </w:r>
      <w:r w:rsidR="00762706" w:rsidRPr="008C1EB3">
        <w:rPr>
          <w:rFonts w:ascii="Calibri" w:hAnsi="Calibri" w:cs="Arial"/>
          <w:lang w:val="en-US"/>
        </w:rPr>
        <w:t>studies of HCM patients</w:t>
      </w:r>
      <w:r w:rsidRPr="008C1EB3">
        <w:rPr>
          <w:rFonts w:ascii="Calibri" w:hAnsi="Calibri" w:cs="Arial"/>
          <w:lang w:val="en-US"/>
        </w:rPr>
        <w:t>.</w:t>
      </w:r>
      <w:r w:rsidRPr="008C1EB3">
        <w:rPr>
          <w:rFonts w:ascii="Calibri" w:hAnsi="Calibri" w:cs="Arial"/>
          <w:lang w:val="en-US"/>
        </w:rPr>
        <w:fldChar w:fldCharType="begin" w:fldLock="1"/>
      </w:r>
      <w:r w:rsidR="00843D9D">
        <w:rPr>
          <w:rFonts w:ascii="Calibri" w:hAnsi="Calibri" w:cs="Arial"/>
          <w:lang w:val="en-US"/>
        </w:rPr>
        <w:instrText>ADDIN CSL_CITATION { "citationItems" : [ { "id" : "ITEM-1", "itemData" : { "DOI" : "10.1016/j.jacc.2008.04.047", "ISBN" : "0735-1097", "ISSN" : "07351097", "PMID" : "18687251", "abstract" : "Objectives: Our aim was to assess the distribution and clinical significance of left ventricular (LV) mass in patients with hypertrophic cardiomyopathy (HCM). Background: Hypertrophic cardiomyopathy is defined echocardiographically by unexplained left ventricular wall thickening. Left ventricular mass, quantifiable by modern cardiovascular magnetic resonance techniques, has not been systematically assessed in this disease. Methods: In 264 HCM patients (age 43 ?? 18 years; 75% men), LV mass by cardiovascular magnetic resonance was measured, indexed by body surface area, and compared with that in 606 healthy control subjects. Results: The LV mass index in HCM patients significantly exceeded that of control subjects (104 ?? 40 g/m2 vs. 61 ?? 10 g/m2 in men and 89 ?? 33 g/m2 vs. 47 ?? 7 g/m2 in women; both p &lt; 0.0001). However, values were within the normal range (??? mean +2 SDs for control subjects) in 56 patients (21%), and only mildly increased (mean +2 to 3 SDs) in 18 (16%). The LV mass index showed a modest relationship to maximal LV thickness (r2 = 0.38; p &lt; 0.001), and was greater in men (104 ?? 40 g/m2 vs. 89 ?? 33 g/m2 in women; p &lt; 0.001) and in patients with resting outflow obstruction (121 ?? 43 g/m2 vs. 96 ?? 37 g/m2 in nonobstructives; p &lt; 0.001). During a 2.6 ?? 0.7-year follow-up, markedly increased LV mass index proved more sensitive in predicting outcome (100%, with 39% specificity), whereas maximal wall thickness &gt;30 mm was more specific (90%, with 41% sensitivity). Conclusions: In distinction to prior perceptions, LV mass index was normal in about 20% of patients with definite HCM phenotype. Therefore, increased LV mass is not a requirement for establishing the clinical diagnosis of HCM. The LV mass correlated weakly with maximal wall thickness, and proved more sensitive in predicting outcome. ?? 2008 American College of Cardiology Foundation.", "author" : [ { "dropping-particle" : "", "family" : "Olivotto", "given" : "Iacopo", "non-dropping-particle" : "", "parse-names" : false, "suffix" : "" }, { "dropping-particle" : "", "family" : "Maron", "given" : "Martin S.", "non-dropping-particle" : "", "parse-names" : false, "suffix" : "" }, { "dropping-particle" : "", "family" : "Autore", "given" : "Camillo", "non-dropping-particle" : "", "parse-names" : false, "suffix" : "" }, { "dropping-particle" : "", "family" : "Lesser", "given" : "John R.", "non-dropping-particle" : "", "parse-names" : false, "suffix" : "" }, { "dropping-particle" : "", "family" : "Rega", "given" : "Luigi", "non-dropping-particle" : "", "parse-names" : false, "suffix" : "" }, { "dropping-particle" : "", "family" : "Casolo", "given" : "Giancarlo", "non-dropping-particle" : "", "parse-names" : false, "suffix" : "" }, { "dropping-particle" : "", "family" : "Santis", "given" : "Marcello", "non-dropping-particle" : "De", "parse-names" : false, "suffix" : "" }, { "dropping-particle" : "", "family" : "Quarta", "given" : "Giovanni", "non-dropping-particle" : "", "parse-names" : false, "suffix" : "" }, { "dropping-particle" : "", "family" : "Nistri", "given" : "Stefano", "non-dropping-particle" : "", "parse-names" : false, "suffix" : "" }, { "dropping-particle" : "", "family" : "Cecchi", "given" : "Franco", "non-dropping-particle" : "", "parse-names" : false, "suffix" : "" }, { "dropping-particle" : "", "family" : "Salton", "given" : "Carol J.", "non-dropping-particle" : "", "parse-names" : false, "suffix" : "" }, { "dropping-particle" : "", "family" : "Udelson", "given" : "James E.", "non-dropping-particle" : "", "parse-names" : false, "suffix" : "" }, { "dropping-particle" : "", "family" : "Manning", "given" : "Warren J.", "non-dropping-particle" : "", "parse-names" : false, "suffix" : "" }, { "dropping-particle" : "", "family" : "Maron", "given" : "Barry J.", "non-dropping-particle" : "", "parse-names" : false, "suffix" : "" } ], "container-title" : "Journal of the American College of Cardiology", "id" : "ITEM-1", "issue" : "7", "issued" : { "date-parts" : [ [ "2008" ] ] }, "page" : "559-566", "title" : "Assessment and Significance of Left Ventricular Mass by Cardiovascular Magnetic Resonance in Hypertrophic Cardiomyopathy", "type" : "article-journal", "volume" : "52" }, "uris" : [ "http://www.mendeley.com/documents/?uuid=e2565671-b196-4b52-af86-0ce8addf47a2" ] } ], "mendeley" : { "formattedCitation" : "[44]", "plainTextFormattedCitation" : "[44]", "previouslyFormattedCitation" : "[44]" }, "properties" : { "noteIndex" : 0 }, "schema" : "https://github.com/citation-style-language/schema/raw/master/csl-citation.json" }</w:instrText>
      </w:r>
      <w:r w:rsidRPr="008C1EB3">
        <w:rPr>
          <w:rFonts w:ascii="Calibri" w:hAnsi="Calibri" w:cs="Arial"/>
          <w:lang w:val="en-US"/>
        </w:rPr>
        <w:fldChar w:fldCharType="separate"/>
      </w:r>
      <w:r w:rsidR="00843D9D" w:rsidRPr="00843D9D">
        <w:rPr>
          <w:rFonts w:ascii="Calibri" w:hAnsi="Calibri" w:cs="Arial"/>
          <w:noProof/>
          <w:lang w:val="en-US"/>
        </w:rPr>
        <w:t>[44]</w:t>
      </w:r>
      <w:r w:rsidRPr="008C1EB3">
        <w:rPr>
          <w:rFonts w:ascii="Calibri" w:hAnsi="Calibri" w:cs="Arial"/>
          <w:lang w:val="en-US"/>
        </w:rPr>
        <w:fldChar w:fldCharType="end"/>
      </w:r>
      <w:r w:rsidRPr="00DD5A80">
        <w:rPr>
          <w:rFonts w:ascii="Calibri" w:hAnsi="Calibri" w:cs="Arial"/>
          <w:lang w:val="en-US"/>
        </w:rPr>
        <w:t xml:space="preserve"> </w:t>
      </w:r>
      <w:r w:rsidR="0021193D" w:rsidRPr="005E42A1">
        <w:rPr>
          <w:rFonts w:ascii="Calibri" w:hAnsi="Calibri" w:cs="Arial"/>
          <w:lang w:val="en-US"/>
        </w:rPr>
        <w:t>Multivariate a</w:t>
      </w:r>
      <w:r w:rsidR="00BB3E0F" w:rsidRPr="005E42A1">
        <w:rPr>
          <w:rFonts w:ascii="Calibri" w:hAnsi="Calibri" w:cs="Arial"/>
          <w:lang w:val="en-US"/>
        </w:rPr>
        <w:t>nalysis</w:t>
      </w:r>
      <w:r w:rsidR="00991352" w:rsidRPr="005E42A1">
        <w:rPr>
          <w:rFonts w:ascii="Calibri" w:hAnsi="Calibri" w:cs="Arial"/>
          <w:lang w:val="en-US"/>
        </w:rPr>
        <w:t xml:space="preserve"> </w:t>
      </w:r>
      <w:r w:rsidR="00995FFF" w:rsidRPr="005E42A1">
        <w:rPr>
          <w:rFonts w:ascii="Calibri" w:hAnsi="Calibri" w:cs="Arial"/>
          <w:lang w:val="en-US"/>
        </w:rPr>
        <w:t xml:space="preserve">identified </w:t>
      </w:r>
      <w:r w:rsidR="00BB3E0F" w:rsidRPr="005E42A1">
        <w:rPr>
          <w:rFonts w:ascii="Calibri" w:hAnsi="Calibri" w:cs="Arial"/>
          <w:lang w:val="en-US"/>
        </w:rPr>
        <w:t>NSVT and hypertension</w:t>
      </w:r>
      <w:r w:rsidR="003A6D74" w:rsidRPr="005E42A1">
        <w:rPr>
          <w:rFonts w:ascii="Calibri" w:hAnsi="Calibri" w:cs="Arial"/>
          <w:lang w:val="en-US"/>
        </w:rPr>
        <w:t xml:space="preserve"> as </w:t>
      </w:r>
      <w:r w:rsidR="0021193D" w:rsidRPr="005E42A1">
        <w:rPr>
          <w:rFonts w:ascii="Calibri" w:hAnsi="Calibri" w:cs="Arial"/>
          <w:lang w:val="en-US"/>
        </w:rPr>
        <w:t xml:space="preserve">independent </w:t>
      </w:r>
      <w:r w:rsidR="005E42A1" w:rsidRPr="005E42A1">
        <w:rPr>
          <w:rFonts w:ascii="Calibri" w:hAnsi="Calibri" w:cs="Arial"/>
          <w:lang w:val="en-US"/>
        </w:rPr>
        <w:t>predictors of</w:t>
      </w:r>
      <w:r w:rsidR="00F23D39" w:rsidRPr="005E42A1">
        <w:rPr>
          <w:rFonts w:ascii="Calibri" w:hAnsi="Calibri" w:cs="Arial"/>
          <w:lang w:val="en-US"/>
        </w:rPr>
        <w:t xml:space="preserve"> </w:t>
      </w:r>
      <w:r w:rsidR="003A6D74" w:rsidRPr="005E42A1">
        <w:rPr>
          <w:rFonts w:ascii="Calibri" w:hAnsi="Calibri" w:cs="Arial"/>
          <w:lang w:val="en-US"/>
        </w:rPr>
        <w:t>primary outcome irrespective of ethnicity, gender or age</w:t>
      </w:r>
      <w:r w:rsidR="00BB3E0F" w:rsidRPr="005E42A1">
        <w:rPr>
          <w:rFonts w:ascii="Calibri" w:hAnsi="Calibri" w:cs="Arial"/>
          <w:lang w:val="en-US"/>
        </w:rPr>
        <w:t xml:space="preserve"> (Table 4</w:t>
      </w:r>
      <w:r w:rsidR="008F0586" w:rsidRPr="005E42A1">
        <w:rPr>
          <w:rFonts w:ascii="Calibri" w:hAnsi="Calibri" w:cs="Arial"/>
          <w:lang w:val="en-US"/>
        </w:rPr>
        <w:t>)</w:t>
      </w:r>
      <w:r w:rsidR="005E42A1" w:rsidRPr="005E42A1">
        <w:rPr>
          <w:rFonts w:ascii="Calibri" w:hAnsi="Calibri" w:cs="Arial"/>
          <w:lang w:val="en-US"/>
        </w:rPr>
        <w:t xml:space="preserve">. </w:t>
      </w:r>
      <w:r w:rsidR="00947865" w:rsidRPr="005E42A1">
        <w:rPr>
          <w:rFonts w:ascii="Calibri" w:hAnsi="Calibri" w:cs="Arial"/>
          <w:lang w:val="en-US"/>
        </w:rPr>
        <w:t>N</w:t>
      </w:r>
      <w:r w:rsidR="009568BA">
        <w:rPr>
          <w:rFonts w:ascii="Calibri" w:hAnsi="Calibri" w:cs="Arial"/>
          <w:lang w:val="en-US"/>
        </w:rPr>
        <w:t>on-sustain</w:t>
      </w:r>
      <w:bookmarkStart w:id="2" w:name="_GoBack"/>
      <w:bookmarkEnd w:id="2"/>
      <w:r w:rsidR="009568BA">
        <w:rPr>
          <w:rFonts w:ascii="Calibri" w:hAnsi="Calibri" w:cs="Arial"/>
          <w:lang w:val="en-US"/>
        </w:rPr>
        <w:t>ed ventricular tachycardia</w:t>
      </w:r>
      <w:r w:rsidR="003A6D74" w:rsidRPr="005E42A1">
        <w:rPr>
          <w:rFonts w:ascii="Calibri" w:hAnsi="Calibri" w:cs="Arial"/>
          <w:lang w:val="en-US"/>
        </w:rPr>
        <w:t xml:space="preserve"> </w:t>
      </w:r>
      <w:r w:rsidR="004000E2">
        <w:rPr>
          <w:rFonts w:ascii="Calibri" w:hAnsi="Calibri" w:cs="Arial"/>
          <w:lang w:val="en-US"/>
        </w:rPr>
        <w:t xml:space="preserve">conferred a </w:t>
      </w:r>
      <w:r w:rsidR="0021193D" w:rsidRPr="005E42A1">
        <w:rPr>
          <w:rFonts w:ascii="Calibri" w:hAnsi="Calibri" w:cs="Arial"/>
          <w:lang w:val="en-US"/>
        </w:rPr>
        <w:t>6</w:t>
      </w:r>
      <w:r w:rsidR="00F75B31" w:rsidRPr="005E42A1">
        <w:rPr>
          <w:rFonts w:ascii="Calibri" w:hAnsi="Calibri" w:cs="Arial"/>
          <w:lang w:val="en-US"/>
        </w:rPr>
        <w:t>-fold</w:t>
      </w:r>
      <w:r w:rsidR="0004702F">
        <w:rPr>
          <w:rFonts w:ascii="Calibri" w:hAnsi="Calibri" w:cs="Arial"/>
          <w:lang w:val="en-US"/>
        </w:rPr>
        <w:t xml:space="preserve"> </w:t>
      </w:r>
      <w:r w:rsidR="004000E2" w:rsidRPr="005E42A1">
        <w:rPr>
          <w:rFonts w:ascii="Calibri" w:hAnsi="Calibri" w:cs="Arial"/>
          <w:lang w:val="en-US"/>
        </w:rPr>
        <w:t xml:space="preserve">increased </w:t>
      </w:r>
      <w:r w:rsidR="004000E2">
        <w:rPr>
          <w:rFonts w:ascii="Calibri" w:hAnsi="Calibri" w:cs="Arial"/>
          <w:lang w:val="en-US"/>
        </w:rPr>
        <w:t xml:space="preserve">risk of </w:t>
      </w:r>
      <w:r w:rsidR="001419F6">
        <w:rPr>
          <w:rFonts w:ascii="Calibri" w:hAnsi="Calibri" w:cs="Arial"/>
          <w:lang w:val="en-US"/>
        </w:rPr>
        <w:t xml:space="preserve">reaching </w:t>
      </w:r>
      <w:r w:rsidR="004000E2">
        <w:rPr>
          <w:rFonts w:ascii="Calibri" w:hAnsi="Calibri" w:cs="Arial"/>
          <w:lang w:val="en-US"/>
        </w:rPr>
        <w:t xml:space="preserve">the primary outcome </w:t>
      </w:r>
      <w:r w:rsidR="001B7F39">
        <w:rPr>
          <w:rFonts w:ascii="Calibri" w:hAnsi="Calibri" w:cs="Arial"/>
          <w:lang w:val="en-US"/>
        </w:rPr>
        <w:t xml:space="preserve">occurring </w:t>
      </w:r>
      <w:r w:rsidR="0004702F">
        <w:rPr>
          <w:rFonts w:ascii="Calibri" w:hAnsi="Calibri" w:cs="Arial"/>
          <w:lang w:val="en-US"/>
        </w:rPr>
        <w:t>during the study period</w:t>
      </w:r>
      <w:r w:rsidR="00F75B31" w:rsidRPr="005E42A1">
        <w:rPr>
          <w:rFonts w:ascii="Calibri" w:hAnsi="Calibri" w:cs="Arial"/>
          <w:lang w:val="en-US"/>
        </w:rPr>
        <w:t>.</w:t>
      </w:r>
      <w:r w:rsidR="0021193D" w:rsidRPr="005E42A1">
        <w:rPr>
          <w:rFonts w:ascii="Calibri" w:hAnsi="Calibri" w:cs="Arial"/>
          <w:lang w:val="en-US"/>
        </w:rPr>
        <w:t xml:space="preserve"> </w:t>
      </w:r>
      <w:r w:rsidR="00A817A9" w:rsidRPr="005E42A1">
        <w:rPr>
          <w:rFonts w:ascii="Calibri" w:hAnsi="Calibri" w:cs="Arial"/>
          <w:lang w:val="en-US"/>
        </w:rPr>
        <w:t>H</w:t>
      </w:r>
      <w:r w:rsidR="0011342C" w:rsidRPr="005E42A1">
        <w:rPr>
          <w:rFonts w:ascii="Calibri" w:hAnsi="Calibri" w:cs="Arial"/>
          <w:lang w:val="en-US"/>
        </w:rPr>
        <w:t>ypertension</w:t>
      </w:r>
      <w:r w:rsidR="00BA2A1F" w:rsidRPr="005E42A1">
        <w:rPr>
          <w:rFonts w:ascii="Calibri" w:hAnsi="Calibri" w:cs="Arial"/>
          <w:lang w:val="en-US"/>
        </w:rPr>
        <w:t xml:space="preserve"> was present in 40% of the</w:t>
      </w:r>
      <w:r w:rsidR="00CF016E" w:rsidRPr="005E42A1">
        <w:rPr>
          <w:rFonts w:ascii="Calibri" w:hAnsi="Calibri" w:cs="Arial"/>
          <w:lang w:val="en-US"/>
        </w:rPr>
        <w:t xml:space="preserve"> overall cohort and </w:t>
      </w:r>
      <w:r w:rsidR="00A817A9" w:rsidRPr="005E42A1">
        <w:rPr>
          <w:rFonts w:ascii="Calibri" w:hAnsi="Calibri" w:cs="Arial"/>
          <w:lang w:val="en-US"/>
        </w:rPr>
        <w:t>was</w:t>
      </w:r>
      <w:r w:rsidR="00CF016E" w:rsidRPr="005E42A1">
        <w:rPr>
          <w:rFonts w:ascii="Calibri" w:hAnsi="Calibri" w:cs="Arial"/>
          <w:lang w:val="en-US"/>
        </w:rPr>
        <w:t xml:space="preserve"> more prevalent i</w:t>
      </w:r>
      <w:r w:rsidR="00BA2A1F" w:rsidRPr="005E42A1">
        <w:rPr>
          <w:rFonts w:ascii="Calibri" w:hAnsi="Calibri" w:cs="Arial"/>
          <w:lang w:val="en-US"/>
        </w:rPr>
        <w:t>n black patients. Although h</w:t>
      </w:r>
      <w:r w:rsidR="00CF016E" w:rsidRPr="005E42A1">
        <w:rPr>
          <w:rFonts w:ascii="Calibri" w:hAnsi="Calibri" w:cs="Arial"/>
          <w:lang w:val="en-US"/>
        </w:rPr>
        <w:t>ypertension</w:t>
      </w:r>
      <w:r w:rsidR="0011342C" w:rsidRPr="005E42A1">
        <w:rPr>
          <w:rFonts w:ascii="Calibri" w:hAnsi="Calibri" w:cs="Arial"/>
          <w:lang w:val="en-US"/>
        </w:rPr>
        <w:t xml:space="preserve"> </w:t>
      </w:r>
      <w:r w:rsidR="00617BAA" w:rsidRPr="005E42A1">
        <w:rPr>
          <w:rFonts w:ascii="Calibri" w:hAnsi="Calibri" w:cs="Arial"/>
          <w:lang w:val="en-US"/>
        </w:rPr>
        <w:t xml:space="preserve">had limited influence on the </w:t>
      </w:r>
      <w:r w:rsidR="00BA2A1F" w:rsidRPr="005E42A1">
        <w:rPr>
          <w:rFonts w:ascii="Calibri" w:hAnsi="Calibri" w:cs="Arial"/>
          <w:lang w:val="en-US"/>
        </w:rPr>
        <w:t>phenotypic expression of HCM</w:t>
      </w:r>
      <w:r w:rsidR="000C4730">
        <w:rPr>
          <w:rFonts w:ascii="Calibri" w:hAnsi="Calibri" w:cs="Arial"/>
          <w:lang w:val="en-US"/>
        </w:rPr>
        <w:t xml:space="preserve"> (Table 5)</w:t>
      </w:r>
      <w:r w:rsidR="00BA2A1F" w:rsidRPr="005E42A1">
        <w:rPr>
          <w:rFonts w:ascii="Calibri" w:hAnsi="Calibri" w:cs="Arial"/>
          <w:lang w:val="en-US"/>
        </w:rPr>
        <w:t>, it was associated with</w:t>
      </w:r>
      <w:r w:rsidR="008343F6" w:rsidRPr="005E42A1">
        <w:rPr>
          <w:rFonts w:ascii="Calibri" w:hAnsi="Calibri" w:cs="Arial"/>
          <w:lang w:val="en-US"/>
        </w:rPr>
        <w:t xml:space="preserve"> a</w:t>
      </w:r>
      <w:r w:rsidR="00086D66" w:rsidRPr="005E42A1">
        <w:rPr>
          <w:rFonts w:ascii="Calibri" w:hAnsi="Calibri" w:cs="Arial"/>
          <w:lang w:val="en-US"/>
        </w:rPr>
        <w:t xml:space="preserve"> </w:t>
      </w:r>
      <w:r w:rsidR="0021193D" w:rsidRPr="005E42A1">
        <w:rPr>
          <w:rFonts w:ascii="Calibri" w:hAnsi="Calibri" w:cs="Arial"/>
          <w:lang w:val="en-US"/>
        </w:rPr>
        <w:t>2</w:t>
      </w:r>
      <w:r w:rsidR="00F75B31" w:rsidRPr="005E42A1">
        <w:rPr>
          <w:rFonts w:ascii="Calibri" w:hAnsi="Calibri" w:cs="Arial"/>
          <w:lang w:val="en-US"/>
        </w:rPr>
        <w:t>-</w:t>
      </w:r>
      <w:r w:rsidR="00872660" w:rsidRPr="005E42A1">
        <w:rPr>
          <w:rFonts w:ascii="Calibri" w:hAnsi="Calibri" w:cs="Arial"/>
          <w:lang w:val="en-US"/>
        </w:rPr>
        <w:t>fold</w:t>
      </w:r>
      <w:r w:rsidR="008343F6" w:rsidRPr="005E42A1">
        <w:rPr>
          <w:rFonts w:ascii="Calibri" w:hAnsi="Calibri" w:cs="Arial"/>
          <w:lang w:val="en-US"/>
        </w:rPr>
        <w:t xml:space="preserve"> </w:t>
      </w:r>
      <w:r w:rsidR="002E2710" w:rsidRPr="005E42A1">
        <w:rPr>
          <w:rFonts w:ascii="Calibri" w:hAnsi="Calibri" w:cs="Arial"/>
          <w:lang w:val="en-US"/>
        </w:rPr>
        <w:t xml:space="preserve">increased </w:t>
      </w:r>
      <w:r w:rsidR="004000E2">
        <w:rPr>
          <w:rFonts w:ascii="Calibri" w:hAnsi="Calibri" w:cs="Arial"/>
          <w:lang w:val="en-US"/>
        </w:rPr>
        <w:t>risk</w:t>
      </w:r>
      <w:r w:rsidR="0004702F" w:rsidRPr="0004702F">
        <w:rPr>
          <w:rFonts w:ascii="Calibri" w:hAnsi="Calibri" w:cs="Arial"/>
          <w:lang w:val="en-US"/>
        </w:rPr>
        <w:t xml:space="preserve"> of </w:t>
      </w:r>
      <w:r w:rsidR="001419F6">
        <w:rPr>
          <w:rFonts w:ascii="Calibri" w:hAnsi="Calibri" w:cs="Arial"/>
          <w:lang w:val="en-US"/>
        </w:rPr>
        <w:t xml:space="preserve">reaching </w:t>
      </w:r>
      <w:r w:rsidR="0004702F" w:rsidRPr="0004702F">
        <w:rPr>
          <w:rFonts w:ascii="Calibri" w:hAnsi="Calibri" w:cs="Arial"/>
          <w:lang w:val="en-US"/>
        </w:rPr>
        <w:t>the primary outcome</w:t>
      </w:r>
      <w:r w:rsidR="0004702F">
        <w:rPr>
          <w:rFonts w:ascii="Calibri" w:hAnsi="Calibri" w:cs="Arial"/>
          <w:lang w:val="en-US"/>
        </w:rPr>
        <w:t xml:space="preserve"> </w:t>
      </w:r>
      <w:r w:rsidR="001B7F39">
        <w:rPr>
          <w:rFonts w:ascii="Calibri" w:hAnsi="Calibri" w:cs="Arial"/>
          <w:lang w:val="en-US"/>
        </w:rPr>
        <w:t xml:space="preserve">occurring </w:t>
      </w:r>
      <w:r w:rsidR="0004702F">
        <w:rPr>
          <w:rFonts w:ascii="Calibri" w:hAnsi="Calibri" w:cs="Arial"/>
          <w:lang w:val="en-US"/>
        </w:rPr>
        <w:t>during the study period</w:t>
      </w:r>
      <w:r w:rsidR="0011342C" w:rsidRPr="005E42A1">
        <w:rPr>
          <w:rFonts w:ascii="Calibri" w:hAnsi="Calibri" w:cs="Arial"/>
          <w:lang w:val="en-US"/>
        </w:rPr>
        <w:t xml:space="preserve">. </w:t>
      </w:r>
      <w:r w:rsidR="00AF3379" w:rsidRPr="005E42A1">
        <w:rPr>
          <w:rFonts w:ascii="Calibri" w:hAnsi="Calibri" w:cs="Arial"/>
          <w:lang w:val="en-US"/>
        </w:rPr>
        <w:t>The combination of NSVT</w:t>
      </w:r>
      <w:r w:rsidR="00872660" w:rsidRPr="005E42A1">
        <w:rPr>
          <w:rFonts w:ascii="Calibri" w:hAnsi="Calibri" w:cs="Arial"/>
          <w:lang w:val="en-US"/>
        </w:rPr>
        <w:t xml:space="preserve"> and</w:t>
      </w:r>
      <w:r w:rsidR="00AF3379" w:rsidRPr="005E42A1">
        <w:rPr>
          <w:rFonts w:ascii="Calibri" w:hAnsi="Calibri" w:cs="Arial"/>
          <w:lang w:val="en-US"/>
        </w:rPr>
        <w:t xml:space="preserve"> hypertension had a significant</w:t>
      </w:r>
      <w:r w:rsidR="00872660" w:rsidRPr="005E42A1">
        <w:rPr>
          <w:rFonts w:ascii="Calibri" w:hAnsi="Calibri" w:cs="Arial"/>
          <w:lang w:val="en-US"/>
        </w:rPr>
        <w:t xml:space="preserve"> additive impact</w:t>
      </w:r>
      <w:r w:rsidR="00AF3379" w:rsidRPr="005E42A1">
        <w:rPr>
          <w:rFonts w:ascii="Calibri" w:hAnsi="Calibri" w:cs="Arial"/>
          <w:lang w:val="en-US"/>
        </w:rPr>
        <w:t xml:space="preserve">, </w:t>
      </w:r>
      <w:r w:rsidR="00872660" w:rsidRPr="005E42A1">
        <w:rPr>
          <w:rFonts w:ascii="Calibri" w:hAnsi="Calibri" w:cs="Arial"/>
          <w:lang w:val="en-US"/>
        </w:rPr>
        <w:t>further</w:t>
      </w:r>
      <w:r w:rsidR="00AF3379" w:rsidRPr="005E42A1">
        <w:rPr>
          <w:rFonts w:ascii="Calibri" w:hAnsi="Calibri" w:cs="Arial"/>
          <w:lang w:val="en-US"/>
        </w:rPr>
        <w:t xml:space="preserve"> </w:t>
      </w:r>
      <w:r w:rsidR="002D6DAF" w:rsidRPr="005E42A1">
        <w:rPr>
          <w:rFonts w:ascii="Calibri" w:hAnsi="Calibri" w:cs="Arial"/>
          <w:lang w:val="en-US"/>
        </w:rPr>
        <w:t xml:space="preserve">reducing </w:t>
      </w:r>
      <w:r w:rsidR="009B6CA1">
        <w:rPr>
          <w:rFonts w:ascii="Calibri" w:hAnsi="Calibri" w:cs="Arial"/>
          <w:lang w:val="en-US"/>
        </w:rPr>
        <w:t>event-</w:t>
      </w:r>
      <w:r w:rsidR="00AF3379" w:rsidRPr="005E42A1">
        <w:rPr>
          <w:rFonts w:ascii="Calibri" w:hAnsi="Calibri" w:cs="Arial"/>
          <w:lang w:val="en-US"/>
        </w:rPr>
        <w:t>free survival</w:t>
      </w:r>
      <w:r w:rsidR="00BB3E0F" w:rsidRPr="005E42A1">
        <w:rPr>
          <w:rFonts w:ascii="Calibri" w:hAnsi="Calibri" w:cs="Arial"/>
          <w:lang w:val="en-US"/>
        </w:rPr>
        <w:t xml:space="preserve"> (Figure 1B</w:t>
      </w:r>
      <w:r w:rsidR="00AF3379" w:rsidRPr="005E42A1">
        <w:rPr>
          <w:rFonts w:ascii="Calibri" w:hAnsi="Calibri" w:cs="Arial"/>
          <w:lang w:val="en-US"/>
        </w:rPr>
        <w:t xml:space="preserve">). </w:t>
      </w:r>
      <w:r w:rsidR="009D5CAC" w:rsidRPr="008C1EB3">
        <w:rPr>
          <w:rFonts w:ascii="Calibri" w:hAnsi="Calibri" w:cs="Arial"/>
          <w:lang w:val="en-US"/>
        </w:rPr>
        <w:t>These</w:t>
      </w:r>
      <w:r w:rsidR="009838A6" w:rsidRPr="008C1EB3">
        <w:rPr>
          <w:rFonts w:ascii="Calibri" w:hAnsi="Calibri" w:cs="Arial"/>
          <w:lang w:val="en-US"/>
        </w:rPr>
        <w:t xml:space="preserve"> fin</w:t>
      </w:r>
      <w:r w:rsidR="00F23D39" w:rsidRPr="008C1EB3">
        <w:rPr>
          <w:rFonts w:ascii="Calibri" w:hAnsi="Calibri" w:cs="Arial"/>
          <w:lang w:val="en-US"/>
        </w:rPr>
        <w:t>ding</w:t>
      </w:r>
      <w:r w:rsidR="009D5CAC" w:rsidRPr="008C1EB3">
        <w:rPr>
          <w:rFonts w:ascii="Calibri" w:hAnsi="Calibri" w:cs="Arial"/>
          <w:lang w:val="en-US"/>
        </w:rPr>
        <w:t>s</w:t>
      </w:r>
      <w:r w:rsidR="00F23D39" w:rsidRPr="008C1EB3">
        <w:rPr>
          <w:rFonts w:ascii="Calibri" w:hAnsi="Calibri" w:cs="Arial"/>
          <w:lang w:val="en-US"/>
        </w:rPr>
        <w:t xml:space="preserve"> </w:t>
      </w:r>
      <w:r w:rsidR="00E21AB1" w:rsidRPr="008C1EB3">
        <w:rPr>
          <w:rFonts w:ascii="Calibri" w:hAnsi="Calibri" w:cs="Arial"/>
          <w:lang w:val="en-US"/>
        </w:rPr>
        <w:t xml:space="preserve">are unsurprising given </w:t>
      </w:r>
      <w:r w:rsidR="000C4730" w:rsidRPr="008C1EB3">
        <w:rPr>
          <w:rFonts w:ascii="Calibri" w:hAnsi="Calibri" w:cs="Arial"/>
          <w:lang w:val="en-US"/>
        </w:rPr>
        <w:t xml:space="preserve">that </w:t>
      </w:r>
      <w:r w:rsidR="00E21AB1" w:rsidRPr="008C1EB3">
        <w:rPr>
          <w:rFonts w:ascii="Calibri" w:hAnsi="Calibri" w:cs="Arial"/>
          <w:lang w:val="en-US"/>
        </w:rPr>
        <w:t xml:space="preserve">hypertension adversely affects several disease processes and that NSVT is </w:t>
      </w:r>
      <w:r w:rsidR="000C4730" w:rsidRPr="008C1EB3">
        <w:rPr>
          <w:rFonts w:ascii="Calibri" w:hAnsi="Calibri" w:cs="Arial"/>
          <w:lang w:val="en-US"/>
        </w:rPr>
        <w:t xml:space="preserve">a well-established </w:t>
      </w:r>
      <w:r w:rsidR="00E21AB1" w:rsidRPr="008C1EB3">
        <w:rPr>
          <w:rFonts w:ascii="Calibri" w:hAnsi="Calibri" w:cs="Arial"/>
          <w:lang w:val="en-US"/>
        </w:rPr>
        <w:t xml:space="preserve">risk marker for SCD in HCM. However, the observations </w:t>
      </w:r>
      <w:r w:rsidR="009811C6" w:rsidRPr="008C1EB3">
        <w:rPr>
          <w:rFonts w:ascii="Calibri" w:hAnsi="Calibri" w:cs="Arial"/>
          <w:lang w:val="en-US"/>
        </w:rPr>
        <w:t xml:space="preserve">nevertheless </w:t>
      </w:r>
      <w:r w:rsidR="00F23D39" w:rsidRPr="008C1EB3">
        <w:rPr>
          <w:rFonts w:ascii="Calibri" w:hAnsi="Calibri" w:cs="Arial"/>
          <w:lang w:val="en-US"/>
        </w:rPr>
        <w:t>h</w:t>
      </w:r>
      <w:r w:rsidR="009D5CAC" w:rsidRPr="008C1EB3">
        <w:rPr>
          <w:rFonts w:ascii="Calibri" w:hAnsi="Calibri" w:cs="Arial"/>
          <w:lang w:val="en-US"/>
        </w:rPr>
        <w:t>ave</w:t>
      </w:r>
      <w:r w:rsidR="00F23D39" w:rsidRPr="008C1EB3">
        <w:rPr>
          <w:rFonts w:ascii="Calibri" w:hAnsi="Calibri" w:cs="Arial"/>
          <w:lang w:val="en-US"/>
        </w:rPr>
        <w:t xml:space="preserve"> important implications</w:t>
      </w:r>
      <w:r w:rsidR="009838A6" w:rsidRPr="008C1EB3">
        <w:rPr>
          <w:rFonts w:ascii="Calibri" w:hAnsi="Calibri" w:cs="Arial"/>
          <w:lang w:val="en-US"/>
        </w:rPr>
        <w:t xml:space="preserve"> </w:t>
      </w:r>
      <w:r w:rsidR="000C4730" w:rsidRPr="008C1EB3">
        <w:rPr>
          <w:rFonts w:ascii="Calibri" w:hAnsi="Calibri" w:cs="Arial"/>
          <w:lang w:val="en-US"/>
        </w:rPr>
        <w:t xml:space="preserve">for the HCM population </w:t>
      </w:r>
      <w:r w:rsidR="0001135D" w:rsidRPr="008C1EB3">
        <w:rPr>
          <w:rFonts w:ascii="Calibri" w:hAnsi="Calibri" w:cs="Arial"/>
          <w:lang w:val="en-US"/>
        </w:rPr>
        <w:t>given the considerable overlap between hypertension and HCM in clinical practice</w:t>
      </w:r>
      <w:r w:rsidR="00F23D39" w:rsidRPr="008C1EB3">
        <w:rPr>
          <w:rFonts w:ascii="Calibri" w:hAnsi="Calibri" w:cs="Arial"/>
          <w:lang w:val="en-US"/>
        </w:rPr>
        <w:t>,</w:t>
      </w:r>
      <w:r w:rsidR="009838A6" w:rsidRPr="008C1EB3">
        <w:rPr>
          <w:rFonts w:ascii="Calibri" w:hAnsi="Calibri" w:cs="Arial"/>
          <w:lang w:val="en-US"/>
        </w:rPr>
        <w:t xml:space="preserve"> </w:t>
      </w:r>
      <w:r w:rsidR="009811C6" w:rsidRPr="008C1EB3">
        <w:rPr>
          <w:rFonts w:ascii="Calibri" w:hAnsi="Calibri" w:cs="Arial"/>
          <w:lang w:val="en-US"/>
        </w:rPr>
        <w:t>underscoring</w:t>
      </w:r>
      <w:r w:rsidR="009838A6" w:rsidRPr="008C1EB3">
        <w:rPr>
          <w:rFonts w:ascii="Calibri" w:hAnsi="Calibri" w:cs="Arial"/>
          <w:lang w:val="en-US"/>
        </w:rPr>
        <w:t xml:space="preserve"> the need fo</w:t>
      </w:r>
      <w:r w:rsidR="00B74348" w:rsidRPr="008C1EB3">
        <w:rPr>
          <w:rFonts w:ascii="Calibri" w:hAnsi="Calibri" w:cs="Arial"/>
          <w:lang w:val="en-US"/>
        </w:rPr>
        <w:t>r good BP</w:t>
      </w:r>
      <w:r w:rsidR="00F23D39" w:rsidRPr="008C1EB3">
        <w:rPr>
          <w:rFonts w:ascii="Calibri" w:hAnsi="Calibri" w:cs="Arial"/>
          <w:lang w:val="en-US"/>
        </w:rPr>
        <w:t xml:space="preserve"> control in</w:t>
      </w:r>
      <w:r w:rsidR="009811C6" w:rsidRPr="008C1EB3">
        <w:rPr>
          <w:rFonts w:ascii="Calibri" w:hAnsi="Calibri" w:cs="Arial"/>
          <w:lang w:val="en-US"/>
        </w:rPr>
        <w:t xml:space="preserve"> HCM</w:t>
      </w:r>
      <w:r w:rsidR="00F23D39" w:rsidRPr="008C1EB3">
        <w:rPr>
          <w:rFonts w:ascii="Calibri" w:hAnsi="Calibri" w:cs="Arial"/>
          <w:lang w:val="en-US"/>
        </w:rPr>
        <w:t xml:space="preserve"> patients</w:t>
      </w:r>
      <w:r w:rsidR="00BA2A1F" w:rsidRPr="008C1EB3">
        <w:rPr>
          <w:rFonts w:ascii="Calibri" w:hAnsi="Calibri" w:cs="Arial"/>
          <w:lang w:val="en-US"/>
        </w:rPr>
        <w:t>.</w:t>
      </w:r>
    </w:p>
    <w:p w:rsidR="0011342C" w:rsidRDefault="0011342C" w:rsidP="006C647A">
      <w:pPr>
        <w:spacing w:line="480" w:lineRule="auto"/>
        <w:rPr>
          <w:rFonts w:ascii="Calibri" w:hAnsi="Calibri" w:cs="Arial"/>
          <w:lang w:val="en-US"/>
        </w:rPr>
      </w:pPr>
    </w:p>
    <w:p w:rsidR="001A6349" w:rsidRPr="001A6349" w:rsidRDefault="001A6349" w:rsidP="006C647A">
      <w:pPr>
        <w:spacing w:line="480" w:lineRule="auto"/>
        <w:rPr>
          <w:rFonts w:ascii="Calibri" w:hAnsi="Calibri" w:cs="Arial"/>
          <w:b/>
          <w:lang w:val="en-US"/>
        </w:rPr>
      </w:pPr>
      <w:r w:rsidRPr="001A6349">
        <w:rPr>
          <w:rFonts w:ascii="Calibri" w:hAnsi="Calibri" w:cs="Arial"/>
          <w:b/>
          <w:lang w:val="en-US"/>
        </w:rPr>
        <w:t>S</w:t>
      </w:r>
      <w:r w:rsidR="00604C0D">
        <w:rPr>
          <w:rFonts w:ascii="Calibri" w:hAnsi="Calibri" w:cs="Arial"/>
          <w:b/>
          <w:lang w:val="en-US"/>
        </w:rPr>
        <w:t>tudy Limitations</w:t>
      </w:r>
    </w:p>
    <w:p w:rsidR="009F4E46" w:rsidRDefault="00FC05B4" w:rsidP="006C647A">
      <w:pPr>
        <w:spacing w:line="480" w:lineRule="auto"/>
        <w:rPr>
          <w:rFonts w:ascii="Calibri" w:hAnsi="Calibri" w:cs="Arial"/>
          <w:lang w:val="en-US"/>
        </w:rPr>
      </w:pPr>
      <w:r w:rsidRPr="00923CE9">
        <w:rPr>
          <w:rFonts w:ascii="Calibri" w:hAnsi="Calibri" w:cs="Arial"/>
          <w:lang w:val="en-US"/>
        </w:rPr>
        <w:t xml:space="preserve">It </w:t>
      </w:r>
      <w:r w:rsidR="00DB301B" w:rsidRPr="00923CE9">
        <w:rPr>
          <w:rFonts w:ascii="Calibri" w:hAnsi="Calibri" w:cs="Arial"/>
          <w:lang w:val="en-US"/>
        </w:rPr>
        <w:t>is</w:t>
      </w:r>
      <w:r w:rsidRPr="00923CE9">
        <w:rPr>
          <w:rFonts w:ascii="Calibri" w:hAnsi="Calibri" w:cs="Arial"/>
          <w:lang w:val="en-US"/>
        </w:rPr>
        <w:t xml:space="preserve"> possible that a small proportion of patients with </w:t>
      </w:r>
      <w:r w:rsidR="00DB301B" w:rsidRPr="00923CE9">
        <w:rPr>
          <w:rFonts w:ascii="Calibri" w:hAnsi="Calibri" w:cs="Arial"/>
          <w:lang w:val="en-US"/>
        </w:rPr>
        <w:t xml:space="preserve">genuine </w:t>
      </w:r>
      <w:r w:rsidRPr="00923CE9">
        <w:rPr>
          <w:rFonts w:ascii="Calibri" w:hAnsi="Calibri" w:cs="Arial"/>
          <w:lang w:val="en-US"/>
        </w:rPr>
        <w:t>hypertensive heart disease were misclassified as having HCM. However</w:t>
      </w:r>
      <w:r w:rsidR="00DB301B" w:rsidRPr="00923CE9">
        <w:rPr>
          <w:rFonts w:ascii="Calibri" w:hAnsi="Calibri" w:cs="Arial"/>
          <w:lang w:val="en-US"/>
        </w:rPr>
        <w:t>,</w:t>
      </w:r>
      <w:r w:rsidRPr="00923CE9">
        <w:rPr>
          <w:rFonts w:ascii="Calibri" w:hAnsi="Calibri" w:cs="Arial"/>
          <w:lang w:val="en-US"/>
        </w:rPr>
        <w:t xml:space="preserve"> the similarities between the hypertensive and normotensive groups of both ethnicities </w:t>
      </w:r>
      <w:r w:rsidR="009F4E46">
        <w:rPr>
          <w:rFonts w:ascii="Calibri" w:hAnsi="Calibri" w:cs="Arial"/>
          <w:lang w:val="en-US"/>
        </w:rPr>
        <w:t>(Table 5</w:t>
      </w:r>
      <w:r w:rsidR="005773AA" w:rsidRPr="00923CE9">
        <w:rPr>
          <w:rFonts w:ascii="Calibri" w:hAnsi="Calibri" w:cs="Arial"/>
          <w:lang w:val="en-US"/>
        </w:rPr>
        <w:t xml:space="preserve">) </w:t>
      </w:r>
      <w:r w:rsidR="00D72924" w:rsidRPr="00923CE9">
        <w:rPr>
          <w:rFonts w:ascii="Calibri" w:hAnsi="Calibri" w:cs="Arial"/>
          <w:lang w:val="en-US"/>
        </w:rPr>
        <w:t xml:space="preserve">and </w:t>
      </w:r>
      <w:r w:rsidR="00DB301B" w:rsidRPr="00923CE9">
        <w:rPr>
          <w:rFonts w:ascii="Calibri" w:hAnsi="Calibri" w:cs="Arial"/>
          <w:lang w:val="en-US"/>
        </w:rPr>
        <w:t xml:space="preserve">the lack of any reversal of the ECG and echocardiographic anomalies despite good BP control in the great majority of subjects </w:t>
      </w:r>
      <w:r w:rsidR="00D72924" w:rsidRPr="00923CE9">
        <w:rPr>
          <w:rFonts w:ascii="Calibri" w:hAnsi="Calibri" w:cs="Arial"/>
          <w:lang w:val="en-US"/>
        </w:rPr>
        <w:t>make this less likely</w:t>
      </w:r>
      <w:r w:rsidR="00A61132">
        <w:rPr>
          <w:rFonts w:ascii="Calibri" w:hAnsi="Calibri" w:cs="Arial"/>
          <w:lang w:val="en-US"/>
        </w:rPr>
        <w:t>.</w:t>
      </w:r>
      <w:r w:rsidR="007129C5" w:rsidRPr="00923CE9">
        <w:rPr>
          <w:rFonts w:ascii="Calibri" w:hAnsi="Calibri" w:cs="Arial"/>
          <w:lang w:val="en-US"/>
        </w:rPr>
        <w:fldChar w:fldCharType="begin" w:fldLock="1"/>
      </w:r>
      <w:r w:rsidR="00843D9D">
        <w:rPr>
          <w:rFonts w:ascii="Calibri" w:hAnsi="Calibri" w:cs="Arial"/>
          <w:lang w:val="en-US"/>
        </w:rPr>
        <w:instrText>ADDIN CSL_CITATION { "citationItems" : [ { "id" : "ITEM-1", "itemData" : { "DOI" : "10.1161/01.CIR.0000141573.44737.5A", "ISSN" : "1524-4539", "PMID" : "15326072", "abstract" : "BACKGROUND: An echocardiographic substudy of the Losartan Intervention for Endpoint Reduction in Hypertension (LIFE) trial was designed to test the ability of losartan to reduce left ventricular (LV) mass more than atenolol.\n\nMETHODS AND RESULTS: A total of 960 patients with essential hypertension and LV hypertrophy (LVH) on screening ECG were enrolled at centers in 7 countries and studied by echocardiography at baseline and after 1, 2, 3, 4, and 5 years' randomized therapy. Clinical examination and blinded readings of echocardiograms in 457 losartan-treated and 459 atenolol-treated participants with &gt; or =1 follow-up measurement of LV mass index (LVMI) were used in an intention-to-treat analysis. Losartan-based therapy induced greater reduction in LVMI from baseline to the last available study than atenolol with adjustment for baseline LVMI and blood pressure and in-treatment pressure (-21.7+/-21.8 versus -17.7+/-19.6 g/m2; P=0.021). Greater LVMI reduction with losartan was observed in women and men, participants &gt;65 or &lt;65 years of age, and with mild or more severe baseline hypertrophy. The difference between treatment arms in LVH regression was due mainly to reduced concentricity of LV geometry in both groups and lesser increase in LV internal diameter in losartan-treated patients.\n\nCONCLUSIONS: Antihypertensive treatment with losartan, plus hydrochlorothiazide and other medications when needed for pressure control, resulted in greater LVH regression in patients with ECG LVH than conventional atenolol-based treatment. Thus, angiotensin receptor antagonism by losartan has superior efficacy for reversing LVH, a cardinal manifestation of hypertensive target organ damage.", "author" : [ { "dropping-particle" : "", "family" : "Devereux", "given" : "Richard B", "non-dropping-particle" : "", "parse-names" : false, "suffix" : "" }, { "dropping-particle" : "", "family" : "Dahl\u00f6f", "given" : "Bj\u00f6rn", "non-dropping-particle" : "", "parse-names" : false, "suffix" : "" }, { "dropping-particle" : "", "family" : "Gerdts", "given" : "Eva", "non-dropping-particle" : "", "parse-names" : false, "suffix" : "" }, { "dropping-particle" : "", "family" : "Boman", "given" : "Kurt", "non-dropping-particle" : "", "parse-names" : false, "suffix" : "" }, { "dropping-particle" : "", "family" : "Nieminen", "given" : "Markku S", "non-dropping-particle" : "", "parse-names" : false, "suffix" : "" }, { "dropping-particle" : "", "family" : "Papademetriou", "given" : "Vasilios", "non-dropping-particle" : "", "parse-names" : false, "suffix" : "" }, { "dropping-particle" : "", "family" : "Rokkedal", "given" : "Jens", "non-dropping-particle" : "", "parse-names" : false, "suffix" : "" }, { "dropping-particle" : "", "family" : "Harris", "given" : "Katherine E", "non-dropping-particle" : "", "parse-names" : false, "suffix" : "" }, { "dropping-particle" : "", "family" : "Edelman", "given" : "Jonathan M", "non-dropping-particle" : "", "parse-names" : false, "suffix" : "" }, { "dropping-particle" : "", "family" : "Wachtell", "given" : "Kristian", "non-dropping-particle" : "", "parse-names" : false, "suffix" : "" } ], "container-title" : "Circulation", "id" : "ITEM-1", "issue" : "11", "issued" : { "date-parts" : [ [ "2004", "9", "14" ] ] }, "page" : "1456-62", "title" : "Regression of hypertensive left ventricular hypertrophy by losartan compared with atenolol: the Losartan Intervention for Endpoint Reduction in Hypertension (LIFE) trial.", "type" : "article-journal", "volume" : "110" }, "uris" : [ "http://www.mendeley.com/documents/?uuid=7b38e26f-0587-4134-b628-2e7639dd5d8a" ] }, { "id" : "ITEM-2", "itemData" : { "DOI" : "10.1161/01.CIR.0000083724.28630.C3", "ISSN" : "1524-4539", "PMID" : "12885747", "abstract" : "BACKGROUND: Electrocardiographic left ventricular hypertrophy (LVH) predicts cardiovascular morbidity and mortality, and regression of ECG LVH may predict improved prognosis in hypertensive patients. However, uncertainty persists as to how best to regress ECG LVH.\n\nMETHODS AND RESULTS: Regression of ECG LVH with losartan versus atenolol therapy was assessed in 9193 hypertensive patients with ECG LVH by Sokolow-Lyon voltage or Cornell voltage-duration product criteria enrolled in the Losartan Intervention For Endpoint Reduction in Hypertension (LIFE) Study. Patients had ECGs at study baseline and after 6 months, 1, 2, 3, 4, and 5 years of blinded losartan-based or atenolol-based therapy. After 6 months' follow-up, adjusting for baseline ECG LVH levels, baseline and in-treatment systolic and diastolic pressures, and for diuretic therapy, losartan-based therapy was associated with greater regression of both Cornell product (adjusted means, -200 versus -69 mm. ms, P&lt;0.001) and Sokolow-Lyon voltage (-2.5 versus -0.7 mm, P&lt;0.001) than was atenolol-based therapy. Greater regression of ECG LVH persisted at each subsequent annual evaluation in the losartan-treated group, with between 140 and 164 mm. ms greater mean reductions in Cornell product and from 1.7 to 2.2 mm greater mean reductions in Sokolow-Lyon voltage (all P&lt;0.001). The effect of losartan was consistent across subgroups defined by gender, age, ethnicity, and diabetes.\n\nCONCLUSIONS: After adjusting for baseline and in-treatment blood pressure and baseline severity of ECG LVH, losartan-based antihypertensive therapy resulted in greater regression of ECG LVH by Cornell voltage-duration product and Sokolow-Lyon voltage criteria than did atenolol-based therapy. These findings support the value of angiotensin receptor blockade with losartan for reversing ECG LVH.", "author" : [ { "dropping-particle" : "", "family" : "Okin", "given" : "Peter M", "non-dropping-particle" : "", "parse-names" : false, "suffix" : "" }, { "dropping-particle" : "", "family" : "Devereux", "given" : "Richard B", "non-dropping-particle" : "", "parse-names" : false, "suffix" : "" }, { "dropping-particle" : "", "family" : "Jern", "given" : "Sverker", "non-dropping-particle" : "", "parse-names" : false, "suffix" : "" }, { "dropping-particle" : "", "family" : "Kjeldsen", "given" : "Sverre E", "non-dropping-particle" : "", "parse-names" : false, "suffix" : "" }, { "dropping-particle" : "", "family" : "Julius", "given" : "Stevo", "non-dropping-particle" : "", "parse-names" : false, "suffix" : "" }, { "dropping-particle" : "", "family" : "Nieminen", "given" : "Markku S", "non-dropping-particle" : "", "parse-names" : false, "suffix" : "" }, { "dropping-particle" : "", "family" : "Snapinn", "given" : "Steven", "non-dropping-particle" : "", "parse-names" : false, "suffix" : "" }, { "dropping-particle" : "", "family" : "Harris", "given" : "Katherine E", "non-dropping-particle" : "", "parse-names" : false, "suffix" : "" }, { "dropping-particle" : "", "family" : "Aurup", "given" : "Peter", "non-dropping-particle" : "", "parse-names" : false, "suffix" : "" }, { "dropping-particle" : "", "family" : "Edelman", "given" : "Jonathan M", "non-dropping-particle" : "", "parse-names" : false, "suffix" : "" }, { "dropping-particle" : "", "family" : "Dahlof", "given" : "Bjorn", "non-dropping-particle" : "", "parse-names" : false, "suffix" : "" } ], "container-title" : "Circulation", "id" : "ITEM-2", "issue" : "6", "issued" : { "date-parts" : [ [ "2003", "8", "12" ] ] }, "page" : "684-90", "title" : "Regression of electrocardiographic left ventricular hypertrophy by losartan versus atenolol: The Losartan Intervention for Endpoint reduction in Hypertension (LIFE) Study.", "type" : "article-journal", "volume" : "108" }, "uris" : [ "http://www.mendeley.com/documents/?uuid=252c88d9-c5bb-4628-8bdb-e334834596e2" ] } ], "mendeley" : { "formattedCitation" : "[39,40]", "plainTextFormattedCitation" : "[39,40]", "previouslyFormattedCitation" : "[39,40]" }, "properties" : { "noteIndex" : 0 }, "schema" : "https://github.com/citation-style-language/schema/raw/master/csl-citation.json" }</w:instrText>
      </w:r>
      <w:r w:rsidR="007129C5" w:rsidRPr="00923CE9">
        <w:rPr>
          <w:rFonts w:ascii="Calibri" w:hAnsi="Calibri" w:cs="Arial"/>
          <w:lang w:val="en-US"/>
        </w:rPr>
        <w:fldChar w:fldCharType="separate"/>
      </w:r>
      <w:r w:rsidR="00843D9D" w:rsidRPr="00843D9D">
        <w:rPr>
          <w:rFonts w:ascii="Calibri" w:hAnsi="Calibri" w:cs="Arial"/>
          <w:noProof/>
          <w:lang w:val="en-US"/>
        </w:rPr>
        <w:t>[39,40]</w:t>
      </w:r>
      <w:r w:rsidR="007129C5" w:rsidRPr="00923CE9">
        <w:rPr>
          <w:rFonts w:ascii="Calibri" w:hAnsi="Calibri" w:cs="Arial"/>
          <w:lang w:val="en-US"/>
        </w:rPr>
        <w:fldChar w:fldCharType="end"/>
      </w:r>
      <w:r w:rsidR="007129C5" w:rsidRPr="00923CE9">
        <w:rPr>
          <w:rFonts w:ascii="Calibri" w:hAnsi="Calibri" w:cs="Arial"/>
          <w:lang w:val="en-US"/>
        </w:rPr>
        <w:t xml:space="preserve"> </w:t>
      </w:r>
      <w:r w:rsidR="00DB301B" w:rsidRPr="00923CE9">
        <w:rPr>
          <w:rFonts w:ascii="Calibri" w:hAnsi="Calibri" w:cs="Arial"/>
          <w:lang w:val="en-US"/>
        </w:rPr>
        <w:t xml:space="preserve">The additive effect of hypertension on mortality in patients with HCM </w:t>
      </w:r>
      <w:r w:rsidR="00313227" w:rsidRPr="00923CE9">
        <w:rPr>
          <w:rFonts w:ascii="Calibri" w:hAnsi="Calibri" w:cs="Arial"/>
          <w:lang w:val="en-US"/>
        </w:rPr>
        <w:t>was probably</w:t>
      </w:r>
      <w:r w:rsidR="00DB301B" w:rsidRPr="00923CE9">
        <w:rPr>
          <w:rFonts w:ascii="Calibri" w:hAnsi="Calibri" w:cs="Arial"/>
          <w:lang w:val="en-US"/>
        </w:rPr>
        <w:t xml:space="preserve"> underestimated by this study, as the great majority of </w:t>
      </w:r>
      <w:r w:rsidR="00DB1C5D" w:rsidRPr="00923CE9">
        <w:rPr>
          <w:rFonts w:ascii="Calibri" w:hAnsi="Calibri" w:cs="Arial"/>
          <w:lang w:val="en-US"/>
        </w:rPr>
        <w:t>hypertensive patients</w:t>
      </w:r>
      <w:r w:rsidR="00DB301B" w:rsidRPr="00923CE9">
        <w:rPr>
          <w:rFonts w:ascii="Calibri" w:hAnsi="Calibri" w:cs="Arial"/>
          <w:lang w:val="en-US"/>
        </w:rPr>
        <w:t xml:space="preserve"> were w</w:t>
      </w:r>
      <w:r w:rsidR="00E61C44">
        <w:rPr>
          <w:rFonts w:ascii="Calibri" w:hAnsi="Calibri" w:cs="Arial"/>
          <w:lang w:val="en-US"/>
        </w:rPr>
        <w:t>ell-controlled</w:t>
      </w:r>
      <w:r w:rsidR="00466AA5">
        <w:rPr>
          <w:rFonts w:ascii="Calibri" w:hAnsi="Calibri" w:cs="Arial"/>
          <w:lang w:val="en-US"/>
        </w:rPr>
        <w:t xml:space="preserve">.  </w:t>
      </w:r>
      <w:r w:rsidR="009F4E46" w:rsidRPr="00466AA5">
        <w:rPr>
          <w:rFonts w:ascii="Calibri" w:hAnsi="Calibri" w:cs="Arial"/>
          <w:lang w:val="en-US"/>
        </w:rPr>
        <w:t>The authors appreciate that numbers in this study were small, which may limit the degree to which our outcome findings can be generalized to the entire population of black patients with HCM or to black patients with differing ethnic origins.</w:t>
      </w:r>
      <w:r w:rsidR="00DC6DCB">
        <w:rPr>
          <w:rFonts w:ascii="Calibri" w:hAnsi="Calibri" w:cs="Arial"/>
          <w:lang w:val="en-US"/>
        </w:rPr>
        <w:t xml:space="preserve"> </w:t>
      </w:r>
      <w:r w:rsidR="000F65FE" w:rsidRPr="000F65FE">
        <w:rPr>
          <w:rFonts w:ascii="Calibri" w:hAnsi="Calibri" w:cs="Arial"/>
          <w:highlight w:val="yellow"/>
          <w:lang w:val="en-US"/>
        </w:rPr>
        <w:t>Finally the natural history of HCM reported in this study refers only black patients who were referred and treated in tertiary referral centers.</w:t>
      </w:r>
      <w:r w:rsidR="000F65FE">
        <w:rPr>
          <w:rFonts w:ascii="Calibri" w:hAnsi="Calibri" w:cs="Arial"/>
          <w:lang w:val="en-US"/>
        </w:rPr>
        <w:t xml:space="preserve"> </w:t>
      </w:r>
    </w:p>
    <w:p w:rsidR="00604C0D" w:rsidRDefault="00604C0D" w:rsidP="006C647A">
      <w:pPr>
        <w:spacing w:line="480" w:lineRule="auto"/>
        <w:rPr>
          <w:rFonts w:ascii="Calibri" w:hAnsi="Calibri" w:cs="Arial"/>
          <w:b/>
          <w:lang w:val="en-US"/>
        </w:rPr>
      </w:pPr>
    </w:p>
    <w:p w:rsidR="00BF5DAD" w:rsidRDefault="00BF5DAD" w:rsidP="006C647A">
      <w:pPr>
        <w:spacing w:line="480" w:lineRule="auto"/>
        <w:rPr>
          <w:rFonts w:ascii="Calibri" w:hAnsi="Calibri" w:cs="Arial"/>
          <w:b/>
          <w:lang w:val="en-US"/>
        </w:rPr>
      </w:pPr>
    </w:p>
    <w:p w:rsidR="00E667D3" w:rsidRPr="00604C0D" w:rsidRDefault="00313227" w:rsidP="006C647A">
      <w:pPr>
        <w:spacing w:line="480" w:lineRule="auto"/>
        <w:rPr>
          <w:rFonts w:ascii="Calibri" w:hAnsi="Calibri" w:cs="Arial"/>
          <w:b/>
          <w:lang w:val="en-US"/>
        </w:rPr>
      </w:pPr>
      <w:r w:rsidRPr="00604C0D">
        <w:rPr>
          <w:rFonts w:ascii="Calibri" w:hAnsi="Calibri" w:cs="Arial"/>
          <w:b/>
          <w:lang w:val="en-US"/>
        </w:rPr>
        <w:t>CONCLUSION</w:t>
      </w:r>
    </w:p>
    <w:p w:rsidR="00B62426" w:rsidRDefault="0075152E" w:rsidP="006C647A">
      <w:pPr>
        <w:spacing w:line="480" w:lineRule="auto"/>
        <w:rPr>
          <w:rFonts w:ascii="Calibri" w:hAnsi="Calibri" w:cs="Arial"/>
          <w:lang w:val="en-US"/>
        </w:rPr>
      </w:pPr>
      <w:r w:rsidRPr="00466AA5">
        <w:rPr>
          <w:rFonts w:ascii="Calibri" w:hAnsi="Calibri" w:cs="Arial"/>
          <w:lang w:val="en-US"/>
        </w:rPr>
        <w:t xml:space="preserve">Ethnicity </w:t>
      </w:r>
      <w:r w:rsidR="00D70F97" w:rsidRPr="00466AA5">
        <w:rPr>
          <w:rFonts w:ascii="Calibri" w:hAnsi="Calibri" w:cs="Arial"/>
          <w:lang w:val="en-US"/>
        </w:rPr>
        <w:t>appears to be</w:t>
      </w:r>
      <w:r w:rsidRPr="00466AA5">
        <w:rPr>
          <w:rFonts w:ascii="Calibri" w:hAnsi="Calibri" w:cs="Arial"/>
          <w:lang w:val="en-US"/>
        </w:rPr>
        <w:t xml:space="preserve"> an</w:t>
      </w:r>
      <w:r w:rsidR="00B62426" w:rsidRPr="00466AA5">
        <w:rPr>
          <w:rFonts w:ascii="Calibri" w:hAnsi="Calibri" w:cs="Arial"/>
          <w:lang w:val="en-US"/>
        </w:rPr>
        <w:t xml:space="preserve"> important</w:t>
      </w:r>
      <w:r w:rsidRPr="00466AA5">
        <w:rPr>
          <w:rFonts w:ascii="Calibri" w:hAnsi="Calibri" w:cs="Arial"/>
          <w:lang w:val="en-US"/>
        </w:rPr>
        <w:t xml:space="preserve"> determinant of</w:t>
      </w:r>
      <w:r w:rsidR="00480D2B" w:rsidRPr="00466AA5">
        <w:rPr>
          <w:rFonts w:ascii="Calibri" w:hAnsi="Calibri" w:cs="Arial"/>
          <w:lang w:val="en-US"/>
        </w:rPr>
        <w:t xml:space="preserve"> </w:t>
      </w:r>
      <w:r w:rsidR="00614972" w:rsidRPr="00466AA5">
        <w:rPr>
          <w:rFonts w:ascii="Calibri" w:hAnsi="Calibri" w:cs="Arial"/>
          <w:lang w:val="en-US"/>
        </w:rPr>
        <w:t xml:space="preserve">the </w:t>
      </w:r>
      <w:r w:rsidR="00480D2B" w:rsidRPr="00466AA5">
        <w:rPr>
          <w:rFonts w:ascii="Calibri" w:hAnsi="Calibri" w:cs="Arial"/>
          <w:lang w:val="en-US"/>
        </w:rPr>
        <w:t>phenotypic expression</w:t>
      </w:r>
      <w:r w:rsidR="00E8631B">
        <w:rPr>
          <w:rFonts w:ascii="Calibri" w:hAnsi="Calibri" w:cs="Arial"/>
          <w:lang w:val="en-US"/>
        </w:rPr>
        <w:t>s</w:t>
      </w:r>
      <w:r w:rsidR="00480D2B" w:rsidRPr="00466AA5">
        <w:rPr>
          <w:rFonts w:ascii="Calibri" w:hAnsi="Calibri" w:cs="Arial"/>
          <w:lang w:val="en-US"/>
        </w:rPr>
        <w:t xml:space="preserve"> </w:t>
      </w:r>
      <w:r w:rsidR="0053135D" w:rsidRPr="00466AA5">
        <w:rPr>
          <w:rFonts w:ascii="Calibri" w:hAnsi="Calibri" w:cs="Arial"/>
          <w:lang w:val="en-US"/>
        </w:rPr>
        <w:t>of</w:t>
      </w:r>
      <w:r w:rsidR="000B5C81" w:rsidRPr="00466AA5">
        <w:rPr>
          <w:rFonts w:ascii="Calibri" w:hAnsi="Calibri" w:cs="Arial"/>
          <w:lang w:val="en-US"/>
        </w:rPr>
        <w:t xml:space="preserve"> HCM.  A</w:t>
      </w:r>
      <w:r w:rsidR="00B62426" w:rsidRPr="00466AA5">
        <w:rPr>
          <w:rFonts w:ascii="Calibri" w:hAnsi="Calibri" w:cs="Arial"/>
          <w:lang w:val="en-US"/>
        </w:rPr>
        <w:t>p</w:t>
      </w:r>
      <w:r w:rsidR="000B5C81" w:rsidRPr="00466AA5">
        <w:rPr>
          <w:rFonts w:ascii="Calibri" w:hAnsi="Calibri" w:cs="Arial"/>
          <w:lang w:val="en-US"/>
        </w:rPr>
        <w:t xml:space="preserve">ical and concentric </w:t>
      </w:r>
      <w:r w:rsidR="00B62426" w:rsidRPr="00466AA5">
        <w:rPr>
          <w:rFonts w:ascii="Calibri" w:hAnsi="Calibri" w:cs="Arial"/>
          <w:lang w:val="en-US"/>
        </w:rPr>
        <w:t>LVH</w:t>
      </w:r>
      <w:r w:rsidR="000B5C81" w:rsidRPr="00466AA5">
        <w:rPr>
          <w:rFonts w:ascii="Calibri" w:hAnsi="Calibri" w:cs="Arial"/>
          <w:lang w:val="en-US"/>
        </w:rPr>
        <w:t xml:space="preserve"> are </w:t>
      </w:r>
      <w:r w:rsidR="00466AA5" w:rsidRPr="00466AA5">
        <w:rPr>
          <w:rFonts w:ascii="Calibri" w:hAnsi="Calibri" w:cs="Arial"/>
          <w:lang w:val="en-US"/>
        </w:rPr>
        <w:t>more common</w:t>
      </w:r>
      <w:r w:rsidR="000B5C81" w:rsidRPr="00466AA5">
        <w:rPr>
          <w:rFonts w:ascii="Calibri" w:hAnsi="Calibri" w:cs="Arial"/>
          <w:lang w:val="en-US"/>
        </w:rPr>
        <w:t xml:space="preserve"> in black patients and</w:t>
      </w:r>
      <w:r w:rsidR="00614972" w:rsidRPr="00466AA5">
        <w:rPr>
          <w:rFonts w:ascii="Calibri" w:hAnsi="Calibri" w:cs="Arial"/>
          <w:lang w:val="en-US"/>
        </w:rPr>
        <w:t>,</w:t>
      </w:r>
      <w:r w:rsidR="000B5C81" w:rsidRPr="00466AA5">
        <w:rPr>
          <w:rFonts w:ascii="Calibri" w:hAnsi="Calibri" w:cs="Arial"/>
          <w:lang w:val="en-US"/>
        </w:rPr>
        <w:t xml:space="preserve"> </w:t>
      </w:r>
      <w:r w:rsidR="00B62426" w:rsidRPr="00466AA5">
        <w:rPr>
          <w:rFonts w:ascii="Calibri" w:hAnsi="Calibri" w:cs="Arial"/>
          <w:lang w:val="en-US"/>
        </w:rPr>
        <w:t>coupled with a higher incidence of hypertension</w:t>
      </w:r>
      <w:r w:rsidR="00614972" w:rsidRPr="00466AA5">
        <w:rPr>
          <w:rFonts w:ascii="Calibri" w:hAnsi="Calibri" w:cs="Arial"/>
          <w:lang w:val="en-US"/>
        </w:rPr>
        <w:t>,</w:t>
      </w:r>
      <w:r w:rsidR="00B62426" w:rsidRPr="00466AA5">
        <w:rPr>
          <w:rFonts w:ascii="Calibri" w:hAnsi="Calibri" w:cs="Arial"/>
          <w:lang w:val="en-US"/>
        </w:rPr>
        <w:t xml:space="preserve"> may </w:t>
      </w:r>
      <w:r w:rsidR="009F4E46" w:rsidRPr="00466AA5">
        <w:rPr>
          <w:rFonts w:ascii="Calibri" w:hAnsi="Calibri" w:cs="Arial"/>
          <w:lang w:val="en-US"/>
        </w:rPr>
        <w:t xml:space="preserve">potentially </w:t>
      </w:r>
      <w:r w:rsidR="00B62426" w:rsidRPr="00466AA5">
        <w:rPr>
          <w:rFonts w:ascii="Calibri" w:hAnsi="Calibri" w:cs="Arial"/>
          <w:lang w:val="en-US"/>
        </w:rPr>
        <w:t xml:space="preserve">contribute to </w:t>
      </w:r>
      <w:r w:rsidR="004E79EF" w:rsidRPr="00466AA5">
        <w:rPr>
          <w:rFonts w:ascii="Calibri" w:hAnsi="Calibri" w:cs="Arial"/>
          <w:lang w:val="en-US"/>
        </w:rPr>
        <w:t xml:space="preserve">a lower detection rate for </w:t>
      </w:r>
      <w:r w:rsidR="00B62426" w:rsidRPr="00466AA5">
        <w:rPr>
          <w:rFonts w:ascii="Calibri" w:hAnsi="Calibri" w:cs="Arial"/>
          <w:lang w:val="en-US"/>
        </w:rPr>
        <w:t xml:space="preserve">HCM in the black population. T-wave inversion </w:t>
      </w:r>
      <w:r w:rsidR="000B5C81" w:rsidRPr="00466AA5">
        <w:rPr>
          <w:rFonts w:ascii="Calibri" w:hAnsi="Calibri" w:cs="Arial"/>
          <w:lang w:val="en-US"/>
        </w:rPr>
        <w:t>is almost universal</w:t>
      </w:r>
      <w:r w:rsidR="00B62426" w:rsidRPr="00466AA5">
        <w:rPr>
          <w:rFonts w:ascii="Calibri" w:hAnsi="Calibri" w:cs="Arial"/>
          <w:lang w:val="en-US"/>
        </w:rPr>
        <w:t xml:space="preserve"> </w:t>
      </w:r>
      <w:r w:rsidR="0053135D" w:rsidRPr="00466AA5">
        <w:rPr>
          <w:rFonts w:ascii="Calibri" w:hAnsi="Calibri" w:cs="Arial"/>
          <w:lang w:val="en-US"/>
        </w:rPr>
        <w:t xml:space="preserve">in black </w:t>
      </w:r>
      <w:r w:rsidR="00B62426" w:rsidRPr="00466AA5">
        <w:rPr>
          <w:rFonts w:ascii="Calibri" w:hAnsi="Calibri" w:cs="Arial"/>
          <w:lang w:val="en-US"/>
        </w:rPr>
        <w:t>patients</w:t>
      </w:r>
      <w:r w:rsidR="000B5C81" w:rsidRPr="00466AA5">
        <w:rPr>
          <w:rFonts w:ascii="Calibri" w:hAnsi="Calibri" w:cs="Arial"/>
          <w:lang w:val="en-US"/>
        </w:rPr>
        <w:t xml:space="preserve"> with HCM</w:t>
      </w:r>
      <w:r w:rsidR="00015442" w:rsidRPr="00466AA5">
        <w:rPr>
          <w:rFonts w:ascii="Calibri" w:hAnsi="Calibri" w:cs="Arial"/>
          <w:lang w:val="en-US"/>
        </w:rPr>
        <w:t>, suggesting</w:t>
      </w:r>
      <w:r w:rsidR="00B62426" w:rsidRPr="00466AA5">
        <w:rPr>
          <w:rFonts w:ascii="Calibri" w:hAnsi="Calibri" w:cs="Arial"/>
          <w:lang w:val="en-US"/>
        </w:rPr>
        <w:t xml:space="preserve"> the need for comprehe</w:t>
      </w:r>
      <w:r w:rsidR="00015442" w:rsidRPr="00466AA5">
        <w:rPr>
          <w:rFonts w:ascii="Calibri" w:hAnsi="Calibri" w:cs="Arial"/>
          <w:lang w:val="en-US"/>
        </w:rPr>
        <w:t>nsive investigation and</w:t>
      </w:r>
      <w:r w:rsidR="00E8631B">
        <w:rPr>
          <w:rFonts w:ascii="Calibri" w:hAnsi="Calibri" w:cs="Arial"/>
          <w:lang w:val="en-US"/>
        </w:rPr>
        <w:t xml:space="preserve"> follow-up of</w:t>
      </w:r>
      <w:r w:rsidR="00B62426" w:rsidRPr="00466AA5">
        <w:rPr>
          <w:rFonts w:ascii="Calibri" w:hAnsi="Calibri" w:cs="Arial"/>
          <w:lang w:val="en-US"/>
        </w:rPr>
        <w:t xml:space="preserve"> black individ</w:t>
      </w:r>
      <w:r w:rsidR="00015442" w:rsidRPr="00466AA5">
        <w:rPr>
          <w:rFonts w:ascii="Calibri" w:hAnsi="Calibri" w:cs="Arial"/>
          <w:lang w:val="en-US"/>
        </w:rPr>
        <w:t xml:space="preserve">uals exhibiting marked </w:t>
      </w:r>
      <w:r w:rsidR="00895ED4" w:rsidRPr="00466AA5">
        <w:rPr>
          <w:rFonts w:ascii="Calibri" w:hAnsi="Calibri" w:cs="Arial"/>
          <w:lang w:val="en-US"/>
        </w:rPr>
        <w:t>repolarization</w:t>
      </w:r>
      <w:r w:rsidR="00015442" w:rsidRPr="00466AA5">
        <w:rPr>
          <w:rFonts w:ascii="Calibri" w:hAnsi="Calibri" w:cs="Arial"/>
          <w:lang w:val="en-US"/>
        </w:rPr>
        <w:t xml:space="preserve"> anomalies</w:t>
      </w:r>
      <w:r w:rsidR="00B62426" w:rsidRPr="00466AA5">
        <w:rPr>
          <w:rFonts w:ascii="Calibri" w:hAnsi="Calibri" w:cs="Arial"/>
          <w:lang w:val="en-US"/>
        </w:rPr>
        <w:t xml:space="preserve">, regardless of </w:t>
      </w:r>
      <w:r w:rsidR="0053135D" w:rsidRPr="00466AA5">
        <w:rPr>
          <w:rFonts w:ascii="Calibri" w:hAnsi="Calibri" w:cs="Arial"/>
          <w:lang w:val="en-US"/>
        </w:rPr>
        <w:t>co-existing</w:t>
      </w:r>
      <w:r w:rsidR="00B62426" w:rsidRPr="00466AA5">
        <w:rPr>
          <w:rFonts w:ascii="Calibri" w:hAnsi="Calibri" w:cs="Arial"/>
          <w:lang w:val="en-US"/>
        </w:rPr>
        <w:t xml:space="preserve"> hypertension. </w:t>
      </w:r>
      <w:r w:rsidR="00D70F97" w:rsidRPr="00466AA5">
        <w:rPr>
          <w:rFonts w:ascii="Calibri" w:hAnsi="Calibri" w:cs="Arial"/>
          <w:lang w:val="en-US"/>
        </w:rPr>
        <w:t xml:space="preserve">Our results </w:t>
      </w:r>
      <w:r w:rsidR="00E8631B">
        <w:rPr>
          <w:rFonts w:ascii="Calibri" w:hAnsi="Calibri" w:cs="Arial"/>
          <w:lang w:val="en-US"/>
        </w:rPr>
        <w:t>indicate</w:t>
      </w:r>
      <w:r w:rsidR="00D70F97" w:rsidRPr="00466AA5">
        <w:rPr>
          <w:rFonts w:ascii="Calibri" w:hAnsi="Calibri" w:cs="Arial"/>
          <w:lang w:val="en-US"/>
        </w:rPr>
        <w:t xml:space="preserve"> that HCM</w:t>
      </w:r>
      <w:r w:rsidR="009F4E46" w:rsidRPr="00466AA5">
        <w:rPr>
          <w:rFonts w:ascii="Calibri" w:hAnsi="Calibri" w:cs="Arial"/>
          <w:lang w:val="en-US"/>
        </w:rPr>
        <w:t>,</w:t>
      </w:r>
      <w:r w:rsidR="00E35323" w:rsidRPr="00466AA5">
        <w:rPr>
          <w:rFonts w:ascii="Calibri" w:hAnsi="Calibri" w:cs="Arial"/>
          <w:lang w:val="en-US"/>
        </w:rPr>
        <w:t xml:space="preserve"> in isolation, is associated with a </w:t>
      </w:r>
      <w:r w:rsidR="00C93CA8" w:rsidRPr="00466AA5">
        <w:rPr>
          <w:rFonts w:ascii="Calibri" w:hAnsi="Calibri" w:cs="Arial"/>
          <w:lang w:val="en-US"/>
        </w:rPr>
        <w:t>relatively</w:t>
      </w:r>
      <w:r w:rsidR="00E35323" w:rsidRPr="00466AA5">
        <w:rPr>
          <w:rFonts w:ascii="Calibri" w:hAnsi="Calibri" w:cs="Arial"/>
          <w:lang w:val="en-US"/>
        </w:rPr>
        <w:t xml:space="preserve"> benign co</w:t>
      </w:r>
      <w:r w:rsidR="00015442" w:rsidRPr="00466AA5">
        <w:rPr>
          <w:rFonts w:ascii="Calibri" w:hAnsi="Calibri" w:cs="Arial"/>
          <w:lang w:val="en-US"/>
        </w:rPr>
        <w:t>urse</w:t>
      </w:r>
      <w:r w:rsidR="000B5C81" w:rsidRPr="00466AA5">
        <w:rPr>
          <w:rFonts w:ascii="Calibri" w:hAnsi="Calibri" w:cs="Arial"/>
          <w:lang w:val="en-US"/>
        </w:rPr>
        <w:t xml:space="preserve"> in black patients</w:t>
      </w:r>
      <w:r w:rsidR="00E35323" w:rsidRPr="00466AA5">
        <w:rPr>
          <w:rFonts w:ascii="Calibri" w:hAnsi="Calibri" w:cs="Arial"/>
          <w:lang w:val="en-US"/>
        </w:rPr>
        <w:t xml:space="preserve">. </w:t>
      </w:r>
      <w:r w:rsidR="009F4E46" w:rsidRPr="00466AA5">
        <w:rPr>
          <w:rFonts w:ascii="Calibri" w:hAnsi="Calibri" w:cs="Arial"/>
          <w:lang w:val="en-US"/>
        </w:rPr>
        <w:t>However, our results suggest that c</w:t>
      </w:r>
      <w:r w:rsidR="00F906AE" w:rsidRPr="00466AA5">
        <w:rPr>
          <w:rFonts w:ascii="Calibri" w:hAnsi="Calibri" w:cs="Arial"/>
          <w:lang w:val="en-US"/>
        </w:rPr>
        <w:t xml:space="preserve">oncomitant </w:t>
      </w:r>
      <w:r w:rsidR="00B62426" w:rsidRPr="00466AA5">
        <w:rPr>
          <w:rFonts w:ascii="Calibri" w:hAnsi="Calibri" w:cs="Arial"/>
          <w:lang w:val="en-US"/>
        </w:rPr>
        <w:t>hype</w:t>
      </w:r>
      <w:r w:rsidR="000B5C81" w:rsidRPr="00466AA5">
        <w:rPr>
          <w:rFonts w:ascii="Calibri" w:hAnsi="Calibri" w:cs="Arial"/>
          <w:lang w:val="en-US"/>
        </w:rPr>
        <w:t xml:space="preserve">rtension </w:t>
      </w:r>
      <w:r w:rsidR="009F4E46" w:rsidRPr="00466AA5">
        <w:rPr>
          <w:rFonts w:ascii="Calibri" w:hAnsi="Calibri" w:cs="Arial"/>
          <w:lang w:val="en-US"/>
        </w:rPr>
        <w:t>may have</w:t>
      </w:r>
      <w:r w:rsidR="000B5C81" w:rsidRPr="00466AA5">
        <w:rPr>
          <w:rFonts w:ascii="Calibri" w:hAnsi="Calibri" w:cs="Arial"/>
          <w:lang w:val="en-US"/>
        </w:rPr>
        <w:t xml:space="preserve"> a negative impact on</w:t>
      </w:r>
      <w:r w:rsidR="00352376" w:rsidRPr="00466AA5">
        <w:rPr>
          <w:rFonts w:ascii="Calibri" w:hAnsi="Calibri" w:cs="Arial"/>
          <w:lang w:val="en-US"/>
        </w:rPr>
        <w:t xml:space="preserve"> mortality</w:t>
      </w:r>
      <w:r w:rsidR="00B62426" w:rsidRPr="00466AA5">
        <w:rPr>
          <w:rFonts w:ascii="Calibri" w:hAnsi="Calibri" w:cs="Arial"/>
          <w:lang w:val="en-US"/>
        </w:rPr>
        <w:t xml:space="preserve"> </w:t>
      </w:r>
      <w:r w:rsidR="009F4E46" w:rsidRPr="00466AA5">
        <w:rPr>
          <w:rFonts w:ascii="Calibri" w:hAnsi="Calibri" w:cs="Arial"/>
          <w:lang w:val="en-US"/>
        </w:rPr>
        <w:t>and highlight</w:t>
      </w:r>
      <w:r w:rsidR="000B5C81" w:rsidRPr="00466AA5">
        <w:rPr>
          <w:rFonts w:ascii="Calibri" w:hAnsi="Calibri" w:cs="Arial"/>
          <w:lang w:val="en-US"/>
        </w:rPr>
        <w:t xml:space="preserve"> </w:t>
      </w:r>
      <w:r w:rsidR="00B62426" w:rsidRPr="00466AA5">
        <w:rPr>
          <w:rFonts w:ascii="Calibri" w:hAnsi="Calibri" w:cs="Arial"/>
          <w:lang w:val="en-US"/>
        </w:rPr>
        <w:t xml:space="preserve">the </w:t>
      </w:r>
      <w:r w:rsidR="009F4E46" w:rsidRPr="00466AA5">
        <w:rPr>
          <w:rFonts w:ascii="Calibri" w:hAnsi="Calibri" w:cs="Arial"/>
          <w:lang w:val="en-US"/>
        </w:rPr>
        <w:t>importance of</w:t>
      </w:r>
      <w:r w:rsidR="00B62426" w:rsidRPr="00466AA5">
        <w:rPr>
          <w:rFonts w:ascii="Calibri" w:hAnsi="Calibri" w:cs="Arial"/>
          <w:lang w:val="en-US"/>
        </w:rPr>
        <w:t xml:space="preserve"> </w:t>
      </w:r>
      <w:r w:rsidR="009F4E46" w:rsidRPr="00466AA5">
        <w:rPr>
          <w:rFonts w:ascii="Calibri" w:hAnsi="Calibri" w:cs="Arial"/>
          <w:lang w:val="en-US"/>
        </w:rPr>
        <w:t xml:space="preserve">good </w:t>
      </w:r>
      <w:r w:rsidR="00B74348" w:rsidRPr="00466AA5">
        <w:rPr>
          <w:rFonts w:ascii="Calibri" w:hAnsi="Calibri" w:cs="Arial"/>
          <w:lang w:val="en-US"/>
        </w:rPr>
        <w:t>BP</w:t>
      </w:r>
      <w:r w:rsidR="0053135D" w:rsidRPr="00466AA5">
        <w:rPr>
          <w:rFonts w:ascii="Calibri" w:hAnsi="Calibri" w:cs="Arial"/>
          <w:lang w:val="en-US"/>
        </w:rPr>
        <w:t xml:space="preserve"> control</w:t>
      </w:r>
      <w:r w:rsidR="00352376" w:rsidRPr="00466AA5">
        <w:rPr>
          <w:rFonts w:ascii="Calibri" w:hAnsi="Calibri" w:cs="Arial"/>
          <w:lang w:val="en-US"/>
        </w:rPr>
        <w:t xml:space="preserve"> in</w:t>
      </w:r>
      <w:r w:rsidR="0053135D" w:rsidRPr="00466AA5">
        <w:rPr>
          <w:rFonts w:ascii="Calibri" w:hAnsi="Calibri" w:cs="Arial"/>
          <w:lang w:val="en-US"/>
        </w:rPr>
        <w:t xml:space="preserve"> </w:t>
      </w:r>
      <w:r w:rsidR="00F16682" w:rsidRPr="00466AA5">
        <w:rPr>
          <w:rFonts w:ascii="Calibri" w:hAnsi="Calibri" w:cs="Arial"/>
          <w:lang w:val="en-US"/>
        </w:rPr>
        <w:t xml:space="preserve">all </w:t>
      </w:r>
      <w:r w:rsidR="00B62426" w:rsidRPr="00466AA5">
        <w:rPr>
          <w:rFonts w:ascii="Calibri" w:hAnsi="Calibri" w:cs="Arial"/>
          <w:lang w:val="en-US"/>
        </w:rPr>
        <w:t>patients</w:t>
      </w:r>
      <w:r w:rsidR="00466AA5" w:rsidRPr="00466AA5">
        <w:rPr>
          <w:rFonts w:ascii="Calibri" w:hAnsi="Calibri" w:cs="Arial"/>
          <w:lang w:val="en-US"/>
        </w:rPr>
        <w:t xml:space="preserve"> with HCM.</w:t>
      </w:r>
    </w:p>
    <w:p w:rsidR="00083B68" w:rsidRDefault="00083B68" w:rsidP="006C647A">
      <w:pPr>
        <w:spacing w:line="480" w:lineRule="auto"/>
        <w:rPr>
          <w:rFonts w:ascii="Calibri" w:hAnsi="Calibri" w:cs="Arial"/>
          <w:b/>
          <w:lang w:val="en-US"/>
        </w:rPr>
      </w:pPr>
    </w:p>
    <w:p w:rsidR="00FC7148" w:rsidRDefault="00FC7148" w:rsidP="006C647A">
      <w:pPr>
        <w:spacing w:line="480" w:lineRule="auto"/>
        <w:rPr>
          <w:rFonts w:ascii="Calibri" w:hAnsi="Calibri" w:cs="Arial"/>
          <w:lang w:val="en-US"/>
        </w:rPr>
      </w:pPr>
      <w:r w:rsidRPr="00FC7148">
        <w:rPr>
          <w:rFonts w:ascii="Calibri" w:hAnsi="Calibri" w:cs="Arial"/>
          <w:b/>
          <w:lang w:val="en-US"/>
        </w:rPr>
        <w:t>A</w:t>
      </w:r>
      <w:r w:rsidR="004D3546">
        <w:rPr>
          <w:rFonts w:ascii="Calibri" w:hAnsi="Calibri" w:cs="Arial"/>
          <w:b/>
          <w:lang w:val="en-US"/>
        </w:rPr>
        <w:t>cknowledgements</w:t>
      </w:r>
      <w:r>
        <w:rPr>
          <w:rFonts w:ascii="Calibri" w:hAnsi="Calibri" w:cs="Arial"/>
          <w:b/>
          <w:lang w:val="en-US"/>
        </w:rPr>
        <w:t>:</w:t>
      </w:r>
      <w:r w:rsidRPr="00FC7148">
        <w:rPr>
          <w:rFonts w:ascii="Calibri" w:hAnsi="Calibri" w:cs="Arial"/>
          <w:b/>
          <w:lang w:val="en-US"/>
        </w:rPr>
        <w:t xml:space="preserve"> </w:t>
      </w:r>
      <w:r w:rsidRPr="00B00098">
        <w:rPr>
          <w:rFonts w:ascii="Calibri" w:hAnsi="Calibri" w:cs="Arial"/>
          <w:lang w:val="en-US"/>
        </w:rPr>
        <w:t xml:space="preserve">The authors would like to </w:t>
      </w:r>
      <w:r w:rsidR="00390317">
        <w:rPr>
          <w:rFonts w:ascii="Calibri" w:hAnsi="Calibri" w:cs="Arial"/>
          <w:lang w:val="en-US"/>
        </w:rPr>
        <w:t xml:space="preserve">thank </w:t>
      </w:r>
      <w:r w:rsidR="00E10448">
        <w:rPr>
          <w:rFonts w:ascii="Calibri" w:hAnsi="Calibri" w:cs="Arial"/>
          <w:lang w:val="en-US"/>
        </w:rPr>
        <w:t xml:space="preserve">Sue Brown, </w:t>
      </w:r>
      <w:r w:rsidRPr="00B00098">
        <w:rPr>
          <w:rFonts w:ascii="Calibri" w:hAnsi="Calibri" w:cs="Arial"/>
          <w:lang w:val="en-US"/>
        </w:rPr>
        <w:t>Teofila Bueser</w:t>
      </w:r>
      <w:r w:rsidR="00E10448">
        <w:rPr>
          <w:rFonts w:ascii="Calibri" w:hAnsi="Calibri" w:cs="Arial"/>
          <w:lang w:val="en-US"/>
        </w:rPr>
        <w:t xml:space="preserve">, </w:t>
      </w:r>
      <w:r w:rsidR="00B00098">
        <w:rPr>
          <w:rFonts w:ascii="Calibri" w:hAnsi="Calibri" w:cs="Arial"/>
          <w:lang w:val="en-US"/>
        </w:rPr>
        <w:t xml:space="preserve">Kate </w:t>
      </w:r>
      <w:r w:rsidR="00E10448">
        <w:rPr>
          <w:rFonts w:ascii="Calibri" w:hAnsi="Calibri" w:cs="Arial"/>
          <w:lang w:val="en-US"/>
        </w:rPr>
        <w:t>Dougal</w:t>
      </w:r>
      <w:r w:rsidR="00AE606F">
        <w:rPr>
          <w:rFonts w:ascii="Calibri" w:hAnsi="Calibri" w:cs="Arial"/>
          <w:lang w:val="en-US"/>
        </w:rPr>
        <w:t xml:space="preserve"> </w:t>
      </w:r>
      <w:r w:rsidR="001F188B">
        <w:rPr>
          <w:rFonts w:ascii="Calibri" w:hAnsi="Calibri" w:cs="Arial"/>
          <w:lang w:val="en-US"/>
        </w:rPr>
        <w:t>and Nina Edwards</w:t>
      </w:r>
      <w:r w:rsidR="00E10448">
        <w:rPr>
          <w:rFonts w:ascii="Calibri" w:hAnsi="Calibri" w:cs="Arial"/>
          <w:lang w:val="en-US"/>
        </w:rPr>
        <w:t xml:space="preserve"> </w:t>
      </w:r>
      <w:r w:rsidRPr="00B00098">
        <w:rPr>
          <w:rFonts w:ascii="Calibri" w:hAnsi="Calibri" w:cs="Arial"/>
          <w:lang w:val="en-US"/>
        </w:rPr>
        <w:t xml:space="preserve">for </w:t>
      </w:r>
      <w:r w:rsidR="00E10448">
        <w:rPr>
          <w:rFonts w:ascii="Calibri" w:hAnsi="Calibri" w:cs="Arial"/>
          <w:lang w:val="en-US"/>
        </w:rPr>
        <w:t>their</w:t>
      </w:r>
      <w:r w:rsidRPr="00B00098">
        <w:rPr>
          <w:rFonts w:ascii="Calibri" w:hAnsi="Calibri" w:cs="Arial"/>
          <w:lang w:val="en-US"/>
        </w:rPr>
        <w:t xml:space="preserve"> invaluable help with data </w:t>
      </w:r>
      <w:r w:rsidR="00E10448">
        <w:rPr>
          <w:rFonts w:ascii="Calibri" w:hAnsi="Calibri" w:cs="Arial"/>
          <w:lang w:val="en-US"/>
        </w:rPr>
        <w:t>collection</w:t>
      </w:r>
      <w:r w:rsidRPr="00B00098">
        <w:rPr>
          <w:rFonts w:ascii="Calibri" w:hAnsi="Calibri" w:cs="Arial"/>
          <w:lang w:val="en-US"/>
        </w:rPr>
        <w:t>.</w:t>
      </w:r>
    </w:p>
    <w:p w:rsidR="004D3546" w:rsidRPr="00B00098" w:rsidRDefault="004D3546" w:rsidP="006C647A">
      <w:pPr>
        <w:spacing w:line="480" w:lineRule="auto"/>
        <w:rPr>
          <w:rFonts w:ascii="Calibri" w:hAnsi="Calibri" w:cs="Arial"/>
          <w:lang w:val="en-US"/>
        </w:rPr>
      </w:pPr>
    </w:p>
    <w:p w:rsidR="002B629D" w:rsidRDefault="004D3546" w:rsidP="006D0207">
      <w:pPr>
        <w:spacing w:line="480" w:lineRule="auto"/>
        <w:rPr>
          <w:rFonts w:ascii="Calibri" w:hAnsi="Calibri" w:cs="Arial"/>
          <w:lang w:val="en-US"/>
        </w:rPr>
      </w:pPr>
      <w:r>
        <w:rPr>
          <w:rFonts w:ascii="Calibri" w:hAnsi="Calibri" w:cs="Arial"/>
          <w:b/>
          <w:lang w:val="en-US"/>
        </w:rPr>
        <w:t>Contributors:</w:t>
      </w:r>
      <w:r w:rsidR="00843D9D">
        <w:rPr>
          <w:rFonts w:ascii="Calibri" w:hAnsi="Calibri" w:cs="Arial"/>
          <w:b/>
          <w:lang w:val="en-US"/>
        </w:rPr>
        <w:t xml:space="preserve"> </w:t>
      </w:r>
      <w:r w:rsidR="00843D9D">
        <w:rPr>
          <w:rFonts w:ascii="Calibri" w:hAnsi="Calibri" w:cs="Arial"/>
          <w:lang w:val="en-US"/>
        </w:rPr>
        <w:t>NS</w:t>
      </w:r>
      <w:r w:rsidR="006D0207">
        <w:rPr>
          <w:rFonts w:ascii="Calibri" w:hAnsi="Calibri" w:cs="Arial"/>
          <w:lang w:val="en-US"/>
        </w:rPr>
        <w:t>, MP and SS</w:t>
      </w:r>
      <w:r w:rsidR="00843D9D">
        <w:rPr>
          <w:rFonts w:ascii="Calibri" w:hAnsi="Calibri" w:cs="Arial"/>
          <w:lang w:val="en-US"/>
        </w:rPr>
        <w:t xml:space="preserve">: </w:t>
      </w:r>
      <w:r w:rsidR="00843D9D" w:rsidRPr="00843D9D">
        <w:rPr>
          <w:rFonts w:ascii="Calibri" w:hAnsi="Calibri" w:cs="Arial"/>
          <w:lang w:val="en-US"/>
        </w:rPr>
        <w:t xml:space="preserve">Study </w:t>
      </w:r>
      <w:r w:rsidR="00843D9D">
        <w:rPr>
          <w:rFonts w:ascii="Calibri" w:hAnsi="Calibri" w:cs="Arial"/>
          <w:lang w:val="en-US"/>
        </w:rPr>
        <w:t>design, data collection and interpretation, quality control</w:t>
      </w:r>
      <w:r w:rsidR="006D0207">
        <w:rPr>
          <w:rFonts w:ascii="Calibri" w:hAnsi="Calibri" w:cs="Arial"/>
          <w:lang w:val="en-US"/>
        </w:rPr>
        <w:t>,</w:t>
      </w:r>
      <w:r w:rsidR="00843D9D">
        <w:rPr>
          <w:rFonts w:ascii="Calibri" w:hAnsi="Calibri" w:cs="Arial"/>
          <w:lang w:val="en-US"/>
        </w:rPr>
        <w:t xml:space="preserve"> statistical analysis, manuscript preparation</w:t>
      </w:r>
      <w:r w:rsidR="006D0207">
        <w:rPr>
          <w:rFonts w:ascii="Calibri" w:hAnsi="Calibri" w:cs="Arial"/>
          <w:lang w:val="en-US"/>
        </w:rPr>
        <w:t xml:space="preserve"> and</w:t>
      </w:r>
      <w:r w:rsidR="00843D9D">
        <w:rPr>
          <w:rFonts w:ascii="Calibri" w:hAnsi="Calibri" w:cs="Arial"/>
          <w:lang w:val="en-US"/>
        </w:rPr>
        <w:t xml:space="preserve"> manuscript r</w:t>
      </w:r>
      <w:r w:rsidR="00843D9D" w:rsidRPr="00843D9D">
        <w:rPr>
          <w:rFonts w:ascii="Calibri" w:hAnsi="Calibri" w:cs="Arial"/>
          <w:lang w:val="en-US"/>
        </w:rPr>
        <w:t>evision</w:t>
      </w:r>
      <w:r w:rsidR="006D0207">
        <w:rPr>
          <w:rFonts w:ascii="Calibri" w:hAnsi="Calibri" w:cs="Arial"/>
          <w:lang w:val="en-US"/>
        </w:rPr>
        <w:t>; VFP: data interpretation, quality control, statistical analysis, manuscript preparation and manuscript r</w:t>
      </w:r>
      <w:r w:rsidR="006D0207" w:rsidRPr="00843D9D">
        <w:rPr>
          <w:rFonts w:ascii="Calibri" w:hAnsi="Calibri" w:cs="Arial"/>
          <w:lang w:val="en-US"/>
        </w:rPr>
        <w:t>evision</w:t>
      </w:r>
      <w:r w:rsidR="006D0207">
        <w:rPr>
          <w:rFonts w:ascii="Calibri" w:hAnsi="Calibri" w:cs="Arial"/>
          <w:lang w:val="en-US"/>
        </w:rPr>
        <w:t>; KP, LM, PA, AZ, SG and MW: d</w:t>
      </w:r>
      <w:r w:rsidR="006D0207" w:rsidRPr="006D0207">
        <w:rPr>
          <w:rFonts w:ascii="Calibri" w:hAnsi="Calibri" w:cs="Arial"/>
          <w:lang w:val="en-US"/>
        </w:rPr>
        <w:t>ata collection and interpretation, quality control,</w:t>
      </w:r>
      <w:r w:rsidR="006D0207">
        <w:rPr>
          <w:rFonts w:ascii="Calibri" w:hAnsi="Calibri" w:cs="Arial"/>
          <w:lang w:val="en-US"/>
        </w:rPr>
        <w:t xml:space="preserve"> </w:t>
      </w:r>
      <w:r w:rsidR="006D0207" w:rsidRPr="006D0207">
        <w:rPr>
          <w:rFonts w:ascii="Calibri" w:hAnsi="Calibri" w:cs="Arial"/>
          <w:lang w:val="en-US"/>
        </w:rPr>
        <w:t>manuscript preparation</w:t>
      </w:r>
      <w:r w:rsidR="006D0207">
        <w:rPr>
          <w:rFonts w:ascii="Calibri" w:hAnsi="Calibri" w:cs="Arial"/>
          <w:lang w:val="en-US"/>
        </w:rPr>
        <w:t>; GC-W and EB: d</w:t>
      </w:r>
      <w:r w:rsidR="006D0207" w:rsidRPr="006D0207">
        <w:rPr>
          <w:rFonts w:ascii="Calibri" w:hAnsi="Calibri" w:cs="Arial"/>
          <w:lang w:val="en-US"/>
        </w:rPr>
        <w:t>ata collection and interpretation, quality control,</w:t>
      </w:r>
      <w:r w:rsidR="006D0207">
        <w:rPr>
          <w:rFonts w:ascii="Calibri" w:hAnsi="Calibri" w:cs="Arial"/>
          <w:lang w:val="en-US"/>
        </w:rPr>
        <w:t xml:space="preserve"> </w:t>
      </w:r>
      <w:r w:rsidR="006D0207" w:rsidRPr="006D0207">
        <w:rPr>
          <w:rFonts w:ascii="Calibri" w:hAnsi="Calibri" w:cs="Arial"/>
          <w:lang w:val="en-US"/>
        </w:rPr>
        <w:t>manuscript preparation</w:t>
      </w:r>
      <w:r w:rsidR="006D0207">
        <w:rPr>
          <w:rFonts w:ascii="Calibri" w:hAnsi="Calibri" w:cs="Arial"/>
          <w:lang w:val="en-US"/>
        </w:rPr>
        <w:t xml:space="preserve">; MT: study design, data </w:t>
      </w:r>
      <w:r w:rsidR="006D0207" w:rsidRPr="006D0207">
        <w:rPr>
          <w:rFonts w:ascii="Calibri" w:hAnsi="Calibri" w:cs="Arial"/>
          <w:lang w:val="en-US"/>
        </w:rPr>
        <w:t>interpretation, quality control,</w:t>
      </w:r>
      <w:r w:rsidR="006D0207">
        <w:rPr>
          <w:rFonts w:ascii="Calibri" w:hAnsi="Calibri" w:cs="Arial"/>
          <w:lang w:val="en-US"/>
        </w:rPr>
        <w:t xml:space="preserve"> statistical analysis, </w:t>
      </w:r>
      <w:r w:rsidR="006D0207" w:rsidRPr="006D0207">
        <w:rPr>
          <w:rFonts w:ascii="Calibri" w:hAnsi="Calibri" w:cs="Arial"/>
          <w:lang w:val="en-US"/>
        </w:rPr>
        <w:t>manuscript preparation</w:t>
      </w:r>
      <w:r w:rsidR="006D0207">
        <w:rPr>
          <w:rFonts w:ascii="Calibri" w:hAnsi="Calibri" w:cs="Arial"/>
          <w:lang w:val="en-US"/>
        </w:rPr>
        <w:t xml:space="preserve"> and manuscript revision/</w:t>
      </w:r>
    </w:p>
    <w:p w:rsidR="006D0207" w:rsidRPr="00843D9D" w:rsidRDefault="006D0207" w:rsidP="006D0207">
      <w:pPr>
        <w:spacing w:line="480" w:lineRule="auto"/>
        <w:rPr>
          <w:rFonts w:ascii="Calibri" w:hAnsi="Calibri" w:cs="Arial"/>
          <w:lang w:val="en-US"/>
        </w:rPr>
      </w:pPr>
    </w:p>
    <w:p w:rsidR="00843D9D" w:rsidRPr="00B152D5" w:rsidRDefault="00843D9D" w:rsidP="00843D9D">
      <w:pPr>
        <w:spacing w:line="480" w:lineRule="auto"/>
        <w:rPr>
          <w:rFonts w:ascii="Calibri" w:hAnsi="Calibri"/>
          <w:szCs w:val="23"/>
          <w:lang w:val="en-US"/>
        </w:rPr>
      </w:pPr>
      <w:r>
        <w:rPr>
          <w:rFonts w:ascii="Calibri" w:hAnsi="Calibri"/>
          <w:b/>
          <w:szCs w:val="23"/>
          <w:lang w:val="en-US"/>
        </w:rPr>
        <w:t>Funding Sources</w:t>
      </w:r>
      <w:r w:rsidRPr="00FC2C13">
        <w:rPr>
          <w:rFonts w:ascii="Calibri" w:hAnsi="Calibri"/>
          <w:b/>
          <w:szCs w:val="23"/>
          <w:lang w:val="en-US"/>
        </w:rPr>
        <w:t>:</w:t>
      </w:r>
      <w:r w:rsidRPr="00FC2C13">
        <w:rPr>
          <w:rFonts w:ascii="Calibri" w:hAnsi="Calibri"/>
          <w:szCs w:val="23"/>
          <w:lang w:val="en-US"/>
        </w:rPr>
        <w:t xml:space="preserve"> Drs. Sheikh, Papadakis, Prakash, Millar, Zaidi and Gati were funded by research grants from the charitable organization</w:t>
      </w:r>
      <w:r>
        <w:rPr>
          <w:rFonts w:ascii="Calibri" w:hAnsi="Calibri"/>
          <w:szCs w:val="23"/>
          <w:lang w:val="en-US"/>
        </w:rPr>
        <w:t xml:space="preserve"> Cardiac Risk in the Young</w:t>
      </w:r>
      <w:r w:rsidRPr="00FC2C13">
        <w:rPr>
          <w:rFonts w:ascii="Calibri" w:hAnsi="Calibri"/>
          <w:szCs w:val="23"/>
          <w:lang w:val="en-US"/>
        </w:rPr>
        <w:t xml:space="preserve">. Drs. Sheikh, Behr and Professor Sharma </w:t>
      </w:r>
      <w:r>
        <w:rPr>
          <w:rFonts w:ascii="Calibri" w:hAnsi="Calibri"/>
          <w:szCs w:val="23"/>
          <w:lang w:val="en-US"/>
        </w:rPr>
        <w:t xml:space="preserve">have also </w:t>
      </w:r>
      <w:r w:rsidRPr="00FC2C13">
        <w:rPr>
          <w:rFonts w:ascii="Calibri" w:hAnsi="Calibri"/>
          <w:szCs w:val="23"/>
          <w:lang w:val="en-US"/>
        </w:rPr>
        <w:t>received research grants fro</w:t>
      </w:r>
      <w:r>
        <w:rPr>
          <w:rFonts w:ascii="Calibri" w:hAnsi="Calibri"/>
          <w:szCs w:val="23"/>
          <w:lang w:val="en-US"/>
        </w:rPr>
        <w:t>m the British Heart Foundation.</w:t>
      </w:r>
    </w:p>
    <w:p w:rsidR="004D3546" w:rsidRPr="004D3546" w:rsidRDefault="004D3546" w:rsidP="006C647A">
      <w:pPr>
        <w:spacing w:line="480" w:lineRule="auto"/>
        <w:rPr>
          <w:rFonts w:ascii="Calibri" w:hAnsi="Calibri" w:cs="Arial"/>
          <w:b/>
          <w:lang w:val="en-US"/>
        </w:rPr>
      </w:pPr>
    </w:p>
    <w:p w:rsidR="00604C0D" w:rsidRDefault="00604C0D" w:rsidP="00604C0D">
      <w:pPr>
        <w:spacing w:line="480" w:lineRule="auto"/>
        <w:rPr>
          <w:rFonts w:ascii="Calibri" w:hAnsi="Calibri" w:cs="Arial"/>
          <w:lang w:val="en-US"/>
        </w:rPr>
      </w:pPr>
      <w:r>
        <w:rPr>
          <w:rFonts w:ascii="Calibri" w:hAnsi="Calibri" w:cs="Arial"/>
          <w:b/>
          <w:lang w:val="en-US"/>
        </w:rPr>
        <w:t>C</w:t>
      </w:r>
      <w:r w:rsidR="004D3546">
        <w:rPr>
          <w:rFonts w:ascii="Calibri" w:hAnsi="Calibri" w:cs="Arial"/>
          <w:b/>
          <w:lang w:val="en-US"/>
        </w:rPr>
        <w:t>ompeting Interests</w:t>
      </w:r>
      <w:r w:rsidRPr="00E8631B">
        <w:rPr>
          <w:rFonts w:ascii="Calibri" w:hAnsi="Calibri" w:cs="Arial"/>
          <w:b/>
          <w:lang w:val="en-US"/>
        </w:rPr>
        <w:t>:</w:t>
      </w:r>
      <w:r>
        <w:rPr>
          <w:rFonts w:ascii="Calibri" w:hAnsi="Calibri" w:cs="Arial"/>
          <w:b/>
          <w:lang w:val="en-US"/>
        </w:rPr>
        <w:t xml:space="preserve"> </w:t>
      </w:r>
      <w:r>
        <w:rPr>
          <w:rFonts w:ascii="Calibri" w:hAnsi="Calibri" w:cs="Arial"/>
          <w:lang w:val="en-US"/>
        </w:rPr>
        <w:t>N</w:t>
      </w:r>
      <w:r w:rsidRPr="00E8631B">
        <w:rPr>
          <w:rFonts w:ascii="Calibri" w:hAnsi="Calibri" w:cs="Arial"/>
          <w:lang w:val="en-US"/>
        </w:rPr>
        <w:t>one.</w:t>
      </w:r>
    </w:p>
    <w:p w:rsidR="006D0207" w:rsidRDefault="006D0207" w:rsidP="00604C0D">
      <w:pPr>
        <w:spacing w:line="480" w:lineRule="auto"/>
        <w:rPr>
          <w:rFonts w:ascii="Calibri" w:hAnsi="Calibri" w:cs="Arial"/>
          <w:lang w:val="en-US"/>
        </w:rPr>
      </w:pPr>
    </w:p>
    <w:p w:rsidR="006D0207" w:rsidRPr="006D0207" w:rsidRDefault="006D0207" w:rsidP="00604C0D">
      <w:pPr>
        <w:spacing w:line="480" w:lineRule="auto"/>
        <w:rPr>
          <w:rFonts w:ascii="Calibri" w:hAnsi="Calibri" w:cs="Arial"/>
          <w:b/>
          <w:lang w:val="en-US"/>
        </w:rPr>
      </w:pPr>
      <w:r w:rsidRPr="006D0207">
        <w:rPr>
          <w:rFonts w:ascii="Calibri" w:hAnsi="Calibri" w:cs="Arial"/>
          <w:b/>
          <w:lang w:val="en-US"/>
        </w:rPr>
        <w:t>Ethics Approval:</w:t>
      </w:r>
      <w:r>
        <w:rPr>
          <w:rFonts w:ascii="Calibri" w:hAnsi="Calibri" w:cs="Arial"/>
          <w:b/>
          <w:lang w:val="en-US"/>
        </w:rPr>
        <w:t xml:space="preserve"> </w:t>
      </w:r>
      <w:r>
        <w:rPr>
          <w:rFonts w:ascii="Calibri" w:hAnsi="Calibri" w:cs="AdvOTb7819099"/>
          <w:lang w:val="en-US" w:eastAsia="en-GB"/>
        </w:rPr>
        <w:t>E</w:t>
      </w:r>
      <w:r w:rsidRPr="00464B1F">
        <w:rPr>
          <w:rFonts w:ascii="Calibri" w:hAnsi="Calibri" w:cs="AdvOTb7819099"/>
          <w:lang w:val="en-US" w:eastAsia="en-GB"/>
        </w:rPr>
        <w:t>thical appro</w:t>
      </w:r>
      <w:r>
        <w:rPr>
          <w:rFonts w:ascii="Calibri" w:hAnsi="Calibri" w:cs="AdvOTb7819099"/>
          <w:lang w:val="en-US" w:eastAsia="en-GB"/>
        </w:rPr>
        <w:t xml:space="preserve">val was granted by the local </w:t>
      </w:r>
      <w:r w:rsidRPr="00464B1F">
        <w:rPr>
          <w:rFonts w:ascii="Calibri" w:hAnsi="Calibri" w:cs="AdvOTb7819099"/>
          <w:lang w:val="en-US" w:eastAsia="en-GB"/>
        </w:rPr>
        <w:t>research ethics c</w:t>
      </w:r>
      <w:r>
        <w:rPr>
          <w:rFonts w:ascii="Calibri" w:hAnsi="Calibri" w:cs="AdvOTb7819099"/>
          <w:lang w:val="en-US" w:eastAsia="en-GB"/>
        </w:rPr>
        <w:t xml:space="preserve">ommittee in accordance with the </w:t>
      </w:r>
      <w:r w:rsidRPr="00464B1F">
        <w:rPr>
          <w:rFonts w:ascii="Calibri" w:hAnsi="Calibri" w:cs="AdvOTb7819099"/>
          <w:lang w:val="en-US" w:eastAsia="en-GB"/>
        </w:rPr>
        <w:t>Declaration of Helsinki</w:t>
      </w:r>
      <w:r>
        <w:rPr>
          <w:rFonts w:ascii="Calibri" w:hAnsi="Calibri" w:cs="AdvOTb7819099"/>
          <w:lang w:val="en-US" w:eastAsia="en-GB"/>
        </w:rPr>
        <w:t xml:space="preserve"> and patients provided oral consent f</w:t>
      </w:r>
      <w:r w:rsidR="007E2781">
        <w:rPr>
          <w:rFonts w:ascii="Calibri" w:hAnsi="Calibri" w:cs="AdvOTb7819099"/>
          <w:lang w:val="en-US" w:eastAsia="en-GB"/>
        </w:rPr>
        <w:t xml:space="preserve">or their anonymized data to be </w:t>
      </w:r>
      <w:r>
        <w:rPr>
          <w:rFonts w:ascii="Calibri" w:hAnsi="Calibri" w:cs="AdvOTb7819099"/>
          <w:lang w:val="en-US" w:eastAsia="en-GB"/>
        </w:rPr>
        <w:t>u</w:t>
      </w:r>
      <w:r w:rsidR="007E2781">
        <w:rPr>
          <w:rFonts w:ascii="Calibri" w:hAnsi="Calibri" w:cs="AdvOTb7819099"/>
          <w:lang w:val="en-US" w:eastAsia="en-GB"/>
        </w:rPr>
        <w:t>s</w:t>
      </w:r>
      <w:r>
        <w:rPr>
          <w:rFonts w:ascii="Calibri" w:hAnsi="Calibri" w:cs="AdvOTb7819099"/>
          <w:lang w:val="en-US" w:eastAsia="en-GB"/>
        </w:rPr>
        <w:t>ed for this study.</w:t>
      </w:r>
    </w:p>
    <w:p w:rsidR="00A2683F" w:rsidRDefault="00A2683F" w:rsidP="00604C0D">
      <w:pPr>
        <w:spacing w:line="480" w:lineRule="auto"/>
        <w:rPr>
          <w:rFonts w:ascii="Calibri" w:hAnsi="Calibri" w:cs="Arial"/>
          <w:lang w:val="en-US"/>
        </w:rPr>
      </w:pPr>
    </w:p>
    <w:p w:rsidR="004D3546" w:rsidRDefault="004D3546" w:rsidP="00604C0D">
      <w:pPr>
        <w:spacing w:line="480" w:lineRule="auto"/>
        <w:rPr>
          <w:rFonts w:ascii="Calibri" w:hAnsi="Calibri" w:cs="Arial"/>
          <w:lang w:val="en-US"/>
        </w:rPr>
      </w:pPr>
      <w:r>
        <w:rPr>
          <w:rFonts w:ascii="Calibri" w:hAnsi="Calibri" w:cs="Arial"/>
          <w:b/>
          <w:lang w:val="en-US"/>
        </w:rPr>
        <w:t>Provenance and peer review:</w:t>
      </w:r>
      <w:r w:rsidRPr="004D3546">
        <w:t xml:space="preserve"> </w:t>
      </w:r>
      <w:r w:rsidRPr="00A2683F">
        <w:rPr>
          <w:rFonts w:ascii="Calibri" w:hAnsi="Calibri" w:cs="Arial"/>
          <w:lang w:val="en-US"/>
        </w:rPr>
        <w:t>Not commissioned; externally peer reviewed.</w:t>
      </w:r>
    </w:p>
    <w:p w:rsidR="006D0207" w:rsidRDefault="006D0207" w:rsidP="00843D9D">
      <w:pPr>
        <w:spacing w:line="480" w:lineRule="auto"/>
        <w:rPr>
          <w:rFonts w:ascii="Calibri" w:hAnsi="Calibri" w:cs="Arial"/>
          <w:lang w:val="en-US"/>
        </w:rPr>
      </w:pPr>
    </w:p>
    <w:p w:rsidR="00843D9D" w:rsidRPr="00A2683F" w:rsidRDefault="006D0207" w:rsidP="00843D9D">
      <w:pPr>
        <w:spacing w:line="480" w:lineRule="auto"/>
        <w:rPr>
          <w:rFonts w:ascii="Calibri" w:hAnsi="Calibri" w:cs="Arial"/>
          <w:lang w:val="en-US"/>
        </w:rPr>
      </w:pPr>
      <w:r w:rsidRPr="006D0207">
        <w:rPr>
          <w:rFonts w:ascii="Calibri" w:hAnsi="Calibri" w:cs="Arial"/>
          <w:b/>
          <w:lang w:val="en-US"/>
        </w:rPr>
        <w:t>Data sharing statement:</w:t>
      </w:r>
      <w:r>
        <w:rPr>
          <w:rFonts w:ascii="Calibri" w:hAnsi="Calibri" w:cs="Arial"/>
          <w:lang w:val="en-US"/>
        </w:rPr>
        <w:t xml:space="preserve"> </w:t>
      </w:r>
      <w:r w:rsidR="00843D9D" w:rsidRPr="00843D9D">
        <w:rPr>
          <w:rFonts w:ascii="Calibri" w:hAnsi="Calibri" w:cs="Arial"/>
          <w:lang w:val="en-US"/>
        </w:rPr>
        <w:t>All additional unpublished information is kept on a</w:t>
      </w:r>
      <w:r>
        <w:rPr>
          <w:rFonts w:ascii="Calibri" w:hAnsi="Calibri" w:cs="Arial"/>
          <w:lang w:val="en-US"/>
        </w:rPr>
        <w:t xml:space="preserve"> </w:t>
      </w:r>
      <w:r w:rsidR="00843D9D" w:rsidRPr="00843D9D">
        <w:rPr>
          <w:rFonts w:ascii="Calibri" w:hAnsi="Calibri" w:cs="Arial"/>
          <w:lang w:val="en-US"/>
        </w:rPr>
        <w:t>secure server in the institution and only available to the first</w:t>
      </w:r>
      <w:r>
        <w:rPr>
          <w:rFonts w:ascii="Calibri" w:hAnsi="Calibri" w:cs="Arial"/>
          <w:lang w:val="en-US"/>
        </w:rPr>
        <w:t>, second</w:t>
      </w:r>
      <w:r w:rsidR="00843D9D" w:rsidRPr="00843D9D">
        <w:rPr>
          <w:rFonts w:ascii="Calibri" w:hAnsi="Calibri" w:cs="Arial"/>
          <w:lang w:val="en-US"/>
        </w:rPr>
        <w:t xml:space="preserve"> and senior author</w:t>
      </w:r>
      <w:r>
        <w:rPr>
          <w:rFonts w:ascii="Calibri" w:hAnsi="Calibri" w:cs="Arial"/>
          <w:lang w:val="en-US"/>
        </w:rPr>
        <w:t>s</w:t>
      </w:r>
      <w:r w:rsidR="00843D9D" w:rsidRPr="00843D9D">
        <w:rPr>
          <w:rFonts w:ascii="Calibri" w:hAnsi="Calibri" w:cs="Arial"/>
          <w:lang w:val="en-US"/>
        </w:rPr>
        <w:t xml:space="preserve"> of</w:t>
      </w:r>
      <w:r>
        <w:rPr>
          <w:rFonts w:ascii="Calibri" w:hAnsi="Calibri" w:cs="Arial"/>
          <w:lang w:val="en-US"/>
        </w:rPr>
        <w:t xml:space="preserve"> </w:t>
      </w:r>
      <w:r w:rsidR="00843D9D" w:rsidRPr="00843D9D">
        <w:rPr>
          <w:rFonts w:ascii="Calibri" w:hAnsi="Calibri" w:cs="Arial"/>
          <w:lang w:val="en-US"/>
        </w:rPr>
        <w:t>the manuscript.</w:t>
      </w:r>
    </w:p>
    <w:p w:rsidR="00843D9D" w:rsidRDefault="00843D9D" w:rsidP="0001107D">
      <w:pPr>
        <w:spacing w:line="480" w:lineRule="auto"/>
        <w:rPr>
          <w:rFonts w:ascii="Calibri" w:hAnsi="Calibri"/>
          <w:b/>
          <w:szCs w:val="23"/>
          <w:lang w:val="en-US"/>
        </w:rPr>
      </w:pPr>
    </w:p>
    <w:p w:rsidR="00446008" w:rsidRDefault="00446008" w:rsidP="0001107D">
      <w:pPr>
        <w:spacing w:line="480" w:lineRule="auto"/>
        <w:rPr>
          <w:rFonts w:ascii="Calibri" w:hAnsi="Calibri"/>
          <w:b/>
          <w:szCs w:val="23"/>
          <w:lang w:val="en-US"/>
        </w:rPr>
      </w:pPr>
    </w:p>
    <w:p w:rsidR="00BF5DAD" w:rsidRDefault="00BF5DAD" w:rsidP="0001107D">
      <w:pPr>
        <w:spacing w:line="480" w:lineRule="auto"/>
        <w:rPr>
          <w:rFonts w:ascii="Calibri" w:hAnsi="Calibri"/>
          <w:b/>
          <w:szCs w:val="23"/>
          <w:lang w:val="en-US"/>
        </w:rPr>
      </w:pPr>
    </w:p>
    <w:p w:rsidR="00BF5DAD" w:rsidRDefault="00BF5DAD" w:rsidP="0001107D">
      <w:pPr>
        <w:spacing w:line="480" w:lineRule="auto"/>
        <w:rPr>
          <w:rFonts w:ascii="Calibri" w:hAnsi="Calibri"/>
          <w:b/>
          <w:szCs w:val="23"/>
          <w:lang w:val="en-US"/>
        </w:rPr>
      </w:pPr>
    </w:p>
    <w:p w:rsidR="00BF5DAD" w:rsidRDefault="00BF5DAD" w:rsidP="0001107D">
      <w:pPr>
        <w:spacing w:line="480" w:lineRule="auto"/>
        <w:rPr>
          <w:rFonts w:ascii="Calibri" w:hAnsi="Calibri"/>
          <w:b/>
          <w:szCs w:val="23"/>
          <w:lang w:val="en-US"/>
        </w:rPr>
      </w:pPr>
    </w:p>
    <w:p w:rsidR="00BF5DAD" w:rsidRDefault="00BF5DAD" w:rsidP="0001107D">
      <w:pPr>
        <w:spacing w:line="480" w:lineRule="auto"/>
        <w:rPr>
          <w:rFonts w:ascii="Calibri" w:hAnsi="Calibri"/>
          <w:b/>
          <w:szCs w:val="23"/>
          <w:lang w:val="en-US"/>
        </w:rPr>
      </w:pPr>
    </w:p>
    <w:p w:rsidR="00BF5DAD" w:rsidRDefault="00BF5DAD" w:rsidP="0001107D">
      <w:pPr>
        <w:spacing w:line="480" w:lineRule="auto"/>
        <w:rPr>
          <w:rFonts w:ascii="Calibri" w:hAnsi="Calibri"/>
          <w:b/>
          <w:szCs w:val="23"/>
          <w:lang w:val="en-US"/>
        </w:rPr>
      </w:pPr>
    </w:p>
    <w:p w:rsidR="00BF5DAD" w:rsidRDefault="00BF5DAD" w:rsidP="0001107D">
      <w:pPr>
        <w:spacing w:line="480" w:lineRule="auto"/>
        <w:rPr>
          <w:rFonts w:ascii="Calibri" w:hAnsi="Calibri"/>
          <w:b/>
          <w:szCs w:val="23"/>
          <w:lang w:val="en-US"/>
        </w:rPr>
      </w:pPr>
    </w:p>
    <w:p w:rsidR="00BF5DAD" w:rsidRDefault="00BF5DAD" w:rsidP="0001107D">
      <w:pPr>
        <w:spacing w:line="480" w:lineRule="auto"/>
        <w:rPr>
          <w:rFonts w:ascii="Calibri" w:hAnsi="Calibri"/>
          <w:b/>
          <w:szCs w:val="23"/>
          <w:lang w:val="en-US"/>
        </w:rPr>
      </w:pPr>
    </w:p>
    <w:p w:rsidR="00BF5DAD" w:rsidRDefault="00BF5DAD" w:rsidP="0001107D">
      <w:pPr>
        <w:spacing w:line="480" w:lineRule="auto"/>
        <w:rPr>
          <w:rFonts w:ascii="Calibri" w:hAnsi="Calibri"/>
          <w:b/>
          <w:szCs w:val="23"/>
          <w:lang w:val="en-US"/>
        </w:rPr>
      </w:pPr>
    </w:p>
    <w:p w:rsidR="00BF5DAD" w:rsidRDefault="00BF5DAD" w:rsidP="0001107D">
      <w:pPr>
        <w:spacing w:line="480" w:lineRule="auto"/>
        <w:rPr>
          <w:rFonts w:ascii="Calibri" w:hAnsi="Calibri"/>
          <w:b/>
          <w:szCs w:val="23"/>
          <w:lang w:val="en-US"/>
        </w:rPr>
      </w:pPr>
    </w:p>
    <w:p w:rsidR="00446008" w:rsidRDefault="00446008" w:rsidP="0001107D">
      <w:pPr>
        <w:spacing w:line="480" w:lineRule="auto"/>
        <w:rPr>
          <w:rFonts w:ascii="Calibri" w:hAnsi="Calibri"/>
          <w:b/>
          <w:szCs w:val="23"/>
          <w:lang w:val="en-US"/>
        </w:rPr>
      </w:pPr>
    </w:p>
    <w:p w:rsidR="00446008" w:rsidRDefault="00446008" w:rsidP="0001107D">
      <w:pPr>
        <w:spacing w:line="480" w:lineRule="auto"/>
        <w:rPr>
          <w:rFonts w:ascii="Calibri" w:hAnsi="Calibri"/>
          <w:b/>
          <w:szCs w:val="23"/>
          <w:lang w:val="en-US"/>
        </w:rPr>
      </w:pPr>
    </w:p>
    <w:p w:rsidR="00446008" w:rsidRDefault="00446008" w:rsidP="0001107D">
      <w:pPr>
        <w:spacing w:line="480" w:lineRule="auto"/>
        <w:rPr>
          <w:rFonts w:ascii="Calibri" w:hAnsi="Calibri"/>
          <w:b/>
          <w:szCs w:val="23"/>
          <w:lang w:val="en-US"/>
        </w:rPr>
      </w:pPr>
    </w:p>
    <w:p w:rsidR="00446008" w:rsidRDefault="00446008" w:rsidP="0001107D">
      <w:pPr>
        <w:spacing w:line="480" w:lineRule="auto"/>
        <w:rPr>
          <w:rFonts w:ascii="Calibri" w:hAnsi="Calibri"/>
          <w:b/>
          <w:szCs w:val="23"/>
          <w:lang w:val="en-US"/>
        </w:rPr>
      </w:pPr>
    </w:p>
    <w:p w:rsidR="00446008" w:rsidRDefault="00446008" w:rsidP="00446008">
      <w:pPr>
        <w:pStyle w:val="TableTitle"/>
      </w:pPr>
      <w:r w:rsidRPr="003F652A">
        <w:t xml:space="preserve">STROBE </w:t>
      </w:r>
      <w:r>
        <w:t>S</w:t>
      </w:r>
      <w:r w:rsidRPr="003F652A">
        <w:t xml:space="preserve">tatement—checklist of items that should be </w:t>
      </w:r>
      <w:r>
        <w:t xml:space="preserve">included </w:t>
      </w:r>
      <w:r w:rsidRPr="003F652A">
        <w:t>in r</w:t>
      </w:r>
      <w:r>
        <w:t>eports of observational studies</w:t>
      </w:r>
    </w:p>
    <w:p w:rsidR="00446008" w:rsidRPr="003F652A" w:rsidRDefault="00446008" w:rsidP="00446008">
      <w:pPr>
        <w:pStyle w:val="TableTitle"/>
      </w:pPr>
    </w:p>
    <w:tbl>
      <w:tblPr>
        <w:tblW w:w="0" w:type="auto"/>
        <w:tblBorders>
          <w:insideH w:val="single" w:sz="4" w:space="0" w:color="auto"/>
        </w:tblBorders>
        <w:tblLook w:val="0000" w:firstRow="0" w:lastRow="0" w:firstColumn="0" w:lastColumn="0" w:noHBand="0" w:noVBand="0"/>
      </w:tblPr>
      <w:tblGrid>
        <w:gridCol w:w="2276"/>
        <w:gridCol w:w="705"/>
        <w:gridCol w:w="6255"/>
      </w:tblGrid>
      <w:tr w:rsidR="00446008" w:rsidRPr="0022554A" w:rsidTr="006A46E4">
        <w:tc>
          <w:tcPr>
            <w:tcW w:w="0" w:type="auto"/>
          </w:tcPr>
          <w:p w:rsidR="00446008" w:rsidRPr="0022554A" w:rsidRDefault="00446008" w:rsidP="006A46E4">
            <w:pPr>
              <w:tabs>
                <w:tab w:val="left" w:pos="5400"/>
              </w:tabs>
              <w:rPr>
                <w:sz w:val="20"/>
              </w:rPr>
            </w:pPr>
            <w:bookmarkStart w:id="3" w:name="bold1" w:colFirst="1" w:colLast="1"/>
            <w:bookmarkStart w:id="4" w:name="italic1" w:colFirst="0" w:colLast="0"/>
            <w:bookmarkStart w:id="5" w:name="bold2" w:colFirst="2" w:colLast="2"/>
            <w:bookmarkStart w:id="6" w:name="italic2" w:colFirst="1" w:colLast="1"/>
            <w:bookmarkStart w:id="7" w:name="bold3" w:colFirst="3" w:colLast="3"/>
            <w:bookmarkStart w:id="8" w:name="italic3" w:colFirst="2" w:colLast="2"/>
            <w:bookmarkStart w:id="9" w:name="bold4" w:colFirst="4" w:colLast="4"/>
            <w:bookmarkStart w:id="10" w:name="italic4" w:colFirst="3" w:colLast="3"/>
            <w:bookmarkStart w:id="11" w:name="italic5" w:colFirst="4" w:colLast="4"/>
          </w:p>
        </w:tc>
        <w:tc>
          <w:tcPr>
            <w:tcW w:w="0" w:type="auto"/>
          </w:tcPr>
          <w:p w:rsidR="00446008" w:rsidRPr="0022554A" w:rsidRDefault="00446008" w:rsidP="006A46E4">
            <w:pPr>
              <w:pStyle w:val="TableHeader"/>
              <w:tabs>
                <w:tab w:val="left" w:pos="5400"/>
              </w:tabs>
              <w:jc w:val="center"/>
              <w:rPr>
                <w:bCs/>
                <w:sz w:val="20"/>
              </w:rPr>
            </w:pPr>
            <w:r w:rsidRPr="0022554A">
              <w:rPr>
                <w:bCs/>
                <w:sz w:val="20"/>
              </w:rPr>
              <w:t>Item No</w:t>
            </w:r>
          </w:p>
        </w:tc>
        <w:tc>
          <w:tcPr>
            <w:tcW w:w="0" w:type="auto"/>
            <w:vAlign w:val="bottom"/>
          </w:tcPr>
          <w:p w:rsidR="00446008" w:rsidRPr="0022554A" w:rsidRDefault="00446008" w:rsidP="006A46E4">
            <w:pPr>
              <w:pStyle w:val="TableHeader"/>
              <w:tabs>
                <w:tab w:val="left" w:pos="5400"/>
              </w:tabs>
              <w:jc w:val="center"/>
              <w:rPr>
                <w:bCs/>
                <w:sz w:val="20"/>
              </w:rPr>
            </w:pPr>
            <w:r w:rsidRPr="0022554A">
              <w:rPr>
                <w:bCs/>
                <w:sz w:val="20"/>
              </w:rPr>
              <w:t>Recommendation</w:t>
            </w:r>
          </w:p>
        </w:tc>
      </w:tr>
      <w:tr w:rsidR="00446008" w:rsidRPr="0022554A" w:rsidTr="006A46E4">
        <w:tc>
          <w:tcPr>
            <w:tcW w:w="0" w:type="auto"/>
            <w:vMerge w:val="restart"/>
          </w:tcPr>
          <w:p w:rsidR="00446008" w:rsidRPr="002602FB" w:rsidRDefault="00446008" w:rsidP="006A46E4">
            <w:pPr>
              <w:tabs>
                <w:tab w:val="left" w:pos="5400"/>
              </w:tabs>
              <w:rPr>
                <w:b/>
                <w:bCs/>
                <w:sz w:val="20"/>
              </w:rPr>
            </w:pPr>
            <w:bookmarkStart w:id="12" w:name="bold5"/>
            <w:bookmarkStart w:id="13" w:name="italic6"/>
            <w:bookmarkEnd w:id="3"/>
            <w:bookmarkEnd w:id="4"/>
            <w:bookmarkEnd w:id="5"/>
            <w:bookmarkEnd w:id="6"/>
            <w:bookmarkEnd w:id="7"/>
            <w:bookmarkEnd w:id="8"/>
            <w:bookmarkEnd w:id="9"/>
            <w:bookmarkEnd w:id="10"/>
            <w:bookmarkEnd w:id="11"/>
            <w:r w:rsidRPr="002602FB">
              <w:rPr>
                <w:b/>
                <w:sz w:val="20"/>
              </w:rPr>
              <w:t>Title and abstract</w:t>
            </w:r>
            <w:bookmarkEnd w:id="12"/>
            <w:bookmarkEnd w:id="13"/>
          </w:p>
        </w:tc>
        <w:tc>
          <w:tcPr>
            <w:tcW w:w="0" w:type="auto"/>
            <w:vMerge w:val="restart"/>
          </w:tcPr>
          <w:p w:rsidR="00446008" w:rsidRPr="0022554A" w:rsidRDefault="00446008" w:rsidP="006A46E4">
            <w:pPr>
              <w:tabs>
                <w:tab w:val="left" w:pos="5400"/>
              </w:tabs>
              <w:jc w:val="center"/>
              <w:rPr>
                <w:sz w:val="20"/>
              </w:rPr>
            </w:pPr>
            <w:r w:rsidRPr="0022554A">
              <w:rPr>
                <w:sz w:val="20"/>
              </w:rPr>
              <w:t>1</w:t>
            </w:r>
          </w:p>
        </w:tc>
        <w:tc>
          <w:tcPr>
            <w:tcW w:w="0" w:type="auto"/>
          </w:tcPr>
          <w:p w:rsidR="00446008" w:rsidRPr="006E78B7" w:rsidRDefault="00446008" w:rsidP="006A46E4">
            <w:pPr>
              <w:tabs>
                <w:tab w:val="left" w:pos="5400"/>
              </w:tabs>
              <w:rPr>
                <w:b/>
                <w:sz w:val="20"/>
              </w:rPr>
            </w:pPr>
            <w:r w:rsidRPr="0022554A">
              <w:rPr>
                <w:sz w:val="20"/>
              </w:rPr>
              <w:t>(</w:t>
            </w:r>
            <w:r w:rsidRPr="0022554A">
              <w:rPr>
                <w:i/>
                <w:sz w:val="20"/>
              </w:rPr>
              <w:t>a</w:t>
            </w:r>
            <w:r w:rsidRPr="0022554A">
              <w:rPr>
                <w:sz w:val="20"/>
              </w:rPr>
              <w:t>) Indicate the study’s design with a commonly used term in the title or the abstract</w:t>
            </w:r>
            <w:r w:rsidR="006E78B7">
              <w:rPr>
                <w:sz w:val="20"/>
              </w:rPr>
              <w:t xml:space="preserve"> </w:t>
            </w:r>
            <w:r w:rsidR="006E78B7">
              <w:rPr>
                <w:b/>
                <w:sz w:val="20"/>
              </w:rPr>
              <w:t>Page 1</w:t>
            </w:r>
          </w:p>
        </w:tc>
      </w:tr>
      <w:tr w:rsidR="00446008" w:rsidRPr="0022554A" w:rsidTr="006A46E4">
        <w:tc>
          <w:tcPr>
            <w:tcW w:w="0" w:type="auto"/>
            <w:vMerge/>
          </w:tcPr>
          <w:p w:rsidR="00446008" w:rsidRPr="0022554A" w:rsidRDefault="00446008" w:rsidP="006A46E4">
            <w:pPr>
              <w:tabs>
                <w:tab w:val="left" w:pos="5400"/>
              </w:tabs>
              <w:rPr>
                <w:bCs/>
                <w:sz w:val="20"/>
              </w:rPr>
            </w:pPr>
            <w:bookmarkStart w:id="14" w:name="bold6" w:colFirst="0" w:colLast="0"/>
            <w:bookmarkStart w:id="15" w:name="italic7" w:colFirst="0" w:colLast="0"/>
          </w:p>
        </w:tc>
        <w:tc>
          <w:tcPr>
            <w:tcW w:w="0" w:type="auto"/>
            <w:vMerge/>
          </w:tcPr>
          <w:p w:rsidR="00446008" w:rsidRPr="0022554A" w:rsidRDefault="00446008" w:rsidP="006A46E4">
            <w:pPr>
              <w:tabs>
                <w:tab w:val="left" w:pos="5400"/>
              </w:tabs>
              <w:jc w:val="center"/>
              <w:rPr>
                <w:sz w:val="20"/>
              </w:rPr>
            </w:pPr>
          </w:p>
        </w:tc>
        <w:tc>
          <w:tcPr>
            <w:tcW w:w="0" w:type="auto"/>
          </w:tcPr>
          <w:p w:rsidR="00446008" w:rsidRPr="006E78B7" w:rsidRDefault="00446008" w:rsidP="006A46E4">
            <w:pPr>
              <w:tabs>
                <w:tab w:val="left" w:pos="5400"/>
              </w:tabs>
              <w:rPr>
                <w:b/>
                <w:sz w:val="20"/>
              </w:rPr>
            </w:pPr>
            <w:r w:rsidRPr="0022554A">
              <w:rPr>
                <w:sz w:val="20"/>
              </w:rPr>
              <w:t>(</w:t>
            </w:r>
            <w:r w:rsidRPr="0022554A">
              <w:rPr>
                <w:i/>
                <w:sz w:val="20"/>
              </w:rPr>
              <w:t>b</w:t>
            </w:r>
            <w:r w:rsidRPr="0022554A">
              <w:rPr>
                <w:sz w:val="20"/>
              </w:rPr>
              <w:t>) Provide in the abstract an informative and balanced summary of what was done and what was found</w:t>
            </w:r>
            <w:r w:rsidR="006E78B7">
              <w:rPr>
                <w:sz w:val="20"/>
              </w:rPr>
              <w:t xml:space="preserve"> </w:t>
            </w:r>
            <w:r w:rsidR="006E78B7">
              <w:rPr>
                <w:b/>
                <w:sz w:val="20"/>
              </w:rPr>
              <w:t>Page 2</w:t>
            </w:r>
          </w:p>
        </w:tc>
      </w:tr>
      <w:tr w:rsidR="00446008" w:rsidRPr="0022554A" w:rsidTr="006A46E4">
        <w:tc>
          <w:tcPr>
            <w:tcW w:w="0" w:type="auto"/>
            <w:gridSpan w:val="3"/>
          </w:tcPr>
          <w:p w:rsidR="00446008" w:rsidRPr="0022554A" w:rsidRDefault="00446008" w:rsidP="006A46E4">
            <w:pPr>
              <w:pStyle w:val="TableSubHead"/>
              <w:tabs>
                <w:tab w:val="left" w:pos="5400"/>
              </w:tabs>
              <w:rPr>
                <w:sz w:val="20"/>
              </w:rPr>
            </w:pPr>
            <w:bookmarkStart w:id="16" w:name="bold7"/>
            <w:bookmarkStart w:id="17" w:name="italic8"/>
            <w:bookmarkEnd w:id="14"/>
            <w:bookmarkEnd w:id="15"/>
            <w:r w:rsidRPr="0022554A">
              <w:rPr>
                <w:sz w:val="20"/>
              </w:rPr>
              <w:t>Introduction</w:t>
            </w:r>
            <w:bookmarkEnd w:id="16"/>
            <w:bookmarkEnd w:id="17"/>
          </w:p>
        </w:tc>
      </w:tr>
      <w:tr w:rsidR="00446008" w:rsidRPr="0022554A" w:rsidTr="006A46E4">
        <w:tc>
          <w:tcPr>
            <w:tcW w:w="0" w:type="auto"/>
          </w:tcPr>
          <w:p w:rsidR="00446008" w:rsidRPr="0022554A" w:rsidRDefault="00446008" w:rsidP="006A46E4">
            <w:pPr>
              <w:tabs>
                <w:tab w:val="left" w:pos="5400"/>
              </w:tabs>
              <w:rPr>
                <w:bCs/>
                <w:sz w:val="20"/>
              </w:rPr>
            </w:pPr>
            <w:bookmarkStart w:id="18" w:name="bold8"/>
            <w:bookmarkStart w:id="19" w:name="italic9"/>
            <w:r w:rsidRPr="0022554A">
              <w:rPr>
                <w:bCs/>
                <w:sz w:val="20"/>
              </w:rPr>
              <w:t>Background/</w:t>
            </w:r>
            <w:bookmarkStart w:id="20" w:name="bold9"/>
            <w:bookmarkStart w:id="21" w:name="italic10"/>
            <w:bookmarkEnd w:id="18"/>
            <w:bookmarkEnd w:id="19"/>
            <w:r w:rsidRPr="0022554A">
              <w:rPr>
                <w:bCs/>
                <w:sz w:val="20"/>
              </w:rPr>
              <w:t>rationale</w:t>
            </w:r>
            <w:bookmarkEnd w:id="20"/>
            <w:bookmarkEnd w:id="21"/>
          </w:p>
        </w:tc>
        <w:tc>
          <w:tcPr>
            <w:tcW w:w="0" w:type="auto"/>
          </w:tcPr>
          <w:p w:rsidR="00446008" w:rsidRPr="0022554A" w:rsidRDefault="00446008" w:rsidP="006A46E4">
            <w:pPr>
              <w:tabs>
                <w:tab w:val="left" w:pos="5400"/>
              </w:tabs>
              <w:jc w:val="center"/>
              <w:rPr>
                <w:sz w:val="20"/>
              </w:rPr>
            </w:pPr>
            <w:r w:rsidRPr="0022554A">
              <w:rPr>
                <w:sz w:val="20"/>
              </w:rPr>
              <w:t>2</w:t>
            </w:r>
          </w:p>
        </w:tc>
        <w:tc>
          <w:tcPr>
            <w:tcW w:w="0" w:type="auto"/>
          </w:tcPr>
          <w:p w:rsidR="00446008" w:rsidRPr="006E78B7" w:rsidRDefault="00446008" w:rsidP="006A46E4">
            <w:pPr>
              <w:tabs>
                <w:tab w:val="left" w:pos="5400"/>
              </w:tabs>
              <w:rPr>
                <w:b/>
                <w:sz w:val="20"/>
              </w:rPr>
            </w:pPr>
            <w:r w:rsidRPr="0022554A">
              <w:rPr>
                <w:sz w:val="20"/>
              </w:rPr>
              <w:t>Explain the scientific background and rationale for the investigation being reported</w:t>
            </w:r>
            <w:r w:rsidR="006E78B7">
              <w:rPr>
                <w:sz w:val="20"/>
              </w:rPr>
              <w:t xml:space="preserve"> </w:t>
            </w:r>
            <w:r w:rsidR="006E78B7">
              <w:rPr>
                <w:b/>
                <w:sz w:val="20"/>
              </w:rPr>
              <w:t>Page 3</w:t>
            </w:r>
          </w:p>
        </w:tc>
      </w:tr>
      <w:tr w:rsidR="00446008" w:rsidRPr="0022554A" w:rsidTr="006A46E4">
        <w:tc>
          <w:tcPr>
            <w:tcW w:w="0" w:type="auto"/>
          </w:tcPr>
          <w:p w:rsidR="00446008" w:rsidRPr="0022554A" w:rsidRDefault="00446008" w:rsidP="006A46E4">
            <w:pPr>
              <w:tabs>
                <w:tab w:val="left" w:pos="5400"/>
              </w:tabs>
              <w:rPr>
                <w:bCs/>
                <w:sz w:val="20"/>
              </w:rPr>
            </w:pPr>
            <w:bookmarkStart w:id="22" w:name="bold10" w:colFirst="0" w:colLast="0"/>
            <w:bookmarkStart w:id="23" w:name="italic11" w:colFirst="0" w:colLast="0"/>
            <w:r w:rsidRPr="0022554A">
              <w:rPr>
                <w:bCs/>
                <w:sz w:val="20"/>
              </w:rPr>
              <w:t>Objectives</w:t>
            </w:r>
          </w:p>
        </w:tc>
        <w:tc>
          <w:tcPr>
            <w:tcW w:w="0" w:type="auto"/>
          </w:tcPr>
          <w:p w:rsidR="00446008" w:rsidRPr="0022554A" w:rsidRDefault="00446008" w:rsidP="006A46E4">
            <w:pPr>
              <w:tabs>
                <w:tab w:val="left" w:pos="5400"/>
              </w:tabs>
              <w:jc w:val="center"/>
              <w:rPr>
                <w:sz w:val="20"/>
              </w:rPr>
            </w:pPr>
            <w:r w:rsidRPr="0022554A">
              <w:rPr>
                <w:sz w:val="20"/>
              </w:rPr>
              <w:t>3</w:t>
            </w:r>
          </w:p>
        </w:tc>
        <w:tc>
          <w:tcPr>
            <w:tcW w:w="0" w:type="auto"/>
          </w:tcPr>
          <w:p w:rsidR="00446008" w:rsidRPr="006E78B7" w:rsidRDefault="00446008" w:rsidP="006A46E4">
            <w:pPr>
              <w:tabs>
                <w:tab w:val="left" w:pos="5400"/>
              </w:tabs>
              <w:rPr>
                <w:b/>
                <w:sz w:val="20"/>
              </w:rPr>
            </w:pPr>
            <w:r w:rsidRPr="0022554A">
              <w:rPr>
                <w:sz w:val="20"/>
              </w:rPr>
              <w:t>State specific objectives, including any prespecified hypotheses</w:t>
            </w:r>
            <w:r w:rsidR="006E78B7">
              <w:rPr>
                <w:sz w:val="20"/>
              </w:rPr>
              <w:t xml:space="preserve"> </w:t>
            </w:r>
            <w:r w:rsidR="006E78B7">
              <w:rPr>
                <w:b/>
                <w:sz w:val="20"/>
              </w:rPr>
              <w:t>Page 3</w:t>
            </w:r>
          </w:p>
        </w:tc>
      </w:tr>
      <w:tr w:rsidR="00446008" w:rsidRPr="0022554A" w:rsidTr="006A46E4">
        <w:tc>
          <w:tcPr>
            <w:tcW w:w="0" w:type="auto"/>
            <w:gridSpan w:val="3"/>
          </w:tcPr>
          <w:p w:rsidR="00446008" w:rsidRPr="0022554A" w:rsidRDefault="00446008" w:rsidP="006A46E4">
            <w:pPr>
              <w:pStyle w:val="TableSubHead"/>
              <w:tabs>
                <w:tab w:val="left" w:pos="5400"/>
              </w:tabs>
              <w:rPr>
                <w:sz w:val="20"/>
              </w:rPr>
            </w:pPr>
            <w:bookmarkStart w:id="24" w:name="bold11"/>
            <w:bookmarkStart w:id="25" w:name="italic12"/>
            <w:bookmarkEnd w:id="22"/>
            <w:bookmarkEnd w:id="23"/>
            <w:r w:rsidRPr="0022554A">
              <w:rPr>
                <w:sz w:val="20"/>
              </w:rPr>
              <w:t>Methods</w:t>
            </w:r>
            <w:bookmarkEnd w:id="24"/>
            <w:bookmarkEnd w:id="25"/>
          </w:p>
        </w:tc>
      </w:tr>
      <w:tr w:rsidR="00446008" w:rsidRPr="0022554A" w:rsidTr="006A46E4">
        <w:tc>
          <w:tcPr>
            <w:tcW w:w="0" w:type="auto"/>
          </w:tcPr>
          <w:p w:rsidR="00446008" w:rsidRPr="0022554A" w:rsidRDefault="00446008" w:rsidP="006A46E4">
            <w:pPr>
              <w:tabs>
                <w:tab w:val="left" w:pos="5400"/>
              </w:tabs>
              <w:rPr>
                <w:bCs/>
                <w:sz w:val="20"/>
              </w:rPr>
            </w:pPr>
            <w:bookmarkStart w:id="26" w:name="bold12" w:colFirst="0" w:colLast="0"/>
            <w:bookmarkStart w:id="27" w:name="italic13" w:colFirst="0" w:colLast="0"/>
            <w:r w:rsidRPr="0022554A">
              <w:rPr>
                <w:bCs/>
                <w:sz w:val="20"/>
              </w:rPr>
              <w:t>Study design</w:t>
            </w:r>
          </w:p>
        </w:tc>
        <w:tc>
          <w:tcPr>
            <w:tcW w:w="0" w:type="auto"/>
          </w:tcPr>
          <w:p w:rsidR="00446008" w:rsidRPr="0022554A" w:rsidRDefault="00446008" w:rsidP="006A46E4">
            <w:pPr>
              <w:tabs>
                <w:tab w:val="left" w:pos="5400"/>
              </w:tabs>
              <w:jc w:val="center"/>
              <w:rPr>
                <w:sz w:val="20"/>
              </w:rPr>
            </w:pPr>
            <w:r w:rsidRPr="0022554A">
              <w:rPr>
                <w:sz w:val="20"/>
              </w:rPr>
              <w:t>4</w:t>
            </w:r>
          </w:p>
        </w:tc>
        <w:tc>
          <w:tcPr>
            <w:tcW w:w="0" w:type="auto"/>
          </w:tcPr>
          <w:p w:rsidR="00446008" w:rsidRPr="006E78B7" w:rsidRDefault="00446008" w:rsidP="006A46E4">
            <w:pPr>
              <w:tabs>
                <w:tab w:val="left" w:pos="5400"/>
              </w:tabs>
              <w:rPr>
                <w:b/>
                <w:sz w:val="20"/>
              </w:rPr>
            </w:pPr>
            <w:r w:rsidRPr="0022554A">
              <w:rPr>
                <w:sz w:val="20"/>
              </w:rPr>
              <w:t>Present key elements of study design early in the paper</w:t>
            </w:r>
            <w:r w:rsidR="006E78B7">
              <w:rPr>
                <w:sz w:val="20"/>
              </w:rPr>
              <w:t xml:space="preserve"> </w:t>
            </w:r>
            <w:r w:rsidR="006E78B7">
              <w:rPr>
                <w:b/>
                <w:sz w:val="20"/>
              </w:rPr>
              <w:t xml:space="preserve">Pages </w:t>
            </w:r>
            <w:r w:rsidR="00BF5DAD">
              <w:rPr>
                <w:b/>
                <w:sz w:val="20"/>
              </w:rPr>
              <w:t>3-7</w:t>
            </w:r>
          </w:p>
        </w:tc>
      </w:tr>
      <w:tr w:rsidR="00446008" w:rsidRPr="0022554A" w:rsidTr="006A46E4">
        <w:tc>
          <w:tcPr>
            <w:tcW w:w="0" w:type="auto"/>
          </w:tcPr>
          <w:p w:rsidR="00446008" w:rsidRPr="0022554A" w:rsidRDefault="00446008" w:rsidP="006A46E4">
            <w:pPr>
              <w:tabs>
                <w:tab w:val="left" w:pos="5400"/>
              </w:tabs>
              <w:rPr>
                <w:bCs/>
                <w:sz w:val="20"/>
              </w:rPr>
            </w:pPr>
            <w:bookmarkStart w:id="28" w:name="bold13" w:colFirst="0" w:colLast="0"/>
            <w:bookmarkStart w:id="29" w:name="italic14" w:colFirst="0" w:colLast="0"/>
            <w:bookmarkEnd w:id="26"/>
            <w:bookmarkEnd w:id="27"/>
            <w:r w:rsidRPr="0022554A">
              <w:rPr>
                <w:bCs/>
                <w:sz w:val="20"/>
              </w:rPr>
              <w:t>Setting</w:t>
            </w:r>
          </w:p>
        </w:tc>
        <w:tc>
          <w:tcPr>
            <w:tcW w:w="0" w:type="auto"/>
          </w:tcPr>
          <w:p w:rsidR="00446008" w:rsidRPr="0022554A" w:rsidRDefault="00446008" w:rsidP="006A46E4">
            <w:pPr>
              <w:tabs>
                <w:tab w:val="left" w:pos="5400"/>
              </w:tabs>
              <w:jc w:val="center"/>
              <w:rPr>
                <w:sz w:val="20"/>
              </w:rPr>
            </w:pPr>
            <w:r w:rsidRPr="0022554A">
              <w:rPr>
                <w:sz w:val="20"/>
              </w:rPr>
              <w:t>5</w:t>
            </w:r>
          </w:p>
        </w:tc>
        <w:tc>
          <w:tcPr>
            <w:tcW w:w="0" w:type="auto"/>
          </w:tcPr>
          <w:p w:rsidR="00446008" w:rsidRPr="0022554A" w:rsidRDefault="00446008" w:rsidP="006A46E4">
            <w:pPr>
              <w:tabs>
                <w:tab w:val="left" w:pos="5400"/>
              </w:tabs>
              <w:rPr>
                <w:sz w:val="20"/>
              </w:rPr>
            </w:pPr>
            <w:r w:rsidRPr="0022554A">
              <w:rPr>
                <w:sz w:val="20"/>
              </w:rPr>
              <w:t>Describe the setting, locations, and relevant dates, including periods of recruitment, exposure, follow-up, and data collection</w:t>
            </w:r>
            <w:r w:rsidR="00BF5DAD">
              <w:rPr>
                <w:sz w:val="20"/>
              </w:rPr>
              <w:t xml:space="preserve"> </w:t>
            </w:r>
            <w:r w:rsidR="00BF5DAD" w:rsidRPr="00BF5DAD">
              <w:rPr>
                <w:b/>
                <w:sz w:val="20"/>
              </w:rPr>
              <w:t>Pages 3-7</w:t>
            </w:r>
          </w:p>
        </w:tc>
      </w:tr>
      <w:bookmarkEnd w:id="28"/>
      <w:bookmarkEnd w:id="29"/>
      <w:tr w:rsidR="00446008" w:rsidRPr="0022554A" w:rsidTr="006A46E4">
        <w:tc>
          <w:tcPr>
            <w:tcW w:w="0" w:type="auto"/>
            <w:vMerge w:val="restart"/>
          </w:tcPr>
          <w:p w:rsidR="00446008" w:rsidRPr="0022554A" w:rsidRDefault="00446008" w:rsidP="006A46E4">
            <w:pPr>
              <w:tabs>
                <w:tab w:val="left" w:pos="5400"/>
              </w:tabs>
              <w:rPr>
                <w:bCs/>
                <w:sz w:val="20"/>
              </w:rPr>
            </w:pPr>
            <w:r w:rsidRPr="0022554A">
              <w:rPr>
                <w:bCs/>
                <w:sz w:val="20"/>
              </w:rPr>
              <w:t>Participants</w:t>
            </w:r>
          </w:p>
        </w:tc>
        <w:tc>
          <w:tcPr>
            <w:tcW w:w="0" w:type="auto"/>
            <w:vMerge w:val="restart"/>
          </w:tcPr>
          <w:p w:rsidR="00446008" w:rsidRPr="0022554A" w:rsidRDefault="00446008" w:rsidP="006A46E4">
            <w:pPr>
              <w:tabs>
                <w:tab w:val="left" w:pos="5400"/>
              </w:tabs>
              <w:jc w:val="center"/>
              <w:rPr>
                <w:sz w:val="20"/>
              </w:rPr>
            </w:pPr>
            <w:r w:rsidRPr="0022554A">
              <w:rPr>
                <w:sz w:val="20"/>
              </w:rPr>
              <w:t>6</w:t>
            </w:r>
          </w:p>
        </w:tc>
        <w:tc>
          <w:tcPr>
            <w:tcW w:w="0" w:type="auto"/>
          </w:tcPr>
          <w:p w:rsidR="00446008" w:rsidRDefault="00446008" w:rsidP="006A46E4">
            <w:pPr>
              <w:tabs>
                <w:tab w:val="left" w:pos="5400"/>
              </w:tabs>
              <w:rPr>
                <w:sz w:val="20"/>
              </w:rPr>
            </w:pPr>
            <w:r w:rsidRPr="0022554A">
              <w:rPr>
                <w:sz w:val="20"/>
              </w:rPr>
              <w:t>(</w:t>
            </w:r>
            <w:r w:rsidRPr="0022554A">
              <w:rPr>
                <w:i/>
                <w:sz w:val="20"/>
              </w:rPr>
              <w:t>a</w:t>
            </w:r>
            <w:r w:rsidRPr="0022554A">
              <w:rPr>
                <w:sz w:val="20"/>
              </w:rPr>
              <w:t xml:space="preserve">) </w:t>
            </w:r>
            <w:r w:rsidRPr="0022554A">
              <w:rPr>
                <w:i/>
                <w:sz w:val="20"/>
              </w:rPr>
              <w:t>Cohort study</w:t>
            </w:r>
            <w:r w:rsidRPr="0022554A">
              <w:rPr>
                <w:sz w:val="20"/>
              </w:rPr>
              <w:t>—Give the eligibility criteria, and the sources and methods of selection of participants. Describe methods of follow-up</w:t>
            </w:r>
          </w:p>
          <w:p w:rsidR="00BF5DAD" w:rsidRPr="00BF5DAD" w:rsidRDefault="00BF5DAD" w:rsidP="006A46E4">
            <w:pPr>
              <w:tabs>
                <w:tab w:val="left" w:pos="5400"/>
              </w:tabs>
              <w:rPr>
                <w:b/>
                <w:sz w:val="20"/>
              </w:rPr>
            </w:pPr>
            <w:r w:rsidRPr="00BF5DAD">
              <w:rPr>
                <w:b/>
                <w:sz w:val="20"/>
              </w:rPr>
              <w:t>Pages 3-7</w:t>
            </w:r>
          </w:p>
          <w:p w:rsidR="00446008" w:rsidRPr="0022554A" w:rsidRDefault="00446008" w:rsidP="006A46E4">
            <w:pPr>
              <w:tabs>
                <w:tab w:val="left" w:pos="5400"/>
              </w:tabs>
              <w:rPr>
                <w:sz w:val="20"/>
              </w:rPr>
            </w:pPr>
            <w:r w:rsidRPr="0022554A">
              <w:rPr>
                <w:i/>
                <w:sz w:val="20"/>
              </w:rPr>
              <w:t>Case-control study</w:t>
            </w:r>
            <w:r w:rsidRPr="0022554A">
              <w:rPr>
                <w:sz w:val="20"/>
              </w:rPr>
              <w:t>—Give the eligibility criteria, and the sources and methods of case ascertainment and control selection. Give the rationale for the choice of cases and controls</w:t>
            </w:r>
          </w:p>
          <w:p w:rsidR="00446008" w:rsidRPr="0022554A" w:rsidRDefault="00446008" w:rsidP="006A46E4">
            <w:pPr>
              <w:tabs>
                <w:tab w:val="left" w:pos="5400"/>
              </w:tabs>
              <w:rPr>
                <w:sz w:val="20"/>
              </w:rPr>
            </w:pPr>
            <w:r>
              <w:rPr>
                <w:i/>
                <w:sz w:val="20"/>
              </w:rPr>
              <w:t>Cross-sectional</w:t>
            </w:r>
            <w:r w:rsidRPr="0022554A">
              <w:rPr>
                <w:i/>
                <w:sz w:val="20"/>
              </w:rPr>
              <w:t xml:space="preserve"> study</w:t>
            </w:r>
            <w:r w:rsidRPr="0022554A">
              <w:rPr>
                <w:sz w:val="20"/>
              </w:rPr>
              <w:t>—Give the eligibility criteria, and the sources and methods of selection of participants</w:t>
            </w:r>
          </w:p>
        </w:tc>
      </w:tr>
      <w:tr w:rsidR="00446008" w:rsidRPr="0022554A" w:rsidTr="006A46E4">
        <w:tc>
          <w:tcPr>
            <w:tcW w:w="0" w:type="auto"/>
            <w:vMerge/>
          </w:tcPr>
          <w:p w:rsidR="00446008" w:rsidRPr="0022554A" w:rsidRDefault="00446008" w:rsidP="006A46E4">
            <w:pPr>
              <w:tabs>
                <w:tab w:val="left" w:pos="5400"/>
              </w:tabs>
              <w:rPr>
                <w:bCs/>
                <w:sz w:val="20"/>
              </w:rPr>
            </w:pPr>
            <w:bookmarkStart w:id="30" w:name="bold14" w:colFirst="0" w:colLast="0"/>
            <w:bookmarkStart w:id="31" w:name="italic15" w:colFirst="0" w:colLast="0"/>
          </w:p>
        </w:tc>
        <w:tc>
          <w:tcPr>
            <w:tcW w:w="0" w:type="auto"/>
            <w:vMerge/>
          </w:tcPr>
          <w:p w:rsidR="00446008" w:rsidRPr="0022554A" w:rsidRDefault="00446008" w:rsidP="006A46E4">
            <w:pPr>
              <w:tabs>
                <w:tab w:val="left" w:pos="5400"/>
              </w:tabs>
              <w:jc w:val="center"/>
              <w:rPr>
                <w:sz w:val="20"/>
              </w:rPr>
            </w:pPr>
          </w:p>
        </w:tc>
        <w:tc>
          <w:tcPr>
            <w:tcW w:w="0" w:type="auto"/>
          </w:tcPr>
          <w:p w:rsidR="00446008" w:rsidRPr="00BD6209" w:rsidRDefault="00446008" w:rsidP="006A46E4">
            <w:pPr>
              <w:tabs>
                <w:tab w:val="left" w:pos="5400"/>
              </w:tabs>
              <w:rPr>
                <w:b/>
                <w:sz w:val="20"/>
              </w:rPr>
            </w:pPr>
            <w:r w:rsidRPr="0022554A">
              <w:rPr>
                <w:sz w:val="20"/>
              </w:rPr>
              <w:t>(</w:t>
            </w:r>
            <w:r w:rsidRPr="0022554A">
              <w:rPr>
                <w:i/>
                <w:sz w:val="20"/>
              </w:rPr>
              <w:t>b</w:t>
            </w:r>
            <w:r w:rsidRPr="0022554A">
              <w:rPr>
                <w:sz w:val="20"/>
              </w:rPr>
              <w:t>)</w:t>
            </w:r>
            <w:r w:rsidRPr="0022554A">
              <w:rPr>
                <w:b/>
                <w:bCs/>
                <w:sz w:val="20"/>
              </w:rPr>
              <w:t xml:space="preserve"> </w:t>
            </w:r>
            <w:r w:rsidRPr="0022554A">
              <w:rPr>
                <w:bCs/>
                <w:i/>
                <w:sz w:val="20"/>
              </w:rPr>
              <w:t>Cohort study</w:t>
            </w:r>
            <w:r w:rsidRPr="0022554A">
              <w:rPr>
                <w:sz w:val="20"/>
              </w:rPr>
              <w:t>—For matched studies, give matching criteria and number of exposed and unexposed</w:t>
            </w:r>
            <w:r w:rsidR="00BD6209">
              <w:rPr>
                <w:sz w:val="20"/>
              </w:rPr>
              <w:t xml:space="preserve"> </w:t>
            </w:r>
            <w:r w:rsidR="00BD6209">
              <w:rPr>
                <w:b/>
                <w:sz w:val="20"/>
              </w:rPr>
              <w:t>N/A</w:t>
            </w:r>
          </w:p>
          <w:p w:rsidR="00446008" w:rsidRPr="0022554A" w:rsidRDefault="00446008" w:rsidP="006A46E4">
            <w:pPr>
              <w:tabs>
                <w:tab w:val="left" w:pos="5400"/>
              </w:tabs>
              <w:rPr>
                <w:i/>
                <w:sz w:val="20"/>
              </w:rPr>
            </w:pPr>
            <w:r w:rsidRPr="0022554A">
              <w:rPr>
                <w:bCs/>
                <w:i/>
                <w:sz w:val="20"/>
              </w:rPr>
              <w:t>Case-control study</w:t>
            </w:r>
            <w:r w:rsidRPr="0022554A">
              <w:rPr>
                <w:sz w:val="20"/>
              </w:rPr>
              <w:t>—For matched studies, give matching criteria and the number of controls per case</w:t>
            </w:r>
          </w:p>
        </w:tc>
      </w:tr>
      <w:tr w:rsidR="00446008" w:rsidRPr="0022554A" w:rsidTr="006A46E4">
        <w:tc>
          <w:tcPr>
            <w:tcW w:w="0" w:type="auto"/>
          </w:tcPr>
          <w:p w:rsidR="00446008" w:rsidRPr="0022554A" w:rsidRDefault="00446008" w:rsidP="006A46E4">
            <w:pPr>
              <w:tabs>
                <w:tab w:val="left" w:pos="5400"/>
              </w:tabs>
              <w:rPr>
                <w:bCs/>
                <w:sz w:val="20"/>
              </w:rPr>
            </w:pPr>
            <w:bookmarkStart w:id="32" w:name="bold16" w:colFirst="0" w:colLast="0"/>
            <w:bookmarkStart w:id="33" w:name="italic17" w:colFirst="0" w:colLast="0"/>
            <w:bookmarkEnd w:id="30"/>
            <w:bookmarkEnd w:id="31"/>
            <w:r w:rsidRPr="0022554A">
              <w:rPr>
                <w:bCs/>
                <w:sz w:val="20"/>
              </w:rPr>
              <w:t>Variables</w:t>
            </w:r>
          </w:p>
        </w:tc>
        <w:tc>
          <w:tcPr>
            <w:tcW w:w="0" w:type="auto"/>
          </w:tcPr>
          <w:p w:rsidR="00446008" w:rsidRPr="0022554A" w:rsidRDefault="00446008" w:rsidP="006A46E4">
            <w:pPr>
              <w:tabs>
                <w:tab w:val="left" w:pos="5400"/>
              </w:tabs>
              <w:jc w:val="center"/>
              <w:rPr>
                <w:sz w:val="20"/>
              </w:rPr>
            </w:pPr>
            <w:r w:rsidRPr="0022554A">
              <w:rPr>
                <w:sz w:val="20"/>
              </w:rPr>
              <w:t>7</w:t>
            </w:r>
          </w:p>
        </w:tc>
        <w:tc>
          <w:tcPr>
            <w:tcW w:w="0" w:type="auto"/>
          </w:tcPr>
          <w:p w:rsidR="00446008" w:rsidRPr="0022554A" w:rsidRDefault="00446008" w:rsidP="006A46E4">
            <w:pPr>
              <w:tabs>
                <w:tab w:val="left" w:pos="5400"/>
              </w:tabs>
              <w:rPr>
                <w:sz w:val="20"/>
              </w:rPr>
            </w:pPr>
            <w:r w:rsidRPr="0022554A">
              <w:rPr>
                <w:sz w:val="20"/>
              </w:rPr>
              <w:t>Clearly define all outcomes, exposures, predictors, potential confounders, and effect modifiers. Give diagnostic criteria, if applicable</w:t>
            </w:r>
            <w:r w:rsidR="00BF5DAD">
              <w:rPr>
                <w:sz w:val="20"/>
              </w:rPr>
              <w:t xml:space="preserve"> </w:t>
            </w:r>
            <w:r w:rsidR="00BF5DAD" w:rsidRPr="00BF5DAD">
              <w:rPr>
                <w:b/>
                <w:sz w:val="20"/>
              </w:rPr>
              <w:t>Pages 3-7</w:t>
            </w:r>
            <w:r w:rsidR="00BF5DAD">
              <w:rPr>
                <w:b/>
                <w:sz w:val="20"/>
              </w:rPr>
              <w:t>; page</w:t>
            </w:r>
            <w:r w:rsidR="005419B4">
              <w:rPr>
                <w:b/>
                <w:sz w:val="20"/>
              </w:rPr>
              <w:t xml:space="preserve"> 23</w:t>
            </w:r>
          </w:p>
        </w:tc>
      </w:tr>
      <w:tr w:rsidR="00446008" w:rsidRPr="0022554A" w:rsidTr="006A46E4">
        <w:trPr>
          <w:trHeight w:val="294"/>
        </w:trPr>
        <w:tc>
          <w:tcPr>
            <w:tcW w:w="0" w:type="auto"/>
          </w:tcPr>
          <w:p w:rsidR="00446008" w:rsidRPr="0022554A" w:rsidRDefault="00446008" w:rsidP="006A46E4">
            <w:pPr>
              <w:tabs>
                <w:tab w:val="left" w:pos="5400"/>
              </w:tabs>
              <w:rPr>
                <w:bCs/>
                <w:sz w:val="20"/>
              </w:rPr>
            </w:pPr>
            <w:bookmarkStart w:id="34" w:name="bold17"/>
            <w:bookmarkStart w:id="35" w:name="italic18"/>
            <w:bookmarkEnd w:id="32"/>
            <w:bookmarkEnd w:id="33"/>
            <w:r w:rsidRPr="0022554A">
              <w:rPr>
                <w:bCs/>
                <w:sz w:val="20"/>
              </w:rPr>
              <w:t>Data sources/</w:t>
            </w:r>
            <w:bookmarkStart w:id="36" w:name="bold18"/>
            <w:bookmarkStart w:id="37" w:name="italic19"/>
            <w:bookmarkEnd w:id="34"/>
            <w:bookmarkEnd w:id="35"/>
            <w:r>
              <w:rPr>
                <w:bCs/>
                <w:sz w:val="20"/>
              </w:rPr>
              <w:t xml:space="preserve"> </w:t>
            </w:r>
            <w:r w:rsidRPr="0022554A">
              <w:rPr>
                <w:bCs/>
                <w:sz w:val="20"/>
              </w:rPr>
              <w:t>measurement</w:t>
            </w:r>
            <w:bookmarkEnd w:id="36"/>
            <w:bookmarkEnd w:id="37"/>
          </w:p>
        </w:tc>
        <w:tc>
          <w:tcPr>
            <w:tcW w:w="0" w:type="auto"/>
          </w:tcPr>
          <w:p w:rsidR="00446008" w:rsidRPr="0022554A" w:rsidRDefault="00446008" w:rsidP="006A46E4">
            <w:pPr>
              <w:tabs>
                <w:tab w:val="left" w:pos="5400"/>
              </w:tabs>
              <w:jc w:val="center"/>
              <w:rPr>
                <w:sz w:val="20"/>
              </w:rPr>
            </w:pPr>
            <w:r w:rsidRPr="0022554A">
              <w:rPr>
                <w:sz w:val="20"/>
              </w:rPr>
              <w:t>8</w:t>
            </w:r>
            <w:bookmarkStart w:id="38" w:name="bold19"/>
            <w:r w:rsidRPr="0022554A">
              <w:rPr>
                <w:bCs/>
                <w:sz w:val="20"/>
              </w:rPr>
              <w:t>*</w:t>
            </w:r>
            <w:bookmarkEnd w:id="38"/>
          </w:p>
        </w:tc>
        <w:tc>
          <w:tcPr>
            <w:tcW w:w="0" w:type="auto"/>
          </w:tcPr>
          <w:p w:rsidR="00446008" w:rsidRPr="005419B4" w:rsidRDefault="00446008" w:rsidP="006A46E4">
            <w:pPr>
              <w:tabs>
                <w:tab w:val="left" w:pos="5400"/>
              </w:tabs>
              <w:rPr>
                <w:b/>
                <w:sz w:val="20"/>
              </w:rPr>
            </w:pPr>
            <w:r w:rsidRPr="0022554A">
              <w:rPr>
                <w:i/>
                <w:sz w:val="20"/>
              </w:rPr>
              <w:t xml:space="preserve"> </w:t>
            </w:r>
            <w:r w:rsidRPr="0022554A">
              <w:rPr>
                <w:sz w:val="20"/>
              </w:rPr>
              <w:t>For each variable of interest, give sources of data and details of methods of assessment (measurement). Describe comparability of assessment methods if there is more than one group</w:t>
            </w:r>
            <w:r w:rsidR="005419B4">
              <w:rPr>
                <w:sz w:val="20"/>
              </w:rPr>
              <w:t xml:space="preserve"> </w:t>
            </w:r>
            <w:r w:rsidR="005419B4">
              <w:rPr>
                <w:b/>
                <w:sz w:val="20"/>
              </w:rPr>
              <w:t>Pages 5-7</w:t>
            </w:r>
          </w:p>
        </w:tc>
      </w:tr>
      <w:tr w:rsidR="00446008" w:rsidRPr="0022554A" w:rsidTr="006A46E4">
        <w:tc>
          <w:tcPr>
            <w:tcW w:w="0" w:type="auto"/>
          </w:tcPr>
          <w:p w:rsidR="00446008" w:rsidRPr="0022554A" w:rsidRDefault="00446008" w:rsidP="006A46E4">
            <w:pPr>
              <w:tabs>
                <w:tab w:val="left" w:pos="5400"/>
              </w:tabs>
              <w:rPr>
                <w:bCs/>
                <w:color w:val="000000"/>
                <w:sz w:val="20"/>
              </w:rPr>
            </w:pPr>
            <w:bookmarkStart w:id="39" w:name="bold20" w:colFirst="0" w:colLast="0"/>
            <w:bookmarkStart w:id="40" w:name="italic20" w:colFirst="0" w:colLast="0"/>
            <w:r w:rsidRPr="0022554A">
              <w:rPr>
                <w:bCs/>
                <w:color w:val="000000"/>
                <w:sz w:val="20"/>
              </w:rPr>
              <w:t>Bias</w:t>
            </w:r>
          </w:p>
        </w:tc>
        <w:tc>
          <w:tcPr>
            <w:tcW w:w="0" w:type="auto"/>
          </w:tcPr>
          <w:p w:rsidR="00446008" w:rsidRPr="0022554A" w:rsidRDefault="00446008" w:rsidP="006A46E4">
            <w:pPr>
              <w:tabs>
                <w:tab w:val="left" w:pos="5400"/>
              </w:tabs>
              <w:jc w:val="center"/>
              <w:rPr>
                <w:sz w:val="20"/>
              </w:rPr>
            </w:pPr>
            <w:r w:rsidRPr="0022554A">
              <w:rPr>
                <w:sz w:val="20"/>
              </w:rPr>
              <w:t>9</w:t>
            </w:r>
          </w:p>
        </w:tc>
        <w:tc>
          <w:tcPr>
            <w:tcW w:w="0" w:type="auto"/>
          </w:tcPr>
          <w:p w:rsidR="00446008" w:rsidRPr="00BD6209" w:rsidRDefault="00446008" w:rsidP="006A46E4">
            <w:pPr>
              <w:tabs>
                <w:tab w:val="left" w:pos="5400"/>
              </w:tabs>
              <w:rPr>
                <w:b/>
                <w:color w:val="000000"/>
                <w:sz w:val="20"/>
              </w:rPr>
            </w:pPr>
            <w:r w:rsidRPr="0022554A">
              <w:rPr>
                <w:color w:val="000000"/>
                <w:sz w:val="20"/>
              </w:rPr>
              <w:t>Describe any efforts to address potential sources of bias</w:t>
            </w:r>
            <w:r w:rsidR="00BD6209">
              <w:rPr>
                <w:color w:val="000000"/>
                <w:sz w:val="20"/>
              </w:rPr>
              <w:t xml:space="preserve"> </w:t>
            </w:r>
            <w:r w:rsidR="00BD6209">
              <w:rPr>
                <w:b/>
                <w:color w:val="000000"/>
                <w:sz w:val="20"/>
              </w:rPr>
              <w:t>Page 5</w:t>
            </w:r>
          </w:p>
        </w:tc>
      </w:tr>
      <w:tr w:rsidR="00446008" w:rsidRPr="0022554A" w:rsidTr="006A46E4">
        <w:tc>
          <w:tcPr>
            <w:tcW w:w="0" w:type="auto"/>
          </w:tcPr>
          <w:p w:rsidR="00446008" w:rsidRPr="0022554A" w:rsidRDefault="00446008" w:rsidP="006A46E4">
            <w:pPr>
              <w:tabs>
                <w:tab w:val="left" w:pos="5400"/>
              </w:tabs>
              <w:rPr>
                <w:bCs/>
                <w:sz w:val="20"/>
              </w:rPr>
            </w:pPr>
            <w:bookmarkStart w:id="41" w:name="bold21" w:colFirst="0" w:colLast="0"/>
            <w:bookmarkStart w:id="42" w:name="italic21" w:colFirst="0" w:colLast="0"/>
            <w:bookmarkEnd w:id="39"/>
            <w:bookmarkEnd w:id="40"/>
            <w:r w:rsidRPr="0022554A">
              <w:rPr>
                <w:bCs/>
                <w:sz w:val="20"/>
              </w:rPr>
              <w:t>Study size</w:t>
            </w:r>
          </w:p>
        </w:tc>
        <w:tc>
          <w:tcPr>
            <w:tcW w:w="0" w:type="auto"/>
          </w:tcPr>
          <w:p w:rsidR="00446008" w:rsidRPr="0022554A" w:rsidRDefault="00446008" w:rsidP="006A46E4">
            <w:pPr>
              <w:tabs>
                <w:tab w:val="left" w:pos="5400"/>
              </w:tabs>
              <w:jc w:val="center"/>
              <w:rPr>
                <w:sz w:val="20"/>
              </w:rPr>
            </w:pPr>
            <w:r w:rsidRPr="0022554A">
              <w:rPr>
                <w:sz w:val="20"/>
              </w:rPr>
              <w:t>10</w:t>
            </w:r>
          </w:p>
        </w:tc>
        <w:tc>
          <w:tcPr>
            <w:tcW w:w="0" w:type="auto"/>
          </w:tcPr>
          <w:p w:rsidR="00446008" w:rsidRPr="006A46E4" w:rsidRDefault="00446008" w:rsidP="006A46E4">
            <w:pPr>
              <w:tabs>
                <w:tab w:val="left" w:pos="5400"/>
              </w:tabs>
              <w:rPr>
                <w:b/>
                <w:sz w:val="20"/>
              </w:rPr>
            </w:pPr>
            <w:r w:rsidRPr="0022554A">
              <w:rPr>
                <w:sz w:val="20"/>
              </w:rPr>
              <w:t>Explain how the study size was arrived at</w:t>
            </w:r>
            <w:r w:rsidR="006A46E4">
              <w:rPr>
                <w:sz w:val="20"/>
              </w:rPr>
              <w:t xml:space="preserve"> </w:t>
            </w:r>
            <w:r w:rsidR="006A46E4">
              <w:rPr>
                <w:b/>
                <w:sz w:val="20"/>
              </w:rPr>
              <w:t>Page3</w:t>
            </w:r>
          </w:p>
        </w:tc>
      </w:tr>
      <w:tr w:rsidR="00446008" w:rsidRPr="0022554A" w:rsidTr="006A46E4">
        <w:tc>
          <w:tcPr>
            <w:tcW w:w="0" w:type="auto"/>
          </w:tcPr>
          <w:p w:rsidR="00446008" w:rsidRPr="0022554A" w:rsidRDefault="00446008" w:rsidP="006A46E4">
            <w:pPr>
              <w:tabs>
                <w:tab w:val="left" w:pos="5400"/>
              </w:tabs>
              <w:rPr>
                <w:bCs/>
                <w:sz w:val="20"/>
              </w:rPr>
            </w:pPr>
            <w:bookmarkStart w:id="43" w:name="bold22"/>
            <w:bookmarkStart w:id="44" w:name="italic22"/>
            <w:bookmarkEnd w:id="41"/>
            <w:bookmarkEnd w:id="42"/>
            <w:r w:rsidRPr="0022554A">
              <w:rPr>
                <w:bCs/>
                <w:sz w:val="20"/>
              </w:rPr>
              <w:t>Quantitative</w:t>
            </w:r>
            <w:bookmarkStart w:id="45" w:name="bold23"/>
            <w:bookmarkStart w:id="46" w:name="italic23"/>
            <w:bookmarkEnd w:id="43"/>
            <w:bookmarkEnd w:id="44"/>
            <w:r w:rsidRPr="0022554A">
              <w:rPr>
                <w:bCs/>
                <w:sz w:val="20"/>
              </w:rPr>
              <w:t xml:space="preserve"> variables</w:t>
            </w:r>
            <w:bookmarkEnd w:id="45"/>
            <w:bookmarkEnd w:id="46"/>
          </w:p>
        </w:tc>
        <w:tc>
          <w:tcPr>
            <w:tcW w:w="0" w:type="auto"/>
          </w:tcPr>
          <w:p w:rsidR="00446008" w:rsidRPr="0022554A" w:rsidRDefault="00446008" w:rsidP="006A46E4">
            <w:pPr>
              <w:tabs>
                <w:tab w:val="left" w:pos="5400"/>
              </w:tabs>
              <w:jc w:val="center"/>
              <w:rPr>
                <w:sz w:val="20"/>
              </w:rPr>
            </w:pPr>
            <w:r w:rsidRPr="0022554A">
              <w:rPr>
                <w:sz w:val="20"/>
              </w:rPr>
              <w:t>11</w:t>
            </w:r>
          </w:p>
        </w:tc>
        <w:tc>
          <w:tcPr>
            <w:tcW w:w="0" w:type="auto"/>
          </w:tcPr>
          <w:p w:rsidR="00446008" w:rsidRPr="006A46E4" w:rsidRDefault="00446008" w:rsidP="006A46E4">
            <w:pPr>
              <w:tabs>
                <w:tab w:val="left" w:pos="5400"/>
              </w:tabs>
              <w:rPr>
                <w:b/>
                <w:sz w:val="20"/>
              </w:rPr>
            </w:pPr>
            <w:r w:rsidRPr="0022554A">
              <w:rPr>
                <w:sz w:val="20"/>
              </w:rPr>
              <w:t>Explain how quantitative variables were handled in the analyses. If applicable, describe which groupings were chosen and why</w:t>
            </w:r>
            <w:r w:rsidR="006A46E4">
              <w:rPr>
                <w:sz w:val="20"/>
              </w:rPr>
              <w:t xml:space="preserve"> </w:t>
            </w:r>
            <w:r w:rsidR="006A46E4">
              <w:rPr>
                <w:b/>
                <w:sz w:val="20"/>
              </w:rPr>
              <w:t>Page7</w:t>
            </w:r>
          </w:p>
        </w:tc>
      </w:tr>
      <w:tr w:rsidR="00446008" w:rsidRPr="0022554A" w:rsidTr="006A46E4">
        <w:tc>
          <w:tcPr>
            <w:tcW w:w="0" w:type="auto"/>
            <w:vMerge w:val="restart"/>
          </w:tcPr>
          <w:p w:rsidR="00446008" w:rsidRPr="0022554A" w:rsidRDefault="00446008" w:rsidP="006A46E4">
            <w:pPr>
              <w:tabs>
                <w:tab w:val="left" w:pos="5400"/>
              </w:tabs>
              <w:rPr>
                <w:sz w:val="20"/>
              </w:rPr>
            </w:pPr>
            <w:bookmarkStart w:id="47" w:name="italic24"/>
            <w:r w:rsidRPr="0022554A">
              <w:rPr>
                <w:sz w:val="20"/>
              </w:rPr>
              <w:t>Statistical</w:t>
            </w:r>
            <w:bookmarkStart w:id="48" w:name="italic25"/>
            <w:bookmarkEnd w:id="47"/>
            <w:r w:rsidRPr="0022554A">
              <w:rPr>
                <w:sz w:val="20"/>
              </w:rPr>
              <w:t xml:space="preserve"> methods</w:t>
            </w:r>
            <w:bookmarkEnd w:id="48"/>
          </w:p>
        </w:tc>
        <w:tc>
          <w:tcPr>
            <w:tcW w:w="0" w:type="auto"/>
            <w:vMerge w:val="restart"/>
          </w:tcPr>
          <w:p w:rsidR="00446008" w:rsidRPr="0022554A" w:rsidRDefault="00446008" w:rsidP="006A46E4">
            <w:pPr>
              <w:tabs>
                <w:tab w:val="left" w:pos="5400"/>
              </w:tabs>
              <w:jc w:val="center"/>
              <w:rPr>
                <w:sz w:val="20"/>
              </w:rPr>
            </w:pPr>
            <w:r w:rsidRPr="0022554A">
              <w:rPr>
                <w:sz w:val="20"/>
              </w:rPr>
              <w:t>12</w:t>
            </w:r>
          </w:p>
        </w:tc>
        <w:tc>
          <w:tcPr>
            <w:tcW w:w="0" w:type="auto"/>
          </w:tcPr>
          <w:p w:rsidR="00446008" w:rsidRPr="006A46E4" w:rsidRDefault="00446008" w:rsidP="006A46E4">
            <w:pPr>
              <w:tabs>
                <w:tab w:val="left" w:pos="5400"/>
              </w:tabs>
              <w:rPr>
                <w:b/>
                <w:sz w:val="20"/>
              </w:rPr>
            </w:pPr>
            <w:r w:rsidRPr="0022554A">
              <w:rPr>
                <w:sz w:val="20"/>
              </w:rPr>
              <w:t>(</w:t>
            </w:r>
            <w:r w:rsidRPr="0022554A">
              <w:rPr>
                <w:i/>
                <w:sz w:val="20"/>
              </w:rPr>
              <w:t>a</w:t>
            </w:r>
            <w:r w:rsidRPr="0022554A">
              <w:rPr>
                <w:sz w:val="20"/>
              </w:rPr>
              <w:t>) Describe all statistical methods, including those used to control for confounding</w:t>
            </w:r>
            <w:r w:rsidR="006A46E4">
              <w:rPr>
                <w:sz w:val="20"/>
              </w:rPr>
              <w:t xml:space="preserve"> </w:t>
            </w:r>
            <w:r w:rsidR="006A46E4">
              <w:rPr>
                <w:b/>
                <w:sz w:val="20"/>
              </w:rPr>
              <w:t>Page 7</w:t>
            </w:r>
          </w:p>
        </w:tc>
      </w:tr>
      <w:tr w:rsidR="00446008" w:rsidRPr="0022554A" w:rsidTr="006A46E4">
        <w:tc>
          <w:tcPr>
            <w:tcW w:w="0" w:type="auto"/>
            <w:vMerge/>
          </w:tcPr>
          <w:p w:rsidR="00446008" w:rsidRPr="0022554A" w:rsidRDefault="00446008" w:rsidP="006A46E4">
            <w:pPr>
              <w:tabs>
                <w:tab w:val="left" w:pos="5400"/>
              </w:tabs>
              <w:rPr>
                <w:bCs/>
                <w:sz w:val="20"/>
              </w:rPr>
            </w:pPr>
            <w:bookmarkStart w:id="49" w:name="bold24" w:colFirst="0" w:colLast="0"/>
            <w:bookmarkStart w:id="50" w:name="italic26" w:colFirst="0" w:colLast="0"/>
          </w:p>
        </w:tc>
        <w:tc>
          <w:tcPr>
            <w:tcW w:w="0" w:type="auto"/>
            <w:vMerge/>
          </w:tcPr>
          <w:p w:rsidR="00446008" w:rsidRPr="0022554A" w:rsidRDefault="00446008" w:rsidP="006A46E4">
            <w:pPr>
              <w:tabs>
                <w:tab w:val="left" w:pos="5400"/>
              </w:tabs>
              <w:jc w:val="center"/>
              <w:rPr>
                <w:sz w:val="20"/>
              </w:rPr>
            </w:pPr>
          </w:p>
        </w:tc>
        <w:tc>
          <w:tcPr>
            <w:tcW w:w="0" w:type="auto"/>
          </w:tcPr>
          <w:p w:rsidR="00446008" w:rsidRPr="0022554A" w:rsidRDefault="00446008" w:rsidP="006A46E4">
            <w:pPr>
              <w:tabs>
                <w:tab w:val="left" w:pos="5400"/>
              </w:tabs>
              <w:rPr>
                <w:sz w:val="20"/>
              </w:rPr>
            </w:pPr>
            <w:r w:rsidRPr="0022554A">
              <w:rPr>
                <w:sz w:val="20"/>
              </w:rPr>
              <w:t>(</w:t>
            </w:r>
            <w:r w:rsidRPr="0022554A">
              <w:rPr>
                <w:i/>
                <w:sz w:val="20"/>
              </w:rPr>
              <w:t>b</w:t>
            </w:r>
            <w:r w:rsidRPr="0022554A">
              <w:rPr>
                <w:sz w:val="20"/>
              </w:rPr>
              <w:t>) Describe any methods used to examine subgroups and interactions</w:t>
            </w:r>
            <w:r w:rsidR="006A46E4">
              <w:rPr>
                <w:sz w:val="20"/>
              </w:rPr>
              <w:t xml:space="preserve"> </w:t>
            </w:r>
            <w:r w:rsidR="006A46E4" w:rsidRPr="006A46E4">
              <w:rPr>
                <w:b/>
                <w:sz w:val="20"/>
              </w:rPr>
              <w:t>Page 7</w:t>
            </w:r>
          </w:p>
        </w:tc>
      </w:tr>
      <w:tr w:rsidR="00446008" w:rsidRPr="0022554A" w:rsidTr="006A46E4">
        <w:tc>
          <w:tcPr>
            <w:tcW w:w="0" w:type="auto"/>
            <w:vMerge/>
          </w:tcPr>
          <w:p w:rsidR="00446008" w:rsidRPr="0022554A" w:rsidRDefault="00446008" w:rsidP="006A46E4">
            <w:pPr>
              <w:tabs>
                <w:tab w:val="left" w:pos="5400"/>
              </w:tabs>
              <w:rPr>
                <w:bCs/>
                <w:sz w:val="20"/>
              </w:rPr>
            </w:pPr>
            <w:bookmarkStart w:id="51" w:name="bold25" w:colFirst="0" w:colLast="0"/>
            <w:bookmarkStart w:id="52" w:name="italic27" w:colFirst="0" w:colLast="0"/>
            <w:bookmarkEnd w:id="49"/>
            <w:bookmarkEnd w:id="50"/>
          </w:p>
        </w:tc>
        <w:tc>
          <w:tcPr>
            <w:tcW w:w="0" w:type="auto"/>
            <w:vMerge/>
          </w:tcPr>
          <w:p w:rsidR="00446008" w:rsidRPr="0022554A" w:rsidRDefault="00446008" w:rsidP="006A46E4">
            <w:pPr>
              <w:tabs>
                <w:tab w:val="left" w:pos="5400"/>
              </w:tabs>
              <w:jc w:val="center"/>
              <w:rPr>
                <w:sz w:val="20"/>
              </w:rPr>
            </w:pPr>
          </w:p>
        </w:tc>
        <w:tc>
          <w:tcPr>
            <w:tcW w:w="0" w:type="auto"/>
          </w:tcPr>
          <w:p w:rsidR="00446008" w:rsidRPr="006A46E4" w:rsidRDefault="00446008" w:rsidP="006A46E4">
            <w:pPr>
              <w:tabs>
                <w:tab w:val="left" w:pos="5400"/>
              </w:tabs>
              <w:rPr>
                <w:b/>
                <w:sz w:val="20"/>
              </w:rPr>
            </w:pPr>
            <w:r w:rsidRPr="0022554A">
              <w:rPr>
                <w:sz w:val="20"/>
              </w:rPr>
              <w:t>(</w:t>
            </w:r>
            <w:r w:rsidRPr="0022554A">
              <w:rPr>
                <w:i/>
                <w:sz w:val="20"/>
              </w:rPr>
              <w:t>c</w:t>
            </w:r>
            <w:r w:rsidRPr="0022554A">
              <w:rPr>
                <w:sz w:val="20"/>
              </w:rPr>
              <w:t>) Explain how missing data were addressed</w:t>
            </w:r>
            <w:r w:rsidR="006A46E4">
              <w:rPr>
                <w:sz w:val="20"/>
              </w:rPr>
              <w:t xml:space="preserve"> </w:t>
            </w:r>
            <w:r w:rsidR="006A46E4">
              <w:rPr>
                <w:b/>
                <w:sz w:val="20"/>
              </w:rPr>
              <w:t>Page 7</w:t>
            </w:r>
          </w:p>
        </w:tc>
      </w:tr>
      <w:tr w:rsidR="00446008" w:rsidRPr="0022554A" w:rsidTr="006A46E4">
        <w:tc>
          <w:tcPr>
            <w:tcW w:w="0" w:type="auto"/>
            <w:vMerge/>
          </w:tcPr>
          <w:p w:rsidR="00446008" w:rsidRPr="0022554A" w:rsidRDefault="00446008" w:rsidP="006A46E4">
            <w:pPr>
              <w:tabs>
                <w:tab w:val="left" w:pos="5400"/>
              </w:tabs>
              <w:rPr>
                <w:bCs/>
                <w:sz w:val="20"/>
              </w:rPr>
            </w:pPr>
            <w:bookmarkStart w:id="53" w:name="bold26" w:colFirst="0" w:colLast="0"/>
            <w:bookmarkStart w:id="54" w:name="italic28" w:colFirst="0" w:colLast="0"/>
            <w:bookmarkEnd w:id="51"/>
            <w:bookmarkEnd w:id="52"/>
          </w:p>
        </w:tc>
        <w:tc>
          <w:tcPr>
            <w:tcW w:w="0" w:type="auto"/>
            <w:vMerge/>
          </w:tcPr>
          <w:p w:rsidR="00446008" w:rsidRPr="0022554A" w:rsidRDefault="00446008" w:rsidP="006A46E4">
            <w:pPr>
              <w:tabs>
                <w:tab w:val="left" w:pos="5400"/>
              </w:tabs>
              <w:jc w:val="center"/>
              <w:rPr>
                <w:sz w:val="20"/>
              </w:rPr>
            </w:pPr>
          </w:p>
        </w:tc>
        <w:tc>
          <w:tcPr>
            <w:tcW w:w="0" w:type="auto"/>
          </w:tcPr>
          <w:p w:rsidR="00446008" w:rsidRPr="006A46E4" w:rsidRDefault="00446008" w:rsidP="006A46E4">
            <w:pPr>
              <w:tabs>
                <w:tab w:val="left" w:pos="5400"/>
              </w:tabs>
              <w:rPr>
                <w:b/>
                <w:sz w:val="20"/>
              </w:rPr>
            </w:pPr>
            <w:r w:rsidRPr="0022554A">
              <w:rPr>
                <w:sz w:val="20"/>
              </w:rPr>
              <w:t>(</w:t>
            </w:r>
            <w:r w:rsidRPr="0022554A">
              <w:rPr>
                <w:i/>
                <w:sz w:val="20"/>
              </w:rPr>
              <w:t>d</w:t>
            </w:r>
            <w:r w:rsidRPr="0022554A">
              <w:rPr>
                <w:sz w:val="20"/>
              </w:rPr>
              <w:t xml:space="preserve">) </w:t>
            </w:r>
            <w:r w:rsidRPr="0022554A">
              <w:rPr>
                <w:bCs/>
                <w:i/>
                <w:sz w:val="20"/>
              </w:rPr>
              <w:t>Cohort study</w:t>
            </w:r>
            <w:r w:rsidRPr="0022554A">
              <w:rPr>
                <w:sz w:val="20"/>
              </w:rPr>
              <w:t>—If applicable, explain how loss to follow-up was addressed</w:t>
            </w:r>
            <w:r w:rsidR="006A46E4">
              <w:rPr>
                <w:sz w:val="20"/>
              </w:rPr>
              <w:t xml:space="preserve"> </w:t>
            </w:r>
            <w:r w:rsidR="006A46E4">
              <w:rPr>
                <w:b/>
                <w:sz w:val="20"/>
              </w:rPr>
              <w:t>N/A</w:t>
            </w:r>
          </w:p>
          <w:p w:rsidR="00446008" w:rsidRPr="0022554A" w:rsidRDefault="00446008" w:rsidP="006A46E4">
            <w:pPr>
              <w:tabs>
                <w:tab w:val="left" w:pos="5400"/>
              </w:tabs>
              <w:rPr>
                <w:sz w:val="20"/>
              </w:rPr>
            </w:pPr>
            <w:r w:rsidRPr="0022554A">
              <w:rPr>
                <w:bCs/>
                <w:i/>
                <w:sz w:val="20"/>
              </w:rPr>
              <w:t>Case-control study</w:t>
            </w:r>
            <w:r w:rsidRPr="0022554A">
              <w:rPr>
                <w:sz w:val="20"/>
              </w:rPr>
              <w:t>—If applicable, explain how matching of cases and controls was addressed</w:t>
            </w:r>
          </w:p>
          <w:p w:rsidR="00446008" w:rsidRPr="0022554A" w:rsidRDefault="00446008" w:rsidP="006A46E4">
            <w:pPr>
              <w:tabs>
                <w:tab w:val="left" w:pos="5400"/>
              </w:tabs>
              <w:rPr>
                <w:sz w:val="20"/>
              </w:rPr>
            </w:pPr>
            <w:r>
              <w:rPr>
                <w:bCs/>
                <w:i/>
                <w:sz w:val="20"/>
              </w:rPr>
              <w:t>Cross-sectional</w:t>
            </w:r>
            <w:r w:rsidRPr="0022554A">
              <w:rPr>
                <w:bCs/>
                <w:i/>
                <w:sz w:val="20"/>
              </w:rPr>
              <w:t xml:space="preserve"> study</w:t>
            </w:r>
            <w:r w:rsidRPr="0022554A">
              <w:rPr>
                <w:sz w:val="20"/>
              </w:rPr>
              <w:t>—If applicable, describe analytical methods taking account of sampling strategy</w:t>
            </w:r>
          </w:p>
        </w:tc>
      </w:tr>
      <w:tr w:rsidR="00446008" w:rsidRPr="0022554A" w:rsidTr="006A46E4">
        <w:tc>
          <w:tcPr>
            <w:tcW w:w="0" w:type="auto"/>
            <w:vMerge/>
          </w:tcPr>
          <w:p w:rsidR="00446008" w:rsidRPr="0022554A" w:rsidRDefault="00446008" w:rsidP="006A46E4">
            <w:pPr>
              <w:tabs>
                <w:tab w:val="left" w:pos="5400"/>
              </w:tabs>
              <w:rPr>
                <w:bCs/>
                <w:sz w:val="20"/>
              </w:rPr>
            </w:pPr>
            <w:bookmarkStart w:id="55" w:name="bold27" w:colFirst="0" w:colLast="0"/>
            <w:bookmarkStart w:id="56" w:name="italic29" w:colFirst="0" w:colLast="0"/>
            <w:bookmarkEnd w:id="53"/>
            <w:bookmarkEnd w:id="54"/>
          </w:p>
        </w:tc>
        <w:tc>
          <w:tcPr>
            <w:tcW w:w="0" w:type="auto"/>
            <w:vMerge/>
          </w:tcPr>
          <w:p w:rsidR="00446008" w:rsidRPr="0022554A" w:rsidRDefault="00446008" w:rsidP="006A46E4">
            <w:pPr>
              <w:tabs>
                <w:tab w:val="left" w:pos="5400"/>
              </w:tabs>
              <w:jc w:val="center"/>
              <w:rPr>
                <w:sz w:val="20"/>
              </w:rPr>
            </w:pPr>
          </w:p>
        </w:tc>
        <w:tc>
          <w:tcPr>
            <w:tcW w:w="0" w:type="auto"/>
          </w:tcPr>
          <w:p w:rsidR="00446008" w:rsidRPr="006A46E4" w:rsidRDefault="00446008" w:rsidP="006A46E4">
            <w:pPr>
              <w:tabs>
                <w:tab w:val="left" w:pos="5400"/>
              </w:tabs>
              <w:rPr>
                <w:b/>
                <w:sz w:val="20"/>
              </w:rPr>
            </w:pPr>
            <w:r w:rsidRPr="0022554A">
              <w:rPr>
                <w:sz w:val="20"/>
              </w:rPr>
              <w:t>(</w:t>
            </w:r>
            <w:r w:rsidRPr="0022554A">
              <w:rPr>
                <w:i/>
                <w:sz w:val="20"/>
                <w:u w:val="single"/>
              </w:rPr>
              <w:t>e</w:t>
            </w:r>
            <w:r w:rsidRPr="0022554A">
              <w:rPr>
                <w:sz w:val="20"/>
              </w:rPr>
              <w:t>) Describe any sensitivity analyses</w:t>
            </w:r>
            <w:r w:rsidR="006A46E4">
              <w:rPr>
                <w:sz w:val="20"/>
              </w:rPr>
              <w:t xml:space="preserve"> </w:t>
            </w:r>
            <w:r w:rsidR="006A46E4">
              <w:rPr>
                <w:b/>
                <w:sz w:val="20"/>
              </w:rPr>
              <w:t>N/A</w:t>
            </w:r>
          </w:p>
        </w:tc>
      </w:tr>
    </w:tbl>
    <w:p w:rsidR="00446008" w:rsidRPr="004A32C8" w:rsidRDefault="00446008" w:rsidP="00446008">
      <w:pPr>
        <w:rPr>
          <w:sz w:val="16"/>
          <w:szCs w:val="16"/>
        </w:rPr>
      </w:pPr>
      <w:bookmarkStart w:id="57" w:name="bold28"/>
      <w:bookmarkStart w:id="58" w:name="italic30"/>
      <w:bookmarkEnd w:id="55"/>
      <w:bookmarkEnd w:id="56"/>
      <w:r w:rsidRPr="004A32C8">
        <w:rPr>
          <w:sz w:val="16"/>
          <w:szCs w:val="16"/>
        </w:rPr>
        <w:t>Continued on next page</w:t>
      </w:r>
      <w:r w:rsidRPr="004A32C8">
        <w:rPr>
          <w:sz w:val="16"/>
          <w:szCs w:val="16"/>
        </w:rPr>
        <w:br w:type="page"/>
      </w:r>
    </w:p>
    <w:tbl>
      <w:tblPr>
        <w:tblW w:w="0" w:type="auto"/>
        <w:tblBorders>
          <w:insideH w:val="single" w:sz="4" w:space="0" w:color="auto"/>
        </w:tblBorders>
        <w:tblLook w:val="0000" w:firstRow="0" w:lastRow="0" w:firstColumn="0" w:lastColumn="0" w:noHBand="0" w:noVBand="0"/>
      </w:tblPr>
      <w:tblGrid>
        <w:gridCol w:w="1578"/>
        <w:gridCol w:w="523"/>
        <w:gridCol w:w="7135"/>
      </w:tblGrid>
      <w:tr w:rsidR="00446008" w:rsidRPr="0022554A" w:rsidTr="006A46E4">
        <w:tc>
          <w:tcPr>
            <w:tcW w:w="0" w:type="auto"/>
            <w:gridSpan w:val="3"/>
          </w:tcPr>
          <w:p w:rsidR="00446008" w:rsidRPr="0022554A" w:rsidRDefault="00446008" w:rsidP="006A46E4">
            <w:pPr>
              <w:pStyle w:val="TableSubHead"/>
              <w:tabs>
                <w:tab w:val="left" w:pos="5400"/>
              </w:tabs>
              <w:rPr>
                <w:sz w:val="20"/>
              </w:rPr>
            </w:pPr>
            <w:r w:rsidRPr="0022554A">
              <w:rPr>
                <w:sz w:val="20"/>
              </w:rPr>
              <w:t>Results</w:t>
            </w:r>
            <w:bookmarkEnd w:id="57"/>
            <w:bookmarkEnd w:id="58"/>
          </w:p>
        </w:tc>
      </w:tr>
      <w:tr w:rsidR="00446008" w:rsidRPr="0022554A" w:rsidTr="006A46E4">
        <w:tc>
          <w:tcPr>
            <w:tcW w:w="0" w:type="auto"/>
            <w:vMerge w:val="restart"/>
          </w:tcPr>
          <w:p w:rsidR="00446008" w:rsidRPr="0022554A" w:rsidRDefault="00446008" w:rsidP="006A46E4">
            <w:pPr>
              <w:tabs>
                <w:tab w:val="left" w:pos="5400"/>
              </w:tabs>
              <w:rPr>
                <w:bCs/>
                <w:sz w:val="20"/>
              </w:rPr>
            </w:pPr>
            <w:bookmarkStart w:id="59" w:name="bold29"/>
            <w:bookmarkStart w:id="60" w:name="italic31"/>
            <w:r w:rsidRPr="0022554A">
              <w:rPr>
                <w:bCs/>
                <w:sz w:val="20"/>
              </w:rPr>
              <w:t>Participants</w:t>
            </w:r>
            <w:bookmarkEnd w:id="59"/>
            <w:bookmarkEnd w:id="60"/>
          </w:p>
        </w:tc>
        <w:tc>
          <w:tcPr>
            <w:tcW w:w="0" w:type="auto"/>
            <w:vMerge w:val="restart"/>
          </w:tcPr>
          <w:p w:rsidR="00446008" w:rsidRPr="0022554A" w:rsidRDefault="00446008" w:rsidP="006A46E4">
            <w:pPr>
              <w:tabs>
                <w:tab w:val="left" w:pos="5400"/>
              </w:tabs>
              <w:jc w:val="center"/>
              <w:rPr>
                <w:sz w:val="20"/>
              </w:rPr>
            </w:pPr>
            <w:r w:rsidRPr="0022554A">
              <w:rPr>
                <w:sz w:val="20"/>
              </w:rPr>
              <w:t>13</w:t>
            </w:r>
            <w:bookmarkStart w:id="61" w:name="bold30"/>
            <w:r w:rsidRPr="0022554A">
              <w:rPr>
                <w:bCs/>
                <w:sz w:val="20"/>
              </w:rPr>
              <w:t>*</w:t>
            </w:r>
            <w:bookmarkEnd w:id="61"/>
          </w:p>
        </w:tc>
        <w:tc>
          <w:tcPr>
            <w:tcW w:w="0" w:type="auto"/>
          </w:tcPr>
          <w:p w:rsidR="00446008" w:rsidRPr="006A46E4" w:rsidRDefault="00446008" w:rsidP="006A46E4">
            <w:pPr>
              <w:tabs>
                <w:tab w:val="left" w:pos="5400"/>
              </w:tabs>
              <w:rPr>
                <w:b/>
                <w:sz w:val="20"/>
              </w:rPr>
            </w:pPr>
            <w:r>
              <w:rPr>
                <w:sz w:val="20"/>
              </w:rPr>
              <w:t xml:space="preserve">(a) </w:t>
            </w:r>
            <w:r w:rsidRPr="0022554A">
              <w:rPr>
                <w:sz w:val="20"/>
              </w:rPr>
              <w:t>Report numbers of individuals at each stage of study—eg numbers potentially eligible, examined for eligibility, confirmed eligible, included in the study, completing follow-up, and analysed</w:t>
            </w:r>
            <w:r w:rsidR="006A46E4">
              <w:rPr>
                <w:sz w:val="20"/>
              </w:rPr>
              <w:t xml:space="preserve"> </w:t>
            </w:r>
            <w:r w:rsidR="006A46E4">
              <w:rPr>
                <w:b/>
                <w:sz w:val="20"/>
              </w:rPr>
              <w:t>Page 3; page 7</w:t>
            </w:r>
          </w:p>
        </w:tc>
      </w:tr>
      <w:tr w:rsidR="00446008" w:rsidRPr="0022554A" w:rsidTr="006A46E4">
        <w:tc>
          <w:tcPr>
            <w:tcW w:w="0" w:type="auto"/>
            <w:vMerge/>
          </w:tcPr>
          <w:p w:rsidR="00446008" w:rsidRPr="0022554A" w:rsidRDefault="00446008" w:rsidP="006A46E4">
            <w:pPr>
              <w:tabs>
                <w:tab w:val="left" w:pos="5400"/>
              </w:tabs>
              <w:rPr>
                <w:bCs/>
                <w:sz w:val="20"/>
              </w:rPr>
            </w:pPr>
            <w:bookmarkStart w:id="62" w:name="bold31" w:colFirst="0" w:colLast="0"/>
            <w:bookmarkStart w:id="63" w:name="italic32" w:colFirst="0" w:colLast="0"/>
          </w:p>
        </w:tc>
        <w:tc>
          <w:tcPr>
            <w:tcW w:w="0" w:type="auto"/>
            <w:vMerge/>
          </w:tcPr>
          <w:p w:rsidR="00446008" w:rsidRPr="0022554A" w:rsidRDefault="00446008" w:rsidP="006A46E4">
            <w:pPr>
              <w:tabs>
                <w:tab w:val="left" w:pos="5400"/>
              </w:tabs>
              <w:jc w:val="center"/>
              <w:rPr>
                <w:sz w:val="20"/>
              </w:rPr>
            </w:pPr>
          </w:p>
        </w:tc>
        <w:tc>
          <w:tcPr>
            <w:tcW w:w="0" w:type="auto"/>
          </w:tcPr>
          <w:p w:rsidR="00446008" w:rsidRPr="0022554A" w:rsidRDefault="00446008" w:rsidP="006A46E4">
            <w:pPr>
              <w:tabs>
                <w:tab w:val="left" w:pos="5400"/>
              </w:tabs>
              <w:rPr>
                <w:sz w:val="20"/>
              </w:rPr>
            </w:pPr>
            <w:r>
              <w:rPr>
                <w:sz w:val="20"/>
              </w:rPr>
              <w:t xml:space="preserve">(b) </w:t>
            </w:r>
            <w:r w:rsidRPr="0022554A">
              <w:rPr>
                <w:sz w:val="20"/>
              </w:rPr>
              <w:t>Give reasons for non-participation at each stage</w:t>
            </w:r>
          </w:p>
        </w:tc>
      </w:tr>
      <w:tr w:rsidR="00446008" w:rsidRPr="0022554A" w:rsidTr="006A46E4">
        <w:tc>
          <w:tcPr>
            <w:tcW w:w="0" w:type="auto"/>
            <w:vMerge/>
          </w:tcPr>
          <w:p w:rsidR="00446008" w:rsidRPr="0022554A" w:rsidRDefault="00446008" w:rsidP="006A46E4">
            <w:pPr>
              <w:tabs>
                <w:tab w:val="left" w:pos="5400"/>
              </w:tabs>
              <w:rPr>
                <w:bCs/>
                <w:sz w:val="20"/>
              </w:rPr>
            </w:pPr>
            <w:bookmarkStart w:id="64" w:name="bold32" w:colFirst="0" w:colLast="0"/>
            <w:bookmarkStart w:id="65" w:name="italic33" w:colFirst="0" w:colLast="0"/>
            <w:bookmarkEnd w:id="62"/>
            <w:bookmarkEnd w:id="63"/>
          </w:p>
        </w:tc>
        <w:tc>
          <w:tcPr>
            <w:tcW w:w="0" w:type="auto"/>
            <w:vMerge/>
          </w:tcPr>
          <w:p w:rsidR="00446008" w:rsidRPr="0022554A" w:rsidRDefault="00446008" w:rsidP="006A46E4">
            <w:pPr>
              <w:tabs>
                <w:tab w:val="left" w:pos="5400"/>
              </w:tabs>
              <w:jc w:val="center"/>
              <w:rPr>
                <w:sz w:val="20"/>
              </w:rPr>
            </w:pPr>
          </w:p>
        </w:tc>
        <w:tc>
          <w:tcPr>
            <w:tcW w:w="0" w:type="auto"/>
          </w:tcPr>
          <w:p w:rsidR="00446008" w:rsidRPr="0022554A" w:rsidRDefault="00446008" w:rsidP="006A46E4">
            <w:pPr>
              <w:tabs>
                <w:tab w:val="left" w:pos="5400"/>
              </w:tabs>
              <w:rPr>
                <w:sz w:val="20"/>
              </w:rPr>
            </w:pPr>
            <w:bookmarkStart w:id="66" w:name="OLE_LINK4"/>
            <w:r>
              <w:rPr>
                <w:sz w:val="20"/>
              </w:rPr>
              <w:t xml:space="preserve">(c) </w:t>
            </w:r>
            <w:r w:rsidRPr="0022554A">
              <w:rPr>
                <w:sz w:val="20"/>
              </w:rPr>
              <w:t>Consider use of a flow diagram</w:t>
            </w:r>
            <w:bookmarkEnd w:id="66"/>
          </w:p>
        </w:tc>
      </w:tr>
      <w:tr w:rsidR="00446008" w:rsidRPr="0022554A" w:rsidTr="006A46E4">
        <w:tc>
          <w:tcPr>
            <w:tcW w:w="0" w:type="auto"/>
            <w:vMerge w:val="restart"/>
          </w:tcPr>
          <w:p w:rsidR="00446008" w:rsidRPr="0022554A" w:rsidRDefault="00446008" w:rsidP="006A46E4">
            <w:pPr>
              <w:tabs>
                <w:tab w:val="left" w:pos="5400"/>
              </w:tabs>
              <w:rPr>
                <w:bCs/>
                <w:sz w:val="20"/>
              </w:rPr>
            </w:pPr>
            <w:bookmarkStart w:id="67" w:name="bold33"/>
            <w:bookmarkStart w:id="68" w:name="italic34"/>
            <w:bookmarkEnd w:id="64"/>
            <w:bookmarkEnd w:id="65"/>
            <w:r w:rsidRPr="0022554A">
              <w:rPr>
                <w:bCs/>
                <w:sz w:val="20"/>
              </w:rPr>
              <w:t xml:space="preserve">Descriptive </w:t>
            </w:r>
            <w:bookmarkStart w:id="69" w:name="bold34"/>
            <w:bookmarkStart w:id="70" w:name="italic35"/>
            <w:bookmarkEnd w:id="67"/>
            <w:bookmarkEnd w:id="68"/>
            <w:r w:rsidRPr="0022554A">
              <w:rPr>
                <w:bCs/>
                <w:sz w:val="20"/>
              </w:rPr>
              <w:t>data</w:t>
            </w:r>
            <w:bookmarkEnd w:id="69"/>
            <w:bookmarkEnd w:id="70"/>
          </w:p>
        </w:tc>
        <w:tc>
          <w:tcPr>
            <w:tcW w:w="0" w:type="auto"/>
            <w:vMerge w:val="restart"/>
          </w:tcPr>
          <w:p w:rsidR="00446008" w:rsidRPr="0022554A" w:rsidRDefault="00446008" w:rsidP="006A46E4">
            <w:pPr>
              <w:tabs>
                <w:tab w:val="left" w:pos="5400"/>
              </w:tabs>
              <w:jc w:val="center"/>
              <w:rPr>
                <w:sz w:val="20"/>
              </w:rPr>
            </w:pPr>
            <w:r w:rsidRPr="0022554A">
              <w:rPr>
                <w:sz w:val="20"/>
              </w:rPr>
              <w:t>14</w:t>
            </w:r>
            <w:bookmarkStart w:id="71" w:name="bold35"/>
            <w:r w:rsidRPr="0022554A">
              <w:rPr>
                <w:bCs/>
                <w:sz w:val="20"/>
              </w:rPr>
              <w:t>*</w:t>
            </w:r>
            <w:bookmarkEnd w:id="71"/>
          </w:p>
        </w:tc>
        <w:tc>
          <w:tcPr>
            <w:tcW w:w="0" w:type="auto"/>
          </w:tcPr>
          <w:p w:rsidR="00446008" w:rsidRPr="006A46E4" w:rsidRDefault="00446008" w:rsidP="006A46E4">
            <w:pPr>
              <w:tabs>
                <w:tab w:val="left" w:pos="5400"/>
              </w:tabs>
              <w:rPr>
                <w:b/>
                <w:sz w:val="20"/>
              </w:rPr>
            </w:pPr>
            <w:r>
              <w:rPr>
                <w:sz w:val="20"/>
              </w:rPr>
              <w:t xml:space="preserve">(a) </w:t>
            </w:r>
            <w:r w:rsidRPr="0022554A">
              <w:rPr>
                <w:sz w:val="20"/>
              </w:rPr>
              <w:t>Give characteristics of study participants (eg demographic, clinical, social) and information on exposures and potential confounders</w:t>
            </w:r>
            <w:r w:rsidR="006A46E4">
              <w:rPr>
                <w:sz w:val="20"/>
              </w:rPr>
              <w:t xml:space="preserve"> </w:t>
            </w:r>
            <w:r w:rsidR="006A46E4">
              <w:rPr>
                <w:b/>
                <w:sz w:val="20"/>
              </w:rPr>
              <w:t>Page</w:t>
            </w:r>
            <w:r w:rsidR="001A78E7">
              <w:rPr>
                <w:b/>
                <w:sz w:val="20"/>
              </w:rPr>
              <w:t>s</w:t>
            </w:r>
            <w:r w:rsidR="006A46E4">
              <w:rPr>
                <w:b/>
                <w:sz w:val="20"/>
              </w:rPr>
              <w:t xml:space="preserve"> </w:t>
            </w:r>
            <w:r w:rsidR="001A78E7">
              <w:rPr>
                <w:b/>
                <w:sz w:val="20"/>
              </w:rPr>
              <w:t>8-10</w:t>
            </w:r>
          </w:p>
        </w:tc>
      </w:tr>
      <w:tr w:rsidR="00446008" w:rsidRPr="0022554A" w:rsidTr="006A46E4">
        <w:tc>
          <w:tcPr>
            <w:tcW w:w="0" w:type="auto"/>
            <w:vMerge/>
          </w:tcPr>
          <w:p w:rsidR="00446008" w:rsidRPr="0022554A" w:rsidRDefault="00446008" w:rsidP="006A46E4">
            <w:pPr>
              <w:tabs>
                <w:tab w:val="left" w:pos="5400"/>
              </w:tabs>
              <w:rPr>
                <w:bCs/>
                <w:sz w:val="20"/>
              </w:rPr>
            </w:pPr>
            <w:bookmarkStart w:id="72" w:name="bold36" w:colFirst="0" w:colLast="0"/>
            <w:bookmarkStart w:id="73" w:name="italic36" w:colFirst="0" w:colLast="0"/>
          </w:p>
        </w:tc>
        <w:tc>
          <w:tcPr>
            <w:tcW w:w="0" w:type="auto"/>
            <w:vMerge/>
          </w:tcPr>
          <w:p w:rsidR="00446008" w:rsidRPr="0022554A" w:rsidRDefault="00446008" w:rsidP="006A46E4">
            <w:pPr>
              <w:tabs>
                <w:tab w:val="left" w:pos="5400"/>
              </w:tabs>
              <w:jc w:val="center"/>
              <w:rPr>
                <w:sz w:val="20"/>
              </w:rPr>
            </w:pPr>
          </w:p>
        </w:tc>
        <w:tc>
          <w:tcPr>
            <w:tcW w:w="0" w:type="auto"/>
          </w:tcPr>
          <w:p w:rsidR="00446008" w:rsidRPr="0022554A" w:rsidRDefault="00446008" w:rsidP="006A46E4">
            <w:pPr>
              <w:tabs>
                <w:tab w:val="left" w:pos="5400"/>
              </w:tabs>
              <w:rPr>
                <w:sz w:val="20"/>
              </w:rPr>
            </w:pPr>
            <w:r>
              <w:rPr>
                <w:sz w:val="20"/>
              </w:rPr>
              <w:t xml:space="preserve">(b) </w:t>
            </w:r>
            <w:r w:rsidRPr="0022554A">
              <w:rPr>
                <w:sz w:val="20"/>
              </w:rPr>
              <w:t>Indicate number of participants with missing data for each variable of interest</w:t>
            </w:r>
          </w:p>
        </w:tc>
      </w:tr>
      <w:tr w:rsidR="00446008" w:rsidRPr="0022554A" w:rsidTr="006A46E4">
        <w:tc>
          <w:tcPr>
            <w:tcW w:w="0" w:type="auto"/>
            <w:vMerge/>
          </w:tcPr>
          <w:p w:rsidR="00446008" w:rsidRPr="0022554A" w:rsidRDefault="00446008" w:rsidP="006A46E4">
            <w:pPr>
              <w:tabs>
                <w:tab w:val="left" w:pos="5400"/>
              </w:tabs>
              <w:rPr>
                <w:bCs/>
                <w:sz w:val="20"/>
              </w:rPr>
            </w:pPr>
            <w:bookmarkStart w:id="74" w:name="bold37" w:colFirst="0" w:colLast="0"/>
            <w:bookmarkStart w:id="75" w:name="italic37" w:colFirst="0" w:colLast="0"/>
            <w:bookmarkEnd w:id="72"/>
            <w:bookmarkEnd w:id="73"/>
          </w:p>
        </w:tc>
        <w:tc>
          <w:tcPr>
            <w:tcW w:w="0" w:type="auto"/>
            <w:vMerge/>
          </w:tcPr>
          <w:p w:rsidR="00446008" w:rsidRPr="0022554A" w:rsidRDefault="00446008" w:rsidP="006A46E4">
            <w:pPr>
              <w:tabs>
                <w:tab w:val="left" w:pos="5400"/>
              </w:tabs>
              <w:jc w:val="center"/>
              <w:rPr>
                <w:sz w:val="20"/>
              </w:rPr>
            </w:pPr>
          </w:p>
        </w:tc>
        <w:tc>
          <w:tcPr>
            <w:tcW w:w="0" w:type="auto"/>
          </w:tcPr>
          <w:p w:rsidR="00446008" w:rsidRPr="006A46E4" w:rsidRDefault="00446008" w:rsidP="006A46E4">
            <w:pPr>
              <w:tabs>
                <w:tab w:val="left" w:pos="5400"/>
              </w:tabs>
              <w:rPr>
                <w:b/>
                <w:sz w:val="20"/>
              </w:rPr>
            </w:pPr>
            <w:r>
              <w:rPr>
                <w:sz w:val="20"/>
              </w:rPr>
              <w:t xml:space="preserve">(c) </w:t>
            </w:r>
            <w:r w:rsidRPr="0022554A">
              <w:rPr>
                <w:i/>
                <w:sz w:val="20"/>
              </w:rPr>
              <w:t>Cohort study</w:t>
            </w:r>
            <w:r w:rsidRPr="0022554A">
              <w:rPr>
                <w:sz w:val="20"/>
              </w:rPr>
              <w:t>—Summarise follow-up time (eg, average and total amount)</w:t>
            </w:r>
            <w:r w:rsidR="006A46E4">
              <w:rPr>
                <w:sz w:val="20"/>
              </w:rPr>
              <w:t xml:space="preserve"> </w:t>
            </w:r>
            <w:r w:rsidR="006A46E4">
              <w:rPr>
                <w:b/>
                <w:sz w:val="20"/>
              </w:rPr>
              <w:t xml:space="preserve">Page </w:t>
            </w:r>
            <w:r w:rsidR="004C5DA2">
              <w:rPr>
                <w:b/>
                <w:sz w:val="20"/>
              </w:rPr>
              <w:t>5</w:t>
            </w:r>
          </w:p>
        </w:tc>
      </w:tr>
      <w:tr w:rsidR="00446008" w:rsidRPr="0022554A" w:rsidTr="006A46E4">
        <w:trPr>
          <w:trHeight w:val="295"/>
        </w:trPr>
        <w:tc>
          <w:tcPr>
            <w:tcW w:w="0" w:type="auto"/>
            <w:vMerge w:val="restart"/>
          </w:tcPr>
          <w:p w:rsidR="00446008" w:rsidRPr="0022554A" w:rsidRDefault="00446008" w:rsidP="006A46E4">
            <w:pPr>
              <w:tabs>
                <w:tab w:val="left" w:pos="5400"/>
              </w:tabs>
              <w:rPr>
                <w:bCs/>
                <w:sz w:val="20"/>
              </w:rPr>
            </w:pPr>
            <w:bookmarkStart w:id="76" w:name="bold38" w:colFirst="0" w:colLast="0"/>
            <w:bookmarkStart w:id="77" w:name="italic38" w:colFirst="0" w:colLast="0"/>
            <w:bookmarkEnd w:id="74"/>
            <w:bookmarkEnd w:id="75"/>
            <w:r w:rsidRPr="0022554A">
              <w:rPr>
                <w:bCs/>
                <w:sz w:val="20"/>
              </w:rPr>
              <w:t>Outcome data</w:t>
            </w:r>
          </w:p>
        </w:tc>
        <w:tc>
          <w:tcPr>
            <w:tcW w:w="0" w:type="auto"/>
            <w:vMerge w:val="restart"/>
          </w:tcPr>
          <w:p w:rsidR="00446008" w:rsidRPr="0022554A" w:rsidRDefault="00446008" w:rsidP="006A46E4">
            <w:pPr>
              <w:tabs>
                <w:tab w:val="left" w:pos="5400"/>
              </w:tabs>
              <w:jc w:val="center"/>
              <w:rPr>
                <w:sz w:val="20"/>
              </w:rPr>
            </w:pPr>
            <w:r w:rsidRPr="0022554A">
              <w:rPr>
                <w:sz w:val="20"/>
              </w:rPr>
              <w:t>15</w:t>
            </w:r>
            <w:bookmarkStart w:id="78" w:name="bold39"/>
            <w:r w:rsidRPr="0022554A">
              <w:rPr>
                <w:bCs/>
                <w:sz w:val="20"/>
              </w:rPr>
              <w:t>*</w:t>
            </w:r>
            <w:bookmarkEnd w:id="78"/>
          </w:p>
        </w:tc>
        <w:tc>
          <w:tcPr>
            <w:tcW w:w="0" w:type="auto"/>
          </w:tcPr>
          <w:p w:rsidR="00446008" w:rsidRPr="0022554A" w:rsidRDefault="00446008" w:rsidP="006A46E4">
            <w:pPr>
              <w:tabs>
                <w:tab w:val="left" w:pos="5400"/>
              </w:tabs>
              <w:rPr>
                <w:sz w:val="20"/>
              </w:rPr>
            </w:pPr>
            <w:r w:rsidRPr="0022554A">
              <w:rPr>
                <w:i/>
                <w:sz w:val="20"/>
              </w:rPr>
              <w:t>Cohort study</w:t>
            </w:r>
            <w:r w:rsidRPr="0022554A">
              <w:rPr>
                <w:sz w:val="20"/>
              </w:rPr>
              <w:t>—Report numbers of outcome events or summary measures over time</w:t>
            </w:r>
            <w:r w:rsidR="004C5DA2">
              <w:rPr>
                <w:sz w:val="20"/>
              </w:rPr>
              <w:t xml:space="preserve"> </w:t>
            </w:r>
            <w:r w:rsidR="004C5DA2" w:rsidRPr="004C5DA2">
              <w:rPr>
                <w:b/>
                <w:sz w:val="20"/>
              </w:rPr>
              <w:t>Page</w:t>
            </w:r>
            <w:r w:rsidR="004C5DA2">
              <w:rPr>
                <w:b/>
                <w:sz w:val="20"/>
              </w:rPr>
              <w:t>s 15-16</w:t>
            </w:r>
          </w:p>
        </w:tc>
      </w:tr>
      <w:tr w:rsidR="00446008" w:rsidRPr="0022554A" w:rsidTr="006A46E4">
        <w:trPr>
          <w:trHeight w:val="294"/>
        </w:trPr>
        <w:tc>
          <w:tcPr>
            <w:tcW w:w="0" w:type="auto"/>
            <w:vMerge/>
          </w:tcPr>
          <w:p w:rsidR="00446008" w:rsidRPr="0022554A" w:rsidRDefault="00446008" w:rsidP="006A46E4">
            <w:pPr>
              <w:tabs>
                <w:tab w:val="left" w:pos="5400"/>
              </w:tabs>
              <w:rPr>
                <w:bCs/>
                <w:sz w:val="20"/>
              </w:rPr>
            </w:pPr>
          </w:p>
        </w:tc>
        <w:tc>
          <w:tcPr>
            <w:tcW w:w="0" w:type="auto"/>
            <w:vMerge/>
          </w:tcPr>
          <w:p w:rsidR="00446008" w:rsidRPr="0022554A" w:rsidRDefault="00446008" w:rsidP="006A46E4">
            <w:pPr>
              <w:tabs>
                <w:tab w:val="left" w:pos="5400"/>
              </w:tabs>
              <w:jc w:val="center"/>
              <w:rPr>
                <w:sz w:val="20"/>
              </w:rPr>
            </w:pPr>
          </w:p>
        </w:tc>
        <w:tc>
          <w:tcPr>
            <w:tcW w:w="0" w:type="auto"/>
          </w:tcPr>
          <w:p w:rsidR="00446008" w:rsidRPr="0022554A" w:rsidRDefault="00446008" w:rsidP="006A46E4">
            <w:pPr>
              <w:tabs>
                <w:tab w:val="left" w:pos="5400"/>
              </w:tabs>
              <w:rPr>
                <w:i/>
                <w:sz w:val="20"/>
              </w:rPr>
            </w:pPr>
            <w:r w:rsidRPr="0022554A">
              <w:rPr>
                <w:i/>
                <w:sz w:val="20"/>
              </w:rPr>
              <w:t>Case-control study—</w:t>
            </w:r>
            <w:r w:rsidRPr="0022554A">
              <w:rPr>
                <w:sz w:val="20"/>
              </w:rPr>
              <w:t>Report numbers in each exposure category, or summary measures of exposure</w:t>
            </w:r>
          </w:p>
        </w:tc>
      </w:tr>
      <w:tr w:rsidR="00446008" w:rsidRPr="0022554A" w:rsidTr="006A46E4">
        <w:trPr>
          <w:trHeight w:val="294"/>
        </w:trPr>
        <w:tc>
          <w:tcPr>
            <w:tcW w:w="0" w:type="auto"/>
            <w:vMerge/>
          </w:tcPr>
          <w:p w:rsidR="00446008" w:rsidRPr="0022554A" w:rsidRDefault="00446008" w:rsidP="006A46E4">
            <w:pPr>
              <w:tabs>
                <w:tab w:val="left" w:pos="5400"/>
              </w:tabs>
              <w:rPr>
                <w:bCs/>
                <w:sz w:val="20"/>
              </w:rPr>
            </w:pPr>
          </w:p>
        </w:tc>
        <w:tc>
          <w:tcPr>
            <w:tcW w:w="0" w:type="auto"/>
            <w:vMerge/>
          </w:tcPr>
          <w:p w:rsidR="00446008" w:rsidRPr="0022554A" w:rsidRDefault="00446008" w:rsidP="006A46E4">
            <w:pPr>
              <w:tabs>
                <w:tab w:val="left" w:pos="5400"/>
              </w:tabs>
              <w:jc w:val="center"/>
              <w:rPr>
                <w:sz w:val="20"/>
              </w:rPr>
            </w:pPr>
          </w:p>
        </w:tc>
        <w:tc>
          <w:tcPr>
            <w:tcW w:w="0" w:type="auto"/>
          </w:tcPr>
          <w:p w:rsidR="00446008" w:rsidRPr="0022554A" w:rsidRDefault="00446008" w:rsidP="006A46E4">
            <w:pPr>
              <w:tabs>
                <w:tab w:val="left" w:pos="5400"/>
              </w:tabs>
              <w:rPr>
                <w:i/>
                <w:sz w:val="20"/>
              </w:rPr>
            </w:pPr>
            <w:r>
              <w:rPr>
                <w:i/>
                <w:sz w:val="20"/>
              </w:rPr>
              <w:t>Cross-sectional</w:t>
            </w:r>
            <w:r w:rsidRPr="0022554A">
              <w:rPr>
                <w:i/>
                <w:sz w:val="20"/>
              </w:rPr>
              <w:t xml:space="preserve"> study—</w:t>
            </w:r>
            <w:r w:rsidRPr="0022554A">
              <w:rPr>
                <w:sz w:val="20"/>
              </w:rPr>
              <w:t>Report numbers of outcome events or summary measures</w:t>
            </w:r>
          </w:p>
        </w:tc>
      </w:tr>
      <w:tr w:rsidR="00446008" w:rsidRPr="0022554A" w:rsidTr="006A46E4">
        <w:tc>
          <w:tcPr>
            <w:tcW w:w="0" w:type="auto"/>
            <w:vMerge w:val="restart"/>
          </w:tcPr>
          <w:p w:rsidR="00446008" w:rsidRPr="0022554A" w:rsidRDefault="00446008" w:rsidP="006A46E4">
            <w:pPr>
              <w:tabs>
                <w:tab w:val="left" w:pos="5400"/>
              </w:tabs>
              <w:rPr>
                <w:bCs/>
                <w:sz w:val="20"/>
              </w:rPr>
            </w:pPr>
            <w:bookmarkStart w:id="79" w:name="italic40" w:colFirst="0" w:colLast="0"/>
            <w:bookmarkStart w:id="80" w:name="bold41" w:colFirst="0" w:colLast="0"/>
            <w:bookmarkEnd w:id="76"/>
            <w:bookmarkEnd w:id="77"/>
            <w:r w:rsidRPr="0022554A">
              <w:rPr>
                <w:bCs/>
                <w:sz w:val="20"/>
              </w:rPr>
              <w:t>Main results</w:t>
            </w:r>
          </w:p>
        </w:tc>
        <w:tc>
          <w:tcPr>
            <w:tcW w:w="0" w:type="auto"/>
            <w:vMerge w:val="restart"/>
          </w:tcPr>
          <w:p w:rsidR="00446008" w:rsidRPr="0022554A" w:rsidRDefault="00446008" w:rsidP="006A46E4">
            <w:pPr>
              <w:tabs>
                <w:tab w:val="left" w:pos="5400"/>
              </w:tabs>
              <w:jc w:val="center"/>
              <w:rPr>
                <w:sz w:val="20"/>
              </w:rPr>
            </w:pPr>
            <w:r w:rsidRPr="0022554A">
              <w:rPr>
                <w:sz w:val="20"/>
              </w:rPr>
              <w:t>16</w:t>
            </w:r>
          </w:p>
        </w:tc>
        <w:tc>
          <w:tcPr>
            <w:tcW w:w="0" w:type="auto"/>
          </w:tcPr>
          <w:p w:rsidR="00446008" w:rsidRPr="004C5DA2" w:rsidRDefault="00446008" w:rsidP="006A46E4">
            <w:pPr>
              <w:tabs>
                <w:tab w:val="left" w:pos="5400"/>
              </w:tabs>
              <w:rPr>
                <w:b/>
                <w:sz w:val="20"/>
              </w:rPr>
            </w:pPr>
            <w:r w:rsidRPr="0022554A">
              <w:rPr>
                <w:sz w:val="20"/>
              </w:rPr>
              <w:t>(</w:t>
            </w:r>
            <w:r w:rsidRPr="0022554A">
              <w:rPr>
                <w:i/>
                <w:sz w:val="20"/>
              </w:rPr>
              <w:t>a</w:t>
            </w:r>
            <w:r w:rsidRPr="0022554A">
              <w:rPr>
                <w:sz w:val="20"/>
              </w:rPr>
              <w:t xml:space="preserve">) </w:t>
            </w:r>
            <w:r w:rsidRPr="006149D3">
              <w:rPr>
                <w:sz w:val="20"/>
              </w:rPr>
              <w:t>Give unadjusted estimates and, if applicable, confounder-adjusted estimates and their precision (eg, 95% confidence interval). Make clear which confounders were adjusted for and why they were included</w:t>
            </w:r>
            <w:r w:rsidR="004C5DA2">
              <w:rPr>
                <w:sz w:val="20"/>
              </w:rPr>
              <w:t xml:space="preserve"> </w:t>
            </w:r>
            <w:r w:rsidR="004C5DA2">
              <w:rPr>
                <w:b/>
                <w:sz w:val="20"/>
              </w:rPr>
              <w:t>Page 8-20</w:t>
            </w:r>
          </w:p>
        </w:tc>
      </w:tr>
      <w:tr w:rsidR="00446008" w:rsidRPr="0022554A" w:rsidTr="006A46E4">
        <w:tc>
          <w:tcPr>
            <w:tcW w:w="0" w:type="auto"/>
            <w:vMerge/>
          </w:tcPr>
          <w:p w:rsidR="00446008" w:rsidRPr="0022554A" w:rsidRDefault="00446008" w:rsidP="006A46E4">
            <w:pPr>
              <w:tabs>
                <w:tab w:val="left" w:pos="5400"/>
              </w:tabs>
              <w:rPr>
                <w:bCs/>
                <w:sz w:val="20"/>
              </w:rPr>
            </w:pPr>
            <w:bookmarkStart w:id="81" w:name="italic41" w:colFirst="0" w:colLast="0"/>
            <w:bookmarkStart w:id="82" w:name="bold42" w:colFirst="0" w:colLast="0"/>
            <w:bookmarkEnd w:id="79"/>
            <w:bookmarkEnd w:id="80"/>
          </w:p>
        </w:tc>
        <w:tc>
          <w:tcPr>
            <w:tcW w:w="0" w:type="auto"/>
            <w:vMerge/>
          </w:tcPr>
          <w:p w:rsidR="00446008" w:rsidRPr="0022554A" w:rsidRDefault="00446008" w:rsidP="006A46E4">
            <w:pPr>
              <w:tabs>
                <w:tab w:val="left" w:pos="5400"/>
              </w:tabs>
              <w:jc w:val="center"/>
              <w:rPr>
                <w:sz w:val="20"/>
              </w:rPr>
            </w:pPr>
          </w:p>
        </w:tc>
        <w:tc>
          <w:tcPr>
            <w:tcW w:w="0" w:type="auto"/>
          </w:tcPr>
          <w:p w:rsidR="00446008" w:rsidRPr="006149D3" w:rsidRDefault="00446008" w:rsidP="006A46E4">
            <w:pPr>
              <w:tabs>
                <w:tab w:val="left" w:pos="5400"/>
              </w:tabs>
              <w:rPr>
                <w:sz w:val="20"/>
              </w:rPr>
            </w:pPr>
            <w:r w:rsidRPr="0022554A">
              <w:rPr>
                <w:sz w:val="20"/>
              </w:rPr>
              <w:t>(</w:t>
            </w:r>
            <w:r w:rsidRPr="0022554A">
              <w:rPr>
                <w:i/>
                <w:sz w:val="20"/>
              </w:rPr>
              <w:t>b</w:t>
            </w:r>
            <w:r w:rsidRPr="0022554A">
              <w:rPr>
                <w:sz w:val="20"/>
              </w:rPr>
              <w:t xml:space="preserve">) </w:t>
            </w:r>
            <w:r w:rsidRPr="006149D3">
              <w:rPr>
                <w:sz w:val="20"/>
              </w:rPr>
              <w:t>Report category boundaries when continuous variables were categorized</w:t>
            </w:r>
          </w:p>
        </w:tc>
      </w:tr>
      <w:tr w:rsidR="00446008" w:rsidRPr="0022554A" w:rsidTr="006A46E4">
        <w:tc>
          <w:tcPr>
            <w:tcW w:w="0" w:type="auto"/>
            <w:vMerge/>
          </w:tcPr>
          <w:p w:rsidR="00446008" w:rsidRPr="0022554A" w:rsidRDefault="00446008" w:rsidP="006A46E4">
            <w:pPr>
              <w:tabs>
                <w:tab w:val="left" w:pos="5400"/>
              </w:tabs>
              <w:rPr>
                <w:bCs/>
                <w:sz w:val="20"/>
              </w:rPr>
            </w:pPr>
            <w:bookmarkStart w:id="83" w:name="italic42" w:colFirst="0" w:colLast="0"/>
            <w:bookmarkStart w:id="84" w:name="bold43" w:colFirst="0" w:colLast="0"/>
            <w:bookmarkEnd w:id="81"/>
            <w:bookmarkEnd w:id="82"/>
          </w:p>
        </w:tc>
        <w:tc>
          <w:tcPr>
            <w:tcW w:w="0" w:type="auto"/>
            <w:vMerge/>
          </w:tcPr>
          <w:p w:rsidR="00446008" w:rsidRPr="0022554A" w:rsidRDefault="00446008" w:rsidP="006A46E4">
            <w:pPr>
              <w:tabs>
                <w:tab w:val="left" w:pos="5400"/>
              </w:tabs>
              <w:jc w:val="center"/>
              <w:rPr>
                <w:sz w:val="20"/>
              </w:rPr>
            </w:pPr>
          </w:p>
        </w:tc>
        <w:tc>
          <w:tcPr>
            <w:tcW w:w="0" w:type="auto"/>
          </w:tcPr>
          <w:p w:rsidR="00446008" w:rsidRPr="006149D3" w:rsidRDefault="00446008" w:rsidP="006A46E4">
            <w:pPr>
              <w:tabs>
                <w:tab w:val="left" w:pos="5400"/>
              </w:tabs>
              <w:rPr>
                <w:sz w:val="20"/>
              </w:rPr>
            </w:pPr>
            <w:r w:rsidRPr="0022554A">
              <w:rPr>
                <w:sz w:val="20"/>
              </w:rPr>
              <w:t>(</w:t>
            </w:r>
            <w:r w:rsidRPr="0022554A">
              <w:rPr>
                <w:i/>
                <w:sz w:val="20"/>
              </w:rPr>
              <w:t>c</w:t>
            </w:r>
            <w:r w:rsidRPr="0022554A">
              <w:rPr>
                <w:sz w:val="20"/>
              </w:rPr>
              <w:t xml:space="preserve">) </w:t>
            </w:r>
            <w:r w:rsidRPr="006149D3">
              <w:rPr>
                <w:sz w:val="20"/>
              </w:rPr>
              <w:t>If relevant, consider translating estimates of relative risk into absolute risk for a meaningful time period</w:t>
            </w:r>
          </w:p>
        </w:tc>
      </w:tr>
      <w:tr w:rsidR="00446008" w:rsidRPr="0022554A" w:rsidTr="006A46E4">
        <w:tc>
          <w:tcPr>
            <w:tcW w:w="0" w:type="auto"/>
          </w:tcPr>
          <w:p w:rsidR="00446008" w:rsidRPr="0022554A" w:rsidRDefault="00446008" w:rsidP="006A46E4">
            <w:pPr>
              <w:tabs>
                <w:tab w:val="left" w:pos="5400"/>
              </w:tabs>
              <w:rPr>
                <w:bCs/>
                <w:sz w:val="20"/>
              </w:rPr>
            </w:pPr>
            <w:bookmarkStart w:id="85" w:name="italic43"/>
            <w:bookmarkStart w:id="86" w:name="bold44"/>
            <w:bookmarkEnd w:id="83"/>
            <w:bookmarkEnd w:id="84"/>
            <w:r w:rsidRPr="0022554A">
              <w:rPr>
                <w:bCs/>
                <w:sz w:val="20"/>
              </w:rPr>
              <w:t>Other analyses</w:t>
            </w:r>
            <w:bookmarkEnd w:id="85"/>
            <w:bookmarkEnd w:id="86"/>
          </w:p>
        </w:tc>
        <w:tc>
          <w:tcPr>
            <w:tcW w:w="0" w:type="auto"/>
          </w:tcPr>
          <w:p w:rsidR="00446008" w:rsidRPr="0022554A" w:rsidRDefault="00446008" w:rsidP="006A46E4">
            <w:pPr>
              <w:tabs>
                <w:tab w:val="left" w:pos="5400"/>
              </w:tabs>
              <w:jc w:val="center"/>
              <w:rPr>
                <w:sz w:val="20"/>
              </w:rPr>
            </w:pPr>
            <w:r w:rsidRPr="0022554A">
              <w:rPr>
                <w:sz w:val="20"/>
              </w:rPr>
              <w:t>17</w:t>
            </w:r>
          </w:p>
        </w:tc>
        <w:tc>
          <w:tcPr>
            <w:tcW w:w="0" w:type="auto"/>
          </w:tcPr>
          <w:p w:rsidR="00446008" w:rsidRPr="004C5DA2" w:rsidRDefault="00446008" w:rsidP="006A46E4">
            <w:pPr>
              <w:tabs>
                <w:tab w:val="left" w:pos="5400"/>
              </w:tabs>
              <w:rPr>
                <w:b/>
                <w:sz w:val="20"/>
              </w:rPr>
            </w:pPr>
            <w:r w:rsidRPr="0022554A">
              <w:rPr>
                <w:sz w:val="20"/>
              </w:rPr>
              <w:t>Report other analyses done—eg analyses of subgroups and interactions, and sensitivity analyses</w:t>
            </w:r>
            <w:r w:rsidR="004C5DA2">
              <w:rPr>
                <w:sz w:val="20"/>
              </w:rPr>
              <w:t xml:space="preserve"> </w:t>
            </w:r>
            <w:r w:rsidR="004C5DA2">
              <w:rPr>
                <w:b/>
                <w:sz w:val="20"/>
              </w:rPr>
              <w:t>Pages 18-20</w:t>
            </w:r>
          </w:p>
        </w:tc>
      </w:tr>
      <w:tr w:rsidR="00446008" w:rsidRPr="0022554A" w:rsidTr="006A46E4">
        <w:tc>
          <w:tcPr>
            <w:tcW w:w="0" w:type="auto"/>
            <w:gridSpan w:val="3"/>
          </w:tcPr>
          <w:p w:rsidR="00446008" w:rsidRPr="0022554A" w:rsidRDefault="00446008" w:rsidP="006A46E4">
            <w:pPr>
              <w:pStyle w:val="TableSubHead"/>
              <w:tabs>
                <w:tab w:val="left" w:pos="5400"/>
              </w:tabs>
              <w:rPr>
                <w:sz w:val="20"/>
              </w:rPr>
            </w:pPr>
            <w:bookmarkStart w:id="87" w:name="italic44"/>
            <w:bookmarkStart w:id="88" w:name="bold45"/>
            <w:r w:rsidRPr="0022554A">
              <w:rPr>
                <w:sz w:val="20"/>
              </w:rPr>
              <w:t>Discussion</w:t>
            </w:r>
            <w:bookmarkEnd w:id="87"/>
            <w:bookmarkEnd w:id="88"/>
          </w:p>
        </w:tc>
      </w:tr>
      <w:tr w:rsidR="00446008" w:rsidRPr="0022554A" w:rsidTr="006A46E4">
        <w:tc>
          <w:tcPr>
            <w:tcW w:w="0" w:type="auto"/>
          </w:tcPr>
          <w:p w:rsidR="00446008" w:rsidRPr="0022554A" w:rsidRDefault="00446008" w:rsidP="006A46E4">
            <w:pPr>
              <w:tabs>
                <w:tab w:val="left" w:pos="5400"/>
              </w:tabs>
              <w:rPr>
                <w:bCs/>
                <w:sz w:val="20"/>
              </w:rPr>
            </w:pPr>
            <w:bookmarkStart w:id="89" w:name="italic45" w:colFirst="0" w:colLast="0"/>
            <w:bookmarkStart w:id="90" w:name="bold46" w:colFirst="0" w:colLast="0"/>
            <w:r w:rsidRPr="0022554A">
              <w:rPr>
                <w:bCs/>
                <w:sz w:val="20"/>
              </w:rPr>
              <w:t>Key results</w:t>
            </w:r>
          </w:p>
        </w:tc>
        <w:tc>
          <w:tcPr>
            <w:tcW w:w="0" w:type="auto"/>
          </w:tcPr>
          <w:p w:rsidR="00446008" w:rsidRPr="0022554A" w:rsidRDefault="00446008" w:rsidP="006A46E4">
            <w:pPr>
              <w:tabs>
                <w:tab w:val="left" w:pos="5400"/>
              </w:tabs>
              <w:jc w:val="center"/>
              <w:rPr>
                <w:sz w:val="20"/>
              </w:rPr>
            </w:pPr>
            <w:r w:rsidRPr="0022554A">
              <w:rPr>
                <w:sz w:val="20"/>
              </w:rPr>
              <w:t>18</w:t>
            </w:r>
          </w:p>
        </w:tc>
        <w:tc>
          <w:tcPr>
            <w:tcW w:w="0" w:type="auto"/>
          </w:tcPr>
          <w:p w:rsidR="00446008" w:rsidRPr="004C5DA2" w:rsidRDefault="00446008" w:rsidP="006A46E4">
            <w:pPr>
              <w:tabs>
                <w:tab w:val="left" w:pos="5400"/>
              </w:tabs>
              <w:rPr>
                <w:b/>
                <w:sz w:val="20"/>
              </w:rPr>
            </w:pPr>
            <w:r w:rsidRPr="0022554A">
              <w:rPr>
                <w:sz w:val="20"/>
              </w:rPr>
              <w:t>Summarise key results with reference to study objectives</w:t>
            </w:r>
            <w:r w:rsidR="004C5DA2">
              <w:rPr>
                <w:sz w:val="20"/>
              </w:rPr>
              <w:t xml:space="preserve"> </w:t>
            </w:r>
            <w:r w:rsidR="004C5DA2">
              <w:rPr>
                <w:b/>
                <w:sz w:val="20"/>
              </w:rPr>
              <w:t>Pages21-23</w:t>
            </w:r>
          </w:p>
        </w:tc>
      </w:tr>
      <w:tr w:rsidR="00446008" w:rsidRPr="0022554A" w:rsidTr="006A46E4">
        <w:tc>
          <w:tcPr>
            <w:tcW w:w="0" w:type="auto"/>
          </w:tcPr>
          <w:p w:rsidR="00446008" w:rsidRPr="0022554A" w:rsidRDefault="00446008" w:rsidP="006A46E4">
            <w:pPr>
              <w:tabs>
                <w:tab w:val="left" w:pos="5400"/>
              </w:tabs>
              <w:rPr>
                <w:bCs/>
                <w:sz w:val="20"/>
              </w:rPr>
            </w:pPr>
            <w:bookmarkStart w:id="91" w:name="italic46" w:colFirst="0" w:colLast="0"/>
            <w:bookmarkStart w:id="92" w:name="bold47" w:colFirst="0" w:colLast="0"/>
            <w:bookmarkEnd w:id="89"/>
            <w:bookmarkEnd w:id="90"/>
            <w:r w:rsidRPr="0022554A">
              <w:rPr>
                <w:bCs/>
                <w:sz w:val="20"/>
              </w:rPr>
              <w:t>Limitations</w:t>
            </w:r>
          </w:p>
        </w:tc>
        <w:tc>
          <w:tcPr>
            <w:tcW w:w="0" w:type="auto"/>
          </w:tcPr>
          <w:p w:rsidR="00446008" w:rsidRPr="0022554A" w:rsidRDefault="00446008" w:rsidP="006A46E4">
            <w:pPr>
              <w:tabs>
                <w:tab w:val="left" w:pos="5400"/>
              </w:tabs>
              <w:jc w:val="center"/>
              <w:rPr>
                <w:sz w:val="20"/>
              </w:rPr>
            </w:pPr>
            <w:r w:rsidRPr="0022554A">
              <w:rPr>
                <w:sz w:val="20"/>
              </w:rPr>
              <w:t>19</w:t>
            </w:r>
          </w:p>
        </w:tc>
        <w:tc>
          <w:tcPr>
            <w:tcW w:w="0" w:type="auto"/>
          </w:tcPr>
          <w:p w:rsidR="00446008" w:rsidRPr="004C5DA2" w:rsidRDefault="00446008" w:rsidP="006A46E4">
            <w:pPr>
              <w:tabs>
                <w:tab w:val="left" w:pos="5400"/>
              </w:tabs>
              <w:rPr>
                <w:b/>
                <w:sz w:val="20"/>
              </w:rPr>
            </w:pPr>
            <w:r w:rsidRPr="0022554A">
              <w:rPr>
                <w:sz w:val="20"/>
              </w:rPr>
              <w:t>Discuss limitations of the study, taking into account sources of potential bias or imprecision. Discuss both direction and magnitude of any potential bias</w:t>
            </w:r>
            <w:r w:rsidR="004C5DA2">
              <w:rPr>
                <w:sz w:val="20"/>
              </w:rPr>
              <w:t xml:space="preserve"> </w:t>
            </w:r>
            <w:r w:rsidR="004C5DA2">
              <w:rPr>
                <w:b/>
                <w:sz w:val="20"/>
              </w:rPr>
              <w:t>Page 23</w:t>
            </w:r>
          </w:p>
        </w:tc>
      </w:tr>
      <w:tr w:rsidR="00446008" w:rsidRPr="0022554A" w:rsidTr="006A46E4">
        <w:tc>
          <w:tcPr>
            <w:tcW w:w="0" w:type="auto"/>
          </w:tcPr>
          <w:p w:rsidR="00446008" w:rsidRPr="0022554A" w:rsidRDefault="00446008" w:rsidP="006A46E4">
            <w:pPr>
              <w:tabs>
                <w:tab w:val="left" w:pos="5400"/>
              </w:tabs>
              <w:rPr>
                <w:bCs/>
                <w:sz w:val="20"/>
              </w:rPr>
            </w:pPr>
            <w:bookmarkStart w:id="93" w:name="italic47" w:colFirst="0" w:colLast="0"/>
            <w:bookmarkStart w:id="94" w:name="bold48" w:colFirst="0" w:colLast="0"/>
            <w:bookmarkEnd w:id="91"/>
            <w:bookmarkEnd w:id="92"/>
            <w:r w:rsidRPr="0022554A">
              <w:rPr>
                <w:bCs/>
                <w:sz w:val="20"/>
              </w:rPr>
              <w:t>Interpretation</w:t>
            </w:r>
          </w:p>
        </w:tc>
        <w:tc>
          <w:tcPr>
            <w:tcW w:w="0" w:type="auto"/>
          </w:tcPr>
          <w:p w:rsidR="00446008" w:rsidRPr="0022554A" w:rsidRDefault="00446008" w:rsidP="006A46E4">
            <w:pPr>
              <w:tabs>
                <w:tab w:val="left" w:pos="5400"/>
              </w:tabs>
              <w:jc w:val="center"/>
              <w:rPr>
                <w:sz w:val="20"/>
              </w:rPr>
            </w:pPr>
            <w:r w:rsidRPr="0022554A">
              <w:rPr>
                <w:sz w:val="20"/>
              </w:rPr>
              <w:t>20</w:t>
            </w:r>
          </w:p>
        </w:tc>
        <w:tc>
          <w:tcPr>
            <w:tcW w:w="0" w:type="auto"/>
          </w:tcPr>
          <w:p w:rsidR="00446008" w:rsidRPr="004C5DA2" w:rsidRDefault="00446008" w:rsidP="004C5DA2">
            <w:pPr>
              <w:tabs>
                <w:tab w:val="left" w:pos="5400"/>
              </w:tabs>
              <w:rPr>
                <w:b/>
                <w:sz w:val="20"/>
              </w:rPr>
            </w:pPr>
            <w:r w:rsidRPr="0022554A">
              <w:rPr>
                <w:sz w:val="20"/>
              </w:rPr>
              <w:t>Give a cautious overall interpretation of results considering objectives, limitations, multiplicity of analyses, results from similar studies, and other relevant evidence</w:t>
            </w:r>
            <w:r w:rsidR="004C5DA2">
              <w:rPr>
                <w:sz w:val="20"/>
              </w:rPr>
              <w:t xml:space="preserve"> </w:t>
            </w:r>
            <w:r w:rsidR="004C5DA2">
              <w:rPr>
                <w:b/>
                <w:sz w:val="20"/>
              </w:rPr>
              <w:t>Pages 23</w:t>
            </w:r>
          </w:p>
        </w:tc>
      </w:tr>
      <w:tr w:rsidR="00446008" w:rsidRPr="0022554A" w:rsidTr="006A46E4">
        <w:tc>
          <w:tcPr>
            <w:tcW w:w="0" w:type="auto"/>
          </w:tcPr>
          <w:p w:rsidR="00446008" w:rsidRPr="0022554A" w:rsidRDefault="00446008" w:rsidP="006A46E4">
            <w:pPr>
              <w:tabs>
                <w:tab w:val="left" w:pos="5400"/>
              </w:tabs>
              <w:rPr>
                <w:bCs/>
                <w:sz w:val="20"/>
              </w:rPr>
            </w:pPr>
            <w:bookmarkStart w:id="95" w:name="italic48" w:colFirst="0" w:colLast="0"/>
            <w:bookmarkStart w:id="96" w:name="bold49" w:colFirst="0" w:colLast="0"/>
            <w:bookmarkEnd w:id="93"/>
            <w:bookmarkEnd w:id="94"/>
            <w:r w:rsidRPr="0022554A">
              <w:rPr>
                <w:bCs/>
                <w:sz w:val="20"/>
              </w:rPr>
              <w:t>Generalisability</w:t>
            </w:r>
          </w:p>
        </w:tc>
        <w:tc>
          <w:tcPr>
            <w:tcW w:w="0" w:type="auto"/>
          </w:tcPr>
          <w:p w:rsidR="00446008" w:rsidRPr="0022554A" w:rsidRDefault="00446008" w:rsidP="006A46E4">
            <w:pPr>
              <w:tabs>
                <w:tab w:val="left" w:pos="5400"/>
              </w:tabs>
              <w:jc w:val="center"/>
              <w:rPr>
                <w:sz w:val="20"/>
              </w:rPr>
            </w:pPr>
            <w:r w:rsidRPr="0022554A">
              <w:rPr>
                <w:sz w:val="20"/>
              </w:rPr>
              <w:t>21</w:t>
            </w:r>
          </w:p>
        </w:tc>
        <w:tc>
          <w:tcPr>
            <w:tcW w:w="0" w:type="auto"/>
          </w:tcPr>
          <w:p w:rsidR="00446008" w:rsidRPr="004C5DA2" w:rsidRDefault="00446008" w:rsidP="006A46E4">
            <w:pPr>
              <w:tabs>
                <w:tab w:val="left" w:pos="5400"/>
              </w:tabs>
              <w:rPr>
                <w:b/>
                <w:sz w:val="20"/>
              </w:rPr>
            </w:pPr>
            <w:r w:rsidRPr="0022554A">
              <w:rPr>
                <w:sz w:val="20"/>
              </w:rPr>
              <w:t>Discuss the generalisability (external validity) of the study results</w:t>
            </w:r>
            <w:r w:rsidR="004C5DA2">
              <w:rPr>
                <w:sz w:val="20"/>
              </w:rPr>
              <w:t xml:space="preserve"> </w:t>
            </w:r>
            <w:r w:rsidR="004C5DA2">
              <w:rPr>
                <w:b/>
                <w:sz w:val="20"/>
              </w:rPr>
              <w:t>Page 23</w:t>
            </w:r>
          </w:p>
        </w:tc>
      </w:tr>
      <w:tr w:rsidR="00446008" w:rsidRPr="0022554A" w:rsidTr="006A46E4">
        <w:tc>
          <w:tcPr>
            <w:tcW w:w="0" w:type="auto"/>
            <w:gridSpan w:val="3"/>
          </w:tcPr>
          <w:p w:rsidR="00446008" w:rsidRPr="0022554A" w:rsidRDefault="00446008" w:rsidP="006A46E4">
            <w:pPr>
              <w:pStyle w:val="TableSubHead"/>
              <w:tabs>
                <w:tab w:val="left" w:pos="5400"/>
              </w:tabs>
              <w:rPr>
                <w:sz w:val="20"/>
              </w:rPr>
            </w:pPr>
            <w:bookmarkStart w:id="97" w:name="italic49"/>
            <w:bookmarkStart w:id="98" w:name="bold50"/>
            <w:bookmarkEnd w:id="95"/>
            <w:bookmarkEnd w:id="96"/>
            <w:r w:rsidRPr="0022554A">
              <w:rPr>
                <w:sz w:val="20"/>
              </w:rPr>
              <w:t>Other information</w:t>
            </w:r>
            <w:bookmarkEnd w:id="97"/>
            <w:bookmarkEnd w:id="98"/>
          </w:p>
        </w:tc>
      </w:tr>
      <w:tr w:rsidR="00446008" w:rsidRPr="0022554A" w:rsidTr="006A46E4">
        <w:tc>
          <w:tcPr>
            <w:tcW w:w="0" w:type="auto"/>
          </w:tcPr>
          <w:p w:rsidR="00446008" w:rsidRPr="0022554A" w:rsidRDefault="00446008" w:rsidP="006A46E4">
            <w:pPr>
              <w:tabs>
                <w:tab w:val="left" w:pos="5400"/>
              </w:tabs>
              <w:rPr>
                <w:bCs/>
                <w:sz w:val="20"/>
              </w:rPr>
            </w:pPr>
            <w:bookmarkStart w:id="99" w:name="italic50" w:colFirst="0" w:colLast="0"/>
            <w:bookmarkStart w:id="100" w:name="bold51" w:colFirst="0" w:colLast="0"/>
            <w:r w:rsidRPr="0022554A">
              <w:rPr>
                <w:bCs/>
                <w:sz w:val="20"/>
              </w:rPr>
              <w:t>Funding</w:t>
            </w:r>
          </w:p>
        </w:tc>
        <w:tc>
          <w:tcPr>
            <w:tcW w:w="0" w:type="auto"/>
          </w:tcPr>
          <w:p w:rsidR="00446008" w:rsidRPr="0022554A" w:rsidRDefault="00446008" w:rsidP="006A46E4">
            <w:pPr>
              <w:tabs>
                <w:tab w:val="left" w:pos="5400"/>
              </w:tabs>
              <w:jc w:val="center"/>
              <w:rPr>
                <w:sz w:val="20"/>
              </w:rPr>
            </w:pPr>
            <w:r w:rsidRPr="0022554A">
              <w:rPr>
                <w:sz w:val="20"/>
              </w:rPr>
              <w:t>22</w:t>
            </w:r>
          </w:p>
        </w:tc>
        <w:tc>
          <w:tcPr>
            <w:tcW w:w="0" w:type="auto"/>
          </w:tcPr>
          <w:p w:rsidR="00446008" w:rsidRPr="004C5DA2" w:rsidRDefault="00446008" w:rsidP="006A46E4">
            <w:pPr>
              <w:tabs>
                <w:tab w:val="left" w:pos="5400"/>
              </w:tabs>
              <w:rPr>
                <w:b/>
                <w:sz w:val="20"/>
              </w:rPr>
            </w:pPr>
            <w:r w:rsidRPr="0022554A">
              <w:rPr>
                <w:sz w:val="20"/>
              </w:rPr>
              <w:t>Give the source of funding and the role of the funders for the present study and, if applicable, for the original study on which the present article is based</w:t>
            </w:r>
            <w:r w:rsidR="004C5DA2">
              <w:rPr>
                <w:sz w:val="20"/>
              </w:rPr>
              <w:t xml:space="preserve"> </w:t>
            </w:r>
            <w:r w:rsidR="004C5DA2">
              <w:rPr>
                <w:b/>
                <w:sz w:val="20"/>
              </w:rPr>
              <w:t>Page24</w:t>
            </w:r>
          </w:p>
        </w:tc>
      </w:tr>
      <w:bookmarkEnd w:id="99"/>
      <w:bookmarkEnd w:id="100"/>
    </w:tbl>
    <w:p w:rsidR="00446008" w:rsidRDefault="00446008" w:rsidP="00446008">
      <w:pPr>
        <w:pStyle w:val="TableNote"/>
        <w:tabs>
          <w:tab w:val="left" w:pos="5400"/>
        </w:tabs>
        <w:rPr>
          <w:bCs/>
          <w:sz w:val="20"/>
        </w:rPr>
      </w:pPr>
    </w:p>
    <w:p w:rsidR="00446008" w:rsidRPr="0022554A" w:rsidRDefault="00446008" w:rsidP="00446008">
      <w:pPr>
        <w:pStyle w:val="TableNote"/>
        <w:tabs>
          <w:tab w:val="left" w:pos="5400"/>
        </w:tabs>
        <w:rPr>
          <w:sz w:val="20"/>
        </w:rPr>
      </w:pPr>
      <w:r w:rsidRPr="0022554A">
        <w:rPr>
          <w:bCs/>
          <w:sz w:val="20"/>
        </w:rPr>
        <w:t>*</w:t>
      </w:r>
      <w:r w:rsidRPr="0022554A">
        <w:rPr>
          <w:sz w:val="20"/>
        </w:rPr>
        <w:t xml:space="preserve">Give information separately for cases and controls in case-control studies and, if applicable, for exposed and unexposed groups in cohort and </w:t>
      </w:r>
      <w:r>
        <w:rPr>
          <w:sz w:val="20"/>
        </w:rPr>
        <w:t>cross-sectional</w:t>
      </w:r>
      <w:r w:rsidRPr="0022554A">
        <w:rPr>
          <w:sz w:val="20"/>
        </w:rPr>
        <w:t xml:space="preserve"> studies.</w:t>
      </w:r>
    </w:p>
    <w:p w:rsidR="00446008" w:rsidRDefault="00446008" w:rsidP="00446008">
      <w:pPr>
        <w:pStyle w:val="TableNote"/>
        <w:tabs>
          <w:tab w:val="left" w:pos="5400"/>
        </w:tabs>
        <w:rPr>
          <w:sz w:val="20"/>
        </w:rPr>
      </w:pPr>
    </w:p>
    <w:p w:rsidR="00446008" w:rsidRPr="002602FB" w:rsidRDefault="00446008" w:rsidP="00446008">
      <w:pPr>
        <w:pStyle w:val="TableNote"/>
        <w:tabs>
          <w:tab w:val="left" w:pos="5400"/>
        </w:tabs>
        <w:rPr>
          <w:sz w:val="20"/>
        </w:rPr>
      </w:pPr>
      <w:r w:rsidRPr="00AB7BC4">
        <w:rPr>
          <w:b/>
          <w:sz w:val="20"/>
        </w:rPr>
        <w:t>Note:</w:t>
      </w:r>
      <w:r w:rsidRPr="002602FB">
        <w:rPr>
          <w:sz w:val="20"/>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PLoS Medicine at http://www.plosmedicine.org/, Annals of Internal Medicine at http://www.annals.org/, and Epidemiology at http://www.epidem.com/). Information on the STROBE Initiative is available at www.</w:t>
      </w:r>
      <w:smartTag w:uri="urn:schemas-microsoft-com:office:smarttags" w:element="PersonName">
        <w:r w:rsidRPr="002602FB">
          <w:rPr>
            <w:sz w:val="20"/>
          </w:rPr>
          <w:t>strobe</w:t>
        </w:r>
      </w:smartTag>
      <w:r w:rsidRPr="002602FB">
        <w:rPr>
          <w:sz w:val="20"/>
        </w:rPr>
        <w:t>-statement.org.</w:t>
      </w:r>
    </w:p>
    <w:p w:rsidR="00446008" w:rsidRDefault="00446008" w:rsidP="0001107D">
      <w:pPr>
        <w:spacing w:line="480" w:lineRule="auto"/>
        <w:rPr>
          <w:rFonts w:ascii="Calibri" w:hAnsi="Calibri"/>
          <w:b/>
          <w:szCs w:val="23"/>
          <w:lang w:val="en-US"/>
        </w:rPr>
      </w:pPr>
    </w:p>
    <w:p w:rsidR="0080684D" w:rsidRDefault="0080684D" w:rsidP="006C647A">
      <w:pPr>
        <w:spacing w:line="480" w:lineRule="auto"/>
        <w:rPr>
          <w:rFonts w:ascii="Calibri" w:hAnsi="Calibri" w:cs="Arial"/>
          <w:b/>
          <w:u w:val="single"/>
          <w:lang w:val="en-US"/>
        </w:rPr>
      </w:pPr>
    </w:p>
    <w:p w:rsidR="00B152D5" w:rsidRDefault="00B152D5" w:rsidP="006C647A">
      <w:pPr>
        <w:spacing w:line="480" w:lineRule="auto"/>
        <w:rPr>
          <w:rFonts w:ascii="Calibri" w:hAnsi="Calibri" w:cs="Arial"/>
          <w:b/>
          <w:u w:val="single"/>
          <w:lang w:val="en-US"/>
        </w:rPr>
      </w:pPr>
    </w:p>
    <w:p w:rsidR="00A1542A" w:rsidRPr="00604C0D" w:rsidRDefault="00A1542A" w:rsidP="006C647A">
      <w:pPr>
        <w:spacing w:line="480" w:lineRule="auto"/>
        <w:rPr>
          <w:rFonts w:ascii="Calibri" w:hAnsi="Calibri" w:cs="Arial"/>
          <w:b/>
          <w:lang w:val="en-US"/>
        </w:rPr>
      </w:pPr>
      <w:r w:rsidRPr="00604C0D">
        <w:rPr>
          <w:rFonts w:ascii="Calibri" w:hAnsi="Calibri" w:cs="Arial"/>
          <w:b/>
          <w:lang w:val="en-US"/>
        </w:rPr>
        <w:t>REFERENCES</w:t>
      </w:r>
    </w:p>
    <w:p w:rsidR="00DC6DCB" w:rsidRPr="00DC6DCB" w:rsidRDefault="00825332" w:rsidP="00DC6DCB">
      <w:pPr>
        <w:widowControl w:val="0"/>
        <w:autoSpaceDE w:val="0"/>
        <w:autoSpaceDN w:val="0"/>
        <w:adjustRightInd w:val="0"/>
        <w:spacing w:before="100" w:after="100" w:line="480" w:lineRule="auto"/>
        <w:ind w:left="640" w:hanging="640"/>
        <w:rPr>
          <w:rFonts w:ascii="Calibri" w:hAnsi="Calibri"/>
          <w:noProof/>
        </w:rPr>
      </w:pPr>
      <w:r w:rsidRPr="00923CE9">
        <w:rPr>
          <w:rFonts w:ascii="Calibri" w:hAnsi="Calibri" w:cs="Arial"/>
          <w:lang w:val="en-US"/>
        </w:rPr>
        <w:fldChar w:fldCharType="begin" w:fldLock="1"/>
      </w:r>
      <w:r w:rsidR="00A1542A" w:rsidRPr="00923CE9">
        <w:rPr>
          <w:rFonts w:ascii="Calibri" w:hAnsi="Calibri" w:cs="Arial"/>
          <w:lang w:val="en-US"/>
        </w:rPr>
        <w:instrText xml:space="preserve">ADDIN Mendeley Bibliography CSL_BIBLIOGRAPHY </w:instrText>
      </w:r>
      <w:r w:rsidRPr="00923CE9">
        <w:rPr>
          <w:rFonts w:ascii="Calibri" w:hAnsi="Calibri" w:cs="Arial"/>
          <w:lang w:val="en-US"/>
        </w:rPr>
        <w:fldChar w:fldCharType="separate"/>
      </w:r>
      <w:r w:rsidR="00DC6DCB" w:rsidRPr="00DC6DCB">
        <w:rPr>
          <w:rFonts w:ascii="Calibri" w:hAnsi="Calibri"/>
          <w:noProof/>
        </w:rPr>
        <w:t xml:space="preserve">1 </w:t>
      </w:r>
      <w:r w:rsidR="00DC6DCB" w:rsidRPr="00DC6DCB">
        <w:rPr>
          <w:rFonts w:ascii="Calibri" w:hAnsi="Calibri"/>
          <w:noProof/>
        </w:rPr>
        <w:tab/>
        <w:t xml:space="preserve">Maron BJ, Ommen SR, Semsarian C, </w:t>
      </w:r>
      <w:r w:rsidR="00DC6DCB" w:rsidRPr="00DC6DCB">
        <w:rPr>
          <w:rFonts w:ascii="Calibri" w:hAnsi="Calibri"/>
          <w:i/>
          <w:iCs/>
          <w:noProof/>
        </w:rPr>
        <w:t>et al.</w:t>
      </w:r>
      <w:r w:rsidR="00DC6DCB" w:rsidRPr="00DC6DCB">
        <w:rPr>
          <w:rFonts w:ascii="Calibri" w:hAnsi="Calibri"/>
          <w:noProof/>
        </w:rPr>
        <w:t xml:space="preserve"> Hypertrophic Cardiomyopathy: Present and Future, With Translation Into Contemporary Cardiovascular Medicine. </w:t>
      </w:r>
      <w:r w:rsidR="00DC6DCB" w:rsidRPr="00DC6DCB">
        <w:rPr>
          <w:rFonts w:ascii="Calibri" w:hAnsi="Calibri"/>
          <w:i/>
          <w:iCs/>
          <w:noProof/>
        </w:rPr>
        <w:t>J Am Coll Cardiol</w:t>
      </w:r>
      <w:r w:rsidR="00DC6DCB" w:rsidRPr="00DC6DCB">
        <w:rPr>
          <w:rFonts w:ascii="Calibri" w:hAnsi="Calibri"/>
          <w:noProof/>
        </w:rPr>
        <w:t xml:space="preserve"> 2014;</w:t>
      </w:r>
      <w:r w:rsidR="00DC6DCB" w:rsidRPr="00DC6DCB">
        <w:rPr>
          <w:rFonts w:ascii="Calibri" w:hAnsi="Calibri"/>
          <w:b/>
          <w:bCs/>
          <w:noProof/>
        </w:rPr>
        <w:t>64</w:t>
      </w:r>
      <w:r w:rsidR="00DC6DCB" w:rsidRPr="00DC6DCB">
        <w:rPr>
          <w:rFonts w:ascii="Calibri" w:hAnsi="Calibri"/>
          <w:noProof/>
        </w:rPr>
        <w:t>:83–99. doi:10.1016/j.jacc.2014.05.003</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2 </w:t>
      </w:r>
      <w:r w:rsidRPr="00DC6DCB">
        <w:rPr>
          <w:rFonts w:ascii="Calibri" w:hAnsi="Calibri"/>
          <w:noProof/>
        </w:rPr>
        <w:tab/>
        <w:t xml:space="preserve">Basavarajaiah S, Boraita A, Whyte G, </w:t>
      </w:r>
      <w:r w:rsidRPr="00DC6DCB">
        <w:rPr>
          <w:rFonts w:ascii="Calibri" w:hAnsi="Calibri"/>
          <w:i/>
          <w:iCs/>
          <w:noProof/>
        </w:rPr>
        <w:t>et al.</w:t>
      </w:r>
      <w:r w:rsidRPr="00DC6DCB">
        <w:rPr>
          <w:rFonts w:ascii="Calibri" w:hAnsi="Calibri"/>
          <w:noProof/>
        </w:rPr>
        <w:t xml:space="preserve"> Ethnic differences in left ventricular remodeling in highly-trained athletes relevance to differentiating physiologic left ventricular hypertrophy from hypertrophic cardiomyopathy. </w:t>
      </w:r>
      <w:r w:rsidRPr="00DC6DCB">
        <w:rPr>
          <w:rFonts w:ascii="Calibri" w:hAnsi="Calibri"/>
          <w:i/>
          <w:iCs/>
          <w:noProof/>
        </w:rPr>
        <w:t>J Am Coll Cardiol</w:t>
      </w:r>
      <w:r w:rsidRPr="00DC6DCB">
        <w:rPr>
          <w:rFonts w:ascii="Calibri" w:hAnsi="Calibri"/>
          <w:noProof/>
        </w:rPr>
        <w:t xml:space="preserve"> 2008;</w:t>
      </w:r>
      <w:r w:rsidRPr="00DC6DCB">
        <w:rPr>
          <w:rFonts w:ascii="Calibri" w:hAnsi="Calibri"/>
          <w:b/>
          <w:bCs/>
          <w:noProof/>
        </w:rPr>
        <w:t>51</w:t>
      </w:r>
      <w:r w:rsidRPr="00DC6DCB">
        <w:rPr>
          <w:rFonts w:ascii="Calibri" w:hAnsi="Calibri"/>
          <w:noProof/>
        </w:rPr>
        <w:t>:2256–62. doi:10.1016/j.jacc.2007.12.061</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3 </w:t>
      </w:r>
      <w:r w:rsidRPr="00DC6DCB">
        <w:rPr>
          <w:rFonts w:ascii="Calibri" w:hAnsi="Calibri"/>
          <w:noProof/>
        </w:rPr>
        <w:tab/>
        <w:t xml:space="preserve">Papadakis M, Carre F, Kervio G, </w:t>
      </w:r>
      <w:r w:rsidRPr="00DC6DCB">
        <w:rPr>
          <w:rFonts w:ascii="Calibri" w:hAnsi="Calibri"/>
          <w:i/>
          <w:iCs/>
          <w:noProof/>
        </w:rPr>
        <w:t>et al.</w:t>
      </w:r>
      <w:r w:rsidRPr="00DC6DCB">
        <w:rPr>
          <w:rFonts w:ascii="Calibri" w:hAnsi="Calibri"/>
          <w:noProof/>
        </w:rPr>
        <w:t xml:space="preserve"> The prevalence, distribution, and clinical outcomes of electrocardiographic repolarization patterns in male athletes of African/Afro-Caribbean origin. </w:t>
      </w:r>
      <w:r w:rsidRPr="00DC6DCB">
        <w:rPr>
          <w:rFonts w:ascii="Calibri" w:hAnsi="Calibri"/>
          <w:i/>
          <w:iCs/>
          <w:noProof/>
        </w:rPr>
        <w:t>Eur Heart J</w:t>
      </w:r>
      <w:r w:rsidRPr="00DC6DCB">
        <w:rPr>
          <w:rFonts w:ascii="Calibri" w:hAnsi="Calibri"/>
          <w:noProof/>
        </w:rPr>
        <w:t xml:space="preserve"> 2011;</w:t>
      </w:r>
      <w:r w:rsidRPr="00DC6DCB">
        <w:rPr>
          <w:rFonts w:ascii="Calibri" w:hAnsi="Calibri"/>
          <w:b/>
          <w:bCs/>
          <w:noProof/>
        </w:rPr>
        <w:t>32</w:t>
      </w:r>
      <w:r w:rsidRPr="00DC6DCB">
        <w:rPr>
          <w:rFonts w:ascii="Calibri" w:hAnsi="Calibri"/>
          <w:noProof/>
        </w:rPr>
        <w:t>:2304–13. doi:10.1093/eurheartj/ehr140</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4 </w:t>
      </w:r>
      <w:r w:rsidRPr="00DC6DCB">
        <w:rPr>
          <w:rFonts w:ascii="Calibri" w:hAnsi="Calibri"/>
          <w:noProof/>
        </w:rPr>
        <w:tab/>
        <w:t xml:space="preserve">Mayet J, Shahi M, Foale R. Racial differences in cardiac structure and function in essential hypertension. </w:t>
      </w:r>
      <w:r w:rsidRPr="00DC6DCB">
        <w:rPr>
          <w:rFonts w:ascii="Calibri" w:hAnsi="Calibri"/>
          <w:i/>
          <w:iCs/>
          <w:noProof/>
        </w:rPr>
        <w:t>Br Med J</w:t>
      </w:r>
      <w:r w:rsidRPr="00DC6DCB">
        <w:rPr>
          <w:rFonts w:ascii="Calibri" w:hAnsi="Calibri"/>
          <w:noProof/>
        </w:rPr>
        <w:t xml:space="preserve"> 1994;</w:t>
      </w:r>
      <w:r w:rsidRPr="00DC6DCB">
        <w:rPr>
          <w:rFonts w:ascii="Calibri" w:hAnsi="Calibri"/>
          <w:b/>
          <w:bCs/>
          <w:noProof/>
        </w:rPr>
        <w:t>308</w:t>
      </w:r>
      <w:r w:rsidRPr="00DC6DCB">
        <w:rPr>
          <w:rFonts w:ascii="Calibri" w:hAnsi="Calibri"/>
          <w:noProof/>
        </w:rPr>
        <w:t>:1011–4.http://www.ncbi.nlm.nih.gov/pmc/articles/PMC2539901/ (accessed 15 Sep2013).</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5 </w:t>
      </w:r>
      <w:r w:rsidRPr="00DC6DCB">
        <w:rPr>
          <w:rFonts w:ascii="Calibri" w:hAnsi="Calibri"/>
          <w:noProof/>
        </w:rPr>
        <w:tab/>
        <w:t xml:space="preserve">Kizer JR, Arnett DK, Bella JN, </w:t>
      </w:r>
      <w:r w:rsidRPr="00DC6DCB">
        <w:rPr>
          <w:rFonts w:ascii="Calibri" w:hAnsi="Calibri"/>
          <w:i/>
          <w:iCs/>
          <w:noProof/>
        </w:rPr>
        <w:t>et al.</w:t>
      </w:r>
      <w:r w:rsidRPr="00DC6DCB">
        <w:rPr>
          <w:rFonts w:ascii="Calibri" w:hAnsi="Calibri"/>
          <w:noProof/>
        </w:rPr>
        <w:t xml:space="preserve"> Differences in left ventricular structure between black and white hypertensive adults: the Hypertension Genetic Epidemiology Network study. </w:t>
      </w:r>
      <w:r w:rsidRPr="00DC6DCB">
        <w:rPr>
          <w:rFonts w:ascii="Calibri" w:hAnsi="Calibri"/>
          <w:i/>
          <w:iCs/>
          <w:noProof/>
        </w:rPr>
        <w:t>Hypertension</w:t>
      </w:r>
      <w:r w:rsidRPr="00DC6DCB">
        <w:rPr>
          <w:rFonts w:ascii="Calibri" w:hAnsi="Calibri"/>
          <w:noProof/>
        </w:rPr>
        <w:t xml:space="preserve"> 2004;</w:t>
      </w:r>
      <w:r w:rsidRPr="00DC6DCB">
        <w:rPr>
          <w:rFonts w:ascii="Calibri" w:hAnsi="Calibri"/>
          <w:b/>
          <w:bCs/>
          <w:noProof/>
        </w:rPr>
        <w:t>43</w:t>
      </w:r>
      <w:r w:rsidRPr="00DC6DCB">
        <w:rPr>
          <w:rFonts w:ascii="Calibri" w:hAnsi="Calibri"/>
          <w:noProof/>
        </w:rPr>
        <w:t>:1182–8. doi:10.1161/01.HYP.0000128738.94190.9f</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6 </w:t>
      </w:r>
      <w:r w:rsidRPr="00DC6DCB">
        <w:rPr>
          <w:rFonts w:ascii="Calibri" w:hAnsi="Calibri"/>
          <w:noProof/>
        </w:rPr>
        <w:tab/>
        <w:t xml:space="preserve">Magalski A, Maron BJ, Main ML, </w:t>
      </w:r>
      <w:r w:rsidRPr="00DC6DCB">
        <w:rPr>
          <w:rFonts w:ascii="Calibri" w:hAnsi="Calibri"/>
          <w:i/>
          <w:iCs/>
          <w:noProof/>
        </w:rPr>
        <w:t>et al.</w:t>
      </w:r>
      <w:r w:rsidRPr="00DC6DCB">
        <w:rPr>
          <w:rFonts w:ascii="Calibri" w:hAnsi="Calibri"/>
          <w:noProof/>
        </w:rPr>
        <w:t xml:space="preserve"> Relation of race to electrocardiographic patterns in elite American football players. </w:t>
      </w:r>
      <w:r w:rsidRPr="00DC6DCB">
        <w:rPr>
          <w:rFonts w:ascii="Calibri" w:hAnsi="Calibri"/>
          <w:i/>
          <w:iCs/>
          <w:noProof/>
        </w:rPr>
        <w:t>J Am Coll Cardiol</w:t>
      </w:r>
      <w:r w:rsidRPr="00DC6DCB">
        <w:rPr>
          <w:rFonts w:ascii="Calibri" w:hAnsi="Calibri"/>
          <w:noProof/>
        </w:rPr>
        <w:t xml:space="preserve"> 2008;</w:t>
      </w:r>
      <w:r w:rsidRPr="00DC6DCB">
        <w:rPr>
          <w:rFonts w:ascii="Calibri" w:hAnsi="Calibri"/>
          <w:b/>
          <w:bCs/>
          <w:noProof/>
        </w:rPr>
        <w:t>51</w:t>
      </w:r>
      <w:r w:rsidRPr="00DC6DCB">
        <w:rPr>
          <w:rFonts w:ascii="Calibri" w:hAnsi="Calibri"/>
          <w:noProof/>
        </w:rPr>
        <w:t>:2250–5. doi:10.1016/j.jacc.2008.01.065</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7 </w:t>
      </w:r>
      <w:r w:rsidRPr="00DC6DCB">
        <w:rPr>
          <w:rFonts w:ascii="Calibri" w:hAnsi="Calibri"/>
          <w:noProof/>
        </w:rPr>
        <w:tab/>
        <w:t xml:space="preserve">Drazner MH, Dries DL, Peshock RM, </w:t>
      </w:r>
      <w:r w:rsidRPr="00DC6DCB">
        <w:rPr>
          <w:rFonts w:ascii="Calibri" w:hAnsi="Calibri"/>
          <w:i/>
          <w:iCs/>
          <w:noProof/>
        </w:rPr>
        <w:t>et al.</w:t>
      </w:r>
      <w:r w:rsidRPr="00DC6DCB">
        <w:rPr>
          <w:rFonts w:ascii="Calibri" w:hAnsi="Calibri"/>
          <w:noProof/>
        </w:rPr>
        <w:t xml:space="preserve"> Left ventricular hypertrophy is more prevalent in blacks than whites in the general population: the Dallas Heart Study. </w:t>
      </w:r>
      <w:r w:rsidRPr="00DC6DCB">
        <w:rPr>
          <w:rFonts w:ascii="Calibri" w:hAnsi="Calibri"/>
          <w:i/>
          <w:iCs/>
          <w:noProof/>
        </w:rPr>
        <w:t>Hypertension</w:t>
      </w:r>
      <w:r w:rsidRPr="00DC6DCB">
        <w:rPr>
          <w:rFonts w:ascii="Calibri" w:hAnsi="Calibri"/>
          <w:noProof/>
        </w:rPr>
        <w:t xml:space="preserve"> 2005;</w:t>
      </w:r>
      <w:r w:rsidRPr="00DC6DCB">
        <w:rPr>
          <w:rFonts w:ascii="Calibri" w:hAnsi="Calibri"/>
          <w:b/>
          <w:bCs/>
          <w:noProof/>
        </w:rPr>
        <w:t>46</w:t>
      </w:r>
      <w:r w:rsidRPr="00DC6DCB">
        <w:rPr>
          <w:rFonts w:ascii="Calibri" w:hAnsi="Calibri"/>
          <w:noProof/>
        </w:rPr>
        <w:t>:124–9. doi:10.1161/01.HYP.0000169972.96201.8e</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8 </w:t>
      </w:r>
      <w:r w:rsidRPr="00DC6DCB">
        <w:rPr>
          <w:rFonts w:ascii="Calibri" w:hAnsi="Calibri"/>
          <w:noProof/>
        </w:rPr>
        <w:tab/>
        <w:t xml:space="preserve">Xie X, Liu K, Stamler J, </w:t>
      </w:r>
      <w:r w:rsidRPr="00DC6DCB">
        <w:rPr>
          <w:rFonts w:ascii="Calibri" w:hAnsi="Calibri"/>
          <w:i/>
          <w:iCs/>
          <w:noProof/>
        </w:rPr>
        <w:t>et al.</w:t>
      </w:r>
      <w:r w:rsidRPr="00DC6DCB">
        <w:rPr>
          <w:rFonts w:ascii="Calibri" w:hAnsi="Calibri"/>
          <w:noProof/>
        </w:rPr>
        <w:t xml:space="preserve"> Ethnic differences in electrocardiographic left ventricular hypertrophy in young and middle-aged employed American men. </w:t>
      </w:r>
      <w:r w:rsidRPr="00DC6DCB">
        <w:rPr>
          <w:rFonts w:ascii="Calibri" w:hAnsi="Calibri"/>
          <w:i/>
          <w:iCs/>
          <w:noProof/>
        </w:rPr>
        <w:t>Am J Cardiol</w:t>
      </w:r>
      <w:r w:rsidRPr="00DC6DCB">
        <w:rPr>
          <w:rFonts w:ascii="Calibri" w:hAnsi="Calibri"/>
          <w:noProof/>
        </w:rPr>
        <w:t xml:space="preserve"> 1994;</w:t>
      </w:r>
      <w:r w:rsidRPr="00DC6DCB">
        <w:rPr>
          <w:rFonts w:ascii="Calibri" w:hAnsi="Calibri"/>
          <w:b/>
          <w:bCs/>
          <w:noProof/>
        </w:rPr>
        <w:t>73</w:t>
      </w:r>
      <w:r w:rsidRPr="00DC6DCB">
        <w:rPr>
          <w:rFonts w:ascii="Calibri" w:hAnsi="Calibri"/>
          <w:noProof/>
        </w:rPr>
        <w:t>:564–7.http://www.ncbi.nlm.nih.gov/pubmed/8147301</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9 </w:t>
      </w:r>
      <w:r w:rsidRPr="00DC6DCB">
        <w:rPr>
          <w:rFonts w:ascii="Calibri" w:hAnsi="Calibri"/>
          <w:noProof/>
        </w:rPr>
        <w:tab/>
        <w:t xml:space="preserve">Hennis A, Wu S-Y, Nemesure B, </w:t>
      </w:r>
      <w:r w:rsidRPr="00DC6DCB">
        <w:rPr>
          <w:rFonts w:ascii="Calibri" w:hAnsi="Calibri"/>
          <w:i/>
          <w:iCs/>
          <w:noProof/>
        </w:rPr>
        <w:t>et al.</w:t>
      </w:r>
      <w:r w:rsidRPr="00DC6DCB">
        <w:rPr>
          <w:rFonts w:ascii="Calibri" w:hAnsi="Calibri"/>
          <w:noProof/>
        </w:rPr>
        <w:t xml:space="preserve"> Hypertension prevalence, control and survivorship in an Afro-Caribbean population. </w:t>
      </w:r>
      <w:r w:rsidRPr="00DC6DCB">
        <w:rPr>
          <w:rFonts w:ascii="Calibri" w:hAnsi="Calibri"/>
          <w:i/>
          <w:iCs/>
          <w:noProof/>
        </w:rPr>
        <w:t>J Hypertens</w:t>
      </w:r>
      <w:r w:rsidRPr="00DC6DCB">
        <w:rPr>
          <w:rFonts w:ascii="Calibri" w:hAnsi="Calibri"/>
          <w:noProof/>
        </w:rPr>
        <w:t xml:space="preserve"> 2002;</w:t>
      </w:r>
      <w:r w:rsidRPr="00DC6DCB">
        <w:rPr>
          <w:rFonts w:ascii="Calibri" w:hAnsi="Calibri"/>
          <w:b/>
          <w:bCs/>
          <w:noProof/>
        </w:rPr>
        <w:t>20</w:t>
      </w:r>
      <w:r w:rsidRPr="00DC6DCB">
        <w:rPr>
          <w:rFonts w:ascii="Calibri" w:hAnsi="Calibri"/>
          <w:noProof/>
        </w:rPr>
        <w:t>:2363–9. doi:10.1097/01.hjh.0000042898.83309.0a</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10 </w:t>
      </w:r>
      <w:r w:rsidRPr="00DC6DCB">
        <w:rPr>
          <w:rFonts w:ascii="Calibri" w:hAnsi="Calibri"/>
          <w:noProof/>
        </w:rPr>
        <w:tab/>
        <w:t xml:space="preserve">Wright JT, Dunn JK, Cutler J a, </w:t>
      </w:r>
      <w:r w:rsidRPr="00DC6DCB">
        <w:rPr>
          <w:rFonts w:ascii="Calibri" w:hAnsi="Calibri"/>
          <w:i/>
          <w:iCs/>
          <w:noProof/>
        </w:rPr>
        <w:t>et al.</w:t>
      </w:r>
      <w:r w:rsidRPr="00DC6DCB">
        <w:rPr>
          <w:rFonts w:ascii="Calibri" w:hAnsi="Calibri"/>
          <w:noProof/>
        </w:rPr>
        <w:t xml:space="preserve"> Outcomes in hypertensive black and nonblack patients treated with chlorthalidone, amlodipine, and lisinopril. </w:t>
      </w:r>
      <w:r w:rsidRPr="00DC6DCB">
        <w:rPr>
          <w:rFonts w:ascii="Calibri" w:hAnsi="Calibri"/>
          <w:i/>
          <w:iCs/>
          <w:noProof/>
        </w:rPr>
        <w:t>JAMA</w:t>
      </w:r>
      <w:r w:rsidRPr="00DC6DCB">
        <w:rPr>
          <w:rFonts w:ascii="Calibri" w:hAnsi="Calibri"/>
          <w:noProof/>
        </w:rPr>
        <w:t xml:space="preserve"> 2005;</w:t>
      </w:r>
      <w:r w:rsidRPr="00DC6DCB">
        <w:rPr>
          <w:rFonts w:ascii="Calibri" w:hAnsi="Calibri"/>
          <w:b/>
          <w:bCs/>
          <w:noProof/>
        </w:rPr>
        <w:t>293</w:t>
      </w:r>
      <w:r w:rsidRPr="00DC6DCB">
        <w:rPr>
          <w:rFonts w:ascii="Calibri" w:hAnsi="Calibri"/>
          <w:noProof/>
        </w:rPr>
        <w:t>:1595–608. doi:10.1016/j.accreview.2005.06.027</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11 </w:t>
      </w:r>
      <w:r w:rsidRPr="00DC6DCB">
        <w:rPr>
          <w:rFonts w:ascii="Calibri" w:hAnsi="Calibri"/>
          <w:noProof/>
        </w:rPr>
        <w:tab/>
        <w:t xml:space="preserve">Cannan CR, Reeder GS, Bailey KR, </w:t>
      </w:r>
      <w:r w:rsidRPr="00DC6DCB">
        <w:rPr>
          <w:rFonts w:ascii="Calibri" w:hAnsi="Calibri"/>
          <w:i/>
          <w:iCs/>
          <w:noProof/>
        </w:rPr>
        <w:t>et al.</w:t>
      </w:r>
      <w:r w:rsidRPr="00DC6DCB">
        <w:rPr>
          <w:rFonts w:ascii="Calibri" w:hAnsi="Calibri"/>
          <w:noProof/>
        </w:rPr>
        <w:t xml:space="preserve"> Natural history of hypertrophic cardiomyopathy. A population-based study, 1976 through 1990. </w:t>
      </w:r>
      <w:r w:rsidRPr="00DC6DCB">
        <w:rPr>
          <w:rFonts w:ascii="Calibri" w:hAnsi="Calibri"/>
          <w:i/>
          <w:iCs/>
          <w:noProof/>
        </w:rPr>
        <w:t>Circulation</w:t>
      </w:r>
      <w:r w:rsidRPr="00DC6DCB">
        <w:rPr>
          <w:rFonts w:ascii="Calibri" w:hAnsi="Calibri"/>
          <w:noProof/>
        </w:rPr>
        <w:t xml:space="preserve"> 1995;</w:t>
      </w:r>
      <w:r w:rsidRPr="00DC6DCB">
        <w:rPr>
          <w:rFonts w:ascii="Calibri" w:hAnsi="Calibri"/>
          <w:b/>
          <w:bCs/>
          <w:noProof/>
        </w:rPr>
        <w:t>92</w:t>
      </w:r>
      <w:r w:rsidRPr="00DC6DCB">
        <w:rPr>
          <w:rFonts w:ascii="Calibri" w:hAnsi="Calibri"/>
          <w:noProof/>
        </w:rPr>
        <w:t>:2488–95. doi:10.1161/01.CIR.92.9.2488</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12 </w:t>
      </w:r>
      <w:r w:rsidRPr="00DC6DCB">
        <w:rPr>
          <w:rFonts w:ascii="Calibri" w:hAnsi="Calibri"/>
          <w:noProof/>
        </w:rPr>
        <w:tab/>
        <w:t xml:space="preserve">Maron BJ, Carney KP, Lever HM, </w:t>
      </w:r>
      <w:r w:rsidRPr="00DC6DCB">
        <w:rPr>
          <w:rFonts w:ascii="Calibri" w:hAnsi="Calibri"/>
          <w:i/>
          <w:iCs/>
          <w:noProof/>
        </w:rPr>
        <w:t>et al.</w:t>
      </w:r>
      <w:r w:rsidRPr="00DC6DCB">
        <w:rPr>
          <w:rFonts w:ascii="Calibri" w:hAnsi="Calibri"/>
          <w:noProof/>
        </w:rPr>
        <w:t xml:space="preserve"> Relationship of race to sudden cardiac death in competitive athletes with hypertrophic cardiomyopathy. </w:t>
      </w:r>
      <w:r w:rsidRPr="00DC6DCB">
        <w:rPr>
          <w:rFonts w:ascii="Calibri" w:hAnsi="Calibri"/>
          <w:i/>
          <w:iCs/>
          <w:noProof/>
        </w:rPr>
        <w:t>J Am Coll Cardiol</w:t>
      </w:r>
      <w:r w:rsidRPr="00DC6DCB">
        <w:rPr>
          <w:rFonts w:ascii="Calibri" w:hAnsi="Calibri"/>
          <w:noProof/>
        </w:rPr>
        <w:t xml:space="preserve"> 2003;</w:t>
      </w:r>
      <w:r w:rsidRPr="00DC6DCB">
        <w:rPr>
          <w:rFonts w:ascii="Calibri" w:hAnsi="Calibri"/>
          <w:b/>
          <w:bCs/>
          <w:noProof/>
        </w:rPr>
        <w:t>41</w:t>
      </w:r>
      <w:r w:rsidRPr="00DC6DCB">
        <w:rPr>
          <w:rFonts w:ascii="Calibri" w:hAnsi="Calibri"/>
          <w:noProof/>
        </w:rPr>
        <w:t>:974–80.</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13 </w:t>
      </w:r>
      <w:r w:rsidRPr="00DC6DCB">
        <w:rPr>
          <w:rFonts w:ascii="Calibri" w:hAnsi="Calibri"/>
          <w:noProof/>
        </w:rPr>
        <w:tab/>
        <w:t xml:space="preserve">Gersh BJ, Maron BJ, Bonow RO, </w:t>
      </w:r>
      <w:r w:rsidRPr="00DC6DCB">
        <w:rPr>
          <w:rFonts w:ascii="Calibri" w:hAnsi="Calibri"/>
          <w:i/>
          <w:iCs/>
          <w:noProof/>
        </w:rPr>
        <w:t>et al.</w:t>
      </w:r>
      <w:r w:rsidRPr="00DC6DCB">
        <w:rPr>
          <w:rFonts w:ascii="Calibri" w:hAnsi="Calibri"/>
          <w:noProof/>
        </w:rPr>
        <w:t xml:space="preserve"> 2011 ACCF/AHA Guideline for the Diagnosis and Treatment of Hypertrophic Cardiomyopathy. </w:t>
      </w:r>
      <w:r w:rsidRPr="00DC6DCB">
        <w:rPr>
          <w:rFonts w:ascii="Calibri" w:hAnsi="Calibri"/>
          <w:i/>
          <w:iCs/>
          <w:noProof/>
        </w:rPr>
        <w:t>J Am Coll Cardiol</w:t>
      </w:r>
      <w:r w:rsidRPr="00DC6DCB">
        <w:rPr>
          <w:rFonts w:ascii="Calibri" w:hAnsi="Calibri"/>
          <w:noProof/>
        </w:rPr>
        <w:t xml:space="preserve"> 2011;</w:t>
      </w:r>
      <w:r w:rsidRPr="00DC6DCB">
        <w:rPr>
          <w:rFonts w:ascii="Calibri" w:hAnsi="Calibri"/>
          <w:b/>
          <w:bCs/>
          <w:noProof/>
        </w:rPr>
        <w:t>58</w:t>
      </w:r>
      <w:r w:rsidRPr="00DC6DCB">
        <w:rPr>
          <w:rFonts w:ascii="Calibri" w:hAnsi="Calibri"/>
          <w:noProof/>
        </w:rPr>
        <w:t>:e212–60. doi:10.1016/j.jacc.2011.06.011</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14 </w:t>
      </w:r>
      <w:r w:rsidRPr="00DC6DCB">
        <w:rPr>
          <w:rFonts w:ascii="Calibri" w:hAnsi="Calibri"/>
          <w:noProof/>
        </w:rPr>
        <w:tab/>
        <w:t xml:space="preserve">Chobanian A V., Bakris GL, Black HR, </w:t>
      </w:r>
      <w:r w:rsidRPr="00DC6DCB">
        <w:rPr>
          <w:rFonts w:ascii="Calibri" w:hAnsi="Calibri"/>
          <w:i/>
          <w:iCs/>
          <w:noProof/>
        </w:rPr>
        <w:t>et al.</w:t>
      </w:r>
      <w:r w:rsidRPr="00DC6DCB">
        <w:rPr>
          <w:rFonts w:ascii="Calibri" w:hAnsi="Calibri"/>
          <w:noProof/>
        </w:rPr>
        <w:t xml:space="preserve"> Seventh report of the Joint National Committee on Prevention, Detection, Evaluation, and Treatment of High Blood Pressure. </w:t>
      </w:r>
      <w:r w:rsidRPr="00DC6DCB">
        <w:rPr>
          <w:rFonts w:ascii="Calibri" w:hAnsi="Calibri"/>
          <w:i/>
          <w:iCs/>
          <w:noProof/>
        </w:rPr>
        <w:t>Hypertension</w:t>
      </w:r>
      <w:r w:rsidRPr="00DC6DCB">
        <w:rPr>
          <w:rFonts w:ascii="Calibri" w:hAnsi="Calibri"/>
          <w:noProof/>
        </w:rPr>
        <w:t xml:space="preserve"> 2003;</w:t>
      </w:r>
      <w:r w:rsidRPr="00DC6DCB">
        <w:rPr>
          <w:rFonts w:ascii="Calibri" w:hAnsi="Calibri"/>
          <w:b/>
          <w:bCs/>
          <w:noProof/>
        </w:rPr>
        <w:t>42</w:t>
      </w:r>
      <w:r w:rsidRPr="00DC6DCB">
        <w:rPr>
          <w:rFonts w:ascii="Calibri" w:hAnsi="Calibri"/>
          <w:noProof/>
        </w:rPr>
        <w:t>:1206–52. doi:10.1161/01.HYP.0000107251.49515.c2</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15 </w:t>
      </w:r>
      <w:r w:rsidRPr="00DC6DCB">
        <w:rPr>
          <w:rFonts w:ascii="Calibri" w:hAnsi="Calibri"/>
          <w:noProof/>
        </w:rPr>
        <w:tab/>
        <w:t xml:space="preserve">Klues HG, Schiffers  a, Maron BJ. Phenotypic spectrum and patterns of left ventricular hypertrophy in hypertrophic cardiomyopathy: morphologic observations and significance as assessed by two-dimensional echocardiography in 600 patients. </w:t>
      </w:r>
      <w:r w:rsidRPr="00DC6DCB">
        <w:rPr>
          <w:rFonts w:ascii="Calibri" w:hAnsi="Calibri"/>
          <w:i/>
          <w:iCs/>
          <w:noProof/>
        </w:rPr>
        <w:t>J Am Coll Cardiol</w:t>
      </w:r>
      <w:r w:rsidRPr="00DC6DCB">
        <w:rPr>
          <w:rFonts w:ascii="Calibri" w:hAnsi="Calibri"/>
          <w:noProof/>
        </w:rPr>
        <w:t xml:space="preserve"> 1995;</w:t>
      </w:r>
      <w:r w:rsidRPr="00DC6DCB">
        <w:rPr>
          <w:rFonts w:ascii="Calibri" w:hAnsi="Calibri"/>
          <w:b/>
          <w:bCs/>
          <w:noProof/>
        </w:rPr>
        <w:t>26</w:t>
      </w:r>
      <w:r w:rsidRPr="00DC6DCB">
        <w:rPr>
          <w:rFonts w:ascii="Calibri" w:hAnsi="Calibri"/>
          <w:noProof/>
        </w:rPr>
        <w:t>:1699–708. doi:10.1016/0735-1097(95)00390-8</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16 </w:t>
      </w:r>
      <w:r w:rsidRPr="00DC6DCB">
        <w:rPr>
          <w:rFonts w:ascii="Calibri" w:hAnsi="Calibri"/>
          <w:noProof/>
        </w:rPr>
        <w:tab/>
        <w:t xml:space="preserve">Binder J, Ommen SR, Gersh BJ, </w:t>
      </w:r>
      <w:r w:rsidRPr="00DC6DCB">
        <w:rPr>
          <w:rFonts w:ascii="Calibri" w:hAnsi="Calibri"/>
          <w:i/>
          <w:iCs/>
          <w:noProof/>
        </w:rPr>
        <w:t>et al.</w:t>
      </w:r>
      <w:r w:rsidRPr="00DC6DCB">
        <w:rPr>
          <w:rFonts w:ascii="Calibri" w:hAnsi="Calibri"/>
          <w:noProof/>
        </w:rPr>
        <w:t xml:space="preserve"> Echocardiography-guided genetic testing in hypertrophic cardiomyopathy: septal morphological features predict the presence of myofilament mutations. </w:t>
      </w:r>
      <w:r w:rsidRPr="00DC6DCB">
        <w:rPr>
          <w:rFonts w:ascii="Calibri" w:hAnsi="Calibri"/>
          <w:i/>
          <w:iCs/>
          <w:noProof/>
        </w:rPr>
        <w:t>Mayo Clin Proc</w:t>
      </w:r>
      <w:r w:rsidRPr="00DC6DCB">
        <w:rPr>
          <w:rFonts w:ascii="Calibri" w:hAnsi="Calibri"/>
          <w:noProof/>
        </w:rPr>
        <w:t xml:space="preserve"> 2006;</w:t>
      </w:r>
      <w:r w:rsidRPr="00DC6DCB">
        <w:rPr>
          <w:rFonts w:ascii="Calibri" w:hAnsi="Calibri"/>
          <w:b/>
          <w:bCs/>
          <w:noProof/>
        </w:rPr>
        <w:t>81</w:t>
      </w:r>
      <w:r w:rsidRPr="00DC6DCB">
        <w:rPr>
          <w:rFonts w:ascii="Calibri" w:hAnsi="Calibri"/>
          <w:noProof/>
        </w:rPr>
        <w:t>:459–67. doi:10.4065/81.4.459</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17 </w:t>
      </w:r>
      <w:r w:rsidRPr="00DC6DCB">
        <w:rPr>
          <w:rFonts w:ascii="Calibri" w:hAnsi="Calibri"/>
          <w:noProof/>
        </w:rPr>
        <w:tab/>
        <w:t xml:space="preserve">Elliott PM, Anastasakis A, Borger MA, </w:t>
      </w:r>
      <w:r w:rsidRPr="00DC6DCB">
        <w:rPr>
          <w:rFonts w:ascii="Calibri" w:hAnsi="Calibri"/>
          <w:i/>
          <w:iCs/>
          <w:noProof/>
        </w:rPr>
        <w:t>et al.</w:t>
      </w:r>
      <w:r w:rsidRPr="00DC6DCB">
        <w:rPr>
          <w:rFonts w:ascii="Calibri" w:hAnsi="Calibri"/>
          <w:noProof/>
        </w:rPr>
        <w:t xml:space="preserve"> 2014 ESC Guidelines on diagnosis and management of hypertrophic cardiomyopathy. </w:t>
      </w:r>
      <w:r w:rsidRPr="00DC6DCB">
        <w:rPr>
          <w:rFonts w:ascii="Calibri" w:hAnsi="Calibri"/>
          <w:i/>
          <w:iCs/>
          <w:noProof/>
        </w:rPr>
        <w:t>Eur Heart J</w:t>
      </w:r>
      <w:r w:rsidRPr="00DC6DCB">
        <w:rPr>
          <w:rFonts w:ascii="Calibri" w:hAnsi="Calibri"/>
          <w:noProof/>
        </w:rPr>
        <w:t xml:space="preserve"> 2014;</w:t>
      </w:r>
      <w:r w:rsidRPr="00DC6DCB">
        <w:rPr>
          <w:rFonts w:ascii="Calibri" w:hAnsi="Calibri"/>
          <w:b/>
          <w:bCs/>
          <w:noProof/>
        </w:rPr>
        <w:t>35</w:t>
      </w:r>
      <w:r w:rsidRPr="00DC6DCB">
        <w:rPr>
          <w:rFonts w:ascii="Calibri" w:hAnsi="Calibri"/>
          <w:noProof/>
        </w:rPr>
        <w:t>:2733–79.</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18 </w:t>
      </w:r>
      <w:r w:rsidRPr="00DC6DCB">
        <w:rPr>
          <w:rFonts w:ascii="Calibri" w:hAnsi="Calibri"/>
          <w:noProof/>
        </w:rPr>
        <w:tab/>
        <w:t xml:space="preserve">Sokolow M, Lyon T. The ventricular complex in left ventricular hypertrophy as obtained by unipolar precordial and limb leads. </w:t>
      </w:r>
      <w:r w:rsidRPr="00DC6DCB">
        <w:rPr>
          <w:rFonts w:ascii="Calibri" w:hAnsi="Calibri"/>
          <w:i/>
          <w:iCs/>
          <w:noProof/>
        </w:rPr>
        <w:t>Am Heart J</w:t>
      </w:r>
      <w:r w:rsidRPr="00DC6DCB">
        <w:rPr>
          <w:rFonts w:ascii="Calibri" w:hAnsi="Calibri"/>
          <w:noProof/>
        </w:rPr>
        <w:t xml:space="preserve"> 1949;</w:t>
      </w:r>
      <w:r w:rsidRPr="00DC6DCB">
        <w:rPr>
          <w:rFonts w:ascii="Calibri" w:hAnsi="Calibri"/>
          <w:b/>
          <w:bCs/>
          <w:noProof/>
        </w:rPr>
        <w:t>37</w:t>
      </w:r>
      <w:r w:rsidRPr="00DC6DCB">
        <w:rPr>
          <w:rFonts w:ascii="Calibri" w:hAnsi="Calibri"/>
          <w:noProof/>
        </w:rPr>
        <w:t>:161–86.</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19 </w:t>
      </w:r>
      <w:r w:rsidRPr="00DC6DCB">
        <w:rPr>
          <w:rFonts w:ascii="Calibri" w:hAnsi="Calibri"/>
          <w:noProof/>
        </w:rPr>
        <w:tab/>
        <w:t xml:space="preserve">Lang RM, Bierig M, Devereux RB, </w:t>
      </w:r>
      <w:r w:rsidRPr="00DC6DCB">
        <w:rPr>
          <w:rFonts w:ascii="Calibri" w:hAnsi="Calibri"/>
          <w:i/>
          <w:iCs/>
          <w:noProof/>
        </w:rPr>
        <w:t>et al.</w:t>
      </w:r>
      <w:r w:rsidRPr="00DC6DCB">
        <w:rPr>
          <w:rFonts w:ascii="Calibri" w:hAnsi="Calibri"/>
          <w:noProof/>
        </w:rPr>
        <w:t xml:space="preserve"> Recommendations for chamber quantification. </w:t>
      </w:r>
      <w:r w:rsidRPr="00DC6DCB">
        <w:rPr>
          <w:rFonts w:ascii="Calibri" w:hAnsi="Calibri"/>
          <w:i/>
          <w:iCs/>
          <w:noProof/>
        </w:rPr>
        <w:t>Eur J Echocardiogr</w:t>
      </w:r>
      <w:r w:rsidRPr="00DC6DCB">
        <w:rPr>
          <w:rFonts w:ascii="Calibri" w:hAnsi="Calibri"/>
          <w:noProof/>
        </w:rPr>
        <w:t xml:space="preserve"> 2006;</w:t>
      </w:r>
      <w:r w:rsidRPr="00DC6DCB">
        <w:rPr>
          <w:rFonts w:ascii="Calibri" w:hAnsi="Calibri"/>
          <w:b/>
          <w:bCs/>
          <w:noProof/>
        </w:rPr>
        <w:t>7</w:t>
      </w:r>
      <w:r w:rsidRPr="00DC6DCB">
        <w:rPr>
          <w:rFonts w:ascii="Calibri" w:hAnsi="Calibri"/>
          <w:noProof/>
        </w:rPr>
        <w:t>:79–108. doi:10.1016/j.euje.2005.12.014</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20 </w:t>
      </w:r>
      <w:r w:rsidRPr="00DC6DCB">
        <w:rPr>
          <w:rFonts w:ascii="Calibri" w:hAnsi="Calibri"/>
          <w:noProof/>
        </w:rPr>
        <w:tab/>
        <w:t xml:space="preserve">Devereux RB. Detection of left ventricular hypertrophy by M-mode echocardiography. Anatomic validation, standardization, and comparison to other methods. </w:t>
      </w:r>
      <w:r w:rsidRPr="00DC6DCB">
        <w:rPr>
          <w:rFonts w:ascii="Calibri" w:hAnsi="Calibri"/>
          <w:i/>
          <w:iCs/>
          <w:noProof/>
        </w:rPr>
        <w:t>Hypertension</w:t>
      </w:r>
      <w:r w:rsidRPr="00DC6DCB">
        <w:rPr>
          <w:rFonts w:ascii="Calibri" w:hAnsi="Calibri"/>
          <w:noProof/>
        </w:rPr>
        <w:t xml:space="preserve"> 1987;</w:t>
      </w:r>
      <w:r w:rsidRPr="00DC6DCB">
        <w:rPr>
          <w:rFonts w:ascii="Calibri" w:hAnsi="Calibri"/>
          <w:b/>
          <w:bCs/>
          <w:noProof/>
        </w:rPr>
        <w:t>9</w:t>
      </w:r>
      <w:r w:rsidRPr="00DC6DCB">
        <w:rPr>
          <w:rFonts w:ascii="Calibri" w:hAnsi="Calibri"/>
          <w:noProof/>
        </w:rPr>
        <w:t>:II19–26.http://www.ncbi.nlm.nih.gov/pubmed/2948914 (accessed 10 Nov2013).</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21 </w:t>
      </w:r>
      <w:r w:rsidRPr="00DC6DCB">
        <w:rPr>
          <w:rFonts w:ascii="Calibri" w:hAnsi="Calibri"/>
          <w:noProof/>
        </w:rPr>
        <w:tab/>
        <w:t xml:space="preserve">Quiñones M a., Otto CM, Stoddard M, </w:t>
      </w:r>
      <w:r w:rsidRPr="00DC6DCB">
        <w:rPr>
          <w:rFonts w:ascii="Calibri" w:hAnsi="Calibri"/>
          <w:i/>
          <w:iCs/>
          <w:noProof/>
        </w:rPr>
        <w:t>et al.</w:t>
      </w:r>
      <w:r w:rsidRPr="00DC6DCB">
        <w:rPr>
          <w:rFonts w:ascii="Calibri" w:hAnsi="Calibri"/>
          <w:noProof/>
        </w:rPr>
        <w:t xml:space="preserve"> Recommendations for quantification of Doppler echocardiography. </w:t>
      </w:r>
      <w:r w:rsidRPr="00DC6DCB">
        <w:rPr>
          <w:rFonts w:ascii="Calibri" w:hAnsi="Calibri"/>
          <w:i/>
          <w:iCs/>
          <w:noProof/>
        </w:rPr>
        <w:t>J Am Soc Echocardiogr</w:t>
      </w:r>
      <w:r w:rsidRPr="00DC6DCB">
        <w:rPr>
          <w:rFonts w:ascii="Calibri" w:hAnsi="Calibri"/>
          <w:noProof/>
        </w:rPr>
        <w:t xml:space="preserve"> 2002;</w:t>
      </w:r>
      <w:r w:rsidRPr="00DC6DCB">
        <w:rPr>
          <w:rFonts w:ascii="Calibri" w:hAnsi="Calibri"/>
          <w:b/>
          <w:bCs/>
          <w:noProof/>
        </w:rPr>
        <w:t>15</w:t>
      </w:r>
      <w:r w:rsidRPr="00DC6DCB">
        <w:rPr>
          <w:rFonts w:ascii="Calibri" w:hAnsi="Calibri"/>
          <w:noProof/>
        </w:rPr>
        <w:t>:167–84. doi:10.1067/mje.2002.120202</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22 </w:t>
      </w:r>
      <w:r w:rsidRPr="00DC6DCB">
        <w:rPr>
          <w:rFonts w:ascii="Calibri" w:hAnsi="Calibri"/>
          <w:noProof/>
        </w:rPr>
        <w:tab/>
        <w:t xml:space="preserve">Bruce RA. Exercise testing of patients with coronary heart disease. Principles and normal standards for evaluation. </w:t>
      </w:r>
      <w:r w:rsidRPr="00DC6DCB">
        <w:rPr>
          <w:rFonts w:ascii="Calibri" w:hAnsi="Calibri"/>
          <w:i/>
          <w:iCs/>
          <w:noProof/>
        </w:rPr>
        <w:t>Ann Clin Res</w:t>
      </w:r>
      <w:r w:rsidRPr="00DC6DCB">
        <w:rPr>
          <w:rFonts w:ascii="Calibri" w:hAnsi="Calibri"/>
          <w:noProof/>
        </w:rPr>
        <w:t xml:space="preserve"> 1971;</w:t>
      </w:r>
      <w:r w:rsidRPr="00DC6DCB">
        <w:rPr>
          <w:rFonts w:ascii="Calibri" w:hAnsi="Calibri"/>
          <w:b/>
          <w:bCs/>
          <w:noProof/>
        </w:rPr>
        <w:t>3</w:t>
      </w:r>
      <w:r w:rsidRPr="00DC6DCB">
        <w:rPr>
          <w:rFonts w:ascii="Calibri" w:hAnsi="Calibri"/>
          <w:noProof/>
        </w:rPr>
        <w:t>:323–32.</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23 </w:t>
      </w:r>
      <w:r w:rsidRPr="00DC6DCB">
        <w:rPr>
          <w:rFonts w:ascii="Calibri" w:hAnsi="Calibri"/>
          <w:noProof/>
        </w:rPr>
        <w:tab/>
        <w:t xml:space="preserve">Frenneaux MP, Counihan PJ, Caforio  a. L, </w:t>
      </w:r>
      <w:r w:rsidRPr="00DC6DCB">
        <w:rPr>
          <w:rFonts w:ascii="Calibri" w:hAnsi="Calibri"/>
          <w:i/>
          <w:iCs/>
          <w:noProof/>
        </w:rPr>
        <w:t>et al.</w:t>
      </w:r>
      <w:r w:rsidRPr="00DC6DCB">
        <w:rPr>
          <w:rFonts w:ascii="Calibri" w:hAnsi="Calibri"/>
          <w:noProof/>
        </w:rPr>
        <w:t xml:space="preserve"> Abnormal blood pressure response during exercise in hypertrophic cardiomyopathy. </w:t>
      </w:r>
      <w:r w:rsidRPr="00DC6DCB">
        <w:rPr>
          <w:rFonts w:ascii="Calibri" w:hAnsi="Calibri"/>
          <w:i/>
          <w:iCs/>
          <w:noProof/>
        </w:rPr>
        <w:t>Circulation</w:t>
      </w:r>
      <w:r w:rsidRPr="00DC6DCB">
        <w:rPr>
          <w:rFonts w:ascii="Calibri" w:hAnsi="Calibri"/>
          <w:noProof/>
        </w:rPr>
        <w:t xml:space="preserve"> 1990;</w:t>
      </w:r>
      <w:r w:rsidRPr="00DC6DCB">
        <w:rPr>
          <w:rFonts w:ascii="Calibri" w:hAnsi="Calibri"/>
          <w:b/>
          <w:bCs/>
          <w:noProof/>
        </w:rPr>
        <w:t>82</w:t>
      </w:r>
      <w:r w:rsidRPr="00DC6DCB">
        <w:rPr>
          <w:rFonts w:ascii="Calibri" w:hAnsi="Calibri"/>
          <w:noProof/>
        </w:rPr>
        <w:t>:1995–2002. doi:10.1161/01.CIR.82.6.1995</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24 </w:t>
      </w:r>
      <w:r w:rsidRPr="00DC6DCB">
        <w:rPr>
          <w:rFonts w:ascii="Calibri" w:hAnsi="Calibri"/>
          <w:noProof/>
        </w:rPr>
        <w:tab/>
        <w:t xml:space="preserve">Monserrat L, Elliott PM, Gimeno JR, </w:t>
      </w:r>
      <w:r w:rsidRPr="00DC6DCB">
        <w:rPr>
          <w:rFonts w:ascii="Calibri" w:hAnsi="Calibri"/>
          <w:i/>
          <w:iCs/>
          <w:noProof/>
        </w:rPr>
        <w:t>et al.</w:t>
      </w:r>
      <w:r w:rsidRPr="00DC6DCB">
        <w:rPr>
          <w:rFonts w:ascii="Calibri" w:hAnsi="Calibri"/>
          <w:noProof/>
        </w:rPr>
        <w:t xml:space="preserve"> Non-sustained ventricular tachycardia in hypertrophic cardiomyopathy: an independent marker of sudden death risk in young patients. </w:t>
      </w:r>
      <w:r w:rsidRPr="00DC6DCB">
        <w:rPr>
          <w:rFonts w:ascii="Calibri" w:hAnsi="Calibri"/>
          <w:i/>
          <w:iCs/>
          <w:noProof/>
        </w:rPr>
        <w:t>J Am Coll Cardiol</w:t>
      </w:r>
      <w:r w:rsidRPr="00DC6DCB">
        <w:rPr>
          <w:rFonts w:ascii="Calibri" w:hAnsi="Calibri"/>
          <w:noProof/>
        </w:rPr>
        <w:t xml:space="preserve"> 2003;</w:t>
      </w:r>
      <w:r w:rsidRPr="00DC6DCB">
        <w:rPr>
          <w:rFonts w:ascii="Calibri" w:hAnsi="Calibri"/>
          <w:b/>
          <w:bCs/>
          <w:noProof/>
        </w:rPr>
        <w:t>42</w:t>
      </w:r>
      <w:r w:rsidRPr="00DC6DCB">
        <w:rPr>
          <w:rFonts w:ascii="Calibri" w:hAnsi="Calibri"/>
          <w:noProof/>
        </w:rPr>
        <w:t>:873–9. doi:10.1016/S0735-1097(03)00827-1</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25 </w:t>
      </w:r>
      <w:r w:rsidRPr="00DC6DCB">
        <w:rPr>
          <w:rFonts w:ascii="Calibri" w:hAnsi="Calibri"/>
          <w:noProof/>
        </w:rPr>
        <w:tab/>
        <w:t xml:space="preserve">Rawlins J, Carre F, Kervio G, </w:t>
      </w:r>
      <w:r w:rsidRPr="00DC6DCB">
        <w:rPr>
          <w:rFonts w:ascii="Calibri" w:hAnsi="Calibri"/>
          <w:i/>
          <w:iCs/>
          <w:noProof/>
        </w:rPr>
        <w:t>et al.</w:t>
      </w:r>
      <w:r w:rsidRPr="00DC6DCB">
        <w:rPr>
          <w:rFonts w:ascii="Calibri" w:hAnsi="Calibri"/>
          <w:noProof/>
        </w:rPr>
        <w:t xml:space="preserve"> Ethnic differences in physiological cardiac adaptation to intense physical exercise in highly trained female athletes. </w:t>
      </w:r>
      <w:r w:rsidRPr="00DC6DCB">
        <w:rPr>
          <w:rFonts w:ascii="Calibri" w:hAnsi="Calibri"/>
          <w:i/>
          <w:iCs/>
          <w:noProof/>
        </w:rPr>
        <w:t>Circulation</w:t>
      </w:r>
      <w:r w:rsidRPr="00DC6DCB">
        <w:rPr>
          <w:rFonts w:ascii="Calibri" w:hAnsi="Calibri"/>
          <w:noProof/>
        </w:rPr>
        <w:t xml:space="preserve"> 2010;</w:t>
      </w:r>
      <w:r w:rsidRPr="00DC6DCB">
        <w:rPr>
          <w:rFonts w:ascii="Calibri" w:hAnsi="Calibri"/>
          <w:b/>
          <w:bCs/>
          <w:noProof/>
        </w:rPr>
        <w:t>121</w:t>
      </w:r>
      <w:r w:rsidRPr="00DC6DCB">
        <w:rPr>
          <w:rFonts w:ascii="Calibri" w:hAnsi="Calibri"/>
          <w:noProof/>
        </w:rPr>
        <w:t>:1078–85. doi:10.1161/CIRCULATIONAHA.109.917211</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26 </w:t>
      </w:r>
      <w:r w:rsidRPr="00DC6DCB">
        <w:rPr>
          <w:rFonts w:ascii="Calibri" w:hAnsi="Calibri"/>
          <w:noProof/>
        </w:rPr>
        <w:tab/>
        <w:t xml:space="preserve">Grothues F, Moon JC, Bellenger NG, </w:t>
      </w:r>
      <w:r w:rsidRPr="00DC6DCB">
        <w:rPr>
          <w:rFonts w:ascii="Calibri" w:hAnsi="Calibri"/>
          <w:i/>
          <w:iCs/>
          <w:noProof/>
        </w:rPr>
        <w:t>et al.</w:t>
      </w:r>
      <w:r w:rsidRPr="00DC6DCB">
        <w:rPr>
          <w:rFonts w:ascii="Calibri" w:hAnsi="Calibri"/>
          <w:noProof/>
        </w:rPr>
        <w:t xml:space="preserve"> Interstudy reproducibility of right ventricular volumes, function, and mass with cardiovascular magnetic resonance. </w:t>
      </w:r>
      <w:r w:rsidRPr="00DC6DCB">
        <w:rPr>
          <w:rFonts w:ascii="Calibri" w:hAnsi="Calibri"/>
          <w:i/>
          <w:iCs/>
          <w:noProof/>
        </w:rPr>
        <w:t>Am Hear J</w:t>
      </w:r>
      <w:r w:rsidRPr="00DC6DCB">
        <w:rPr>
          <w:rFonts w:ascii="Calibri" w:hAnsi="Calibri"/>
          <w:noProof/>
        </w:rPr>
        <w:t xml:space="preserve"> 2004;</w:t>
      </w:r>
      <w:r w:rsidRPr="00DC6DCB">
        <w:rPr>
          <w:rFonts w:ascii="Calibri" w:hAnsi="Calibri"/>
          <w:b/>
          <w:bCs/>
          <w:noProof/>
        </w:rPr>
        <w:t>147</w:t>
      </w:r>
      <w:r w:rsidRPr="00DC6DCB">
        <w:rPr>
          <w:rFonts w:ascii="Calibri" w:hAnsi="Calibri"/>
          <w:noProof/>
        </w:rPr>
        <w:t>:218–23. doi:10.1016/j.ahj.2003.10.005</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27 </w:t>
      </w:r>
      <w:r w:rsidRPr="00DC6DCB">
        <w:rPr>
          <w:rFonts w:ascii="Calibri" w:hAnsi="Calibri"/>
          <w:noProof/>
        </w:rPr>
        <w:tab/>
        <w:t xml:space="preserve">Grothues F, Smith GC, Moon JC, </w:t>
      </w:r>
      <w:r w:rsidRPr="00DC6DCB">
        <w:rPr>
          <w:rFonts w:ascii="Calibri" w:hAnsi="Calibri"/>
          <w:i/>
          <w:iCs/>
          <w:noProof/>
        </w:rPr>
        <w:t>et al.</w:t>
      </w:r>
      <w:r w:rsidRPr="00DC6DCB">
        <w:rPr>
          <w:rFonts w:ascii="Calibri" w:hAnsi="Calibri"/>
          <w:noProof/>
        </w:rPr>
        <w:t xml:space="preserve"> Comparison of interstudy reproducibility of cardiovascular magnetic resonance with two-dimensional echocardiography in normal subjects and in patients with heart failure or left ventricular hypertrophy. </w:t>
      </w:r>
      <w:r w:rsidRPr="00DC6DCB">
        <w:rPr>
          <w:rFonts w:ascii="Calibri" w:hAnsi="Calibri"/>
          <w:i/>
          <w:iCs/>
          <w:noProof/>
        </w:rPr>
        <w:t>Am J Cardiol</w:t>
      </w:r>
      <w:r w:rsidRPr="00DC6DCB">
        <w:rPr>
          <w:rFonts w:ascii="Calibri" w:hAnsi="Calibri"/>
          <w:noProof/>
        </w:rPr>
        <w:t xml:space="preserve"> 2002;</w:t>
      </w:r>
      <w:r w:rsidRPr="00DC6DCB">
        <w:rPr>
          <w:rFonts w:ascii="Calibri" w:hAnsi="Calibri"/>
          <w:b/>
          <w:bCs/>
          <w:noProof/>
        </w:rPr>
        <w:t>90</w:t>
      </w:r>
      <w:r w:rsidRPr="00DC6DCB">
        <w:rPr>
          <w:rFonts w:ascii="Calibri" w:hAnsi="Calibri"/>
          <w:noProof/>
        </w:rPr>
        <w:t>:29–34.</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28 </w:t>
      </w:r>
      <w:r w:rsidRPr="00DC6DCB">
        <w:rPr>
          <w:rFonts w:ascii="Calibri" w:hAnsi="Calibri"/>
          <w:noProof/>
        </w:rPr>
        <w:tab/>
        <w:t xml:space="preserve">O’Mahony C, Jichi F, Pavlou M, </w:t>
      </w:r>
      <w:r w:rsidRPr="00DC6DCB">
        <w:rPr>
          <w:rFonts w:ascii="Calibri" w:hAnsi="Calibri"/>
          <w:i/>
          <w:iCs/>
          <w:noProof/>
        </w:rPr>
        <w:t>et al.</w:t>
      </w:r>
      <w:r w:rsidRPr="00DC6DCB">
        <w:rPr>
          <w:rFonts w:ascii="Calibri" w:hAnsi="Calibri"/>
          <w:noProof/>
        </w:rPr>
        <w:t xml:space="preserve"> A novel clinical risk prediction model for sudden cardiac death in hypertrophic cardiomyopathy (HCM risk-SCD). </w:t>
      </w:r>
      <w:r w:rsidRPr="00DC6DCB">
        <w:rPr>
          <w:rFonts w:ascii="Calibri" w:hAnsi="Calibri"/>
          <w:i/>
          <w:iCs/>
          <w:noProof/>
        </w:rPr>
        <w:t>Eur Heart J</w:t>
      </w:r>
      <w:r w:rsidRPr="00DC6DCB">
        <w:rPr>
          <w:rFonts w:ascii="Calibri" w:hAnsi="Calibri"/>
          <w:noProof/>
        </w:rPr>
        <w:t xml:space="preserve"> 2014;</w:t>
      </w:r>
      <w:r w:rsidRPr="00DC6DCB">
        <w:rPr>
          <w:rFonts w:ascii="Calibri" w:hAnsi="Calibri"/>
          <w:b/>
          <w:bCs/>
          <w:noProof/>
        </w:rPr>
        <w:t>35</w:t>
      </w:r>
      <w:r w:rsidRPr="00DC6DCB">
        <w:rPr>
          <w:rFonts w:ascii="Calibri" w:hAnsi="Calibri"/>
          <w:noProof/>
        </w:rPr>
        <w:t>:2010–20. doi:10.1093/eurheartj/eht439</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29 </w:t>
      </w:r>
      <w:r w:rsidRPr="00DC6DCB">
        <w:rPr>
          <w:rFonts w:ascii="Calibri" w:hAnsi="Calibri"/>
          <w:noProof/>
        </w:rPr>
        <w:tab/>
        <w:t xml:space="preserve">Lewis BS, Armstrong TG, Mitha  a S, </w:t>
      </w:r>
      <w:r w:rsidRPr="00DC6DCB">
        <w:rPr>
          <w:rFonts w:ascii="Calibri" w:hAnsi="Calibri"/>
          <w:i/>
          <w:iCs/>
          <w:noProof/>
        </w:rPr>
        <w:t>et al.</w:t>
      </w:r>
      <w:r w:rsidRPr="00DC6DCB">
        <w:rPr>
          <w:rFonts w:ascii="Calibri" w:hAnsi="Calibri"/>
          <w:noProof/>
        </w:rPr>
        <w:t xml:space="preserve"> Hypertrophic obstructive cardiomyopathy in the South African Bantu. </w:t>
      </w:r>
      <w:r w:rsidRPr="00DC6DCB">
        <w:rPr>
          <w:rFonts w:ascii="Calibri" w:hAnsi="Calibri"/>
          <w:i/>
          <w:iCs/>
          <w:noProof/>
        </w:rPr>
        <w:t>S Afr Med J</w:t>
      </w:r>
      <w:r w:rsidRPr="00DC6DCB">
        <w:rPr>
          <w:rFonts w:ascii="Calibri" w:hAnsi="Calibri"/>
          <w:noProof/>
        </w:rPr>
        <w:t xml:space="preserve"> 1973;</w:t>
      </w:r>
      <w:r w:rsidRPr="00DC6DCB">
        <w:rPr>
          <w:rFonts w:ascii="Calibri" w:hAnsi="Calibri"/>
          <w:b/>
          <w:bCs/>
          <w:noProof/>
        </w:rPr>
        <w:t>47</w:t>
      </w:r>
      <w:r w:rsidRPr="00DC6DCB">
        <w:rPr>
          <w:rFonts w:ascii="Calibri" w:hAnsi="Calibri"/>
          <w:noProof/>
        </w:rPr>
        <w:t>:599–604.http://www.ncbi.nlm.nih.gov/pubmed/4735640</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30 </w:t>
      </w:r>
      <w:r w:rsidRPr="00DC6DCB">
        <w:rPr>
          <w:rFonts w:ascii="Calibri" w:hAnsi="Calibri"/>
          <w:noProof/>
        </w:rPr>
        <w:tab/>
        <w:t xml:space="preserve">Moolman-Smook JC, De Lange WJ, Bruwer EC, </w:t>
      </w:r>
      <w:r w:rsidRPr="00DC6DCB">
        <w:rPr>
          <w:rFonts w:ascii="Calibri" w:hAnsi="Calibri"/>
          <w:i/>
          <w:iCs/>
          <w:noProof/>
        </w:rPr>
        <w:t>et al.</w:t>
      </w:r>
      <w:r w:rsidRPr="00DC6DCB">
        <w:rPr>
          <w:rFonts w:ascii="Calibri" w:hAnsi="Calibri"/>
          <w:noProof/>
        </w:rPr>
        <w:t xml:space="preserve"> The origins of hypertrophic cardiomyopathy-causing mutations in two South African subpopulations: a unique profile of both independent and founder events. </w:t>
      </w:r>
      <w:r w:rsidRPr="00DC6DCB">
        <w:rPr>
          <w:rFonts w:ascii="Calibri" w:hAnsi="Calibri"/>
          <w:i/>
          <w:iCs/>
          <w:noProof/>
        </w:rPr>
        <w:t>Am J Hum Genet</w:t>
      </w:r>
      <w:r w:rsidRPr="00DC6DCB">
        <w:rPr>
          <w:rFonts w:ascii="Calibri" w:hAnsi="Calibri"/>
          <w:noProof/>
        </w:rPr>
        <w:t xml:space="preserve"> 1999;</w:t>
      </w:r>
      <w:r w:rsidRPr="00DC6DCB">
        <w:rPr>
          <w:rFonts w:ascii="Calibri" w:hAnsi="Calibri"/>
          <w:b/>
          <w:bCs/>
          <w:noProof/>
        </w:rPr>
        <w:t>65</w:t>
      </w:r>
      <w:r w:rsidRPr="00DC6DCB">
        <w:rPr>
          <w:rFonts w:ascii="Calibri" w:hAnsi="Calibri"/>
          <w:noProof/>
        </w:rPr>
        <w:t>:1308–20. doi:10.1086/302623</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31 </w:t>
      </w:r>
      <w:r w:rsidRPr="00DC6DCB">
        <w:rPr>
          <w:rFonts w:ascii="Calibri" w:hAnsi="Calibri"/>
          <w:noProof/>
        </w:rPr>
        <w:tab/>
        <w:t xml:space="preserve">Movahed MR, Strootman D, Bates S, </w:t>
      </w:r>
      <w:r w:rsidRPr="00DC6DCB">
        <w:rPr>
          <w:rFonts w:ascii="Calibri" w:hAnsi="Calibri"/>
          <w:i/>
          <w:iCs/>
          <w:noProof/>
        </w:rPr>
        <w:t>et al.</w:t>
      </w:r>
      <w:r w:rsidRPr="00DC6DCB">
        <w:rPr>
          <w:rFonts w:ascii="Calibri" w:hAnsi="Calibri"/>
          <w:noProof/>
        </w:rPr>
        <w:t xml:space="preserve"> Prevalence of suspected hypertrophic cardiomyopathy or left ventricular hypertrophy based on race and gender in teenagers using screening echocardiography. </w:t>
      </w:r>
      <w:r w:rsidRPr="00DC6DCB">
        <w:rPr>
          <w:rFonts w:ascii="Calibri" w:hAnsi="Calibri"/>
          <w:i/>
          <w:iCs/>
          <w:noProof/>
        </w:rPr>
        <w:t>Cardiovasc Ultrasound</w:t>
      </w:r>
      <w:r w:rsidRPr="00DC6DCB">
        <w:rPr>
          <w:rFonts w:ascii="Calibri" w:hAnsi="Calibri"/>
          <w:noProof/>
        </w:rPr>
        <w:t xml:space="preserve"> 2010;</w:t>
      </w:r>
      <w:r w:rsidRPr="00DC6DCB">
        <w:rPr>
          <w:rFonts w:ascii="Calibri" w:hAnsi="Calibri"/>
          <w:b/>
          <w:bCs/>
          <w:noProof/>
        </w:rPr>
        <w:t>8</w:t>
      </w:r>
      <w:r w:rsidRPr="00DC6DCB">
        <w:rPr>
          <w:rFonts w:ascii="Calibri" w:hAnsi="Calibri"/>
          <w:noProof/>
        </w:rPr>
        <w:t>:54. doi:10.1186/1476-7120-8-54</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32 </w:t>
      </w:r>
      <w:r w:rsidRPr="00DC6DCB">
        <w:rPr>
          <w:rFonts w:ascii="Calibri" w:hAnsi="Calibri"/>
          <w:noProof/>
        </w:rPr>
        <w:tab/>
        <w:t xml:space="preserve">Colyn HJR, Kleynhans PHT. Hypertrophic cardiomyopathy in the black population of South Africa. </w:t>
      </w:r>
      <w:r w:rsidRPr="00DC6DCB">
        <w:rPr>
          <w:rFonts w:ascii="Calibri" w:hAnsi="Calibri"/>
          <w:i/>
          <w:iCs/>
          <w:noProof/>
        </w:rPr>
        <w:t>S Afr Med J</w:t>
      </w:r>
      <w:r w:rsidRPr="00DC6DCB">
        <w:rPr>
          <w:rFonts w:ascii="Calibri" w:hAnsi="Calibri"/>
          <w:noProof/>
        </w:rPr>
        <w:t xml:space="preserve"> 1990;</w:t>
      </w:r>
      <w:r w:rsidRPr="00DC6DCB">
        <w:rPr>
          <w:rFonts w:ascii="Calibri" w:hAnsi="Calibri"/>
          <w:b/>
          <w:bCs/>
          <w:noProof/>
        </w:rPr>
        <w:t>77</w:t>
      </w:r>
      <w:r w:rsidRPr="00DC6DCB">
        <w:rPr>
          <w:rFonts w:ascii="Calibri" w:hAnsi="Calibri"/>
          <w:noProof/>
        </w:rPr>
        <w:t>:165.</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33 </w:t>
      </w:r>
      <w:r w:rsidRPr="00DC6DCB">
        <w:rPr>
          <w:rFonts w:ascii="Calibri" w:hAnsi="Calibri"/>
          <w:noProof/>
        </w:rPr>
        <w:tab/>
        <w:t xml:space="preserve">Lewis BS, Agathangelou NE, Flax H, </w:t>
      </w:r>
      <w:r w:rsidRPr="00DC6DCB">
        <w:rPr>
          <w:rFonts w:ascii="Calibri" w:hAnsi="Calibri"/>
          <w:i/>
          <w:iCs/>
          <w:noProof/>
        </w:rPr>
        <w:t>et al.</w:t>
      </w:r>
      <w:r w:rsidRPr="00DC6DCB">
        <w:rPr>
          <w:rFonts w:ascii="Calibri" w:hAnsi="Calibri"/>
          <w:noProof/>
        </w:rPr>
        <w:t xml:space="preserve"> Hypertrophic cardiomyopathy in South African Blacks. </w:t>
      </w:r>
      <w:r w:rsidRPr="00DC6DCB">
        <w:rPr>
          <w:rFonts w:ascii="Calibri" w:hAnsi="Calibri"/>
          <w:i/>
          <w:iCs/>
          <w:noProof/>
        </w:rPr>
        <w:t>S Afr Med J</w:t>
      </w:r>
      <w:r w:rsidRPr="00DC6DCB">
        <w:rPr>
          <w:rFonts w:ascii="Calibri" w:hAnsi="Calibri"/>
          <w:noProof/>
        </w:rPr>
        <w:t xml:space="preserve"> 1983;</w:t>
      </w:r>
      <w:r w:rsidRPr="00DC6DCB">
        <w:rPr>
          <w:rFonts w:ascii="Calibri" w:hAnsi="Calibri"/>
          <w:b/>
          <w:bCs/>
          <w:noProof/>
        </w:rPr>
        <w:t>63</w:t>
      </w:r>
      <w:r w:rsidRPr="00DC6DCB">
        <w:rPr>
          <w:rFonts w:ascii="Calibri" w:hAnsi="Calibri"/>
          <w:noProof/>
        </w:rPr>
        <w:t>:266–70.</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34 </w:t>
      </w:r>
      <w:r w:rsidRPr="00DC6DCB">
        <w:rPr>
          <w:rFonts w:ascii="Calibri" w:hAnsi="Calibri"/>
          <w:noProof/>
        </w:rPr>
        <w:tab/>
        <w:t xml:space="preserve">Abegaz B. The impact of echocardiography in the diagnosis of hypertrophic cardiomyopathy. </w:t>
      </w:r>
      <w:r w:rsidRPr="00DC6DCB">
        <w:rPr>
          <w:rFonts w:ascii="Calibri" w:hAnsi="Calibri"/>
          <w:i/>
          <w:iCs/>
          <w:noProof/>
        </w:rPr>
        <w:t>East Afr Med J</w:t>
      </w:r>
      <w:r w:rsidRPr="00DC6DCB">
        <w:rPr>
          <w:rFonts w:ascii="Calibri" w:hAnsi="Calibri"/>
          <w:noProof/>
        </w:rPr>
        <w:t xml:space="preserve"> 1990;</w:t>
      </w:r>
      <w:r w:rsidRPr="00DC6DCB">
        <w:rPr>
          <w:rFonts w:ascii="Calibri" w:hAnsi="Calibri"/>
          <w:b/>
          <w:bCs/>
          <w:noProof/>
        </w:rPr>
        <w:t>67</w:t>
      </w:r>
      <w:r w:rsidRPr="00DC6DCB">
        <w:rPr>
          <w:rFonts w:ascii="Calibri" w:hAnsi="Calibri"/>
          <w:noProof/>
        </w:rPr>
        <w:t>:556–67.</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35 </w:t>
      </w:r>
      <w:r w:rsidRPr="00DC6DCB">
        <w:rPr>
          <w:rFonts w:ascii="Calibri" w:hAnsi="Calibri"/>
          <w:noProof/>
        </w:rPr>
        <w:tab/>
        <w:t xml:space="preserve">Ferdinand KC. Coronary artery disease in minority racial and ethnic groups in the United States. </w:t>
      </w:r>
      <w:r w:rsidRPr="00DC6DCB">
        <w:rPr>
          <w:rFonts w:ascii="Calibri" w:hAnsi="Calibri"/>
          <w:i/>
          <w:iCs/>
          <w:noProof/>
        </w:rPr>
        <w:t>Am J Cardiol</w:t>
      </w:r>
      <w:r w:rsidRPr="00DC6DCB">
        <w:rPr>
          <w:rFonts w:ascii="Calibri" w:hAnsi="Calibri"/>
          <w:noProof/>
        </w:rPr>
        <w:t xml:space="preserve"> 2006;</w:t>
      </w:r>
      <w:r w:rsidRPr="00DC6DCB">
        <w:rPr>
          <w:rFonts w:ascii="Calibri" w:hAnsi="Calibri"/>
          <w:b/>
          <w:bCs/>
          <w:noProof/>
        </w:rPr>
        <w:t>97</w:t>
      </w:r>
      <w:r w:rsidRPr="00DC6DCB">
        <w:rPr>
          <w:rFonts w:ascii="Calibri" w:hAnsi="Calibri"/>
          <w:noProof/>
        </w:rPr>
        <w:t>:12A – 19A. doi:10.1016/j.amjcard.2005.11.011</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36 </w:t>
      </w:r>
      <w:r w:rsidRPr="00DC6DCB">
        <w:rPr>
          <w:rFonts w:ascii="Calibri" w:hAnsi="Calibri"/>
          <w:noProof/>
        </w:rPr>
        <w:tab/>
        <w:t xml:space="preserve">Schwamm LH, Reeves MJ, Pan W, </w:t>
      </w:r>
      <w:r w:rsidRPr="00DC6DCB">
        <w:rPr>
          <w:rFonts w:ascii="Calibri" w:hAnsi="Calibri"/>
          <w:i/>
          <w:iCs/>
          <w:noProof/>
        </w:rPr>
        <w:t>et al.</w:t>
      </w:r>
      <w:r w:rsidRPr="00DC6DCB">
        <w:rPr>
          <w:rFonts w:ascii="Calibri" w:hAnsi="Calibri"/>
          <w:noProof/>
        </w:rPr>
        <w:t xml:space="preserve"> Race/ethnicity, quality of care, and outcomes in ischemic stroke. </w:t>
      </w:r>
      <w:r w:rsidRPr="00DC6DCB">
        <w:rPr>
          <w:rFonts w:ascii="Calibri" w:hAnsi="Calibri"/>
          <w:i/>
          <w:iCs/>
          <w:noProof/>
        </w:rPr>
        <w:t>Circulation</w:t>
      </w:r>
      <w:r w:rsidRPr="00DC6DCB">
        <w:rPr>
          <w:rFonts w:ascii="Calibri" w:hAnsi="Calibri"/>
          <w:noProof/>
        </w:rPr>
        <w:t xml:space="preserve"> 2010;</w:t>
      </w:r>
      <w:r w:rsidRPr="00DC6DCB">
        <w:rPr>
          <w:rFonts w:ascii="Calibri" w:hAnsi="Calibri"/>
          <w:b/>
          <w:bCs/>
          <w:noProof/>
        </w:rPr>
        <w:t>121</w:t>
      </w:r>
      <w:r w:rsidRPr="00DC6DCB">
        <w:rPr>
          <w:rFonts w:ascii="Calibri" w:hAnsi="Calibri"/>
          <w:noProof/>
        </w:rPr>
        <w:t>:1492–501. doi:10.1161/CIRCULATIONAHA.109.881490</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37 </w:t>
      </w:r>
      <w:r w:rsidRPr="00DC6DCB">
        <w:rPr>
          <w:rFonts w:ascii="Calibri" w:hAnsi="Calibri"/>
          <w:noProof/>
        </w:rPr>
        <w:tab/>
        <w:t xml:space="preserve">Bibbins-Domingo K, Pletcher M, Lin F, </w:t>
      </w:r>
      <w:r w:rsidRPr="00DC6DCB">
        <w:rPr>
          <w:rFonts w:ascii="Calibri" w:hAnsi="Calibri"/>
          <w:i/>
          <w:iCs/>
          <w:noProof/>
        </w:rPr>
        <w:t>et al.</w:t>
      </w:r>
      <w:r w:rsidRPr="00DC6DCB">
        <w:rPr>
          <w:rFonts w:ascii="Calibri" w:hAnsi="Calibri"/>
          <w:noProof/>
        </w:rPr>
        <w:t xml:space="preserve"> Racial differences in incident heart failure among young adults. </w:t>
      </w:r>
      <w:r w:rsidRPr="00DC6DCB">
        <w:rPr>
          <w:rFonts w:ascii="Calibri" w:hAnsi="Calibri"/>
          <w:i/>
          <w:iCs/>
          <w:noProof/>
        </w:rPr>
        <w:t>N Engl J Med</w:t>
      </w:r>
      <w:r w:rsidRPr="00DC6DCB">
        <w:rPr>
          <w:rFonts w:ascii="Calibri" w:hAnsi="Calibri"/>
          <w:noProof/>
        </w:rPr>
        <w:t xml:space="preserve"> 2009;</w:t>
      </w:r>
      <w:r w:rsidRPr="00DC6DCB">
        <w:rPr>
          <w:rFonts w:ascii="Calibri" w:hAnsi="Calibri"/>
          <w:b/>
          <w:bCs/>
          <w:noProof/>
        </w:rPr>
        <w:t>360</w:t>
      </w:r>
      <w:r w:rsidRPr="00DC6DCB">
        <w:rPr>
          <w:rFonts w:ascii="Calibri" w:hAnsi="Calibri"/>
          <w:noProof/>
        </w:rPr>
        <w:t>:1179–90.http://www.nejm.org/doi/full/10.1056/NeJMoa0807265 (accessed 19 Sep2014).</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38 </w:t>
      </w:r>
      <w:r w:rsidRPr="00DC6DCB">
        <w:rPr>
          <w:rFonts w:ascii="Calibri" w:hAnsi="Calibri"/>
          <w:noProof/>
        </w:rPr>
        <w:tab/>
        <w:t xml:space="preserve">Okin PM, Devereux RB, Nieminen MS, </w:t>
      </w:r>
      <w:r w:rsidRPr="00DC6DCB">
        <w:rPr>
          <w:rFonts w:ascii="Calibri" w:hAnsi="Calibri"/>
          <w:i/>
          <w:iCs/>
          <w:noProof/>
        </w:rPr>
        <w:t>et al.</w:t>
      </w:r>
      <w:r w:rsidRPr="00DC6DCB">
        <w:rPr>
          <w:rFonts w:ascii="Calibri" w:hAnsi="Calibri"/>
          <w:noProof/>
        </w:rPr>
        <w:t xml:space="preserve"> Relationship of the electrocardiographic strain pattern to left ventricular structure and function in hypertensive patients: the LIFE study. </w:t>
      </w:r>
      <w:r w:rsidRPr="00DC6DCB">
        <w:rPr>
          <w:rFonts w:ascii="Calibri" w:hAnsi="Calibri"/>
          <w:i/>
          <w:iCs/>
          <w:noProof/>
        </w:rPr>
        <w:t>J Am Coll Cardiol</w:t>
      </w:r>
      <w:r w:rsidRPr="00DC6DCB">
        <w:rPr>
          <w:rFonts w:ascii="Calibri" w:hAnsi="Calibri"/>
          <w:noProof/>
        </w:rPr>
        <w:t xml:space="preserve"> 2001;</w:t>
      </w:r>
      <w:r w:rsidRPr="00DC6DCB">
        <w:rPr>
          <w:rFonts w:ascii="Calibri" w:hAnsi="Calibri"/>
          <w:b/>
          <w:bCs/>
          <w:noProof/>
        </w:rPr>
        <w:t>38</w:t>
      </w:r>
      <w:r w:rsidRPr="00DC6DCB">
        <w:rPr>
          <w:rFonts w:ascii="Calibri" w:hAnsi="Calibri"/>
          <w:noProof/>
        </w:rPr>
        <w:t>:514–20. doi:10.1016/S0735-1097(01)01378-X</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39 </w:t>
      </w:r>
      <w:r w:rsidRPr="00DC6DCB">
        <w:rPr>
          <w:rFonts w:ascii="Calibri" w:hAnsi="Calibri"/>
          <w:noProof/>
        </w:rPr>
        <w:tab/>
        <w:t xml:space="preserve">Devereux RB, Dahlöf B, Gerdts E, </w:t>
      </w:r>
      <w:r w:rsidRPr="00DC6DCB">
        <w:rPr>
          <w:rFonts w:ascii="Calibri" w:hAnsi="Calibri"/>
          <w:i/>
          <w:iCs/>
          <w:noProof/>
        </w:rPr>
        <w:t>et al.</w:t>
      </w:r>
      <w:r w:rsidRPr="00DC6DCB">
        <w:rPr>
          <w:rFonts w:ascii="Calibri" w:hAnsi="Calibri"/>
          <w:noProof/>
        </w:rPr>
        <w:t xml:space="preserve"> Regression of hypertensive left ventricular hypertrophy by losartan compared with atenolol: the Losartan Intervention for Endpoint Reduction in Hypertension (LIFE) trial. </w:t>
      </w:r>
      <w:r w:rsidRPr="00DC6DCB">
        <w:rPr>
          <w:rFonts w:ascii="Calibri" w:hAnsi="Calibri"/>
          <w:i/>
          <w:iCs/>
          <w:noProof/>
        </w:rPr>
        <w:t>Circulation</w:t>
      </w:r>
      <w:r w:rsidRPr="00DC6DCB">
        <w:rPr>
          <w:rFonts w:ascii="Calibri" w:hAnsi="Calibri"/>
          <w:noProof/>
        </w:rPr>
        <w:t xml:space="preserve"> 2004;</w:t>
      </w:r>
      <w:r w:rsidRPr="00DC6DCB">
        <w:rPr>
          <w:rFonts w:ascii="Calibri" w:hAnsi="Calibri"/>
          <w:b/>
          <w:bCs/>
          <w:noProof/>
        </w:rPr>
        <w:t>110</w:t>
      </w:r>
      <w:r w:rsidRPr="00DC6DCB">
        <w:rPr>
          <w:rFonts w:ascii="Calibri" w:hAnsi="Calibri"/>
          <w:noProof/>
        </w:rPr>
        <w:t>:1456–62. doi:10.1161/01.CIR.0000141573.44737.5A</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40 </w:t>
      </w:r>
      <w:r w:rsidRPr="00DC6DCB">
        <w:rPr>
          <w:rFonts w:ascii="Calibri" w:hAnsi="Calibri"/>
          <w:noProof/>
        </w:rPr>
        <w:tab/>
        <w:t xml:space="preserve">Okin PM, Devereux RB, Jern S, </w:t>
      </w:r>
      <w:r w:rsidRPr="00DC6DCB">
        <w:rPr>
          <w:rFonts w:ascii="Calibri" w:hAnsi="Calibri"/>
          <w:i/>
          <w:iCs/>
          <w:noProof/>
        </w:rPr>
        <w:t>et al.</w:t>
      </w:r>
      <w:r w:rsidRPr="00DC6DCB">
        <w:rPr>
          <w:rFonts w:ascii="Calibri" w:hAnsi="Calibri"/>
          <w:noProof/>
        </w:rPr>
        <w:t xml:space="preserve"> Regression of electrocardiographic left ventricular hypertrophy by losartan versus atenolol: The Losartan Intervention for Endpoint reduction in Hypertension (LIFE) Study. </w:t>
      </w:r>
      <w:r w:rsidRPr="00DC6DCB">
        <w:rPr>
          <w:rFonts w:ascii="Calibri" w:hAnsi="Calibri"/>
          <w:i/>
          <w:iCs/>
          <w:noProof/>
        </w:rPr>
        <w:t>Circulation</w:t>
      </w:r>
      <w:r w:rsidRPr="00DC6DCB">
        <w:rPr>
          <w:rFonts w:ascii="Calibri" w:hAnsi="Calibri"/>
          <w:noProof/>
        </w:rPr>
        <w:t xml:space="preserve"> 2003;</w:t>
      </w:r>
      <w:r w:rsidRPr="00DC6DCB">
        <w:rPr>
          <w:rFonts w:ascii="Calibri" w:hAnsi="Calibri"/>
          <w:b/>
          <w:bCs/>
          <w:noProof/>
        </w:rPr>
        <w:t>108</w:t>
      </w:r>
      <w:r w:rsidRPr="00DC6DCB">
        <w:rPr>
          <w:rFonts w:ascii="Calibri" w:hAnsi="Calibri"/>
          <w:noProof/>
        </w:rPr>
        <w:t>:684–90. doi:10.1161/01.CIR.0000083724.28630.C3</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41 </w:t>
      </w:r>
      <w:r w:rsidRPr="00DC6DCB">
        <w:rPr>
          <w:rFonts w:ascii="Calibri" w:hAnsi="Calibri"/>
          <w:noProof/>
        </w:rPr>
        <w:tab/>
        <w:t xml:space="preserve">Maron BJ, Doerer JJ, Haas TS, </w:t>
      </w:r>
      <w:r w:rsidRPr="00DC6DCB">
        <w:rPr>
          <w:rFonts w:ascii="Calibri" w:hAnsi="Calibri"/>
          <w:i/>
          <w:iCs/>
          <w:noProof/>
        </w:rPr>
        <w:t>et al.</w:t>
      </w:r>
      <w:r w:rsidRPr="00DC6DCB">
        <w:rPr>
          <w:rFonts w:ascii="Calibri" w:hAnsi="Calibri"/>
          <w:noProof/>
        </w:rPr>
        <w:t xml:space="preserve"> Sudden deaths in young competitive athletes: analysis of 1866 deaths in the United States, 1980-2006. </w:t>
      </w:r>
      <w:r w:rsidRPr="00DC6DCB">
        <w:rPr>
          <w:rFonts w:ascii="Calibri" w:hAnsi="Calibri"/>
          <w:i/>
          <w:iCs/>
          <w:noProof/>
        </w:rPr>
        <w:t>Circulation</w:t>
      </w:r>
      <w:r w:rsidRPr="00DC6DCB">
        <w:rPr>
          <w:rFonts w:ascii="Calibri" w:hAnsi="Calibri"/>
          <w:noProof/>
        </w:rPr>
        <w:t xml:space="preserve"> 2009;</w:t>
      </w:r>
      <w:r w:rsidRPr="00DC6DCB">
        <w:rPr>
          <w:rFonts w:ascii="Calibri" w:hAnsi="Calibri"/>
          <w:b/>
          <w:bCs/>
          <w:noProof/>
        </w:rPr>
        <w:t>119</w:t>
      </w:r>
      <w:r w:rsidRPr="00DC6DCB">
        <w:rPr>
          <w:rFonts w:ascii="Calibri" w:hAnsi="Calibri"/>
          <w:noProof/>
        </w:rPr>
        <w:t>:1085–92. doi:10.1161/CIRCULATIONAHA.108.804617</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42 </w:t>
      </w:r>
      <w:r w:rsidRPr="00DC6DCB">
        <w:rPr>
          <w:rFonts w:ascii="Calibri" w:hAnsi="Calibri"/>
          <w:noProof/>
        </w:rPr>
        <w:tab/>
        <w:t xml:space="preserve">Kramer H, Han C, Post W, </w:t>
      </w:r>
      <w:r w:rsidRPr="00DC6DCB">
        <w:rPr>
          <w:rFonts w:ascii="Calibri" w:hAnsi="Calibri"/>
          <w:i/>
          <w:iCs/>
          <w:noProof/>
        </w:rPr>
        <w:t>et al.</w:t>
      </w:r>
      <w:r w:rsidRPr="00DC6DCB">
        <w:rPr>
          <w:rFonts w:ascii="Calibri" w:hAnsi="Calibri"/>
          <w:noProof/>
        </w:rPr>
        <w:t xml:space="preserve"> Racial/ethnic differences in hypertension and hypertension treatment and control in the Multi-Ethnic Study of Atherosclerosis (MESA). </w:t>
      </w:r>
      <w:r w:rsidRPr="00DC6DCB">
        <w:rPr>
          <w:rFonts w:ascii="Calibri" w:hAnsi="Calibri"/>
          <w:i/>
          <w:iCs/>
          <w:noProof/>
        </w:rPr>
        <w:t>Am J Hypertens</w:t>
      </w:r>
      <w:r w:rsidRPr="00DC6DCB">
        <w:rPr>
          <w:rFonts w:ascii="Calibri" w:hAnsi="Calibri"/>
          <w:noProof/>
        </w:rPr>
        <w:t xml:space="preserve"> 2004;</w:t>
      </w:r>
      <w:r w:rsidRPr="00DC6DCB">
        <w:rPr>
          <w:rFonts w:ascii="Calibri" w:hAnsi="Calibri"/>
          <w:b/>
          <w:bCs/>
          <w:noProof/>
        </w:rPr>
        <w:t>17</w:t>
      </w:r>
      <w:r w:rsidRPr="00DC6DCB">
        <w:rPr>
          <w:rFonts w:ascii="Calibri" w:hAnsi="Calibri"/>
          <w:noProof/>
        </w:rPr>
        <w:t>:963–70. doi:10.1016/j.amjhyper.2004.06.001</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43 </w:t>
      </w:r>
      <w:r w:rsidRPr="00DC6DCB">
        <w:rPr>
          <w:rFonts w:ascii="Calibri" w:hAnsi="Calibri"/>
          <w:noProof/>
        </w:rPr>
        <w:tab/>
        <w:t xml:space="preserve">Aslam F, Haque A, Foody J, </w:t>
      </w:r>
      <w:r w:rsidRPr="00DC6DCB">
        <w:rPr>
          <w:rFonts w:ascii="Calibri" w:hAnsi="Calibri"/>
          <w:i/>
          <w:iCs/>
          <w:noProof/>
        </w:rPr>
        <w:t>et al.</w:t>
      </w:r>
      <w:r w:rsidRPr="00DC6DCB">
        <w:rPr>
          <w:rFonts w:ascii="Calibri" w:hAnsi="Calibri"/>
          <w:noProof/>
        </w:rPr>
        <w:t xml:space="preserve"> The frequency and functional impact of overlapping hypertension on hypertrophic cardiomyopathy: a single-center experience. </w:t>
      </w:r>
      <w:r w:rsidRPr="00DC6DCB">
        <w:rPr>
          <w:rFonts w:ascii="Calibri" w:hAnsi="Calibri"/>
          <w:i/>
          <w:iCs/>
          <w:noProof/>
        </w:rPr>
        <w:t>J Clin Hypertens (Greenwich)</w:t>
      </w:r>
      <w:r w:rsidRPr="00DC6DCB">
        <w:rPr>
          <w:rFonts w:ascii="Calibri" w:hAnsi="Calibri"/>
          <w:noProof/>
        </w:rPr>
        <w:t xml:space="preserve"> 2010;</w:t>
      </w:r>
      <w:r w:rsidRPr="00DC6DCB">
        <w:rPr>
          <w:rFonts w:ascii="Calibri" w:hAnsi="Calibri"/>
          <w:b/>
          <w:bCs/>
          <w:noProof/>
        </w:rPr>
        <w:t>12</w:t>
      </w:r>
      <w:r w:rsidRPr="00DC6DCB">
        <w:rPr>
          <w:rFonts w:ascii="Calibri" w:hAnsi="Calibri"/>
          <w:noProof/>
        </w:rPr>
        <w:t>:240–5. doi:10.1111/j.1751-7176.2009.00251.x</w:t>
      </w:r>
    </w:p>
    <w:p w:rsidR="00DC6DCB" w:rsidRPr="00DC6DCB" w:rsidRDefault="00DC6DCB" w:rsidP="00DC6DCB">
      <w:pPr>
        <w:widowControl w:val="0"/>
        <w:autoSpaceDE w:val="0"/>
        <w:autoSpaceDN w:val="0"/>
        <w:adjustRightInd w:val="0"/>
        <w:spacing w:before="100" w:after="100" w:line="480" w:lineRule="auto"/>
        <w:ind w:left="640" w:hanging="640"/>
        <w:rPr>
          <w:rFonts w:ascii="Calibri" w:hAnsi="Calibri"/>
          <w:noProof/>
        </w:rPr>
      </w:pPr>
      <w:r w:rsidRPr="00DC6DCB">
        <w:rPr>
          <w:rFonts w:ascii="Calibri" w:hAnsi="Calibri"/>
          <w:noProof/>
        </w:rPr>
        <w:t xml:space="preserve">44 </w:t>
      </w:r>
      <w:r w:rsidRPr="00DC6DCB">
        <w:rPr>
          <w:rFonts w:ascii="Calibri" w:hAnsi="Calibri"/>
          <w:noProof/>
        </w:rPr>
        <w:tab/>
        <w:t xml:space="preserve">Olivotto I, Maron MS, Autore C, </w:t>
      </w:r>
      <w:r w:rsidRPr="00DC6DCB">
        <w:rPr>
          <w:rFonts w:ascii="Calibri" w:hAnsi="Calibri"/>
          <w:i/>
          <w:iCs/>
          <w:noProof/>
        </w:rPr>
        <w:t>et al.</w:t>
      </w:r>
      <w:r w:rsidRPr="00DC6DCB">
        <w:rPr>
          <w:rFonts w:ascii="Calibri" w:hAnsi="Calibri"/>
          <w:noProof/>
        </w:rPr>
        <w:t xml:space="preserve"> Assessment and Significance of Left Ventricular Mass by Cardiovascular Magnetic Resonance in Hypertrophic Cardiomyopathy. </w:t>
      </w:r>
      <w:r w:rsidRPr="00DC6DCB">
        <w:rPr>
          <w:rFonts w:ascii="Calibri" w:hAnsi="Calibri"/>
          <w:i/>
          <w:iCs/>
          <w:noProof/>
        </w:rPr>
        <w:t>J Am Coll Cardiol</w:t>
      </w:r>
      <w:r w:rsidRPr="00DC6DCB">
        <w:rPr>
          <w:rFonts w:ascii="Calibri" w:hAnsi="Calibri"/>
          <w:noProof/>
        </w:rPr>
        <w:t xml:space="preserve"> 2008;</w:t>
      </w:r>
      <w:r w:rsidRPr="00DC6DCB">
        <w:rPr>
          <w:rFonts w:ascii="Calibri" w:hAnsi="Calibri"/>
          <w:b/>
          <w:bCs/>
          <w:noProof/>
        </w:rPr>
        <w:t>52</w:t>
      </w:r>
      <w:r w:rsidRPr="00DC6DCB">
        <w:rPr>
          <w:rFonts w:ascii="Calibri" w:hAnsi="Calibri"/>
          <w:noProof/>
        </w:rPr>
        <w:t>:559–66. doi:10.1016/j.jacc.2008.04.047</w:t>
      </w:r>
    </w:p>
    <w:p w:rsidR="00742962" w:rsidRPr="00923CE9" w:rsidRDefault="00825332" w:rsidP="006C647A">
      <w:pPr>
        <w:pStyle w:val="NormalWeb"/>
        <w:spacing w:before="0" w:beforeAutospacing="0" w:after="0" w:afterAutospacing="0" w:line="480" w:lineRule="auto"/>
        <w:ind w:left="641" w:hanging="641"/>
        <w:rPr>
          <w:rFonts w:ascii="Calibri" w:hAnsi="Calibri" w:cs="Arial"/>
          <w:b/>
          <w:lang w:val="en-US"/>
        </w:rPr>
      </w:pPr>
      <w:r w:rsidRPr="00923CE9">
        <w:rPr>
          <w:rFonts w:ascii="Calibri" w:hAnsi="Calibri" w:cs="Arial"/>
          <w:lang w:val="en-US"/>
        </w:rPr>
        <w:fldChar w:fldCharType="end"/>
      </w:r>
    </w:p>
    <w:p w:rsidR="00742962" w:rsidRPr="00923CE9" w:rsidRDefault="00742962" w:rsidP="00167C0E">
      <w:pPr>
        <w:pStyle w:val="NormalWeb"/>
        <w:spacing w:before="0" w:beforeAutospacing="0" w:after="0" w:afterAutospacing="0" w:line="480" w:lineRule="auto"/>
        <w:rPr>
          <w:rFonts w:ascii="Calibri" w:eastAsia="Cambria" w:hAnsi="Calibri"/>
          <w:b/>
          <w:lang w:val="en-US"/>
        </w:rPr>
      </w:pPr>
    </w:p>
    <w:p w:rsidR="00742962" w:rsidRDefault="00742962" w:rsidP="00167C0E">
      <w:pPr>
        <w:pStyle w:val="NormalWeb"/>
        <w:spacing w:before="0" w:beforeAutospacing="0" w:after="0" w:afterAutospacing="0" w:line="480" w:lineRule="auto"/>
        <w:rPr>
          <w:rFonts w:ascii="Calibri" w:eastAsia="Cambria" w:hAnsi="Calibri"/>
          <w:b/>
          <w:lang w:val="en-US"/>
        </w:rPr>
      </w:pPr>
    </w:p>
    <w:p w:rsidR="00671393" w:rsidRDefault="00671393" w:rsidP="00167C0E">
      <w:pPr>
        <w:pStyle w:val="NormalWeb"/>
        <w:spacing w:before="0" w:beforeAutospacing="0" w:after="0" w:afterAutospacing="0" w:line="480" w:lineRule="auto"/>
        <w:rPr>
          <w:rFonts w:ascii="Calibri" w:eastAsia="Cambria" w:hAnsi="Calibri"/>
          <w:b/>
          <w:lang w:val="en-US"/>
        </w:rPr>
      </w:pPr>
    </w:p>
    <w:p w:rsidR="00E423E4" w:rsidRDefault="00E423E4" w:rsidP="00167C0E">
      <w:pPr>
        <w:pStyle w:val="NormalWeb"/>
        <w:spacing w:before="0" w:beforeAutospacing="0" w:after="0" w:afterAutospacing="0" w:line="480" w:lineRule="auto"/>
        <w:rPr>
          <w:rFonts w:ascii="Calibri" w:eastAsia="Cambria" w:hAnsi="Calibri"/>
          <w:b/>
          <w:lang w:val="en-US"/>
        </w:rPr>
      </w:pPr>
    </w:p>
    <w:p w:rsidR="00597699" w:rsidRDefault="00597699" w:rsidP="00167C0E">
      <w:pPr>
        <w:pStyle w:val="NormalWeb"/>
        <w:spacing w:before="0" w:beforeAutospacing="0" w:after="0" w:afterAutospacing="0" w:line="480" w:lineRule="auto"/>
        <w:rPr>
          <w:rFonts w:ascii="Calibri" w:eastAsia="Cambria" w:hAnsi="Calibri"/>
          <w:b/>
          <w:lang w:val="en-US"/>
        </w:rPr>
      </w:pPr>
    </w:p>
    <w:p w:rsidR="001D4C5F" w:rsidRDefault="001D4C5F" w:rsidP="00167C0E">
      <w:pPr>
        <w:autoSpaceDE w:val="0"/>
        <w:autoSpaceDN w:val="0"/>
        <w:adjustRightInd w:val="0"/>
        <w:spacing w:line="480" w:lineRule="auto"/>
        <w:rPr>
          <w:rFonts w:ascii="Calibri" w:eastAsia="Times New Roman" w:hAnsi="Calibri"/>
          <w:b/>
          <w:lang w:val="en-US"/>
        </w:rPr>
      </w:pPr>
    </w:p>
    <w:p w:rsidR="00BD6209" w:rsidRDefault="00BD6209" w:rsidP="00167C0E">
      <w:pPr>
        <w:autoSpaceDE w:val="0"/>
        <w:autoSpaceDN w:val="0"/>
        <w:adjustRightInd w:val="0"/>
        <w:spacing w:line="480" w:lineRule="auto"/>
        <w:rPr>
          <w:rFonts w:ascii="Calibri" w:eastAsia="Times New Roman" w:hAnsi="Calibri"/>
          <w:b/>
          <w:lang w:val="en-US"/>
        </w:rPr>
      </w:pPr>
    </w:p>
    <w:p w:rsidR="00BD6209" w:rsidRDefault="00BD6209" w:rsidP="00167C0E">
      <w:pPr>
        <w:autoSpaceDE w:val="0"/>
        <w:autoSpaceDN w:val="0"/>
        <w:adjustRightInd w:val="0"/>
        <w:spacing w:line="480" w:lineRule="auto"/>
        <w:rPr>
          <w:rFonts w:ascii="Calibri" w:eastAsia="Times New Roman" w:hAnsi="Calibri"/>
          <w:b/>
          <w:lang w:val="en-US"/>
        </w:rPr>
      </w:pPr>
    </w:p>
    <w:p w:rsidR="00BD6209" w:rsidRPr="001D4C5F" w:rsidRDefault="00BD6209" w:rsidP="00167C0E">
      <w:pPr>
        <w:autoSpaceDE w:val="0"/>
        <w:autoSpaceDN w:val="0"/>
        <w:adjustRightInd w:val="0"/>
        <w:spacing w:line="480" w:lineRule="auto"/>
        <w:rPr>
          <w:rFonts w:ascii="Calibri" w:eastAsia="Times New Roman" w:hAnsi="Calibri"/>
          <w:b/>
          <w:lang w:val="en-US"/>
        </w:rPr>
      </w:pPr>
    </w:p>
    <w:p w:rsidR="001D4C5F" w:rsidRPr="001D4C5F" w:rsidRDefault="001D4C5F" w:rsidP="00167C0E">
      <w:pPr>
        <w:autoSpaceDE w:val="0"/>
        <w:autoSpaceDN w:val="0"/>
        <w:adjustRightInd w:val="0"/>
        <w:spacing w:line="480" w:lineRule="auto"/>
        <w:rPr>
          <w:rFonts w:ascii="Calibri" w:eastAsia="Times New Roman" w:hAnsi="Calibri"/>
          <w:b/>
          <w:lang w:val="en-US"/>
        </w:rPr>
      </w:pPr>
    </w:p>
    <w:p w:rsidR="001D4C5F" w:rsidRPr="001D4C5F" w:rsidRDefault="001D4C5F" w:rsidP="00167C0E">
      <w:pPr>
        <w:autoSpaceDE w:val="0"/>
        <w:autoSpaceDN w:val="0"/>
        <w:adjustRightInd w:val="0"/>
        <w:spacing w:line="480" w:lineRule="auto"/>
        <w:rPr>
          <w:rFonts w:ascii="Calibri" w:eastAsia="Times New Roman" w:hAnsi="Calibri"/>
          <w:b/>
          <w:lang w:val="en-US"/>
        </w:rPr>
      </w:pPr>
    </w:p>
    <w:p w:rsidR="001D4C5F" w:rsidRPr="001D4C5F" w:rsidRDefault="001D4C5F" w:rsidP="00167C0E">
      <w:pPr>
        <w:autoSpaceDE w:val="0"/>
        <w:autoSpaceDN w:val="0"/>
        <w:adjustRightInd w:val="0"/>
        <w:spacing w:line="480" w:lineRule="auto"/>
        <w:rPr>
          <w:rFonts w:ascii="Calibri" w:eastAsia="Times New Roman" w:hAnsi="Calibri"/>
          <w:b/>
          <w:lang w:val="en-US"/>
        </w:rPr>
      </w:pPr>
    </w:p>
    <w:p w:rsidR="001D4C5F" w:rsidRDefault="001D4C5F" w:rsidP="00167C0E">
      <w:pPr>
        <w:autoSpaceDE w:val="0"/>
        <w:autoSpaceDN w:val="0"/>
        <w:adjustRightInd w:val="0"/>
        <w:spacing w:line="480" w:lineRule="auto"/>
        <w:rPr>
          <w:rFonts w:ascii="Calibri" w:eastAsia="Times New Roman" w:hAnsi="Calibri"/>
          <w:b/>
          <w:lang w:val="en-US"/>
        </w:rPr>
      </w:pPr>
    </w:p>
    <w:p w:rsidR="00DF3F86" w:rsidRDefault="00DF3F86" w:rsidP="00167C0E">
      <w:pPr>
        <w:autoSpaceDE w:val="0"/>
        <w:autoSpaceDN w:val="0"/>
        <w:adjustRightInd w:val="0"/>
        <w:spacing w:line="480" w:lineRule="auto"/>
        <w:rPr>
          <w:rFonts w:ascii="Calibri" w:eastAsia="Times New Roman" w:hAnsi="Calibri"/>
          <w:b/>
          <w:lang w:val="en-US"/>
        </w:rPr>
      </w:pPr>
    </w:p>
    <w:p w:rsidR="00DF3F86" w:rsidRDefault="00DF3F86" w:rsidP="00167C0E">
      <w:pPr>
        <w:autoSpaceDE w:val="0"/>
        <w:autoSpaceDN w:val="0"/>
        <w:adjustRightInd w:val="0"/>
        <w:spacing w:line="480" w:lineRule="auto"/>
        <w:rPr>
          <w:rFonts w:ascii="Calibri" w:eastAsia="Times New Roman" w:hAnsi="Calibri"/>
          <w:b/>
          <w:lang w:val="en-US"/>
        </w:rPr>
      </w:pPr>
    </w:p>
    <w:p w:rsidR="00DF3F86" w:rsidRDefault="00DF3F86" w:rsidP="00167C0E">
      <w:pPr>
        <w:autoSpaceDE w:val="0"/>
        <w:autoSpaceDN w:val="0"/>
        <w:adjustRightInd w:val="0"/>
        <w:spacing w:line="480" w:lineRule="auto"/>
        <w:rPr>
          <w:rFonts w:ascii="Calibri" w:eastAsia="Times New Roman" w:hAnsi="Calibri"/>
          <w:b/>
          <w:lang w:val="en-US"/>
        </w:rPr>
      </w:pPr>
    </w:p>
    <w:p w:rsidR="00DF3F86" w:rsidRDefault="00DF3F86" w:rsidP="00167C0E">
      <w:pPr>
        <w:autoSpaceDE w:val="0"/>
        <w:autoSpaceDN w:val="0"/>
        <w:adjustRightInd w:val="0"/>
        <w:spacing w:line="480" w:lineRule="auto"/>
        <w:rPr>
          <w:rFonts w:ascii="Calibri" w:eastAsia="Times New Roman" w:hAnsi="Calibri"/>
          <w:b/>
          <w:lang w:val="en-US"/>
        </w:rPr>
      </w:pPr>
    </w:p>
    <w:p w:rsidR="00DF3F86" w:rsidRDefault="00DF3F86" w:rsidP="00167C0E">
      <w:pPr>
        <w:autoSpaceDE w:val="0"/>
        <w:autoSpaceDN w:val="0"/>
        <w:adjustRightInd w:val="0"/>
        <w:spacing w:line="480" w:lineRule="auto"/>
        <w:rPr>
          <w:rFonts w:ascii="Calibri" w:eastAsia="Times New Roman" w:hAnsi="Calibri"/>
          <w:b/>
          <w:lang w:val="en-US"/>
        </w:rPr>
      </w:pPr>
    </w:p>
    <w:p w:rsidR="003D358B" w:rsidRDefault="003D358B" w:rsidP="008D0026">
      <w:pPr>
        <w:spacing w:line="480" w:lineRule="auto"/>
        <w:ind w:right="260"/>
        <w:rPr>
          <w:rFonts w:ascii="Calibri" w:eastAsia="Times New Roman" w:hAnsi="Calibri" w:cs="Arial"/>
          <w:b/>
          <w:lang w:val="en-US" w:eastAsia="en-GB"/>
        </w:rPr>
      </w:pPr>
    </w:p>
    <w:p w:rsidR="005A2772" w:rsidRPr="003339C9" w:rsidRDefault="003339C9" w:rsidP="005A2772">
      <w:pPr>
        <w:spacing w:line="480" w:lineRule="auto"/>
        <w:ind w:right="260"/>
        <w:rPr>
          <w:rFonts w:ascii="Calibri" w:eastAsia="Times New Roman" w:hAnsi="Calibri" w:cs="Arial"/>
          <w:lang w:val="en-US" w:eastAsia="en-GB"/>
        </w:rPr>
      </w:pPr>
      <w:r w:rsidRPr="003339C9">
        <w:rPr>
          <w:rFonts w:ascii="Calibri" w:eastAsia="Times New Roman" w:hAnsi="Calibri" w:cs="Arial"/>
          <w:b/>
          <w:lang w:val="en-US" w:eastAsia="en-GB"/>
        </w:rPr>
        <w:t>FIGURE</w:t>
      </w:r>
      <w:r w:rsidR="001F6B9D">
        <w:rPr>
          <w:rFonts w:ascii="Calibri" w:eastAsia="Times New Roman" w:hAnsi="Calibri" w:cs="Arial"/>
          <w:b/>
          <w:lang w:val="en-US" w:eastAsia="en-GB"/>
        </w:rPr>
        <w:t>S AND FIGURE</w:t>
      </w:r>
      <w:r w:rsidRPr="003339C9">
        <w:rPr>
          <w:rFonts w:ascii="Calibri" w:eastAsia="Times New Roman" w:hAnsi="Calibri" w:cs="Arial"/>
          <w:b/>
          <w:lang w:val="en-US" w:eastAsia="en-GB"/>
        </w:rPr>
        <w:t xml:space="preserve"> LEGEND</w:t>
      </w:r>
      <w:r w:rsidR="001F6B9D">
        <w:rPr>
          <w:rFonts w:ascii="Calibri" w:eastAsia="Times New Roman" w:hAnsi="Calibri" w:cs="Arial"/>
          <w:b/>
          <w:lang w:val="en-US" w:eastAsia="en-GB"/>
        </w:rPr>
        <w:t>S</w:t>
      </w:r>
    </w:p>
    <w:p w:rsidR="005A2772" w:rsidRPr="004E5DA6" w:rsidRDefault="00767ABE" w:rsidP="00767ABE">
      <w:pPr>
        <w:jc w:val="center"/>
        <w:rPr>
          <w:rFonts w:ascii="Calibri" w:hAnsi="Calibri"/>
          <w:b/>
          <w:lang w:val="en-US" w:eastAsia="en-GB"/>
        </w:rPr>
      </w:pPr>
      <w:r>
        <w:rPr>
          <w:rFonts w:ascii="Calibri" w:hAnsi="Calibri"/>
          <w:b/>
          <w:lang w:val="en-US"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628.5pt" o:bordertopcolor="this" o:borderleftcolor="this" o:borderbottomcolor="this" o:borderrightcolor="this">
            <v:imagedata r:id="rId8" o:title="Figure 1"/>
            <w10:bordertop type="single" width="4"/>
            <w10:borderleft type="single" width="4"/>
            <w10:borderbottom type="single" width="4"/>
            <w10:borderright type="single" width="4"/>
          </v:shape>
        </w:pict>
      </w:r>
    </w:p>
    <w:p w:rsidR="00BD6209" w:rsidRPr="002F3CC7" w:rsidRDefault="00BD6209" w:rsidP="00BD6209">
      <w:pPr>
        <w:spacing w:before="100" w:beforeAutospacing="1" w:after="100" w:afterAutospacing="1" w:line="480" w:lineRule="auto"/>
        <w:ind w:right="-24"/>
        <w:rPr>
          <w:rFonts w:ascii="Calibri" w:hAnsi="Calibri"/>
          <w:lang w:val="en-US" w:eastAsia="en-GB"/>
        </w:rPr>
      </w:pPr>
      <w:r>
        <w:rPr>
          <w:rFonts w:ascii="Calibri" w:hAnsi="Calibri"/>
          <w:b/>
          <w:lang w:val="en-US" w:eastAsia="en-GB"/>
        </w:rPr>
        <w:t>Figure</w:t>
      </w:r>
      <w:r w:rsidRPr="00923CE9">
        <w:rPr>
          <w:rFonts w:ascii="Calibri" w:hAnsi="Calibri"/>
          <w:b/>
          <w:lang w:val="en-US" w:eastAsia="en-GB"/>
        </w:rPr>
        <w:t xml:space="preserve"> 1. </w:t>
      </w:r>
      <w:r w:rsidRPr="002F3CC7">
        <w:rPr>
          <w:rFonts w:ascii="Calibri" w:hAnsi="Calibri"/>
          <w:lang w:val="en-US" w:eastAsia="en-GB"/>
        </w:rPr>
        <w:t>Kaplan-Meier curves illustrating freedom from the primary outcome during the study. A: according to ethnicity; B: According to the presence or absence of non-sustained ventricular tachycardia and/or hypertension, in various combinations, for the overall cohort of black and white patients eligible for survival analysis (n=409). NSVT</w:t>
      </w:r>
      <w:r>
        <w:rPr>
          <w:rFonts w:ascii="Calibri" w:hAnsi="Calibri"/>
          <w:lang w:val="en-US" w:eastAsia="en-GB"/>
        </w:rPr>
        <w:t xml:space="preserve"> indicates </w:t>
      </w:r>
      <w:r w:rsidRPr="002F3CC7">
        <w:rPr>
          <w:rFonts w:ascii="Calibri" w:hAnsi="Calibri"/>
          <w:lang w:val="en-US" w:eastAsia="en-GB"/>
        </w:rPr>
        <w:t>non-sustained ventricular tachycardia.</w:t>
      </w:r>
    </w:p>
    <w:p w:rsidR="005A2772" w:rsidRDefault="005A2772" w:rsidP="005A2772">
      <w:pPr>
        <w:spacing w:before="100" w:beforeAutospacing="1" w:after="100" w:afterAutospacing="1" w:line="480" w:lineRule="auto"/>
        <w:ind w:right="799"/>
        <w:rPr>
          <w:rFonts w:ascii="Calibri" w:hAnsi="Calibri"/>
          <w:b/>
          <w:lang w:val="en-US" w:eastAsia="en-GB"/>
        </w:rPr>
      </w:pPr>
    </w:p>
    <w:sectPr w:rsidR="005A2772" w:rsidSect="006C647A">
      <w:footerReference w:type="even" r:id="rId9"/>
      <w:footerReference w:type="default" r:id="rId10"/>
      <w:pgSz w:w="11900" w:h="16840"/>
      <w:pgMar w:top="1440" w:right="1440" w:bottom="1440" w:left="1440"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0F7" w:rsidRDefault="00F750F7">
      <w:r>
        <w:separator/>
      </w:r>
    </w:p>
  </w:endnote>
  <w:endnote w:type="continuationSeparator" w:id="0">
    <w:p w:rsidR="00F750F7" w:rsidRDefault="00F75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Palatino">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dvOTb7819099">
    <w:altName w:val="Cambria"/>
    <w:panose1 w:val="00000000000000000000"/>
    <w:charset w:val="4D"/>
    <w:family w:val="swiss"/>
    <w:notTrueType/>
    <w:pitch w:val="default"/>
    <w:sig w:usb0="00000003" w:usb1="00000000" w:usb2="00000000" w:usb3="00000000" w:csb0="00000001" w:csb1="00000000"/>
  </w:font>
  <w:font w:name="Kai">
    <w:charset w:val="50"/>
    <w:family w:val="auto"/>
    <w:pitch w:val="variable"/>
    <w:sig w:usb0="00000001" w:usb1="080E0000" w:usb2="00000010" w:usb3="00000000" w:csb0="00040000" w:csb1="00000000"/>
  </w:font>
  <w:font w:name="times-roman">
    <w:panose1 w:val="00000000000000000000"/>
    <w:charset w:val="00"/>
    <w:family w:val="roman"/>
    <w:notTrueType/>
    <w:pitch w:val="default"/>
  </w:font>
  <w:font w:name="OTNEJMScalaSansLF">
    <w:altName w:val="Arial Unicode MS"/>
    <w:panose1 w:val="00000000000000000000"/>
    <w:charset w:val="86"/>
    <w:family w:val="swiss"/>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E4" w:rsidRDefault="006A46E4" w:rsidP="00A154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6A46E4" w:rsidRDefault="006A46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E4" w:rsidRPr="00C64A49" w:rsidRDefault="006A46E4" w:rsidP="00C64A49">
    <w:pPr>
      <w:autoSpaceDE w:val="0"/>
      <w:autoSpaceDN w:val="0"/>
      <w:adjustRightInd w:val="0"/>
      <w:rPr>
        <w:rFonts w:ascii="Times New Roman" w:hAnsi="Times New Roman"/>
        <w:color w:val="000000"/>
        <w:lang w:eastAsia="en-GB"/>
      </w:rPr>
    </w:pPr>
  </w:p>
  <w:p w:rsidR="006A46E4" w:rsidRPr="00174C5D" w:rsidRDefault="006A46E4" w:rsidP="00C64A49">
    <w:pPr>
      <w:pStyle w:val="Footer"/>
      <w:jc w:val="center"/>
      <w:rPr>
        <w:rFonts w:ascii="Calibri" w:hAnsi="Calibri"/>
        <w:sz w:val="20"/>
        <w:szCs w:val="20"/>
        <w:lang w:val="en-GB"/>
      </w:rPr>
    </w:pPr>
    <w:r w:rsidRPr="00174C5D">
      <w:rPr>
        <w:rFonts w:ascii="Calibri" w:hAnsi="Calibri"/>
      </w:rPr>
      <w:fldChar w:fldCharType="begin"/>
    </w:r>
    <w:r w:rsidRPr="00174C5D">
      <w:rPr>
        <w:rFonts w:ascii="Calibri" w:hAnsi="Calibri"/>
      </w:rPr>
      <w:instrText xml:space="preserve"> PAGE   \* MERGEFORMAT </w:instrText>
    </w:r>
    <w:r w:rsidRPr="00174C5D">
      <w:rPr>
        <w:rFonts w:ascii="Calibri" w:hAnsi="Calibri"/>
      </w:rPr>
      <w:fldChar w:fldCharType="separate"/>
    </w:r>
    <w:r w:rsidR="000F65FE">
      <w:rPr>
        <w:rFonts w:ascii="Calibri" w:hAnsi="Calibri"/>
        <w:noProof/>
      </w:rPr>
      <w:t>23</w:t>
    </w:r>
    <w:r w:rsidRPr="00174C5D">
      <w:rPr>
        <w:rFonts w:ascii="Calibri" w:hAnsi="Calibri"/>
        <w:noProof/>
      </w:rPr>
      <w:fldChar w:fldCharType="end"/>
    </w:r>
    <w:r w:rsidRPr="00174C5D">
      <w:rPr>
        <w:rFonts w:ascii="Calibri" w:hAnsi="Calibri"/>
        <w:noProof/>
        <w:lang w:val="en-GB"/>
      </w:rPr>
      <w:t xml:space="preserve">             </w:t>
    </w:r>
  </w:p>
  <w:p w:rsidR="006A46E4" w:rsidRPr="00174C5D" w:rsidRDefault="006A46E4" w:rsidP="00FB535E">
    <w:pPr>
      <w:pStyle w:val="Footer"/>
      <w:tabs>
        <w:tab w:val="clear" w:pos="8640"/>
        <w:tab w:val="left" w:pos="7088"/>
        <w:tab w:val="right" w:pos="8931"/>
      </w:tabs>
      <w:ind w:left="-1560"/>
      <w:rPr>
        <w:rFonts w:ascii="Calibri" w:hAnsi="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0F7" w:rsidRDefault="00F750F7">
      <w:r>
        <w:separator/>
      </w:r>
    </w:p>
  </w:footnote>
  <w:footnote w:type="continuationSeparator" w:id="0">
    <w:p w:rsidR="00F750F7" w:rsidRDefault="00F750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61829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6F4C91"/>
    <w:multiLevelType w:val="hybridMultilevel"/>
    <w:tmpl w:val="15D8864E"/>
    <w:lvl w:ilvl="0" w:tplc="144AD126">
      <w:start w:val="4"/>
      <w:numFmt w:val="bullet"/>
      <w:lvlText w:val="–"/>
      <w:lvlJc w:val="left"/>
      <w:pPr>
        <w:ind w:left="1800" w:hanging="1080"/>
      </w:pPr>
      <w:rPr>
        <w:rFonts w:ascii="Calibri" w:eastAsia="Cambria" w:hAnsi="Calibri"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BF6126"/>
    <w:multiLevelType w:val="hybridMultilevel"/>
    <w:tmpl w:val="0AF82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DE7814"/>
    <w:multiLevelType w:val="hybridMultilevel"/>
    <w:tmpl w:val="A84CDA94"/>
    <w:lvl w:ilvl="0" w:tplc="591854E8">
      <w:start w:val="20"/>
      <w:numFmt w:val="bullet"/>
      <w:lvlText w:val=""/>
      <w:lvlJc w:val="left"/>
      <w:pPr>
        <w:ind w:left="76" w:hanging="360"/>
      </w:pPr>
      <w:rPr>
        <w:rFonts w:ascii="Symbol" w:eastAsia="Cambria" w:hAnsi="Symbol" w:cs="Palatino" w:hint="default"/>
      </w:rPr>
    </w:lvl>
    <w:lvl w:ilvl="1" w:tplc="04090003" w:tentative="1">
      <w:start w:val="1"/>
      <w:numFmt w:val="bullet"/>
      <w:lvlText w:val="o"/>
      <w:lvlJc w:val="left"/>
      <w:pPr>
        <w:ind w:left="796" w:hanging="360"/>
      </w:pPr>
      <w:rPr>
        <w:rFonts w:ascii="Courier New" w:hAnsi="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4">
    <w:nsid w:val="0906605A"/>
    <w:multiLevelType w:val="hybridMultilevel"/>
    <w:tmpl w:val="C41AAA68"/>
    <w:lvl w:ilvl="0" w:tplc="C29EB1F6">
      <w:start w:val="1"/>
      <w:numFmt w:val="bullet"/>
      <w:lvlText w:val="•"/>
      <w:lvlJc w:val="left"/>
      <w:pPr>
        <w:tabs>
          <w:tab w:val="num" w:pos="720"/>
        </w:tabs>
        <w:ind w:left="720" w:hanging="360"/>
      </w:pPr>
      <w:rPr>
        <w:rFonts w:ascii="Palatino" w:hAnsi="Palatino" w:hint="default"/>
      </w:rPr>
    </w:lvl>
    <w:lvl w:ilvl="1" w:tplc="A32A0ED4">
      <w:start w:val="919"/>
      <w:numFmt w:val="bullet"/>
      <w:lvlText w:val="•"/>
      <w:lvlJc w:val="left"/>
      <w:pPr>
        <w:tabs>
          <w:tab w:val="num" w:pos="1440"/>
        </w:tabs>
        <w:ind w:left="1440" w:hanging="360"/>
      </w:pPr>
      <w:rPr>
        <w:rFonts w:ascii="Palatino" w:hAnsi="Palatino" w:hint="default"/>
      </w:rPr>
    </w:lvl>
    <w:lvl w:ilvl="2" w:tplc="220C7C5C" w:tentative="1">
      <w:start w:val="1"/>
      <w:numFmt w:val="bullet"/>
      <w:lvlText w:val="•"/>
      <w:lvlJc w:val="left"/>
      <w:pPr>
        <w:tabs>
          <w:tab w:val="num" w:pos="2160"/>
        </w:tabs>
        <w:ind w:left="2160" w:hanging="360"/>
      </w:pPr>
      <w:rPr>
        <w:rFonts w:ascii="Palatino" w:hAnsi="Palatino" w:hint="default"/>
      </w:rPr>
    </w:lvl>
    <w:lvl w:ilvl="3" w:tplc="4800BF06" w:tentative="1">
      <w:start w:val="1"/>
      <w:numFmt w:val="bullet"/>
      <w:lvlText w:val="•"/>
      <w:lvlJc w:val="left"/>
      <w:pPr>
        <w:tabs>
          <w:tab w:val="num" w:pos="2880"/>
        </w:tabs>
        <w:ind w:left="2880" w:hanging="360"/>
      </w:pPr>
      <w:rPr>
        <w:rFonts w:ascii="Palatino" w:hAnsi="Palatino" w:hint="default"/>
      </w:rPr>
    </w:lvl>
    <w:lvl w:ilvl="4" w:tplc="E8F81E24" w:tentative="1">
      <w:start w:val="1"/>
      <w:numFmt w:val="bullet"/>
      <w:lvlText w:val="•"/>
      <w:lvlJc w:val="left"/>
      <w:pPr>
        <w:tabs>
          <w:tab w:val="num" w:pos="3600"/>
        </w:tabs>
        <w:ind w:left="3600" w:hanging="360"/>
      </w:pPr>
      <w:rPr>
        <w:rFonts w:ascii="Palatino" w:hAnsi="Palatino" w:hint="default"/>
      </w:rPr>
    </w:lvl>
    <w:lvl w:ilvl="5" w:tplc="99B8CDEE" w:tentative="1">
      <w:start w:val="1"/>
      <w:numFmt w:val="bullet"/>
      <w:lvlText w:val="•"/>
      <w:lvlJc w:val="left"/>
      <w:pPr>
        <w:tabs>
          <w:tab w:val="num" w:pos="4320"/>
        </w:tabs>
        <w:ind w:left="4320" w:hanging="360"/>
      </w:pPr>
      <w:rPr>
        <w:rFonts w:ascii="Palatino" w:hAnsi="Palatino" w:hint="default"/>
      </w:rPr>
    </w:lvl>
    <w:lvl w:ilvl="6" w:tplc="A5B0EF40" w:tentative="1">
      <w:start w:val="1"/>
      <w:numFmt w:val="bullet"/>
      <w:lvlText w:val="•"/>
      <w:lvlJc w:val="left"/>
      <w:pPr>
        <w:tabs>
          <w:tab w:val="num" w:pos="5040"/>
        </w:tabs>
        <w:ind w:left="5040" w:hanging="360"/>
      </w:pPr>
      <w:rPr>
        <w:rFonts w:ascii="Palatino" w:hAnsi="Palatino" w:hint="default"/>
      </w:rPr>
    </w:lvl>
    <w:lvl w:ilvl="7" w:tplc="FA1EE084" w:tentative="1">
      <w:start w:val="1"/>
      <w:numFmt w:val="bullet"/>
      <w:lvlText w:val="•"/>
      <w:lvlJc w:val="left"/>
      <w:pPr>
        <w:tabs>
          <w:tab w:val="num" w:pos="5760"/>
        </w:tabs>
        <w:ind w:left="5760" w:hanging="360"/>
      </w:pPr>
      <w:rPr>
        <w:rFonts w:ascii="Palatino" w:hAnsi="Palatino" w:hint="default"/>
      </w:rPr>
    </w:lvl>
    <w:lvl w:ilvl="8" w:tplc="DDA488B6" w:tentative="1">
      <w:start w:val="1"/>
      <w:numFmt w:val="bullet"/>
      <w:lvlText w:val="•"/>
      <w:lvlJc w:val="left"/>
      <w:pPr>
        <w:tabs>
          <w:tab w:val="num" w:pos="6480"/>
        </w:tabs>
        <w:ind w:left="6480" w:hanging="360"/>
      </w:pPr>
      <w:rPr>
        <w:rFonts w:ascii="Palatino" w:hAnsi="Palatino" w:hint="default"/>
      </w:rPr>
    </w:lvl>
  </w:abstractNum>
  <w:abstractNum w:abstractNumId="5">
    <w:nsid w:val="0EB145D6"/>
    <w:multiLevelType w:val="multilevel"/>
    <w:tmpl w:val="C900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8015F9"/>
    <w:multiLevelType w:val="hybridMultilevel"/>
    <w:tmpl w:val="EE4C5F20"/>
    <w:lvl w:ilvl="0" w:tplc="62CA68A4">
      <w:start w:val="3"/>
      <w:numFmt w:val="bullet"/>
      <w:lvlText w:val=""/>
      <w:lvlJc w:val="left"/>
      <w:pPr>
        <w:ind w:left="644" w:hanging="360"/>
      </w:pPr>
      <w:rPr>
        <w:rFonts w:ascii="Symbol" w:eastAsia="Times New Roman" w:hAnsi="Symbo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nsid w:val="36341B98"/>
    <w:multiLevelType w:val="hybridMultilevel"/>
    <w:tmpl w:val="BF5EFA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3A5A07"/>
    <w:multiLevelType w:val="multilevel"/>
    <w:tmpl w:val="074E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C92950"/>
    <w:multiLevelType w:val="hybridMultilevel"/>
    <w:tmpl w:val="F3303D3E"/>
    <w:lvl w:ilvl="0" w:tplc="FD043014">
      <w:numFmt w:val="bullet"/>
      <w:lvlText w:val="-"/>
      <w:lvlJc w:val="left"/>
      <w:pPr>
        <w:ind w:left="720" w:hanging="360"/>
      </w:pPr>
      <w:rPr>
        <w:rFonts w:ascii="Cambria" w:eastAsia="Cambria"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3A749D"/>
    <w:multiLevelType w:val="hybridMultilevel"/>
    <w:tmpl w:val="76AAC286"/>
    <w:lvl w:ilvl="0" w:tplc="08090001">
      <w:start w:val="74"/>
      <w:numFmt w:val="bullet"/>
      <w:lvlText w:val=""/>
      <w:lvlJc w:val="left"/>
      <w:pPr>
        <w:ind w:left="720" w:hanging="360"/>
      </w:pPr>
      <w:rPr>
        <w:rFonts w:ascii="Symbol" w:eastAsia="Times New Roman" w:hAnsi="Symbol"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4D473F5"/>
    <w:multiLevelType w:val="hybridMultilevel"/>
    <w:tmpl w:val="BCA212DC"/>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89B6290"/>
    <w:multiLevelType w:val="hybridMultilevel"/>
    <w:tmpl w:val="3B0E01A4"/>
    <w:lvl w:ilvl="0" w:tplc="69A442BA">
      <w:start w:val="4"/>
      <w:numFmt w:val="bullet"/>
      <w:lvlText w:val="-"/>
      <w:lvlJc w:val="left"/>
      <w:pPr>
        <w:ind w:left="1440" w:hanging="720"/>
      </w:pPr>
      <w:rPr>
        <w:rFonts w:ascii="Calibri" w:eastAsia="Cambria" w:hAnsi="Calibri"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4860ADA"/>
    <w:multiLevelType w:val="multilevel"/>
    <w:tmpl w:val="32A4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C26B8D"/>
    <w:multiLevelType w:val="hybridMultilevel"/>
    <w:tmpl w:val="7D00E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42150C"/>
    <w:multiLevelType w:val="hybridMultilevel"/>
    <w:tmpl w:val="4DBA50E8"/>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13"/>
  </w:num>
  <w:num w:numId="4">
    <w:abstractNumId w:val="5"/>
  </w:num>
  <w:num w:numId="5">
    <w:abstractNumId w:val="8"/>
  </w:num>
  <w:num w:numId="6">
    <w:abstractNumId w:val="4"/>
  </w:num>
  <w:num w:numId="7">
    <w:abstractNumId w:val="1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0"/>
  </w:num>
  <w:num w:numId="11">
    <w:abstractNumId w:val="0"/>
  </w:num>
  <w:num w:numId="12">
    <w:abstractNumId w:val="11"/>
  </w:num>
  <w:num w:numId="13">
    <w:abstractNumId w:val="1"/>
  </w:num>
  <w:num w:numId="14">
    <w:abstractNumId w:val="12"/>
  </w:num>
  <w:num w:numId="15">
    <w:abstractNumId w:val="9"/>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0"/>
  <w:activeWritingStyle w:appName="MSWord" w:lang="en-GB"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12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0898"/>
    <w:rsid w:val="0000115D"/>
    <w:rsid w:val="00001601"/>
    <w:rsid w:val="00002178"/>
    <w:rsid w:val="00003A60"/>
    <w:rsid w:val="00003A95"/>
    <w:rsid w:val="000052F7"/>
    <w:rsid w:val="00005331"/>
    <w:rsid w:val="00005EBD"/>
    <w:rsid w:val="00006127"/>
    <w:rsid w:val="00007097"/>
    <w:rsid w:val="00007364"/>
    <w:rsid w:val="00007B35"/>
    <w:rsid w:val="00007B8F"/>
    <w:rsid w:val="00010B5E"/>
    <w:rsid w:val="0001107D"/>
    <w:rsid w:val="0001135D"/>
    <w:rsid w:val="0001181B"/>
    <w:rsid w:val="00011EDE"/>
    <w:rsid w:val="00012EB8"/>
    <w:rsid w:val="00013566"/>
    <w:rsid w:val="0001374A"/>
    <w:rsid w:val="00015399"/>
    <w:rsid w:val="00015442"/>
    <w:rsid w:val="0001601A"/>
    <w:rsid w:val="00017068"/>
    <w:rsid w:val="0001762D"/>
    <w:rsid w:val="0001791C"/>
    <w:rsid w:val="000179B9"/>
    <w:rsid w:val="00017AED"/>
    <w:rsid w:val="0002039B"/>
    <w:rsid w:val="0002059D"/>
    <w:rsid w:val="00020A66"/>
    <w:rsid w:val="00020EF2"/>
    <w:rsid w:val="00021D72"/>
    <w:rsid w:val="00021E82"/>
    <w:rsid w:val="000241BF"/>
    <w:rsid w:val="00030036"/>
    <w:rsid w:val="00031D55"/>
    <w:rsid w:val="00033905"/>
    <w:rsid w:val="00033D0F"/>
    <w:rsid w:val="00033E85"/>
    <w:rsid w:val="00033F00"/>
    <w:rsid w:val="00034B0B"/>
    <w:rsid w:val="00034F45"/>
    <w:rsid w:val="00035D2F"/>
    <w:rsid w:val="00036F9A"/>
    <w:rsid w:val="0003786C"/>
    <w:rsid w:val="00037E3B"/>
    <w:rsid w:val="0004130A"/>
    <w:rsid w:val="00042354"/>
    <w:rsid w:val="00042800"/>
    <w:rsid w:val="00044A58"/>
    <w:rsid w:val="0004521B"/>
    <w:rsid w:val="00045B87"/>
    <w:rsid w:val="00045BA2"/>
    <w:rsid w:val="00046310"/>
    <w:rsid w:val="00046A01"/>
    <w:rsid w:val="00046CDB"/>
    <w:rsid w:val="0004702F"/>
    <w:rsid w:val="000472ED"/>
    <w:rsid w:val="0004778F"/>
    <w:rsid w:val="000479E8"/>
    <w:rsid w:val="000500D0"/>
    <w:rsid w:val="00050171"/>
    <w:rsid w:val="0005035F"/>
    <w:rsid w:val="00050B8A"/>
    <w:rsid w:val="00050E7E"/>
    <w:rsid w:val="000523C4"/>
    <w:rsid w:val="00052C39"/>
    <w:rsid w:val="00054847"/>
    <w:rsid w:val="00054852"/>
    <w:rsid w:val="00055B17"/>
    <w:rsid w:val="00056EDA"/>
    <w:rsid w:val="00057D18"/>
    <w:rsid w:val="00060408"/>
    <w:rsid w:val="000609D9"/>
    <w:rsid w:val="00060AF6"/>
    <w:rsid w:val="00060FC4"/>
    <w:rsid w:val="000622B7"/>
    <w:rsid w:val="000629AE"/>
    <w:rsid w:val="00064303"/>
    <w:rsid w:val="00064430"/>
    <w:rsid w:val="00065292"/>
    <w:rsid w:val="000659DA"/>
    <w:rsid w:val="000707A8"/>
    <w:rsid w:val="0007344E"/>
    <w:rsid w:val="000740FC"/>
    <w:rsid w:val="000750D6"/>
    <w:rsid w:val="0007520C"/>
    <w:rsid w:val="00076054"/>
    <w:rsid w:val="00077869"/>
    <w:rsid w:val="000804D3"/>
    <w:rsid w:val="00080BCF"/>
    <w:rsid w:val="000823DF"/>
    <w:rsid w:val="0008387A"/>
    <w:rsid w:val="00083B68"/>
    <w:rsid w:val="000842E5"/>
    <w:rsid w:val="00084815"/>
    <w:rsid w:val="00086D66"/>
    <w:rsid w:val="0008735D"/>
    <w:rsid w:val="00087B22"/>
    <w:rsid w:val="00090F21"/>
    <w:rsid w:val="00091072"/>
    <w:rsid w:val="000919F6"/>
    <w:rsid w:val="00092247"/>
    <w:rsid w:val="00092369"/>
    <w:rsid w:val="000929DF"/>
    <w:rsid w:val="00092EA6"/>
    <w:rsid w:val="00093D92"/>
    <w:rsid w:val="00094C33"/>
    <w:rsid w:val="000950D6"/>
    <w:rsid w:val="00095AE8"/>
    <w:rsid w:val="000960BB"/>
    <w:rsid w:val="00096589"/>
    <w:rsid w:val="0009673C"/>
    <w:rsid w:val="000A0700"/>
    <w:rsid w:val="000A157D"/>
    <w:rsid w:val="000A1691"/>
    <w:rsid w:val="000A2AA4"/>
    <w:rsid w:val="000A3A51"/>
    <w:rsid w:val="000A3DDE"/>
    <w:rsid w:val="000A3DE0"/>
    <w:rsid w:val="000A5E71"/>
    <w:rsid w:val="000A6459"/>
    <w:rsid w:val="000A7898"/>
    <w:rsid w:val="000A7CC6"/>
    <w:rsid w:val="000B025D"/>
    <w:rsid w:val="000B3BDE"/>
    <w:rsid w:val="000B3DEA"/>
    <w:rsid w:val="000B5C81"/>
    <w:rsid w:val="000B620C"/>
    <w:rsid w:val="000B68AF"/>
    <w:rsid w:val="000C0A78"/>
    <w:rsid w:val="000C3021"/>
    <w:rsid w:val="000C3D61"/>
    <w:rsid w:val="000C4730"/>
    <w:rsid w:val="000C589F"/>
    <w:rsid w:val="000C6BD9"/>
    <w:rsid w:val="000C7EE7"/>
    <w:rsid w:val="000D1039"/>
    <w:rsid w:val="000D2075"/>
    <w:rsid w:val="000D4548"/>
    <w:rsid w:val="000D6808"/>
    <w:rsid w:val="000E12B2"/>
    <w:rsid w:val="000E13EB"/>
    <w:rsid w:val="000E1718"/>
    <w:rsid w:val="000E20FC"/>
    <w:rsid w:val="000E31CF"/>
    <w:rsid w:val="000E41BF"/>
    <w:rsid w:val="000E420F"/>
    <w:rsid w:val="000E4A81"/>
    <w:rsid w:val="000E4E9D"/>
    <w:rsid w:val="000E73F2"/>
    <w:rsid w:val="000E765D"/>
    <w:rsid w:val="000E7D37"/>
    <w:rsid w:val="000E7E0C"/>
    <w:rsid w:val="000F0409"/>
    <w:rsid w:val="000F053F"/>
    <w:rsid w:val="000F0551"/>
    <w:rsid w:val="000F0BAD"/>
    <w:rsid w:val="000F16AF"/>
    <w:rsid w:val="000F19A2"/>
    <w:rsid w:val="000F2DF0"/>
    <w:rsid w:val="000F3E4C"/>
    <w:rsid w:val="000F3FEE"/>
    <w:rsid w:val="000F49E6"/>
    <w:rsid w:val="000F4CF3"/>
    <w:rsid w:val="000F5686"/>
    <w:rsid w:val="000F65FE"/>
    <w:rsid w:val="000F7D0D"/>
    <w:rsid w:val="000F7E8E"/>
    <w:rsid w:val="001006A8"/>
    <w:rsid w:val="00100798"/>
    <w:rsid w:val="00100EA5"/>
    <w:rsid w:val="001024E6"/>
    <w:rsid w:val="001061CC"/>
    <w:rsid w:val="00106BE9"/>
    <w:rsid w:val="00110094"/>
    <w:rsid w:val="00110AF3"/>
    <w:rsid w:val="001115CE"/>
    <w:rsid w:val="00111B95"/>
    <w:rsid w:val="00111C87"/>
    <w:rsid w:val="00112FB8"/>
    <w:rsid w:val="0011342C"/>
    <w:rsid w:val="00113955"/>
    <w:rsid w:val="001146E4"/>
    <w:rsid w:val="00114B0D"/>
    <w:rsid w:val="00114C6E"/>
    <w:rsid w:val="00115242"/>
    <w:rsid w:val="00115333"/>
    <w:rsid w:val="00115671"/>
    <w:rsid w:val="00115891"/>
    <w:rsid w:val="00116FD8"/>
    <w:rsid w:val="00120F91"/>
    <w:rsid w:val="00122709"/>
    <w:rsid w:val="00122BE0"/>
    <w:rsid w:val="001230A3"/>
    <w:rsid w:val="00123568"/>
    <w:rsid w:val="001237F6"/>
    <w:rsid w:val="00124426"/>
    <w:rsid w:val="00124F54"/>
    <w:rsid w:val="00126270"/>
    <w:rsid w:val="00126B6F"/>
    <w:rsid w:val="00127758"/>
    <w:rsid w:val="00130997"/>
    <w:rsid w:val="00131743"/>
    <w:rsid w:val="001318CF"/>
    <w:rsid w:val="001324DD"/>
    <w:rsid w:val="00133051"/>
    <w:rsid w:val="00133620"/>
    <w:rsid w:val="00133759"/>
    <w:rsid w:val="00134975"/>
    <w:rsid w:val="0014002B"/>
    <w:rsid w:val="0014029A"/>
    <w:rsid w:val="001417D3"/>
    <w:rsid w:val="001419F6"/>
    <w:rsid w:val="00141DD4"/>
    <w:rsid w:val="00142563"/>
    <w:rsid w:val="00142BD8"/>
    <w:rsid w:val="0014427E"/>
    <w:rsid w:val="00144829"/>
    <w:rsid w:val="00144AE9"/>
    <w:rsid w:val="001450FA"/>
    <w:rsid w:val="001452F3"/>
    <w:rsid w:val="0014567B"/>
    <w:rsid w:val="00146848"/>
    <w:rsid w:val="00146BC9"/>
    <w:rsid w:val="00147830"/>
    <w:rsid w:val="00147B2E"/>
    <w:rsid w:val="00150571"/>
    <w:rsid w:val="00150FD6"/>
    <w:rsid w:val="0015238B"/>
    <w:rsid w:val="00153966"/>
    <w:rsid w:val="00154C9F"/>
    <w:rsid w:val="001563F2"/>
    <w:rsid w:val="00157309"/>
    <w:rsid w:val="00157433"/>
    <w:rsid w:val="00157810"/>
    <w:rsid w:val="001602D9"/>
    <w:rsid w:val="00160DC3"/>
    <w:rsid w:val="00161C33"/>
    <w:rsid w:val="00161E69"/>
    <w:rsid w:val="00164572"/>
    <w:rsid w:val="00164A24"/>
    <w:rsid w:val="00167BB0"/>
    <w:rsid w:val="00167C0E"/>
    <w:rsid w:val="00167D09"/>
    <w:rsid w:val="00170637"/>
    <w:rsid w:val="00170BA8"/>
    <w:rsid w:val="00171F1C"/>
    <w:rsid w:val="00172165"/>
    <w:rsid w:val="00172466"/>
    <w:rsid w:val="00174414"/>
    <w:rsid w:val="00174C5D"/>
    <w:rsid w:val="00175587"/>
    <w:rsid w:val="0017637D"/>
    <w:rsid w:val="00176495"/>
    <w:rsid w:val="00176A1D"/>
    <w:rsid w:val="00176B1B"/>
    <w:rsid w:val="00176E06"/>
    <w:rsid w:val="0018020F"/>
    <w:rsid w:val="00180365"/>
    <w:rsid w:val="00180389"/>
    <w:rsid w:val="001814A1"/>
    <w:rsid w:val="001832F0"/>
    <w:rsid w:val="001834DA"/>
    <w:rsid w:val="00183715"/>
    <w:rsid w:val="0018395F"/>
    <w:rsid w:val="00183B99"/>
    <w:rsid w:val="00184AF8"/>
    <w:rsid w:val="00184CE8"/>
    <w:rsid w:val="00184D7B"/>
    <w:rsid w:val="001853E0"/>
    <w:rsid w:val="0018563B"/>
    <w:rsid w:val="0018564C"/>
    <w:rsid w:val="00185CA1"/>
    <w:rsid w:val="00185D38"/>
    <w:rsid w:val="0019024C"/>
    <w:rsid w:val="00190E76"/>
    <w:rsid w:val="00191591"/>
    <w:rsid w:val="00191781"/>
    <w:rsid w:val="0019318A"/>
    <w:rsid w:val="00193361"/>
    <w:rsid w:val="00196887"/>
    <w:rsid w:val="001A0951"/>
    <w:rsid w:val="001A2509"/>
    <w:rsid w:val="001A2F74"/>
    <w:rsid w:val="001A42E2"/>
    <w:rsid w:val="001A4677"/>
    <w:rsid w:val="001A5BD8"/>
    <w:rsid w:val="001A5EE8"/>
    <w:rsid w:val="001A6349"/>
    <w:rsid w:val="001A78E7"/>
    <w:rsid w:val="001A7980"/>
    <w:rsid w:val="001B5A67"/>
    <w:rsid w:val="001B5E73"/>
    <w:rsid w:val="001B7F39"/>
    <w:rsid w:val="001C032A"/>
    <w:rsid w:val="001C0A38"/>
    <w:rsid w:val="001C16BF"/>
    <w:rsid w:val="001C2067"/>
    <w:rsid w:val="001C2D61"/>
    <w:rsid w:val="001C433A"/>
    <w:rsid w:val="001C5519"/>
    <w:rsid w:val="001C58E9"/>
    <w:rsid w:val="001D013F"/>
    <w:rsid w:val="001D110C"/>
    <w:rsid w:val="001D30DB"/>
    <w:rsid w:val="001D3356"/>
    <w:rsid w:val="001D4C5F"/>
    <w:rsid w:val="001D58C0"/>
    <w:rsid w:val="001D5A9F"/>
    <w:rsid w:val="001D6074"/>
    <w:rsid w:val="001D623C"/>
    <w:rsid w:val="001D7795"/>
    <w:rsid w:val="001D7958"/>
    <w:rsid w:val="001E080A"/>
    <w:rsid w:val="001E1A25"/>
    <w:rsid w:val="001E1E0C"/>
    <w:rsid w:val="001E48A3"/>
    <w:rsid w:val="001E5E84"/>
    <w:rsid w:val="001E6CD1"/>
    <w:rsid w:val="001E7DBA"/>
    <w:rsid w:val="001F02C9"/>
    <w:rsid w:val="001F188B"/>
    <w:rsid w:val="001F2029"/>
    <w:rsid w:val="001F2EC3"/>
    <w:rsid w:val="001F31A4"/>
    <w:rsid w:val="001F32CE"/>
    <w:rsid w:val="001F3300"/>
    <w:rsid w:val="001F37FA"/>
    <w:rsid w:val="001F6B9D"/>
    <w:rsid w:val="00201475"/>
    <w:rsid w:val="00202387"/>
    <w:rsid w:val="00203749"/>
    <w:rsid w:val="00203D98"/>
    <w:rsid w:val="00206C1A"/>
    <w:rsid w:val="00207430"/>
    <w:rsid w:val="00207C76"/>
    <w:rsid w:val="002117BA"/>
    <w:rsid w:val="0021193D"/>
    <w:rsid w:val="00211A4C"/>
    <w:rsid w:val="002130BA"/>
    <w:rsid w:val="00214012"/>
    <w:rsid w:val="00214224"/>
    <w:rsid w:val="00214FE1"/>
    <w:rsid w:val="00216AAC"/>
    <w:rsid w:val="0021714D"/>
    <w:rsid w:val="00220418"/>
    <w:rsid w:val="00221D66"/>
    <w:rsid w:val="002220BB"/>
    <w:rsid w:val="002223C3"/>
    <w:rsid w:val="002233B5"/>
    <w:rsid w:val="00223B4C"/>
    <w:rsid w:val="00223E68"/>
    <w:rsid w:val="00223F5A"/>
    <w:rsid w:val="00224474"/>
    <w:rsid w:val="00227121"/>
    <w:rsid w:val="0023053F"/>
    <w:rsid w:val="00230E63"/>
    <w:rsid w:val="00230F3E"/>
    <w:rsid w:val="00232039"/>
    <w:rsid w:val="00232DC2"/>
    <w:rsid w:val="00234A56"/>
    <w:rsid w:val="00234D34"/>
    <w:rsid w:val="00234E4E"/>
    <w:rsid w:val="002368F5"/>
    <w:rsid w:val="002412A8"/>
    <w:rsid w:val="00242219"/>
    <w:rsid w:val="002427B1"/>
    <w:rsid w:val="0024363F"/>
    <w:rsid w:val="00243C9B"/>
    <w:rsid w:val="00244A36"/>
    <w:rsid w:val="00246610"/>
    <w:rsid w:val="0024665C"/>
    <w:rsid w:val="0025106E"/>
    <w:rsid w:val="002511A9"/>
    <w:rsid w:val="00253534"/>
    <w:rsid w:val="00253609"/>
    <w:rsid w:val="002547F3"/>
    <w:rsid w:val="00254A6A"/>
    <w:rsid w:val="00254F2E"/>
    <w:rsid w:val="0025574F"/>
    <w:rsid w:val="00255974"/>
    <w:rsid w:val="00256387"/>
    <w:rsid w:val="00256503"/>
    <w:rsid w:val="00256B09"/>
    <w:rsid w:val="002570B6"/>
    <w:rsid w:val="00261BD2"/>
    <w:rsid w:val="00261C59"/>
    <w:rsid w:val="00262939"/>
    <w:rsid w:val="002630EA"/>
    <w:rsid w:val="00264114"/>
    <w:rsid w:val="00265068"/>
    <w:rsid w:val="002655A2"/>
    <w:rsid w:val="00270D1F"/>
    <w:rsid w:val="00271621"/>
    <w:rsid w:val="00272E4B"/>
    <w:rsid w:val="002764F8"/>
    <w:rsid w:val="002767E9"/>
    <w:rsid w:val="00276D2D"/>
    <w:rsid w:val="002774B2"/>
    <w:rsid w:val="00277B83"/>
    <w:rsid w:val="00280BCE"/>
    <w:rsid w:val="00281658"/>
    <w:rsid w:val="00285F48"/>
    <w:rsid w:val="002906AC"/>
    <w:rsid w:val="002910A0"/>
    <w:rsid w:val="00291AFF"/>
    <w:rsid w:val="002929D1"/>
    <w:rsid w:val="00292AAF"/>
    <w:rsid w:val="0029356E"/>
    <w:rsid w:val="00293D7C"/>
    <w:rsid w:val="00294BAF"/>
    <w:rsid w:val="00296734"/>
    <w:rsid w:val="002A0A6E"/>
    <w:rsid w:val="002A231C"/>
    <w:rsid w:val="002A383B"/>
    <w:rsid w:val="002A4723"/>
    <w:rsid w:val="002A6DF1"/>
    <w:rsid w:val="002A764A"/>
    <w:rsid w:val="002B018C"/>
    <w:rsid w:val="002B1871"/>
    <w:rsid w:val="002B204B"/>
    <w:rsid w:val="002B26A1"/>
    <w:rsid w:val="002B3912"/>
    <w:rsid w:val="002B3A07"/>
    <w:rsid w:val="002B3ECC"/>
    <w:rsid w:val="002B5E34"/>
    <w:rsid w:val="002B629D"/>
    <w:rsid w:val="002B6F2E"/>
    <w:rsid w:val="002B76A9"/>
    <w:rsid w:val="002C05BC"/>
    <w:rsid w:val="002C1BF4"/>
    <w:rsid w:val="002C2EAF"/>
    <w:rsid w:val="002C3697"/>
    <w:rsid w:val="002C5965"/>
    <w:rsid w:val="002C7BFF"/>
    <w:rsid w:val="002D07A4"/>
    <w:rsid w:val="002D1706"/>
    <w:rsid w:val="002D188E"/>
    <w:rsid w:val="002D223F"/>
    <w:rsid w:val="002D46F5"/>
    <w:rsid w:val="002D5EFF"/>
    <w:rsid w:val="002D6DAF"/>
    <w:rsid w:val="002D729D"/>
    <w:rsid w:val="002E066B"/>
    <w:rsid w:val="002E0CDA"/>
    <w:rsid w:val="002E0D12"/>
    <w:rsid w:val="002E101A"/>
    <w:rsid w:val="002E18C2"/>
    <w:rsid w:val="002E1C03"/>
    <w:rsid w:val="002E2710"/>
    <w:rsid w:val="002E2878"/>
    <w:rsid w:val="002E2FD1"/>
    <w:rsid w:val="002E32E1"/>
    <w:rsid w:val="002E39C3"/>
    <w:rsid w:val="002E3DE9"/>
    <w:rsid w:val="002E5E84"/>
    <w:rsid w:val="002E69CB"/>
    <w:rsid w:val="002F1042"/>
    <w:rsid w:val="002F291C"/>
    <w:rsid w:val="002F3CC7"/>
    <w:rsid w:val="002F4337"/>
    <w:rsid w:val="002F4950"/>
    <w:rsid w:val="002F52E4"/>
    <w:rsid w:val="002F6310"/>
    <w:rsid w:val="002F72C4"/>
    <w:rsid w:val="002F7849"/>
    <w:rsid w:val="002F7BD2"/>
    <w:rsid w:val="002F7E93"/>
    <w:rsid w:val="00300521"/>
    <w:rsid w:val="00301532"/>
    <w:rsid w:val="00303F67"/>
    <w:rsid w:val="00304311"/>
    <w:rsid w:val="00305F53"/>
    <w:rsid w:val="00307601"/>
    <w:rsid w:val="00307E28"/>
    <w:rsid w:val="003103E2"/>
    <w:rsid w:val="003105CD"/>
    <w:rsid w:val="003111C3"/>
    <w:rsid w:val="00313227"/>
    <w:rsid w:val="00314770"/>
    <w:rsid w:val="003150AC"/>
    <w:rsid w:val="0031572F"/>
    <w:rsid w:val="00315747"/>
    <w:rsid w:val="00316A3A"/>
    <w:rsid w:val="00316FAE"/>
    <w:rsid w:val="00317D36"/>
    <w:rsid w:val="00320216"/>
    <w:rsid w:val="00320C6F"/>
    <w:rsid w:val="003235AB"/>
    <w:rsid w:val="003235C8"/>
    <w:rsid w:val="00324A04"/>
    <w:rsid w:val="00325A05"/>
    <w:rsid w:val="00325E52"/>
    <w:rsid w:val="003266F0"/>
    <w:rsid w:val="0032683B"/>
    <w:rsid w:val="00327A27"/>
    <w:rsid w:val="00327C52"/>
    <w:rsid w:val="00330040"/>
    <w:rsid w:val="0033185B"/>
    <w:rsid w:val="003333DA"/>
    <w:rsid w:val="0033366B"/>
    <w:rsid w:val="003339C9"/>
    <w:rsid w:val="0033414A"/>
    <w:rsid w:val="003358FB"/>
    <w:rsid w:val="003366F1"/>
    <w:rsid w:val="003368C8"/>
    <w:rsid w:val="00336C29"/>
    <w:rsid w:val="00337608"/>
    <w:rsid w:val="00337F6E"/>
    <w:rsid w:val="003402BF"/>
    <w:rsid w:val="0034144D"/>
    <w:rsid w:val="00342ED5"/>
    <w:rsid w:val="0034421D"/>
    <w:rsid w:val="0034430A"/>
    <w:rsid w:val="00344530"/>
    <w:rsid w:val="00345971"/>
    <w:rsid w:val="0034680C"/>
    <w:rsid w:val="00346931"/>
    <w:rsid w:val="00347427"/>
    <w:rsid w:val="0035102A"/>
    <w:rsid w:val="00352104"/>
    <w:rsid w:val="00352376"/>
    <w:rsid w:val="003530BA"/>
    <w:rsid w:val="003538C5"/>
    <w:rsid w:val="00353B62"/>
    <w:rsid w:val="00354016"/>
    <w:rsid w:val="003541DF"/>
    <w:rsid w:val="003541F4"/>
    <w:rsid w:val="0035623D"/>
    <w:rsid w:val="0035628D"/>
    <w:rsid w:val="00356865"/>
    <w:rsid w:val="00356D82"/>
    <w:rsid w:val="003577CF"/>
    <w:rsid w:val="0036044A"/>
    <w:rsid w:val="003605E8"/>
    <w:rsid w:val="00361C44"/>
    <w:rsid w:val="0036262E"/>
    <w:rsid w:val="00362702"/>
    <w:rsid w:val="0036360D"/>
    <w:rsid w:val="00363A8F"/>
    <w:rsid w:val="00363C86"/>
    <w:rsid w:val="00366A94"/>
    <w:rsid w:val="003701B8"/>
    <w:rsid w:val="00370A70"/>
    <w:rsid w:val="003722CA"/>
    <w:rsid w:val="00372CE5"/>
    <w:rsid w:val="00373104"/>
    <w:rsid w:val="00373F37"/>
    <w:rsid w:val="00374AE6"/>
    <w:rsid w:val="003756F0"/>
    <w:rsid w:val="0037663A"/>
    <w:rsid w:val="00377D6B"/>
    <w:rsid w:val="00381451"/>
    <w:rsid w:val="00381CC1"/>
    <w:rsid w:val="003820EA"/>
    <w:rsid w:val="0038229C"/>
    <w:rsid w:val="003833F8"/>
    <w:rsid w:val="00383968"/>
    <w:rsid w:val="00383ECF"/>
    <w:rsid w:val="00384423"/>
    <w:rsid w:val="00384701"/>
    <w:rsid w:val="003850C4"/>
    <w:rsid w:val="00386221"/>
    <w:rsid w:val="00390317"/>
    <w:rsid w:val="00391175"/>
    <w:rsid w:val="00391B4C"/>
    <w:rsid w:val="003920AD"/>
    <w:rsid w:val="00393394"/>
    <w:rsid w:val="00394075"/>
    <w:rsid w:val="003944F5"/>
    <w:rsid w:val="00395593"/>
    <w:rsid w:val="003957C7"/>
    <w:rsid w:val="0039661F"/>
    <w:rsid w:val="003978C7"/>
    <w:rsid w:val="003A07C3"/>
    <w:rsid w:val="003A0C6F"/>
    <w:rsid w:val="003A12F2"/>
    <w:rsid w:val="003A2578"/>
    <w:rsid w:val="003A25E6"/>
    <w:rsid w:val="003A3838"/>
    <w:rsid w:val="003A4A7F"/>
    <w:rsid w:val="003A4AE8"/>
    <w:rsid w:val="003A5A13"/>
    <w:rsid w:val="003A61A1"/>
    <w:rsid w:val="003A6938"/>
    <w:rsid w:val="003A6D74"/>
    <w:rsid w:val="003A7987"/>
    <w:rsid w:val="003A7BCC"/>
    <w:rsid w:val="003B0524"/>
    <w:rsid w:val="003B1216"/>
    <w:rsid w:val="003B15F6"/>
    <w:rsid w:val="003B28AD"/>
    <w:rsid w:val="003B2DC5"/>
    <w:rsid w:val="003B3315"/>
    <w:rsid w:val="003B3A9D"/>
    <w:rsid w:val="003B403D"/>
    <w:rsid w:val="003B71EB"/>
    <w:rsid w:val="003B7789"/>
    <w:rsid w:val="003B7878"/>
    <w:rsid w:val="003C09E9"/>
    <w:rsid w:val="003C18EF"/>
    <w:rsid w:val="003C1C58"/>
    <w:rsid w:val="003C25C9"/>
    <w:rsid w:val="003C2784"/>
    <w:rsid w:val="003C2792"/>
    <w:rsid w:val="003C3883"/>
    <w:rsid w:val="003C5BB3"/>
    <w:rsid w:val="003D0277"/>
    <w:rsid w:val="003D0DB2"/>
    <w:rsid w:val="003D0F9B"/>
    <w:rsid w:val="003D1F01"/>
    <w:rsid w:val="003D2413"/>
    <w:rsid w:val="003D358B"/>
    <w:rsid w:val="003D615A"/>
    <w:rsid w:val="003D632E"/>
    <w:rsid w:val="003D73DF"/>
    <w:rsid w:val="003D7899"/>
    <w:rsid w:val="003E0AA7"/>
    <w:rsid w:val="003E22D8"/>
    <w:rsid w:val="003E3001"/>
    <w:rsid w:val="003E49DB"/>
    <w:rsid w:val="003E71C0"/>
    <w:rsid w:val="003F0A65"/>
    <w:rsid w:val="003F0E73"/>
    <w:rsid w:val="003F117A"/>
    <w:rsid w:val="003F1D14"/>
    <w:rsid w:val="003F1E3F"/>
    <w:rsid w:val="003F28A5"/>
    <w:rsid w:val="003F45E8"/>
    <w:rsid w:val="003F5D1F"/>
    <w:rsid w:val="003F64AF"/>
    <w:rsid w:val="003F7337"/>
    <w:rsid w:val="003F7F8C"/>
    <w:rsid w:val="004000E2"/>
    <w:rsid w:val="00401BCA"/>
    <w:rsid w:val="00402366"/>
    <w:rsid w:val="00403266"/>
    <w:rsid w:val="00404854"/>
    <w:rsid w:val="00404C8A"/>
    <w:rsid w:val="00404DD8"/>
    <w:rsid w:val="004073AB"/>
    <w:rsid w:val="00407C11"/>
    <w:rsid w:val="00407D83"/>
    <w:rsid w:val="004100FD"/>
    <w:rsid w:val="004125BA"/>
    <w:rsid w:val="004135A5"/>
    <w:rsid w:val="00413B3C"/>
    <w:rsid w:val="00414878"/>
    <w:rsid w:val="0041526A"/>
    <w:rsid w:val="004167CA"/>
    <w:rsid w:val="00417563"/>
    <w:rsid w:val="00417611"/>
    <w:rsid w:val="0042051D"/>
    <w:rsid w:val="00421F0F"/>
    <w:rsid w:val="00421F5A"/>
    <w:rsid w:val="00423C17"/>
    <w:rsid w:val="00423CC2"/>
    <w:rsid w:val="004245D5"/>
    <w:rsid w:val="00424D9E"/>
    <w:rsid w:val="00424DA1"/>
    <w:rsid w:val="00430232"/>
    <w:rsid w:val="00431642"/>
    <w:rsid w:val="0043361A"/>
    <w:rsid w:val="00433B90"/>
    <w:rsid w:val="00434EA8"/>
    <w:rsid w:val="00435F73"/>
    <w:rsid w:val="0043746F"/>
    <w:rsid w:val="00440CFD"/>
    <w:rsid w:val="004425DB"/>
    <w:rsid w:val="00442A52"/>
    <w:rsid w:val="00443C18"/>
    <w:rsid w:val="00444D39"/>
    <w:rsid w:val="004453EF"/>
    <w:rsid w:val="00446008"/>
    <w:rsid w:val="00446444"/>
    <w:rsid w:val="00446AA2"/>
    <w:rsid w:val="00450F39"/>
    <w:rsid w:val="00451547"/>
    <w:rsid w:val="0045303B"/>
    <w:rsid w:val="0045322E"/>
    <w:rsid w:val="0045326D"/>
    <w:rsid w:val="004558CD"/>
    <w:rsid w:val="00455A52"/>
    <w:rsid w:val="00456F66"/>
    <w:rsid w:val="00457223"/>
    <w:rsid w:val="004600B3"/>
    <w:rsid w:val="00460E16"/>
    <w:rsid w:val="00462BF6"/>
    <w:rsid w:val="00463B66"/>
    <w:rsid w:val="004647F1"/>
    <w:rsid w:val="00464B1F"/>
    <w:rsid w:val="00465161"/>
    <w:rsid w:val="00465A51"/>
    <w:rsid w:val="00466406"/>
    <w:rsid w:val="0046647C"/>
    <w:rsid w:val="004669B1"/>
    <w:rsid w:val="00466AA5"/>
    <w:rsid w:val="0046709C"/>
    <w:rsid w:val="004675F7"/>
    <w:rsid w:val="004728F2"/>
    <w:rsid w:val="00473EC2"/>
    <w:rsid w:val="0047490F"/>
    <w:rsid w:val="00475183"/>
    <w:rsid w:val="004756C6"/>
    <w:rsid w:val="00475A5C"/>
    <w:rsid w:val="00476446"/>
    <w:rsid w:val="00477708"/>
    <w:rsid w:val="00480729"/>
    <w:rsid w:val="00480D2B"/>
    <w:rsid w:val="00480D68"/>
    <w:rsid w:val="00482407"/>
    <w:rsid w:val="0048436C"/>
    <w:rsid w:val="0048456D"/>
    <w:rsid w:val="00484974"/>
    <w:rsid w:val="0048721C"/>
    <w:rsid w:val="00487732"/>
    <w:rsid w:val="00492275"/>
    <w:rsid w:val="00492BDE"/>
    <w:rsid w:val="00495722"/>
    <w:rsid w:val="004958DC"/>
    <w:rsid w:val="004959A7"/>
    <w:rsid w:val="00496EBD"/>
    <w:rsid w:val="004977C6"/>
    <w:rsid w:val="004A05C0"/>
    <w:rsid w:val="004A0ECD"/>
    <w:rsid w:val="004A1BDD"/>
    <w:rsid w:val="004A1C47"/>
    <w:rsid w:val="004A2222"/>
    <w:rsid w:val="004A261F"/>
    <w:rsid w:val="004A2B1B"/>
    <w:rsid w:val="004A2DCB"/>
    <w:rsid w:val="004A33F9"/>
    <w:rsid w:val="004A362F"/>
    <w:rsid w:val="004A3924"/>
    <w:rsid w:val="004A3F52"/>
    <w:rsid w:val="004A516E"/>
    <w:rsid w:val="004A653A"/>
    <w:rsid w:val="004A68BB"/>
    <w:rsid w:val="004A6CF7"/>
    <w:rsid w:val="004A7049"/>
    <w:rsid w:val="004A7149"/>
    <w:rsid w:val="004B05D7"/>
    <w:rsid w:val="004B0B80"/>
    <w:rsid w:val="004B1767"/>
    <w:rsid w:val="004B1B28"/>
    <w:rsid w:val="004B1BAE"/>
    <w:rsid w:val="004B4060"/>
    <w:rsid w:val="004B41E2"/>
    <w:rsid w:val="004B4366"/>
    <w:rsid w:val="004B493D"/>
    <w:rsid w:val="004B5ADB"/>
    <w:rsid w:val="004B650C"/>
    <w:rsid w:val="004B68DA"/>
    <w:rsid w:val="004C0194"/>
    <w:rsid w:val="004C03FF"/>
    <w:rsid w:val="004C0ECB"/>
    <w:rsid w:val="004C31E3"/>
    <w:rsid w:val="004C4086"/>
    <w:rsid w:val="004C4911"/>
    <w:rsid w:val="004C4D35"/>
    <w:rsid w:val="004C519D"/>
    <w:rsid w:val="004C5C24"/>
    <w:rsid w:val="004C5DA2"/>
    <w:rsid w:val="004C6A16"/>
    <w:rsid w:val="004D0763"/>
    <w:rsid w:val="004D0F09"/>
    <w:rsid w:val="004D1144"/>
    <w:rsid w:val="004D1803"/>
    <w:rsid w:val="004D2A6A"/>
    <w:rsid w:val="004D3546"/>
    <w:rsid w:val="004D391A"/>
    <w:rsid w:val="004D395A"/>
    <w:rsid w:val="004D42F4"/>
    <w:rsid w:val="004D444D"/>
    <w:rsid w:val="004D4B31"/>
    <w:rsid w:val="004D4DE5"/>
    <w:rsid w:val="004D5FC3"/>
    <w:rsid w:val="004D6F50"/>
    <w:rsid w:val="004D7216"/>
    <w:rsid w:val="004D734E"/>
    <w:rsid w:val="004E003B"/>
    <w:rsid w:val="004E0C19"/>
    <w:rsid w:val="004E119E"/>
    <w:rsid w:val="004E1B34"/>
    <w:rsid w:val="004E1B91"/>
    <w:rsid w:val="004E36FF"/>
    <w:rsid w:val="004E5DA6"/>
    <w:rsid w:val="004E6364"/>
    <w:rsid w:val="004E6480"/>
    <w:rsid w:val="004E6EBB"/>
    <w:rsid w:val="004E76D9"/>
    <w:rsid w:val="004E79EF"/>
    <w:rsid w:val="004F1280"/>
    <w:rsid w:val="004F244C"/>
    <w:rsid w:val="004F5192"/>
    <w:rsid w:val="004F680B"/>
    <w:rsid w:val="004F69FE"/>
    <w:rsid w:val="00500382"/>
    <w:rsid w:val="00501CA0"/>
    <w:rsid w:val="00503797"/>
    <w:rsid w:val="00505200"/>
    <w:rsid w:val="005061FF"/>
    <w:rsid w:val="00506439"/>
    <w:rsid w:val="00506620"/>
    <w:rsid w:val="0050671E"/>
    <w:rsid w:val="00507F31"/>
    <w:rsid w:val="00510967"/>
    <w:rsid w:val="00511C11"/>
    <w:rsid w:val="00512195"/>
    <w:rsid w:val="00512CF7"/>
    <w:rsid w:val="0051341F"/>
    <w:rsid w:val="00513461"/>
    <w:rsid w:val="00513535"/>
    <w:rsid w:val="00514220"/>
    <w:rsid w:val="00520D5F"/>
    <w:rsid w:val="00521116"/>
    <w:rsid w:val="005222A3"/>
    <w:rsid w:val="00523D43"/>
    <w:rsid w:val="00523E96"/>
    <w:rsid w:val="005240F5"/>
    <w:rsid w:val="00524919"/>
    <w:rsid w:val="00524FC4"/>
    <w:rsid w:val="00525B27"/>
    <w:rsid w:val="00525E9E"/>
    <w:rsid w:val="005260FC"/>
    <w:rsid w:val="005266EC"/>
    <w:rsid w:val="00527BA1"/>
    <w:rsid w:val="0053135D"/>
    <w:rsid w:val="0053332F"/>
    <w:rsid w:val="0053355E"/>
    <w:rsid w:val="0053407A"/>
    <w:rsid w:val="005347B0"/>
    <w:rsid w:val="0053481F"/>
    <w:rsid w:val="0053673D"/>
    <w:rsid w:val="00536752"/>
    <w:rsid w:val="0053710F"/>
    <w:rsid w:val="00537B8A"/>
    <w:rsid w:val="00540D62"/>
    <w:rsid w:val="00541522"/>
    <w:rsid w:val="005419B4"/>
    <w:rsid w:val="005420CB"/>
    <w:rsid w:val="005430C2"/>
    <w:rsid w:val="00545601"/>
    <w:rsid w:val="00545B7D"/>
    <w:rsid w:val="00545BD8"/>
    <w:rsid w:val="00546F49"/>
    <w:rsid w:val="0055008A"/>
    <w:rsid w:val="00552641"/>
    <w:rsid w:val="00552CB8"/>
    <w:rsid w:val="005535A3"/>
    <w:rsid w:val="0055588A"/>
    <w:rsid w:val="00555F89"/>
    <w:rsid w:val="005561DE"/>
    <w:rsid w:val="00556F91"/>
    <w:rsid w:val="0056005F"/>
    <w:rsid w:val="00561374"/>
    <w:rsid w:val="0056199F"/>
    <w:rsid w:val="005622B2"/>
    <w:rsid w:val="00563F4A"/>
    <w:rsid w:val="00564753"/>
    <w:rsid w:val="00564758"/>
    <w:rsid w:val="005655F3"/>
    <w:rsid w:val="0056586E"/>
    <w:rsid w:val="0056655E"/>
    <w:rsid w:val="0056726D"/>
    <w:rsid w:val="00567D02"/>
    <w:rsid w:val="00571F8B"/>
    <w:rsid w:val="00572585"/>
    <w:rsid w:val="005734D7"/>
    <w:rsid w:val="00575802"/>
    <w:rsid w:val="00575E02"/>
    <w:rsid w:val="00576848"/>
    <w:rsid w:val="0057709A"/>
    <w:rsid w:val="005773AA"/>
    <w:rsid w:val="00580C0D"/>
    <w:rsid w:val="00581632"/>
    <w:rsid w:val="005852CA"/>
    <w:rsid w:val="00585731"/>
    <w:rsid w:val="005906A7"/>
    <w:rsid w:val="00591540"/>
    <w:rsid w:val="00591C50"/>
    <w:rsid w:val="00591FAC"/>
    <w:rsid w:val="00591FD1"/>
    <w:rsid w:val="005937C7"/>
    <w:rsid w:val="00594D6B"/>
    <w:rsid w:val="005965AF"/>
    <w:rsid w:val="005965DE"/>
    <w:rsid w:val="00597682"/>
    <w:rsid w:val="00597699"/>
    <w:rsid w:val="005A0584"/>
    <w:rsid w:val="005A1897"/>
    <w:rsid w:val="005A1E24"/>
    <w:rsid w:val="005A2772"/>
    <w:rsid w:val="005A7BBC"/>
    <w:rsid w:val="005B00F1"/>
    <w:rsid w:val="005B1127"/>
    <w:rsid w:val="005B29DC"/>
    <w:rsid w:val="005B395B"/>
    <w:rsid w:val="005B5788"/>
    <w:rsid w:val="005B5D9F"/>
    <w:rsid w:val="005B5DFF"/>
    <w:rsid w:val="005B685C"/>
    <w:rsid w:val="005B730A"/>
    <w:rsid w:val="005B7BC2"/>
    <w:rsid w:val="005C06BE"/>
    <w:rsid w:val="005C0DCE"/>
    <w:rsid w:val="005C1E34"/>
    <w:rsid w:val="005C1E89"/>
    <w:rsid w:val="005C22A4"/>
    <w:rsid w:val="005C3915"/>
    <w:rsid w:val="005C4670"/>
    <w:rsid w:val="005C4F92"/>
    <w:rsid w:val="005C5279"/>
    <w:rsid w:val="005C57E4"/>
    <w:rsid w:val="005C590D"/>
    <w:rsid w:val="005C6D01"/>
    <w:rsid w:val="005D0EAD"/>
    <w:rsid w:val="005D134A"/>
    <w:rsid w:val="005D14F2"/>
    <w:rsid w:val="005D18F2"/>
    <w:rsid w:val="005D1F4D"/>
    <w:rsid w:val="005D2FBA"/>
    <w:rsid w:val="005D52BA"/>
    <w:rsid w:val="005D69FA"/>
    <w:rsid w:val="005D6DC7"/>
    <w:rsid w:val="005D7872"/>
    <w:rsid w:val="005E0253"/>
    <w:rsid w:val="005E0385"/>
    <w:rsid w:val="005E35E7"/>
    <w:rsid w:val="005E3E59"/>
    <w:rsid w:val="005E3F52"/>
    <w:rsid w:val="005E42A1"/>
    <w:rsid w:val="005E47C2"/>
    <w:rsid w:val="005E65AA"/>
    <w:rsid w:val="005F0196"/>
    <w:rsid w:val="005F0799"/>
    <w:rsid w:val="005F0A86"/>
    <w:rsid w:val="005F1529"/>
    <w:rsid w:val="005F1881"/>
    <w:rsid w:val="005F24DA"/>
    <w:rsid w:val="005F3874"/>
    <w:rsid w:val="005F4F55"/>
    <w:rsid w:val="005F62FA"/>
    <w:rsid w:val="005F650E"/>
    <w:rsid w:val="005F6675"/>
    <w:rsid w:val="005F67B3"/>
    <w:rsid w:val="00600A3D"/>
    <w:rsid w:val="006019C0"/>
    <w:rsid w:val="00601D2A"/>
    <w:rsid w:val="00602BB4"/>
    <w:rsid w:val="00602BF9"/>
    <w:rsid w:val="00602C63"/>
    <w:rsid w:val="00604C0D"/>
    <w:rsid w:val="00604D26"/>
    <w:rsid w:val="00605715"/>
    <w:rsid w:val="00611164"/>
    <w:rsid w:val="00611CA9"/>
    <w:rsid w:val="00611EAB"/>
    <w:rsid w:val="0061344D"/>
    <w:rsid w:val="00613D6C"/>
    <w:rsid w:val="00614972"/>
    <w:rsid w:val="00615D28"/>
    <w:rsid w:val="00616F3A"/>
    <w:rsid w:val="00617BAA"/>
    <w:rsid w:val="00617E93"/>
    <w:rsid w:val="00620EA5"/>
    <w:rsid w:val="00621019"/>
    <w:rsid w:val="006213E3"/>
    <w:rsid w:val="00621FBF"/>
    <w:rsid w:val="00622F5C"/>
    <w:rsid w:val="00623433"/>
    <w:rsid w:val="00623B9F"/>
    <w:rsid w:val="00623C76"/>
    <w:rsid w:val="00623CD0"/>
    <w:rsid w:val="00625352"/>
    <w:rsid w:val="0062765C"/>
    <w:rsid w:val="00630BE6"/>
    <w:rsid w:val="00630F85"/>
    <w:rsid w:val="006320BC"/>
    <w:rsid w:val="00632CB3"/>
    <w:rsid w:val="00635542"/>
    <w:rsid w:val="006359D6"/>
    <w:rsid w:val="00636BE3"/>
    <w:rsid w:val="0064027B"/>
    <w:rsid w:val="006406EA"/>
    <w:rsid w:val="00640F86"/>
    <w:rsid w:val="006416E3"/>
    <w:rsid w:val="00641C5D"/>
    <w:rsid w:val="00641EC2"/>
    <w:rsid w:val="00642073"/>
    <w:rsid w:val="00642DA6"/>
    <w:rsid w:val="00644B42"/>
    <w:rsid w:val="00647E39"/>
    <w:rsid w:val="00647F45"/>
    <w:rsid w:val="006505B2"/>
    <w:rsid w:val="00650888"/>
    <w:rsid w:val="00653613"/>
    <w:rsid w:val="00653D5F"/>
    <w:rsid w:val="00654267"/>
    <w:rsid w:val="00654751"/>
    <w:rsid w:val="00654EDD"/>
    <w:rsid w:val="00655131"/>
    <w:rsid w:val="00656B0F"/>
    <w:rsid w:val="00660E5F"/>
    <w:rsid w:val="00660FAB"/>
    <w:rsid w:val="00661347"/>
    <w:rsid w:val="006619B3"/>
    <w:rsid w:val="00661A8A"/>
    <w:rsid w:val="00662089"/>
    <w:rsid w:val="00662A0F"/>
    <w:rsid w:val="0066359B"/>
    <w:rsid w:val="006637BF"/>
    <w:rsid w:val="00663B65"/>
    <w:rsid w:val="00664EBF"/>
    <w:rsid w:val="00665404"/>
    <w:rsid w:val="006659E5"/>
    <w:rsid w:val="00666DB9"/>
    <w:rsid w:val="00671393"/>
    <w:rsid w:val="00672BD3"/>
    <w:rsid w:val="006748F3"/>
    <w:rsid w:val="00674C74"/>
    <w:rsid w:val="006750DE"/>
    <w:rsid w:val="006763FB"/>
    <w:rsid w:val="0067647E"/>
    <w:rsid w:val="00677FAE"/>
    <w:rsid w:val="00680F67"/>
    <w:rsid w:val="00683AE3"/>
    <w:rsid w:val="00685708"/>
    <w:rsid w:val="00685A54"/>
    <w:rsid w:val="00687500"/>
    <w:rsid w:val="0069000C"/>
    <w:rsid w:val="0069050F"/>
    <w:rsid w:val="00691D22"/>
    <w:rsid w:val="006945BE"/>
    <w:rsid w:val="0069469B"/>
    <w:rsid w:val="00694C14"/>
    <w:rsid w:val="006950F3"/>
    <w:rsid w:val="00695873"/>
    <w:rsid w:val="0069608C"/>
    <w:rsid w:val="006A09A0"/>
    <w:rsid w:val="006A18E1"/>
    <w:rsid w:val="006A26BF"/>
    <w:rsid w:val="006A2BC7"/>
    <w:rsid w:val="006A2EAF"/>
    <w:rsid w:val="006A3A4A"/>
    <w:rsid w:val="006A3DA7"/>
    <w:rsid w:val="006A46E4"/>
    <w:rsid w:val="006A4BA7"/>
    <w:rsid w:val="006A4E7D"/>
    <w:rsid w:val="006A59D2"/>
    <w:rsid w:val="006A6BBA"/>
    <w:rsid w:val="006A70C6"/>
    <w:rsid w:val="006B09A7"/>
    <w:rsid w:val="006B103B"/>
    <w:rsid w:val="006B16D8"/>
    <w:rsid w:val="006B3037"/>
    <w:rsid w:val="006B3972"/>
    <w:rsid w:val="006B5D1F"/>
    <w:rsid w:val="006B74DF"/>
    <w:rsid w:val="006C20EB"/>
    <w:rsid w:val="006C261F"/>
    <w:rsid w:val="006C2E44"/>
    <w:rsid w:val="006C2F7F"/>
    <w:rsid w:val="006C3414"/>
    <w:rsid w:val="006C47DC"/>
    <w:rsid w:val="006C497F"/>
    <w:rsid w:val="006C4BD5"/>
    <w:rsid w:val="006C4C3F"/>
    <w:rsid w:val="006C534F"/>
    <w:rsid w:val="006C5380"/>
    <w:rsid w:val="006C6379"/>
    <w:rsid w:val="006C647A"/>
    <w:rsid w:val="006C779D"/>
    <w:rsid w:val="006D0207"/>
    <w:rsid w:val="006D050B"/>
    <w:rsid w:val="006D22AC"/>
    <w:rsid w:val="006D483E"/>
    <w:rsid w:val="006D4EE0"/>
    <w:rsid w:val="006D6318"/>
    <w:rsid w:val="006D6A6E"/>
    <w:rsid w:val="006D7164"/>
    <w:rsid w:val="006E0658"/>
    <w:rsid w:val="006E1087"/>
    <w:rsid w:val="006E1A7D"/>
    <w:rsid w:val="006E1CBD"/>
    <w:rsid w:val="006E2565"/>
    <w:rsid w:val="006E33F3"/>
    <w:rsid w:val="006E363E"/>
    <w:rsid w:val="006E469B"/>
    <w:rsid w:val="006E5473"/>
    <w:rsid w:val="006E78B7"/>
    <w:rsid w:val="006F1515"/>
    <w:rsid w:val="006F198F"/>
    <w:rsid w:val="006F19E3"/>
    <w:rsid w:val="006F4FCA"/>
    <w:rsid w:val="006F5251"/>
    <w:rsid w:val="006F79E6"/>
    <w:rsid w:val="007006C4"/>
    <w:rsid w:val="00700D15"/>
    <w:rsid w:val="00700EF9"/>
    <w:rsid w:val="00702BE2"/>
    <w:rsid w:val="0070418A"/>
    <w:rsid w:val="00704DB5"/>
    <w:rsid w:val="00705545"/>
    <w:rsid w:val="007071B9"/>
    <w:rsid w:val="007076AC"/>
    <w:rsid w:val="00707910"/>
    <w:rsid w:val="00710DB7"/>
    <w:rsid w:val="00711175"/>
    <w:rsid w:val="007129C5"/>
    <w:rsid w:val="007132D8"/>
    <w:rsid w:val="007141C4"/>
    <w:rsid w:val="0071539F"/>
    <w:rsid w:val="00716934"/>
    <w:rsid w:val="0072062A"/>
    <w:rsid w:val="007209FD"/>
    <w:rsid w:val="007223BF"/>
    <w:rsid w:val="0072283E"/>
    <w:rsid w:val="00723C60"/>
    <w:rsid w:val="007249B3"/>
    <w:rsid w:val="00726391"/>
    <w:rsid w:val="00730779"/>
    <w:rsid w:val="007377DF"/>
    <w:rsid w:val="0074136D"/>
    <w:rsid w:val="00742060"/>
    <w:rsid w:val="00742840"/>
    <w:rsid w:val="00742962"/>
    <w:rsid w:val="00742DA4"/>
    <w:rsid w:val="00744083"/>
    <w:rsid w:val="007442BE"/>
    <w:rsid w:val="00744AC9"/>
    <w:rsid w:val="00747C7E"/>
    <w:rsid w:val="0075152E"/>
    <w:rsid w:val="00752452"/>
    <w:rsid w:val="00752A4F"/>
    <w:rsid w:val="00756293"/>
    <w:rsid w:val="00756F58"/>
    <w:rsid w:val="00756FAE"/>
    <w:rsid w:val="00757021"/>
    <w:rsid w:val="00757BCD"/>
    <w:rsid w:val="00757BCF"/>
    <w:rsid w:val="00757C99"/>
    <w:rsid w:val="007601FB"/>
    <w:rsid w:val="007604F0"/>
    <w:rsid w:val="007607EA"/>
    <w:rsid w:val="00760B41"/>
    <w:rsid w:val="00760F45"/>
    <w:rsid w:val="0076113E"/>
    <w:rsid w:val="00762193"/>
    <w:rsid w:val="00762706"/>
    <w:rsid w:val="00763906"/>
    <w:rsid w:val="00765086"/>
    <w:rsid w:val="007661B5"/>
    <w:rsid w:val="0076700E"/>
    <w:rsid w:val="007674C1"/>
    <w:rsid w:val="00767ABE"/>
    <w:rsid w:val="0077001F"/>
    <w:rsid w:val="007704D5"/>
    <w:rsid w:val="007715A1"/>
    <w:rsid w:val="00774A6C"/>
    <w:rsid w:val="007752C3"/>
    <w:rsid w:val="0077617B"/>
    <w:rsid w:val="00777930"/>
    <w:rsid w:val="00780FFB"/>
    <w:rsid w:val="00782C34"/>
    <w:rsid w:val="00783098"/>
    <w:rsid w:val="007859B7"/>
    <w:rsid w:val="0078713B"/>
    <w:rsid w:val="0079000A"/>
    <w:rsid w:val="0079033E"/>
    <w:rsid w:val="00790591"/>
    <w:rsid w:val="00792BE5"/>
    <w:rsid w:val="00793A97"/>
    <w:rsid w:val="007941B1"/>
    <w:rsid w:val="007955DE"/>
    <w:rsid w:val="00796E09"/>
    <w:rsid w:val="00796E1B"/>
    <w:rsid w:val="00797011"/>
    <w:rsid w:val="007971ED"/>
    <w:rsid w:val="00797858"/>
    <w:rsid w:val="00797B81"/>
    <w:rsid w:val="00797CE3"/>
    <w:rsid w:val="007A030D"/>
    <w:rsid w:val="007A13B2"/>
    <w:rsid w:val="007A317E"/>
    <w:rsid w:val="007A5E4A"/>
    <w:rsid w:val="007A75F7"/>
    <w:rsid w:val="007A7BFA"/>
    <w:rsid w:val="007B034C"/>
    <w:rsid w:val="007B15F5"/>
    <w:rsid w:val="007B1A44"/>
    <w:rsid w:val="007B2587"/>
    <w:rsid w:val="007B28E6"/>
    <w:rsid w:val="007B5F2E"/>
    <w:rsid w:val="007B61AC"/>
    <w:rsid w:val="007B6A0B"/>
    <w:rsid w:val="007B6F57"/>
    <w:rsid w:val="007C0F81"/>
    <w:rsid w:val="007C16B0"/>
    <w:rsid w:val="007C189F"/>
    <w:rsid w:val="007C2611"/>
    <w:rsid w:val="007C302F"/>
    <w:rsid w:val="007C32A2"/>
    <w:rsid w:val="007C339D"/>
    <w:rsid w:val="007C35A6"/>
    <w:rsid w:val="007C3616"/>
    <w:rsid w:val="007C423D"/>
    <w:rsid w:val="007C52D8"/>
    <w:rsid w:val="007C5D0F"/>
    <w:rsid w:val="007C6B78"/>
    <w:rsid w:val="007C78C2"/>
    <w:rsid w:val="007D0ADC"/>
    <w:rsid w:val="007D0B73"/>
    <w:rsid w:val="007D0E6A"/>
    <w:rsid w:val="007D12FD"/>
    <w:rsid w:val="007D1C2B"/>
    <w:rsid w:val="007D3211"/>
    <w:rsid w:val="007D4DC9"/>
    <w:rsid w:val="007D52C7"/>
    <w:rsid w:val="007D7877"/>
    <w:rsid w:val="007D789C"/>
    <w:rsid w:val="007D7A91"/>
    <w:rsid w:val="007E2248"/>
    <w:rsid w:val="007E2781"/>
    <w:rsid w:val="007E2A74"/>
    <w:rsid w:val="007E312A"/>
    <w:rsid w:val="007E4910"/>
    <w:rsid w:val="007E4D0A"/>
    <w:rsid w:val="007E5925"/>
    <w:rsid w:val="007E5D97"/>
    <w:rsid w:val="007E5E1A"/>
    <w:rsid w:val="007E5EBA"/>
    <w:rsid w:val="007E777A"/>
    <w:rsid w:val="007F1B3C"/>
    <w:rsid w:val="007F1C95"/>
    <w:rsid w:val="007F2FB4"/>
    <w:rsid w:val="007F4571"/>
    <w:rsid w:val="007F4E0B"/>
    <w:rsid w:val="007F7289"/>
    <w:rsid w:val="0080050E"/>
    <w:rsid w:val="00800AA8"/>
    <w:rsid w:val="00800CCC"/>
    <w:rsid w:val="00800DEF"/>
    <w:rsid w:val="00801AD9"/>
    <w:rsid w:val="00801BF7"/>
    <w:rsid w:val="00801EFF"/>
    <w:rsid w:val="0080214B"/>
    <w:rsid w:val="008026F3"/>
    <w:rsid w:val="008038EC"/>
    <w:rsid w:val="008043A9"/>
    <w:rsid w:val="00804566"/>
    <w:rsid w:val="008064FB"/>
    <w:rsid w:val="0080684D"/>
    <w:rsid w:val="008070DA"/>
    <w:rsid w:val="00807469"/>
    <w:rsid w:val="008077FB"/>
    <w:rsid w:val="00807DF8"/>
    <w:rsid w:val="008113BC"/>
    <w:rsid w:val="0081189B"/>
    <w:rsid w:val="00811C2F"/>
    <w:rsid w:val="008120D3"/>
    <w:rsid w:val="00812AF2"/>
    <w:rsid w:val="0081638B"/>
    <w:rsid w:val="008177A7"/>
    <w:rsid w:val="00821519"/>
    <w:rsid w:val="00821D37"/>
    <w:rsid w:val="008235A0"/>
    <w:rsid w:val="0082445A"/>
    <w:rsid w:val="00824794"/>
    <w:rsid w:val="00825332"/>
    <w:rsid w:val="00825352"/>
    <w:rsid w:val="00825B8B"/>
    <w:rsid w:val="00825E41"/>
    <w:rsid w:val="0083257B"/>
    <w:rsid w:val="008343F6"/>
    <w:rsid w:val="008350DE"/>
    <w:rsid w:val="00835595"/>
    <w:rsid w:val="008372F6"/>
    <w:rsid w:val="008377DC"/>
    <w:rsid w:val="008406A5"/>
    <w:rsid w:val="00840ECE"/>
    <w:rsid w:val="008422E2"/>
    <w:rsid w:val="0084327E"/>
    <w:rsid w:val="00843D9D"/>
    <w:rsid w:val="008446AD"/>
    <w:rsid w:val="008463B2"/>
    <w:rsid w:val="008479C4"/>
    <w:rsid w:val="008479D2"/>
    <w:rsid w:val="00847D8D"/>
    <w:rsid w:val="00850D42"/>
    <w:rsid w:val="008514D1"/>
    <w:rsid w:val="008517B0"/>
    <w:rsid w:val="00853597"/>
    <w:rsid w:val="008535CA"/>
    <w:rsid w:val="008548B6"/>
    <w:rsid w:val="008553C2"/>
    <w:rsid w:val="00857D95"/>
    <w:rsid w:val="00861C73"/>
    <w:rsid w:val="00861C9B"/>
    <w:rsid w:val="0086251C"/>
    <w:rsid w:val="00862E39"/>
    <w:rsid w:val="00862F4E"/>
    <w:rsid w:val="00863875"/>
    <w:rsid w:val="00864E1D"/>
    <w:rsid w:val="00865648"/>
    <w:rsid w:val="00866FD3"/>
    <w:rsid w:val="00866FF9"/>
    <w:rsid w:val="0087031B"/>
    <w:rsid w:val="00870D00"/>
    <w:rsid w:val="00872406"/>
    <w:rsid w:val="00872485"/>
    <w:rsid w:val="00872660"/>
    <w:rsid w:val="008748FD"/>
    <w:rsid w:val="00874B2A"/>
    <w:rsid w:val="008757C2"/>
    <w:rsid w:val="0087586D"/>
    <w:rsid w:val="00876322"/>
    <w:rsid w:val="00876DF0"/>
    <w:rsid w:val="00876FAB"/>
    <w:rsid w:val="00880376"/>
    <w:rsid w:val="00880C49"/>
    <w:rsid w:val="0088326D"/>
    <w:rsid w:val="00884125"/>
    <w:rsid w:val="00885901"/>
    <w:rsid w:val="00891126"/>
    <w:rsid w:val="00892218"/>
    <w:rsid w:val="008935D6"/>
    <w:rsid w:val="00893A3A"/>
    <w:rsid w:val="00893E09"/>
    <w:rsid w:val="00894107"/>
    <w:rsid w:val="0089574C"/>
    <w:rsid w:val="00895A2E"/>
    <w:rsid w:val="00895ED4"/>
    <w:rsid w:val="008969E1"/>
    <w:rsid w:val="00897D22"/>
    <w:rsid w:val="008A37AC"/>
    <w:rsid w:val="008A47B9"/>
    <w:rsid w:val="008A485A"/>
    <w:rsid w:val="008A4B7F"/>
    <w:rsid w:val="008A52F7"/>
    <w:rsid w:val="008A574D"/>
    <w:rsid w:val="008A591B"/>
    <w:rsid w:val="008A6731"/>
    <w:rsid w:val="008A736B"/>
    <w:rsid w:val="008B035A"/>
    <w:rsid w:val="008B08C8"/>
    <w:rsid w:val="008B1B87"/>
    <w:rsid w:val="008B340F"/>
    <w:rsid w:val="008B36CA"/>
    <w:rsid w:val="008B456C"/>
    <w:rsid w:val="008B4D48"/>
    <w:rsid w:val="008B4D67"/>
    <w:rsid w:val="008B6D68"/>
    <w:rsid w:val="008C095B"/>
    <w:rsid w:val="008C0C27"/>
    <w:rsid w:val="008C139F"/>
    <w:rsid w:val="008C1EB3"/>
    <w:rsid w:val="008C29AA"/>
    <w:rsid w:val="008C3248"/>
    <w:rsid w:val="008C3C62"/>
    <w:rsid w:val="008C3CAD"/>
    <w:rsid w:val="008C4F68"/>
    <w:rsid w:val="008C547F"/>
    <w:rsid w:val="008C5484"/>
    <w:rsid w:val="008C6129"/>
    <w:rsid w:val="008C7DAE"/>
    <w:rsid w:val="008D0026"/>
    <w:rsid w:val="008D02D4"/>
    <w:rsid w:val="008D263C"/>
    <w:rsid w:val="008D31B0"/>
    <w:rsid w:val="008D4F78"/>
    <w:rsid w:val="008D6644"/>
    <w:rsid w:val="008E0EF2"/>
    <w:rsid w:val="008E11B0"/>
    <w:rsid w:val="008E1BCF"/>
    <w:rsid w:val="008E20B6"/>
    <w:rsid w:val="008E2593"/>
    <w:rsid w:val="008E37A4"/>
    <w:rsid w:val="008E43B0"/>
    <w:rsid w:val="008E5416"/>
    <w:rsid w:val="008E5443"/>
    <w:rsid w:val="008E555B"/>
    <w:rsid w:val="008F00FB"/>
    <w:rsid w:val="008F029E"/>
    <w:rsid w:val="008F0586"/>
    <w:rsid w:val="008F1F3D"/>
    <w:rsid w:val="008F2812"/>
    <w:rsid w:val="008F3AD1"/>
    <w:rsid w:val="008F48CC"/>
    <w:rsid w:val="008F6107"/>
    <w:rsid w:val="00900D4A"/>
    <w:rsid w:val="00901803"/>
    <w:rsid w:val="00901BD5"/>
    <w:rsid w:val="00902DAB"/>
    <w:rsid w:val="0090326E"/>
    <w:rsid w:val="009033BB"/>
    <w:rsid w:val="0090487E"/>
    <w:rsid w:val="00905061"/>
    <w:rsid w:val="0090535C"/>
    <w:rsid w:val="0091091F"/>
    <w:rsid w:val="00910CE4"/>
    <w:rsid w:val="00911B5B"/>
    <w:rsid w:val="009165B0"/>
    <w:rsid w:val="00917EA0"/>
    <w:rsid w:val="009206B7"/>
    <w:rsid w:val="00920853"/>
    <w:rsid w:val="00920F76"/>
    <w:rsid w:val="009212FD"/>
    <w:rsid w:val="00921699"/>
    <w:rsid w:val="0092186A"/>
    <w:rsid w:val="0092195C"/>
    <w:rsid w:val="00922FA6"/>
    <w:rsid w:val="00923BE7"/>
    <w:rsid w:val="00923CE9"/>
    <w:rsid w:val="00924F41"/>
    <w:rsid w:val="00925C9C"/>
    <w:rsid w:val="00926247"/>
    <w:rsid w:val="0092644A"/>
    <w:rsid w:val="00926CCC"/>
    <w:rsid w:val="009275C2"/>
    <w:rsid w:val="009277CC"/>
    <w:rsid w:val="00930029"/>
    <w:rsid w:val="00930A36"/>
    <w:rsid w:val="00931049"/>
    <w:rsid w:val="00931F36"/>
    <w:rsid w:val="00932B8C"/>
    <w:rsid w:val="00933699"/>
    <w:rsid w:val="0093440C"/>
    <w:rsid w:val="00935CF3"/>
    <w:rsid w:val="009400E7"/>
    <w:rsid w:val="00940850"/>
    <w:rsid w:val="00941D26"/>
    <w:rsid w:val="00942A41"/>
    <w:rsid w:val="009434EC"/>
    <w:rsid w:val="0094359B"/>
    <w:rsid w:val="00943942"/>
    <w:rsid w:val="00944096"/>
    <w:rsid w:val="009448FA"/>
    <w:rsid w:val="009469F0"/>
    <w:rsid w:val="00947865"/>
    <w:rsid w:val="0095068E"/>
    <w:rsid w:val="00951A2D"/>
    <w:rsid w:val="009524EF"/>
    <w:rsid w:val="0095422C"/>
    <w:rsid w:val="009549CC"/>
    <w:rsid w:val="00955B99"/>
    <w:rsid w:val="00956474"/>
    <w:rsid w:val="00956488"/>
    <w:rsid w:val="009568BA"/>
    <w:rsid w:val="00956EED"/>
    <w:rsid w:val="00960183"/>
    <w:rsid w:val="0096134F"/>
    <w:rsid w:val="0096238C"/>
    <w:rsid w:val="00963F0E"/>
    <w:rsid w:val="00964FAB"/>
    <w:rsid w:val="00965232"/>
    <w:rsid w:val="009656F5"/>
    <w:rsid w:val="00965E38"/>
    <w:rsid w:val="0096715C"/>
    <w:rsid w:val="00967227"/>
    <w:rsid w:val="00967761"/>
    <w:rsid w:val="00967C24"/>
    <w:rsid w:val="0097061D"/>
    <w:rsid w:val="009706ED"/>
    <w:rsid w:val="00971D85"/>
    <w:rsid w:val="00973E8E"/>
    <w:rsid w:val="009741BB"/>
    <w:rsid w:val="009741E1"/>
    <w:rsid w:val="0097425F"/>
    <w:rsid w:val="00974B52"/>
    <w:rsid w:val="00975466"/>
    <w:rsid w:val="00975677"/>
    <w:rsid w:val="00981055"/>
    <w:rsid w:val="00981149"/>
    <w:rsid w:val="009811C6"/>
    <w:rsid w:val="00981E0E"/>
    <w:rsid w:val="00981F06"/>
    <w:rsid w:val="009826A9"/>
    <w:rsid w:val="009838A6"/>
    <w:rsid w:val="009845D7"/>
    <w:rsid w:val="009851E2"/>
    <w:rsid w:val="00990394"/>
    <w:rsid w:val="00991352"/>
    <w:rsid w:val="009917E2"/>
    <w:rsid w:val="00992ED0"/>
    <w:rsid w:val="009948EF"/>
    <w:rsid w:val="00994D06"/>
    <w:rsid w:val="00995A3D"/>
    <w:rsid w:val="00995FFF"/>
    <w:rsid w:val="00996C44"/>
    <w:rsid w:val="00996F30"/>
    <w:rsid w:val="00997631"/>
    <w:rsid w:val="009A0678"/>
    <w:rsid w:val="009A1B45"/>
    <w:rsid w:val="009A2536"/>
    <w:rsid w:val="009A3ACA"/>
    <w:rsid w:val="009A4309"/>
    <w:rsid w:val="009A6101"/>
    <w:rsid w:val="009A7297"/>
    <w:rsid w:val="009A75BF"/>
    <w:rsid w:val="009A7660"/>
    <w:rsid w:val="009B0755"/>
    <w:rsid w:val="009B09CC"/>
    <w:rsid w:val="009B1B48"/>
    <w:rsid w:val="009B1E0C"/>
    <w:rsid w:val="009B200F"/>
    <w:rsid w:val="009B33BC"/>
    <w:rsid w:val="009B34AC"/>
    <w:rsid w:val="009B4A82"/>
    <w:rsid w:val="009B610A"/>
    <w:rsid w:val="009B6CA1"/>
    <w:rsid w:val="009C041D"/>
    <w:rsid w:val="009C0898"/>
    <w:rsid w:val="009C12C0"/>
    <w:rsid w:val="009C39F4"/>
    <w:rsid w:val="009C475B"/>
    <w:rsid w:val="009C510C"/>
    <w:rsid w:val="009C578C"/>
    <w:rsid w:val="009C601B"/>
    <w:rsid w:val="009C6448"/>
    <w:rsid w:val="009C74B3"/>
    <w:rsid w:val="009C762F"/>
    <w:rsid w:val="009C7CC8"/>
    <w:rsid w:val="009D009C"/>
    <w:rsid w:val="009D0DE6"/>
    <w:rsid w:val="009D0E1C"/>
    <w:rsid w:val="009D2F49"/>
    <w:rsid w:val="009D3590"/>
    <w:rsid w:val="009D5CAC"/>
    <w:rsid w:val="009D5E14"/>
    <w:rsid w:val="009D775C"/>
    <w:rsid w:val="009E050A"/>
    <w:rsid w:val="009E0ECD"/>
    <w:rsid w:val="009E0F90"/>
    <w:rsid w:val="009E3536"/>
    <w:rsid w:val="009E530A"/>
    <w:rsid w:val="009E6AC4"/>
    <w:rsid w:val="009E6D5A"/>
    <w:rsid w:val="009F02B9"/>
    <w:rsid w:val="009F0935"/>
    <w:rsid w:val="009F26A8"/>
    <w:rsid w:val="009F4C7C"/>
    <w:rsid w:val="009F4E46"/>
    <w:rsid w:val="009F50AA"/>
    <w:rsid w:val="009F61A6"/>
    <w:rsid w:val="009F67CC"/>
    <w:rsid w:val="009F6ADD"/>
    <w:rsid w:val="00A000E5"/>
    <w:rsid w:val="00A032F1"/>
    <w:rsid w:val="00A0397E"/>
    <w:rsid w:val="00A0472D"/>
    <w:rsid w:val="00A05BB7"/>
    <w:rsid w:val="00A06FBB"/>
    <w:rsid w:val="00A1163E"/>
    <w:rsid w:val="00A150A0"/>
    <w:rsid w:val="00A1542A"/>
    <w:rsid w:val="00A1543D"/>
    <w:rsid w:val="00A1615B"/>
    <w:rsid w:val="00A16FB0"/>
    <w:rsid w:val="00A219C1"/>
    <w:rsid w:val="00A22218"/>
    <w:rsid w:val="00A22F8F"/>
    <w:rsid w:val="00A2325C"/>
    <w:rsid w:val="00A238C6"/>
    <w:rsid w:val="00A23973"/>
    <w:rsid w:val="00A24A91"/>
    <w:rsid w:val="00A2683F"/>
    <w:rsid w:val="00A27875"/>
    <w:rsid w:val="00A30C4D"/>
    <w:rsid w:val="00A31803"/>
    <w:rsid w:val="00A31CE7"/>
    <w:rsid w:val="00A32622"/>
    <w:rsid w:val="00A32A36"/>
    <w:rsid w:val="00A33A6D"/>
    <w:rsid w:val="00A33D61"/>
    <w:rsid w:val="00A342FA"/>
    <w:rsid w:val="00A3466F"/>
    <w:rsid w:val="00A35944"/>
    <w:rsid w:val="00A36F3C"/>
    <w:rsid w:val="00A378FE"/>
    <w:rsid w:val="00A37C3A"/>
    <w:rsid w:val="00A4096E"/>
    <w:rsid w:val="00A41D9E"/>
    <w:rsid w:val="00A426D4"/>
    <w:rsid w:val="00A446CA"/>
    <w:rsid w:val="00A44B45"/>
    <w:rsid w:val="00A4535C"/>
    <w:rsid w:val="00A455CA"/>
    <w:rsid w:val="00A456F7"/>
    <w:rsid w:val="00A45B6D"/>
    <w:rsid w:val="00A46E6B"/>
    <w:rsid w:val="00A47AA7"/>
    <w:rsid w:val="00A47B1D"/>
    <w:rsid w:val="00A50112"/>
    <w:rsid w:val="00A5425F"/>
    <w:rsid w:val="00A545A6"/>
    <w:rsid w:val="00A55E93"/>
    <w:rsid w:val="00A565B9"/>
    <w:rsid w:val="00A56C78"/>
    <w:rsid w:val="00A57F65"/>
    <w:rsid w:val="00A60651"/>
    <w:rsid w:val="00A61132"/>
    <w:rsid w:val="00A628C1"/>
    <w:rsid w:val="00A62D40"/>
    <w:rsid w:val="00A63356"/>
    <w:rsid w:val="00A6349A"/>
    <w:rsid w:val="00A63D9A"/>
    <w:rsid w:val="00A63E48"/>
    <w:rsid w:val="00A63FA1"/>
    <w:rsid w:val="00A643B1"/>
    <w:rsid w:val="00A64783"/>
    <w:rsid w:val="00A6538A"/>
    <w:rsid w:val="00A65B21"/>
    <w:rsid w:val="00A66796"/>
    <w:rsid w:val="00A67453"/>
    <w:rsid w:val="00A675B0"/>
    <w:rsid w:val="00A705BC"/>
    <w:rsid w:val="00A7088F"/>
    <w:rsid w:val="00A70E04"/>
    <w:rsid w:val="00A73879"/>
    <w:rsid w:val="00A73F48"/>
    <w:rsid w:val="00A757D7"/>
    <w:rsid w:val="00A76B98"/>
    <w:rsid w:val="00A76F91"/>
    <w:rsid w:val="00A772FE"/>
    <w:rsid w:val="00A773D8"/>
    <w:rsid w:val="00A817A9"/>
    <w:rsid w:val="00A82474"/>
    <w:rsid w:val="00A83111"/>
    <w:rsid w:val="00A84121"/>
    <w:rsid w:val="00A84D06"/>
    <w:rsid w:val="00A855BF"/>
    <w:rsid w:val="00A85782"/>
    <w:rsid w:val="00A87249"/>
    <w:rsid w:val="00A8760F"/>
    <w:rsid w:val="00A87EFB"/>
    <w:rsid w:val="00A90A97"/>
    <w:rsid w:val="00A90B7B"/>
    <w:rsid w:val="00A913FA"/>
    <w:rsid w:val="00A91815"/>
    <w:rsid w:val="00A91B15"/>
    <w:rsid w:val="00A93D27"/>
    <w:rsid w:val="00A944EC"/>
    <w:rsid w:val="00A94F82"/>
    <w:rsid w:val="00A95424"/>
    <w:rsid w:val="00A9603E"/>
    <w:rsid w:val="00A96A3D"/>
    <w:rsid w:val="00A97CC7"/>
    <w:rsid w:val="00AA0F8F"/>
    <w:rsid w:val="00AA151C"/>
    <w:rsid w:val="00AA1962"/>
    <w:rsid w:val="00AA19AC"/>
    <w:rsid w:val="00AA2703"/>
    <w:rsid w:val="00AA27AA"/>
    <w:rsid w:val="00AA38EA"/>
    <w:rsid w:val="00AA3ABD"/>
    <w:rsid w:val="00AA5880"/>
    <w:rsid w:val="00AA5E37"/>
    <w:rsid w:val="00AA75A9"/>
    <w:rsid w:val="00AB0F56"/>
    <w:rsid w:val="00AB1EB8"/>
    <w:rsid w:val="00AB375B"/>
    <w:rsid w:val="00AB4C09"/>
    <w:rsid w:val="00AB5280"/>
    <w:rsid w:val="00AB5F16"/>
    <w:rsid w:val="00AB7323"/>
    <w:rsid w:val="00AB733F"/>
    <w:rsid w:val="00AC001C"/>
    <w:rsid w:val="00AC1ABC"/>
    <w:rsid w:val="00AC2A20"/>
    <w:rsid w:val="00AC2AEE"/>
    <w:rsid w:val="00AC2C55"/>
    <w:rsid w:val="00AC35CD"/>
    <w:rsid w:val="00AC3C28"/>
    <w:rsid w:val="00AC3F4A"/>
    <w:rsid w:val="00AC5D31"/>
    <w:rsid w:val="00AC6C20"/>
    <w:rsid w:val="00AC6F88"/>
    <w:rsid w:val="00AD0BB0"/>
    <w:rsid w:val="00AD219A"/>
    <w:rsid w:val="00AD2FAA"/>
    <w:rsid w:val="00AD3D17"/>
    <w:rsid w:val="00AD53CD"/>
    <w:rsid w:val="00AD5D7E"/>
    <w:rsid w:val="00AD5F99"/>
    <w:rsid w:val="00AD62D7"/>
    <w:rsid w:val="00AD714C"/>
    <w:rsid w:val="00AE0F63"/>
    <w:rsid w:val="00AE1BA3"/>
    <w:rsid w:val="00AE22D7"/>
    <w:rsid w:val="00AE3158"/>
    <w:rsid w:val="00AE39E5"/>
    <w:rsid w:val="00AE40FD"/>
    <w:rsid w:val="00AE493C"/>
    <w:rsid w:val="00AE4952"/>
    <w:rsid w:val="00AE4AE9"/>
    <w:rsid w:val="00AE4C60"/>
    <w:rsid w:val="00AE4EE8"/>
    <w:rsid w:val="00AE606F"/>
    <w:rsid w:val="00AE7891"/>
    <w:rsid w:val="00AE7B83"/>
    <w:rsid w:val="00AF050E"/>
    <w:rsid w:val="00AF052E"/>
    <w:rsid w:val="00AF2C3B"/>
    <w:rsid w:val="00AF3379"/>
    <w:rsid w:val="00AF3A36"/>
    <w:rsid w:val="00AF3B04"/>
    <w:rsid w:val="00AF3C46"/>
    <w:rsid w:val="00AF3E86"/>
    <w:rsid w:val="00AF4828"/>
    <w:rsid w:val="00AF4F4D"/>
    <w:rsid w:val="00AF6F58"/>
    <w:rsid w:val="00AF709C"/>
    <w:rsid w:val="00AF7353"/>
    <w:rsid w:val="00B00098"/>
    <w:rsid w:val="00B00AE5"/>
    <w:rsid w:val="00B0256C"/>
    <w:rsid w:val="00B030AB"/>
    <w:rsid w:val="00B044D3"/>
    <w:rsid w:val="00B05CCB"/>
    <w:rsid w:val="00B06BA7"/>
    <w:rsid w:val="00B070C0"/>
    <w:rsid w:val="00B073D0"/>
    <w:rsid w:val="00B07CB1"/>
    <w:rsid w:val="00B07DCA"/>
    <w:rsid w:val="00B10633"/>
    <w:rsid w:val="00B112B5"/>
    <w:rsid w:val="00B11AB4"/>
    <w:rsid w:val="00B11B22"/>
    <w:rsid w:val="00B152D5"/>
    <w:rsid w:val="00B1614D"/>
    <w:rsid w:val="00B166A5"/>
    <w:rsid w:val="00B171D0"/>
    <w:rsid w:val="00B17A76"/>
    <w:rsid w:val="00B17DA0"/>
    <w:rsid w:val="00B2111D"/>
    <w:rsid w:val="00B2261B"/>
    <w:rsid w:val="00B22C9B"/>
    <w:rsid w:val="00B2382B"/>
    <w:rsid w:val="00B23D0E"/>
    <w:rsid w:val="00B25B1C"/>
    <w:rsid w:val="00B275EB"/>
    <w:rsid w:val="00B304D0"/>
    <w:rsid w:val="00B325A9"/>
    <w:rsid w:val="00B33537"/>
    <w:rsid w:val="00B34A20"/>
    <w:rsid w:val="00B36D47"/>
    <w:rsid w:val="00B42E44"/>
    <w:rsid w:val="00B431F9"/>
    <w:rsid w:val="00B43D23"/>
    <w:rsid w:val="00B45F2A"/>
    <w:rsid w:val="00B466E3"/>
    <w:rsid w:val="00B51B41"/>
    <w:rsid w:val="00B54E19"/>
    <w:rsid w:val="00B55197"/>
    <w:rsid w:val="00B555A5"/>
    <w:rsid w:val="00B56BAA"/>
    <w:rsid w:val="00B575C0"/>
    <w:rsid w:val="00B57BAF"/>
    <w:rsid w:val="00B60544"/>
    <w:rsid w:val="00B6106D"/>
    <w:rsid w:val="00B6140E"/>
    <w:rsid w:val="00B620AB"/>
    <w:rsid w:val="00B622A8"/>
    <w:rsid w:val="00B62426"/>
    <w:rsid w:val="00B63732"/>
    <w:rsid w:val="00B643AB"/>
    <w:rsid w:val="00B645C7"/>
    <w:rsid w:val="00B64A02"/>
    <w:rsid w:val="00B65132"/>
    <w:rsid w:val="00B65CB4"/>
    <w:rsid w:val="00B6785C"/>
    <w:rsid w:val="00B728A1"/>
    <w:rsid w:val="00B73096"/>
    <w:rsid w:val="00B73284"/>
    <w:rsid w:val="00B73C9B"/>
    <w:rsid w:val="00B74348"/>
    <w:rsid w:val="00B7455C"/>
    <w:rsid w:val="00B74BB8"/>
    <w:rsid w:val="00B74C9A"/>
    <w:rsid w:val="00B76643"/>
    <w:rsid w:val="00B76D63"/>
    <w:rsid w:val="00B773F8"/>
    <w:rsid w:val="00B77A6D"/>
    <w:rsid w:val="00B82EA0"/>
    <w:rsid w:val="00B82EBF"/>
    <w:rsid w:val="00B84D8C"/>
    <w:rsid w:val="00B85105"/>
    <w:rsid w:val="00B87A04"/>
    <w:rsid w:val="00B87AA2"/>
    <w:rsid w:val="00B90422"/>
    <w:rsid w:val="00B92748"/>
    <w:rsid w:val="00B93BD1"/>
    <w:rsid w:val="00B93FD8"/>
    <w:rsid w:val="00B94951"/>
    <w:rsid w:val="00B94A9F"/>
    <w:rsid w:val="00BA05D3"/>
    <w:rsid w:val="00BA070D"/>
    <w:rsid w:val="00BA1F56"/>
    <w:rsid w:val="00BA2A1F"/>
    <w:rsid w:val="00BA318C"/>
    <w:rsid w:val="00BA3FEC"/>
    <w:rsid w:val="00BA4E40"/>
    <w:rsid w:val="00BA5156"/>
    <w:rsid w:val="00BA557A"/>
    <w:rsid w:val="00BA5696"/>
    <w:rsid w:val="00BA5C0B"/>
    <w:rsid w:val="00BA6853"/>
    <w:rsid w:val="00BA6F53"/>
    <w:rsid w:val="00BA7F4E"/>
    <w:rsid w:val="00BB0A75"/>
    <w:rsid w:val="00BB1787"/>
    <w:rsid w:val="00BB19A8"/>
    <w:rsid w:val="00BB3E0F"/>
    <w:rsid w:val="00BB4FA7"/>
    <w:rsid w:val="00BB647E"/>
    <w:rsid w:val="00BB64F8"/>
    <w:rsid w:val="00BB7963"/>
    <w:rsid w:val="00BB7B17"/>
    <w:rsid w:val="00BB7FFD"/>
    <w:rsid w:val="00BC12D0"/>
    <w:rsid w:val="00BC17F0"/>
    <w:rsid w:val="00BC1F89"/>
    <w:rsid w:val="00BC2120"/>
    <w:rsid w:val="00BC35A8"/>
    <w:rsid w:val="00BC3A16"/>
    <w:rsid w:val="00BC5D13"/>
    <w:rsid w:val="00BC6064"/>
    <w:rsid w:val="00BC64B2"/>
    <w:rsid w:val="00BC6FFF"/>
    <w:rsid w:val="00BC7F3B"/>
    <w:rsid w:val="00BD0830"/>
    <w:rsid w:val="00BD10F6"/>
    <w:rsid w:val="00BD19BC"/>
    <w:rsid w:val="00BD205E"/>
    <w:rsid w:val="00BD2E57"/>
    <w:rsid w:val="00BD34D9"/>
    <w:rsid w:val="00BD3A80"/>
    <w:rsid w:val="00BD4450"/>
    <w:rsid w:val="00BD6209"/>
    <w:rsid w:val="00BD688D"/>
    <w:rsid w:val="00BD6FCD"/>
    <w:rsid w:val="00BD775C"/>
    <w:rsid w:val="00BE01C5"/>
    <w:rsid w:val="00BE0E14"/>
    <w:rsid w:val="00BE1338"/>
    <w:rsid w:val="00BE19B9"/>
    <w:rsid w:val="00BE1FD3"/>
    <w:rsid w:val="00BE2621"/>
    <w:rsid w:val="00BE2F59"/>
    <w:rsid w:val="00BE3522"/>
    <w:rsid w:val="00BE3945"/>
    <w:rsid w:val="00BE3A10"/>
    <w:rsid w:val="00BE482F"/>
    <w:rsid w:val="00BE4BE4"/>
    <w:rsid w:val="00BE570A"/>
    <w:rsid w:val="00BE7312"/>
    <w:rsid w:val="00BE7781"/>
    <w:rsid w:val="00BF1DE3"/>
    <w:rsid w:val="00BF2C40"/>
    <w:rsid w:val="00BF3344"/>
    <w:rsid w:val="00BF4483"/>
    <w:rsid w:val="00BF450E"/>
    <w:rsid w:val="00BF5419"/>
    <w:rsid w:val="00BF5DAD"/>
    <w:rsid w:val="00BF6CD7"/>
    <w:rsid w:val="00BF7145"/>
    <w:rsid w:val="00BF740C"/>
    <w:rsid w:val="00C0018E"/>
    <w:rsid w:val="00C02CAF"/>
    <w:rsid w:val="00C03551"/>
    <w:rsid w:val="00C0392F"/>
    <w:rsid w:val="00C03C63"/>
    <w:rsid w:val="00C04B16"/>
    <w:rsid w:val="00C04E43"/>
    <w:rsid w:val="00C04FB0"/>
    <w:rsid w:val="00C05472"/>
    <w:rsid w:val="00C05E78"/>
    <w:rsid w:val="00C06747"/>
    <w:rsid w:val="00C0676E"/>
    <w:rsid w:val="00C07D98"/>
    <w:rsid w:val="00C10632"/>
    <w:rsid w:val="00C108FA"/>
    <w:rsid w:val="00C1159E"/>
    <w:rsid w:val="00C121DF"/>
    <w:rsid w:val="00C12BC1"/>
    <w:rsid w:val="00C130AD"/>
    <w:rsid w:val="00C13748"/>
    <w:rsid w:val="00C148F5"/>
    <w:rsid w:val="00C15A5F"/>
    <w:rsid w:val="00C17348"/>
    <w:rsid w:val="00C17966"/>
    <w:rsid w:val="00C20204"/>
    <w:rsid w:val="00C21164"/>
    <w:rsid w:val="00C25AC8"/>
    <w:rsid w:val="00C2626B"/>
    <w:rsid w:val="00C26935"/>
    <w:rsid w:val="00C26AF7"/>
    <w:rsid w:val="00C3019E"/>
    <w:rsid w:val="00C302D1"/>
    <w:rsid w:val="00C30F42"/>
    <w:rsid w:val="00C32A6C"/>
    <w:rsid w:val="00C34077"/>
    <w:rsid w:val="00C34708"/>
    <w:rsid w:val="00C34A6D"/>
    <w:rsid w:val="00C34F39"/>
    <w:rsid w:val="00C354EA"/>
    <w:rsid w:val="00C359E1"/>
    <w:rsid w:val="00C36C6C"/>
    <w:rsid w:val="00C372A0"/>
    <w:rsid w:val="00C37D0D"/>
    <w:rsid w:val="00C41D88"/>
    <w:rsid w:val="00C4238E"/>
    <w:rsid w:val="00C44FC6"/>
    <w:rsid w:val="00C462E6"/>
    <w:rsid w:val="00C47A59"/>
    <w:rsid w:val="00C47A5D"/>
    <w:rsid w:val="00C51220"/>
    <w:rsid w:val="00C514E2"/>
    <w:rsid w:val="00C51665"/>
    <w:rsid w:val="00C5178A"/>
    <w:rsid w:val="00C51D2C"/>
    <w:rsid w:val="00C5212C"/>
    <w:rsid w:val="00C53086"/>
    <w:rsid w:val="00C57A11"/>
    <w:rsid w:val="00C57B10"/>
    <w:rsid w:val="00C61BB9"/>
    <w:rsid w:val="00C61BE9"/>
    <w:rsid w:val="00C62732"/>
    <w:rsid w:val="00C6353A"/>
    <w:rsid w:val="00C636F0"/>
    <w:rsid w:val="00C63DF9"/>
    <w:rsid w:val="00C646DA"/>
    <w:rsid w:val="00C64A49"/>
    <w:rsid w:val="00C64FAD"/>
    <w:rsid w:val="00C655D6"/>
    <w:rsid w:val="00C6642A"/>
    <w:rsid w:val="00C67BD3"/>
    <w:rsid w:val="00C70986"/>
    <w:rsid w:val="00C736E8"/>
    <w:rsid w:val="00C73EDE"/>
    <w:rsid w:val="00C74B2C"/>
    <w:rsid w:val="00C750D9"/>
    <w:rsid w:val="00C801CB"/>
    <w:rsid w:val="00C81243"/>
    <w:rsid w:val="00C832A4"/>
    <w:rsid w:val="00C83C08"/>
    <w:rsid w:val="00C847C6"/>
    <w:rsid w:val="00C84D62"/>
    <w:rsid w:val="00C85003"/>
    <w:rsid w:val="00C86951"/>
    <w:rsid w:val="00C875A1"/>
    <w:rsid w:val="00C91361"/>
    <w:rsid w:val="00C92EB5"/>
    <w:rsid w:val="00C93CA8"/>
    <w:rsid w:val="00C94152"/>
    <w:rsid w:val="00C94575"/>
    <w:rsid w:val="00C95ACA"/>
    <w:rsid w:val="00C96211"/>
    <w:rsid w:val="00CA1E01"/>
    <w:rsid w:val="00CA22E7"/>
    <w:rsid w:val="00CA4141"/>
    <w:rsid w:val="00CA4415"/>
    <w:rsid w:val="00CA5ADE"/>
    <w:rsid w:val="00CB0E67"/>
    <w:rsid w:val="00CB1419"/>
    <w:rsid w:val="00CB183E"/>
    <w:rsid w:val="00CB1B06"/>
    <w:rsid w:val="00CB20E7"/>
    <w:rsid w:val="00CB23C4"/>
    <w:rsid w:val="00CB38A0"/>
    <w:rsid w:val="00CB4EA1"/>
    <w:rsid w:val="00CB510D"/>
    <w:rsid w:val="00CB7104"/>
    <w:rsid w:val="00CB7410"/>
    <w:rsid w:val="00CB79FE"/>
    <w:rsid w:val="00CB7CBB"/>
    <w:rsid w:val="00CC0275"/>
    <w:rsid w:val="00CC2528"/>
    <w:rsid w:val="00CC2FC2"/>
    <w:rsid w:val="00CC41D6"/>
    <w:rsid w:val="00CC437D"/>
    <w:rsid w:val="00CC4C76"/>
    <w:rsid w:val="00CC4D1A"/>
    <w:rsid w:val="00CC5167"/>
    <w:rsid w:val="00CC6446"/>
    <w:rsid w:val="00CC6579"/>
    <w:rsid w:val="00CC718E"/>
    <w:rsid w:val="00CC71C6"/>
    <w:rsid w:val="00CC7667"/>
    <w:rsid w:val="00CD0900"/>
    <w:rsid w:val="00CD1690"/>
    <w:rsid w:val="00CD2E17"/>
    <w:rsid w:val="00CD30EA"/>
    <w:rsid w:val="00CD5344"/>
    <w:rsid w:val="00CD5F07"/>
    <w:rsid w:val="00CD718F"/>
    <w:rsid w:val="00CE1036"/>
    <w:rsid w:val="00CE10E9"/>
    <w:rsid w:val="00CE17D5"/>
    <w:rsid w:val="00CE21B3"/>
    <w:rsid w:val="00CE2F4D"/>
    <w:rsid w:val="00CE31EC"/>
    <w:rsid w:val="00CE39AC"/>
    <w:rsid w:val="00CE4BED"/>
    <w:rsid w:val="00CE4D36"/>
    <w:rsid w:val="00CE4FB7"/>
    <w:rsid w:val="00CE54CE"/>
    <w:rsid w:val="00CE66E1"/>
    <w:rsid w:val="00CE7264"/>
    <w:rsid w:val="00CE75FF"/>
    <w:rsid w:val="00CE779B"/>
    <w:rsid w:val="00CE7EBB"/>
    <w:rsid w:val="00CF016E"/>
    <w:rsid w:val="00CF2B7C"/>
    <w:rsid w:val="00CF30F5"/>
    <w:rsid w:val="00CF3643"/>
    <w:rsid w:val="00CF36C7"/>
    <w:rsid w:val="00CF5C55"/>
    <w:rsid w:val="00CF7296"/>
    <w:rsid w:val="00D01A62"/>
    <w:rsid w:val="00D020BC"/>
    <w:rsid w:val="00D02A96"/>
    <w:rsid w:val="00D03134"/>
    <w:rsid w:val="00D03B0C"/>
    <w:rsid w:val="00D042A9"/>
    <w:rsid w:val="00D06E20"/>
    <w:rsid w:val="00D077A4"/>
    <w:rsid w:val="00D07FCD"/>
    <w:rsid w:val="00D1030E"/>
    <w:rsid w:val="00D1052B"/>
    <w:rsid w:val="00D10BCC"/>
    <w:rsid w:val="00D1143B"/>
    <w:rsid w:val="00D124B8"/>
    <w:rsid w:val="00D14B26"/>
    <w:rsid w:val="00D179BD"/>
    <w:rsid w:val="00D20855"/>
    <w:rsid w:val="00D20B50"/>
    <w:rsid w:val="00D20D59"/>
    <w:rsid w:val="00D2350F"/>
    <w:rsid w:val="00D242A2"/>
    <w:rsid w:val="00D25701"/>
    <w:rsid w:val="00D25A1B"/>
    <w:rsid w:val="00D26294"/>
    <w:rsid w:val="00D27D72"/>
    <w:rsid w:val="00D3008B"/>
    <w:rsid w:val="00D3125C"/>
    <w:rsid w:val="00D31D1D"/>
    <w:rsid w:val="00D31EA2"/>
    <w:rsid w:val="00D327A5"/>
    <w:rsid w:val="00D332EB"/>
    <w:rsid w:val="00D3433D"/>
    <w:rsid w:val="00D34613"/>
    <w:rsid w:val="00D348BD"/>
    <w:rsid w:val="00D34CA4"/>
    <w:rsid w:val="00D35B56"/>
    <w:rsid w:val="00D373B7"/>
    <w:rsid w:val="00D41771"/>
    <w:rsid w:val="00D429DA"/>
    <w:rsid w:val="00D42FED"/>
    <w:rsid w:val="00D43484"/>
    <w:rsid w:val="00D43C14"/>
    <w:rsid w:val="00D43CE9"/>
    <w:rsid w:val="00D43DB4"/>
    <w:rsid w:val="00D45406"/>
    <w:rsid w:val="00D4573A"/>
    <w:rsid w:val="00D461C6"/>
    <w:rsid w:val="00D50F2B"/>
    <w:rsid w:val="00D51063"/>
    <w:rsid w:val="00D51272"/>
    <w:rsid w:val="00D522C6"/>
    <w:rsid w:val="00D5361F"/>
    <w:rsid w:val="00D5397F"/>
    <w:rsid w:val="00D54ED9"/>
    <w:rsid w:val="00D54F8D"/>
    <w:rsid w:val="00D5599A"/>
    <w:rsid w:val="00D559CF"/>
    <w:rsid w:val="00D61D86"/>
    <w:rsid w:val="00D628FE"/>
    <w:rsid w:val="00D63B8D"/>
    <w:rsid w:val="00D642CD"/>
    <w:rsid w:val="00D647FB"/>
    <w:rsid w:val="00D64C9C"/>
    <w:rsid w:val="00D64CF4"/>
    <w:rsid w:val="00D656FB"/>
    <w:rsid w:val="00D65CA7"/>
    <w:rsid w:val="00D6724B"/>
    <w:rsid w:val="00D6729B"/>
    <w:rsid w:val="00D6784B"/>
    <w:rsid w:val="00D700C6"/>
    <w:rsid w:val="00D706CC"/>
    <w:rsid w:val="00D70F97"/>
    <w:rsid w:val="00D7178C"/>
    <w:rsid w:val="00D72708"/>
    <w:rsid w:val="00D72924"/>
    <w:rsid w:val="00D732DB"/>
    <w:rsid w:val="00D7373E"/>
    <w:rsid w:val="00D73AAB"/>
    <w:rsid w:val="00D73CBD"/>
    <w:rsid w:val="00D74479"/>
    <w:rsid w:val="00D74D10"/>
    <w:rsid w:val="00D751EE"/>
    <w:rsid w:val="00D75967"/>
    <w:rsid w:val="00D75E4C"/>
    <w:rsid w:val="00D773ED"/>
    <w:rsid w:val="00D77993"/>
    <w:rsid w:val="00D80D82"/>
    <w:rsid w:val="00D81104"/>
    <w:rsid w:val="00D81809"/>
    <w:rsid w:val="00D82702"/>
    <w:rsid w:val="00D828EA"/>
    <w:rsid w:val="00D83170"/>
    <w:rsid w:val="00D83564"/>
    <w:rsid w:val="00D83F34"/>
    <w:rsid w:val="00D85056"/>
    <w:rsid w:val="00D8546F"/>
    <w:rsid w:val="00D85E63"/>
    <w:rsid w:val="00D85F20"/>
    <w:rsid w:val="00D8610B"/>
    <w:rsid w:val="00D8656B"/>
    <w:rsid w:val="00D86691"/>
    <w:rsid w:val="00D86774"/>
    <w:rsid w:val="00D90BA4"/>
    <w:rsid w:val="00D90FC3"/>
    <w:rsid w:val="00D913BE"/>
    <w:rsid w:val="00D92881"/>
    <w:rsid w:val="00D9298C"/>
    <w:rsid w:val="00D92C78"/>
    <w:rsid w:val="00D9444F"/>
    <w:rsid w:val="00D946C4"/>
    <w:rsid w:val="00D94B98"/>
    <w:rsid w:val="00D9510F"/>
    <w:rsid w:val="00D95DAE"/>
    <w:rsid w:val="00D9675C"/>
    <w:rsid w:val="00D96B2F"/>
    <w:rsid w:val="00D97953"/>
    <w:rsid w:val="00DA0741"/>
    <w:rsid w:val="00DA5B8A"/>
    <w:rsid w:val="00DA5CF3"/>
    <w:rsid w:val="00DA67A1"/>
    <w:rsid w:val="00DA6CE5"/>
    <w:rsid w:val="00DA6D8B"/>
    <w:rsid w:val="00DA6F97"/>
    <w:rsid w:val="00DA7271"/>
    <w:rsid w:val="00DB0548"/>
    <w:rsid w:val="00DB1C5D"/>
    <w:rsid w:val="00DB1E19"/>
    <w:rsid w:val="00DB2EE7"/>
    <w:rsid w:val="00DB301B"/>
    <w:rsid w:val="00DB56DF"/>
    <w:rsid w:val="00DB572B"/>
    <w:rsid w:val="00DB580F"/>
    <w:rsid w:val="00DB593A"/>
    <w:rsid w:val="00DB6282"/>
    <w:rsid w:val="00DB72E6"/>
    <w:rsid w:val="00DB741B"/>
    <w:rsid w:val="00DB784E"/>
    <w:rsid w:val="00DB7B3F"/>
    <w:rsid w:val="00DB7C5B"/>
    <w:rsid w:val="00DC29BD"/>
    <w:rsid w:val="00DC58A7"/>
    <w:rsid w:val="00DC5AAA"/>
    <w:rsid w:val="00DC6DCB"/>
    <w:rsid w:val="00DC7407"/>
    <w:rsid w:val="00DD16CA"/>
    <w:rsid w:val="00DD1BB4"/>
    <w:rsid w:val="00DD29E6"/>
    <w:rsid w:val="00DD47B7"/>
    <w:rsid w:val="00DD484B"/>
    <w:rsid w:val="00DD4CD3"/>
    <w:rsid w:val="00DD5A80"/>
    <w:rsid w:val="00DD5F5B"/>
    <w:rsid w:val="00DD6AF2"/>
    <w:rsid w:val="00DD7E56"/>
    <w:rsid w:val="00DE00F3"/>
    <w:rsid w:val="00DE0D57"/>
    <w:rsid w:val="00DE19A1"/>
    <w:rsid w:val="00DE26EF"/>
    <w:rsid w:val="00DE3310"/>
    <w:rsid w:val="00DE4AB3"/>
    <w:rsid w:val="00DF032C"/>
    <w:rsid w:val="00DF1C13"/>
    <w:rsid w:val="00DF2768"/>
    <w:rsid w:val="00DF3861"/>
    <w:rsid w:val="00DF3F86"/>
    <w:rsid w:val="00DF53CF"/>
    <w:rsid w:val="00DF5C46"/>
    <w:rsid w:val="00E01B14"/>
    <w:rsid w:val="00E03E90"/>
    <w:rsid w:val="00E048D0"/>
    <w:rsid w:val="00E10448"/>
    <w:rsid w:val="00E11F26"/>
    <w:rsid w:val="00E12763"/>
    <w:rsid w:val="00E131C2"/>
    <w:rsid w:val="00E167C6"/>
    <w:rsid w:val="00E17312"/>
    <w:rsid w:val="00E17689"/>
    <w:rsid w:val="00E20F95"/>
    <w:rsid w:val="00E21462"/>
    <w:rsid w:val="00E21AB1"/>
    <w:rsid w:val="00E22111"/>
    <w:rsid w:val="00E2281C"/>
    <w:rsid w:val="00E24F7A"/>
    <w:rsid w:val="00E24F97"/>
    <w:rsid w:val="00E25B65"/>
    <w:rsid w:val="00E26340"/>
    <w:rsid w:val="00E26AE8"/>
    <w:rsid w:val="00E30407"/>
    <w:rsid w:val="00E30F0E"/>
    <w:rsid w:val="00E3107E"/>
    <w:rsid w:val="00E32097"/>
    <w:rsid w:val="00E34500"/>
    <w:rsid w:val="00E34D3F"/>
    <w:rsid w:val="00E34E7B"/>
    <w:rsid w:val="00E35323"/>
    <w:rsid w:val="00E37981"/>
    <w:rsid w:val="00E37C94"/>
    <w:rsid w:val="00E40B68"/>
    <w:rsid w:val="00E412FC"/>
    <w:rsid w:val="00E41F24"/>
    <w:rsid w:val="00E423E4"/>
    <w:rsid w:val="00E424B5"/>
    <w:rsid w:val="00E42985"/>
    <w:rsid w:val="00E4397F"/>
    <w:rsid w:val="00E43C41"/>
    <w:rsid w:val="00E443D6"/>
    <w:rsid w:val="00E446D8"/>
    <w:rsid w:val="00E45536"/>
    <w:rsid w:val="00E46E27"/>
    <w:rsid w:val="00E50D67"/>
    <w:rsid w:val="00E520F8"/>
    <w:rsid w:val="00E52119"/>
    <w:rsid w:val="00E52A32"/>
    <w:rsid w:val="00E52F10"/>
    <w:rsid w:val="00E536F0"/>
    <w:rsid w:val="00E53B6C"/>
    <w:rsid w:val="00E54B9F"/>
    <w:rsid w:val="00E551E0"/>
    <w:rsid w:val="00E558B6"/>
    <w:rsid w:val="00E55FC5"/>
    <w:rsid w:val="00E566DE"/>
    <w:rsid w:val="00E56CA4"/>
    <w:rsid w:val="00E5765F"/>
    <w:rsid w:val="00E60709"/>
    <w:rsid w:val="00E60C59"/>
    <w:rsid w:val="00E60F63"/>
    <w:rsid w:val="00E6136D"/>
    <w:rsid w:val="00E61C44"/>
    <w:rsid w:val="00E626B7"/>
    <w:rsid w:val="00E627DD"/>
    <w:rsid w:val="00E62C35"/>
    <w:rsid w:val="00E644A1"/>
    <w:rsid w:val="00E65103"/>
    <w:rsid w:val="00E65901"/>
    <w:rsid w:val="00E667D3"/>
    <w:rsid w:val="00E66920"/>
    <w:rsid w:val="00E715ED"/>
    <w:rsid w:val="00E722A7"/>
    <w:rsid w:val="00E72312"/>
    <w:rsid w:val="00E723B1"/>
    <w:rsid w:val="00E7263D"/>
    <w:rsid w:val="00E729B7"/>
    <w:rsid w:val="00E72C63"/>
    <w:rsid w:val="00E72FF3"/>
    <w:rsid w:val="00E736D9"/>
    <w:rsid w:val="00E7445F"/>
    <w:rsid w:val="00E75C6E"/>
    <w:rsid w:val="00E75E01"/>
    <w:rsid w:val="00E76ECD"/>
    <w:rsid w:val="00E80EBD"/>
    <w:rsid w:val="00E81539"/>
    <w:rsid w:val="00E824BA"/>
    <w:rsid w:val="00E82790"/>
    <w:rsid w:val="00E827A1"/>
    <w:rsid w:val="00E828FA"/>
    <w:rsid w:val="00E82F75"/>
    <w:rsid w:val="00E832B8"/>
    <w:rsid w:val="00E84D94"/>
    <w:rsid w:val="00E85495"/>
    <w:rsid w:val="00E85897"/>
    <w:rsid w:val="00E8631B"/>
    <w:rsid w:val="00E8668F"/>
    <w:rsid w:val="00E86CBC"/>
    <w:rsid w:val="00E87231"/>
    <w:rsid w:val="00E87C79"/>
    <w:rsid w:val="00E91509"/>
    <w:rsid w:val="00E9170B"/>
    <w:rsid w:val="00E92CE8"/>
    <w:rsid w:val="00E93639"/>
    <w:rsid w:val="00E936AE"/>
    <w:rsid w:val="00E9389F"/>
    <w:rsid w:val="00E93F83"/>
    <w:rsid w:val="00E94034"/>
    <w:rsid w:val="00E951DD"/>
    <w:rsid w:val="00E968D3"/>
    <w:rsid w:val="00E970A8"/>
    <w:rsid w:val="00E972B6"/>
    <w:rsid w:val="00EA04FF"/>
    <w:rsid w:val="00EA08E3"/>
    <w:rsid w:val="00EA186F"/>
    <w:rsid w:val="00EA1E11"/>
    <w:rsid w:val="00EA29BE"/>
    <w:rsid w:val="00EA2CAE"/>
    <w:rsid w:val="00EA315B"/>
    <w:rsid w:val="00EA32E2"/>
    <w:rsid w:val="00EA4B39"/>
    <w:rsid w:val="00EA5443"/>
    <w:rsid w:val="00EA5682"/>
    <w:rsid w:val="00EA5D01"/>
    <w:rsid w:val="00EA62B5"/>
    <w:rsid w:val="00EA6B22"/>
    <w:rsid w:val="00EA7909"/>
    <w:rsid w:val="00EB0601"/>
    <w:rsid w:val="00EB07C1"/>
    <w:rsid w:val="00EB0874"/>
    <w:rsid w:val="00EB1BC9"/>
    <w:rsid w:val="00EB22A2"/>
    <w:rsid w:val="00EB70C9"/>
    <w:rsid w:val="00EC1E52"/>
    <w:rsid w:val="00EC58F9"/>
    <w:rsid w:val="00EC73DB"/>
    <w:rsid w:val="00EC79AB"/>
    <w:rsid w:val="00ED1457"/>
    <w:rsid w:val="00ED31F3"/>
    <w:rsid w:val="00ED4141"/>
    <w:rsid w:val="00ED5B90"/>
    <w:rsid w:val="00ED60A7"/>
    <w:rsid w:val="00ED7E09"/>
    <w:rsid w:val="00EE0313"/>
    <w:rsid w:val="00EE04ED"/>
    <w:rsid w:val="00EE0661"/>
    <w:rsid w:val="00EE45ED"/>
    <w:rsid w:val="00EE4A5B"/>
    <w:rsid w:val="00EE4FFE"/>
    <w:rsid w:val="00EE6B0B"/>
    <w:rsid w:val="00EE7F3D"/>
    <w:rsid w:val="00EF0DA1"/>
    <w:rsid w:val="00EF0FFE"/>
    <w:rsid w:val="00EF1C69"/>
    <w:rsid w:val="00EF2D40"/>
    <w:rsid w:val="00EF42B6"/>
    <w:rsid w:val="00EF4A4F"/>
    <w:rsid w:val="00EF7661"/>
    <w:rsid w:val="00F00C9F"/>
    <w:rsid w:val="00F02D5A"/>
    <w:rsid w:val="00F03FC0"/>
    <w:rsid w:val="00F0427A"/>
    <w:rsid w:val="00F042E3"/>
    <w:rsid w:val="00F04E9B"/>
    <w:rsid w:val="00F055F8"/>
    <w:rsid w:val="00F05713"/>
    <w:rsid w:val="00F06AF2"/>
    <w:rsid w:val="00F06BDF"/>
    <w:rsid w:val="00F10BE7"/>
    <w:rsid w:val="00F116E6"/>
    <w:rsid w:val="00F11A62"/>
    <w:rsid w:val="00F120F6"/>
    <w:rsid w:val="00F12497"/>
    <w:rsid w:val="00F12E1A"/>
    <w:rsid w:val="00F13A9A"/>
    <w:rsid w:val="00F1485F"/>
    <w:rsid w:val="00F14E55"/>
    <w:rsid w:val="00F154BE"/>
    <w:rsid w:val="00F1553A"/>
    <w:rsid w:val="00F16682"/>
    <w:rsid w:val="00F169F5"/>
    <w:rsid w:val="00F17CB4"/>
    <w:rsid w:val="00F213FD"/>
    <w:rsid w:val="00F22FC2"/>
    <w:rsid w:val="00F23D1E"/>
    <w:rsid w:val="00F23D39"/>
    <w:rsid w:val="00F25017"/>
    <w:rsid w:val="00F2605D"/>
    <w:rsid w:val="00F267EF"/>
    <w:rsid w:val="00F26F45"/>
    <w:rsid w:val="00F26F62"/>
    <w:rsid w:val="00F26F80"/>
    <w:rsid w:val="00F27023"/>
    <w:rsid w:val="00F270A9"/>
    <w:rsid w:val="00F31418"/>
    <w:rsid w:val="00F319D5"/>
    <w:rsid w:val="00F3241A"/>
    <w:rsid w:val="00F3252A"/>
    <w:rsid w:val="00F32F2A"/>
    <w:rsid w:val="00F32F98"/>
    <w:rsid w:val="00F32FB4"/>
    <w:rsid w:val="00F330EA"/>
    <w:rsid w:val="00F35D82"/>
    <w:rsid w:val="00F36DBB"/>
    <w:rsid w:val="00F42F9A"/>
    <w:rsid w:val="00F448DF"/>
    <w:rsid w:val="00F45F52"/>
    <w:rsid w:val="00F51283"/>
    <w:rsid w:val="00F512C6"/>
    <w:rsid w:val="00F520AF"/>
    <w:rsid w:val="00F523B1"/>
    <w:rsid w:val="00F52790"/>
    <w:rsid w:val="00F53008"/>
    <w:rsid w:val="00F53579"/>
    <w:rsid w:val="00F5370E"/>
    <w:rsid w:val="00F545A0"/>
    <w:rsid w:val="00F54694"/>
    <w:rsid w:val="00F54C4A"/>
    <w:rsid w:val="00F54E5A"/>
    <w:rsid w:val="00F575C1"/>
    <w:rsid w:val="00F57803"/>
    <w:rsid w:val="00F603A2"/>
    <w:rsid w:val="00F61E51"/>
    <w:rsid w:val="00F628FF"/>
    <w:rsid w:val="00F65D25"/>
    <w:rsid w:val="00F66724"/>
    <w:rsid w:val="00F670F2"/>
    <w:rsid w:val="00F70944"/>
    <w:rsid w:val="00F70C80"/>
    <w:rsid w:val="00F71EEB"/>
    <w:rsid w:val="00F7298E"/>
    <w:rsid w:val="00F736AC"/>
    <w:rsid w:val="00F750F7"/>
    <w:rsid w:val="00F75B31"/>
    <w:rsid w:val="00F75BBC"/>
    <w:rsid w:val="00F76093"/>
    <w:rsid w:val="00F776B5"/>
    <w:rsid w:val="00F8173D"/>
    <w:rsid w:val="00F8186E"/>
    <w:rsid w:val="00F81CEA"/>
    <w:rsid w:val="00F8222B"/>
    <w:rsid w:val="00F823CA"/>
    <w:rsid w:val="00F82C86"/>
    <w:rsid w:val="00F844C5"/>
    <w:rsid w:val="00F84805"/>
    <w:rsid w:val="00F865E4"/>
    <w:rsid w:val="00F8718C"/>
    <w:rsid w:val="00F87415"/>
    <w:rsid w:val="00F906AE"/>
    <w:rsid w:val="00F91651"/>
    <w:rsid w:val="00F92AD4"/>
    <w:rsid w:val="00F92B06"/>
    <w:rsid w:val="00F93C67"/>
    <w:rsid w:val="00F93D90"/>
    <w:rsid w:val="00F93F7D"/>
    <w:rsid w:val="00F93FB2"/>
    <w:rsid w:val="00F942B1"/>
    <w:rsid w:val="00F94B3E"/>
    <w:rsid w:val="00F95A70"/>
    <w:rsid w:val="00F96734"/>
    <w:rsid w:val="00FA00D2"/>
    <w:rsid w:val="00FA0CB9"/>
    <w:rsid w:val="00FA3669"/>
    <w:rsid w:val="00FA387E"/>
    <w:rsid w:val="00FA5589"/>
    <w:rsid w:val="00FA5CC4"/>
    <w:rsid w:val="00FA60E2"/>
    <w:rsid w:val="00FA7DFC"/>
    <w:rsid w:val="00FB03A4"/>
    <w:rsid w:val="00FB1B6F"/>
    <w:rsid w:val="00FB218F"/>
    <w:rsid w:val="00FB38C3"/>
    <w:rsid w:val="00FB3B7B"/>
    <w:rsid w:val="00FB43DD"/>
    <w:rsid w:val="00FB43E2"/>
    <w:rsid w:val="00FB504F"/>
    <w:rsid w:val="00FB535E"/>
    <w:rsid w:val="00FB5C29"/>
    <w:rsid w:val="00FB5CD9"/>
    <w:rsid w:val="00FB6FEB"/>
    <w:rsid w:val="00FB7236"/>
    <w:rsid w:val="00FC05B4"/>
    <w:rsid w:val="00FC0E62"/>
    <w:rsid w:val="00FC1286"/>
    <w:rsid w:val="00FC1C1E"/>
    <w:rsid w:val="00FC2C13"/>
    <w:rsid w:val="00FC329C"/>
    <w:rsid w:val="00FC3F89"/>
    <w:rsid w:val="00FC41D6"/>
    <w:rsid w:val="00FC53D4"/>
    <w:rsid w:val="00FC5BE0"/>
    <w:rsid w:val="00FC5E10"/>
    <w:rsid w:val="00FC62F4"/>
    <w:rsid w:val="00FC6A9D"/>
    <w:rsid w:val="00FC7148"/>
    <w:rsid w:val="00FC738A"/>
    <w:rsid w:val="00FC7CB9"/>
    <w:rsid w:val="00FC7E56"/>
    <w:rsid w:val="00FC7FFA"/>
    <w:rsid w:val="00FD0516"/>
    <w:rsid w:val="00FD1D60"/>
    <w:rsid w:val="00FD3AA4"/>
    <w:rsid w:val="00FD4707"/>
    <w:rsid w:val="00FD49AC"/>
    <w:rsid w:val="00FD4D10"/>
    <w:rsid w:val="00FD6216"/>
    <w:rsid w:val="00FD62AD"/>
    <w:rsid w:val="00FD67AC"/>
    <w:rsid w:val="00FD69CA"/>
    <w:rsid w:val="00FE1127"/>
    <w:rsid w:val="00FE161E"/>
    <w:rsid w:val="00FE1F81"/>
    <w:rsid w:val="00FE4977"/>
    <w:rsid w:val="00FE59B7"/>
    <w:rsid w:val="00FE6E83"/>
    <w:rsid w:val="00FF08B3"/>
    <w:rsid w:val="00FF517B"/>
    <w:rsid w:val="00FF5710"/>
    <w:rsid w:val="00FF7675"/>
    <w:rsid w:val="00FF7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7D5"/>
    <w:rPr>
      <w:sz w:val="24"/>
      <w:szCs w:val="24"/>
      <w:lang w:val="en-GB"/>
    </w:rPr>
  </w:style>
  <w:style w:type="paragraph" w:styleId="Heading3">
    <w:name w:val="heading 3"/>
    <w:basedOn w:val="Normal"/>
    <w:next w:val="Normal"/>
    <w:link w:val="Heading3Char"/>
    <w:qFormat/>
    <w:rsid w:val="00492C57"/>
    <w:pPr>
      <w:keepNext/>
      <w:spacing w:before="240" w:after="60"/>
      <w:outlineLvl w:val="2"/>
    </w:pPr>
    <w:rPr>
      <w:rFonts w:eastAsia="Times New Roman"/>
      <w:b/>
      <w:bCs/>
      <w:sz w:val="26"/>
      <w:szCs w:val="26"/>
      <w:lang w:val="x-none"/>
    </w:rPr>
  </w:style>
  <w:style w:type="paragraph" w:styleId="Heading4">
    <w:name w:val="heading 4"/>
    <w:basedOn w:val="Normal"/>
    <w:link w:val="Heading4Char"/>
    <w:uiPriority w:val="9"/>
    <w:qFormat/>
    <w:rsid w:val="00DF69AD"/>
    <w:pPr>
      <w:spacing w:beforeLines="1" w:afterLines="1"/>
      <w:outlineLvl w:val="3"/>
    </w:pPr>
    <w:rPr>
      <w:rFonts w:ascii="Times" w:hAnsi="Times"/>
      <w:b/>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04F0A"/>
    <w:pPr>
      <w:tabs>
        <w:tab w:val="center" w:pos="4320"/>
        <w:tab w:val="right" w:pos="8640"/>
      </w:tabs>
    </w:pPr>
    <w:rPr>
      <w:lang w:val="x-none" w:eastAsia="x-none"/>
    </w:rPr>
  </w:style>
  <w:style w:type="character" w:customStyle="1" w:styleId="FooterChar">
    <w:name w:val="Footer Char"/>
    <w:link w:val="Footer"/>
    <w:uiPriority w:val="99"/>
    <w:rsid w:val="00504F0A"/>
    <w:rPr>
      <w:sz w:val="24"/>
      <w:szCs w:val="24"/>
    </w:rPr>
  </w:style>
  <w:style w:type="character" w:styleId="PageNumber">
    <w:name w:val="page number"/>
    <w:basedOn w:val="DefaultParagraphFont"/>
    <w:rsid w:val="00504F0A"/>
  </w:style>
  <w:style w:type="table" w:styleId="TableGrid">
    <w:name w:val="Table Grid"/>
    <w:basedOn w:val="TableNormal"/>
    <w:uiPriority w:val="59"/>
    <w:rsid w:val="004670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46344B"/>
    <w:pPr>
      <w:tabs>
        <w:tab w:val="center" w:pos="4320"/>
        <w:tab w:val="right" w:pos="8640"/>
      </w:tabs>
    </w:pPr>
    <w:rPr>
      <w:lang w:eastAsia="x-none"/>
    </w:rPr>
  </w:style>
  <w:style w:type="character" w:customStyle="1" w:styleId="HeaderChar">
    <w:name w:val="Header Char"/>
    <w:link w:val="Header"/>
    <w:rsid w:val="0046344B"/>
    <w:rPr>
      <w:sz w:val="24"/>
      <w:szCs w:val="24"/>
      <w:lang w:val="en-GB"/>
    </w:rPr>
  </w:style>
  <w:style w:type="character" w:customStyle="1" w:styleId="cit-sepcit-sep-separator">
    <w:name w:val="cit-sep cit-sep-separator"/>
    <w:basedOn w:val="DefaultParagraphFont"/>
    <w:rsid w:val="00A90416"/>
  </w:style>
  <w:style w:type="character" w:customStyle="1" w:styleId="cit-authcit-auth-type-author">
    <w:name w:val="cit-auth cit-auth-type-author"/>
    <w:basedOn w:val="DefaultParagraphFont"/>
    <w:rsid w:val="00A90416"/>
  </w:style>
  <w:style w:type="character" w:customStyle="1" w:styleId="cit-sepcit-sep-last-separator">
    <w:name w:val="cit-sep cit-sep-last-separator"/>
    <w:basedOn w:val="DefaultParagraphFont"/>
    <w:rsid w:val="00A90416"/>
  </w:style>
  <w:style w:type="character" w:customStyle="1" w:styleId="Heading4Char">
    <w:name w:val="Heading 4 Char"/>
    <w:link w:val="Heading4"/>
    <w:uiPriority w:val="9"/>
    <w:rsid w:val="00DF69AD"/>
    <w:rPr>
      <w:rFonts w:ascii="Times" w:hAnsi="Times"/>
      <w:b/>
      <w:sz w:val="24"/>
    </w:rPr>
  </w:style>
  <w:style w:type="character" w:styleId="Hyperlink">
    <w:name w:val="Hyperlink"/>
    <w:uiPriority w:val="99"/>
    <w:rsid w:val="00DF69AD"/>
    <w:rPr>
      <w:color w:val="0000FF"/>
      <w:u w:val="single"/>
    </w:rPr>
  </w:style>
  <w:style w:type="paragraph" w:styleId="NormalWeb">
    <w:name w:val="Normal (Web)"/>
    <w:basedOn w:val="Normal"/>
    <w:uiPriority w:val="99"/>
    <w:unhideWhenUsed/>
    <w:rsid w:val="008571AC"/>
    <w:pPr>
      <w:spacing w:before="100" w:beforeAutospacing="1" w:after="100" w:afterAutospacing="1"/>
    </w:pPr>
    <w:rPr>
      <w:rFonts w:ascii="Times New Roman" w:eastAsia="Times New Roman" w:hAnsi="Times New Roman"/>
      <w:lang w:eastAsia="en-GB"/>
    </w:rPr>
  </w:style>
  <w:style w:type="paragraph" w:customStyle="1" w:styleId="ColorfulList-Accent11">
    <w:name w:val="Colorful List - Accent 11"/>
    <w:basedOn w:val="Normal"/>
    <w:uiPriority w:val="34"/>
    <w:qFormat/>
    <w:rsid w:val="00CB6675"/>
    <w:pPr>
      <w:ind w:left="720"/>
      <w:contextualSpacing/>
    </w:pPr>
    <w:rPr>
      <w:rFonts w:ascii="Times New Roman" w:eastAsia="Times New Roman" w:hAnsi="Times New Roman"/>
      <w:lang w:eastAsia="en-GB"/>
    </w:rPr>
  </w:style>
  <w:style w:type="paragraph" w:styleId="BalloonText">
    <w:name w:val="Balloon Text"/>
    <w:basedOn w:val="Normal"/>
    <w:link w:val="BalloonTextChar"/>
    <w:rsid w:val="006C64EF"/>
    <w:rPr>
      <w:rFonts w:ascii="Lucida Grande" w:hAnsi="Lucida Grande"/>
      <w:sz w:val="18"/>
      <w:szCs w:val="18"/>
      <w:lang w:val="x-none" w:eastAsia="x-none"/>
    </w:rPr>
  </w:style>
  <w:style w:type="character" w:customStyle="1" w:styleId="BalloonTextChar">
    <w:name w:val="Balloon Text Char"/>
    <w:link w:val="BalloonText"/>
    <w:rsid w:val="006C64EF"/>
    <w:rPr>
      <w:rFonts w:ascii="Lucida Grande" w:hAnsi="Lucida Grande"/>
      <w:sz w:val="18"/>
      <w:szCs w:val="18"/>
    </w:rPr>
  </w:style>
  <w:style w:type="paragraph" w:styleId="FootnoteText">
    <w:name w:val="footnote text"/>
    <w:basedOn w:val="Normal"/>
    <w:link w:val="FootnoteTextChar"/>
    <w:rsid w:val="00F06CE0"/>
    <w:rPr>
      <w:sz w:val="20"/>
      <w:szCs w:val="20"/>
      <w:lang w:val="x-none"/>
    </w:rPr>
  </w:style>
  <w:style w:type="character" w:customStyle="1" w:styleId="FootnoteTextChar">
    <w:name w:val="Footnote Text Char"/>
    <w:link w:val="FootnoteText"/>
    <w:rsid w:val="00F06CE0"/>
    <w:rPr>
      <w:lang w:eastAsia="en-US"/>
    </w:rPr>
  </w:style>
  <w:style w:type="character" w:styleId="FootnoteReference">
    <w:name w:val="footnote reference"/>
    <w:rsid w:val="00F06CE0"/>
    <w:rPr>
      <w:vertAlign w:val="superscript"/>
    </w:rPr>
  </w:style>
  <w:style w:type="paragraph" w:customStyle="1" w:styleId="yiv1620041487msonormal">
    <w:name w:val="yiv1620041487msonormal"/>
    <w:basedOn w:val="Normal"/>
    <w:rsid w:val="00150B1A"/>
    <w:pPr>
      <w:spacing w:before="100" w:beforeAutospacing="1" w:after="100" w:afterAutospacing="1"/>
    </w:pPr>
    <w:rPr>
      <w:rFonts w:ascii="Times New Roman" w:eastAsia="Times New Roman" w:hAnsi="Times New Roman"/>
      <w:lang w:eastAsia="en-GB"/>
    </w:rPr>
  </w:style>
  <w:style w:type="character" w:styleId="CommentReference">
    <w:name w:val="annotation reference"/>
    <w:rsid w:val="00436168"/>
    <w:rPr>
      <w:sz w:val="18"/>
      <w:szCs w:val="18"/>
    </w:rPr>
  </w:style>
  <w:style w:type="paragraph" w:styleId="CommentText">
    <w:name w:val="annotation text"/>
    <w:basedOn w:val="Normal"/>
    <w:link w:val="CommentTextChar"/>
    <w:rsid w:val="00436168"/>
    <w:rPr>
      <w:lang w:eastAsia="x-none"/>
    </w:rPr>
  </w:style>
  <w:style w:type="character" w:customStyle="1" w:styleId="CommentTextChar">
    <w:name w:val="Comment Text Char"/>
    <w:link w:val="CommentText"/>
    <w:rsid w:val="00436168"/>
    <w:rPr>
      <w:sz w:val="24"/>
      <w:szCs w:val="24"/>
      <w:lang w:val="en-GB"/>
    </w:rPr>
  </w:style>
  <w:style w:type="paragraph" w:styleId="CommentSubject">
    <w:name w:val="annotation subject"/>
    <w:basedOn w:val="CommentText"/>
    <w:next w:val="CommentText"/>
    <w:link w:val="CommentSubjectChar"/>
    <w:rsid w:val="00436168"/>
    <w:rPr>
      <w:b/>
      <w:bCs/>
    </w:rPr>
  </w:style>
  <w:style w:type="character" w:customStyle="1" w:styleId="CommentSubjectChar">
    <w:name w:val="Comment Subject Char"/>
    <w:link w:val="CommentSubject"/>
    <w:rsid w:val="00436168"/>
    <w:rPr>
      <w:b/>
      <w:bCs/>
      <w:sz w:val="24"/>
      <w:szCs w:val="24"/>
      <w:lang w:val="en-GB"/>
    </w:rPr>
  </w:style>
  <w:style w:type="paragraph" w:customStyle="1" w:styleId="ColorfulShading-Accent11">
    <w:name w:val="Colorful Shading - Accent 11"/>
    <w:hidden/>
    <w:uiPriority w:val="99"/>
    <w:semiHidden/>
    <w:rsid w:val="00C85C38"/>
    <w:rPr>
      <w:sz w:val="24"/>
      <w:szCs w:val="24"/>
      <w:lang w:val="en-GB"/>
    </w:rPr>
  </w:style>
  <w:style w:type="character" w:customStyle="1" w:styleId="Heading3Char">
    <w:name w:val="Heading 3 Char"/>
    <w:link w:val="Heading3"/>
    <w:rsid w:val="00492C57"/>
    <w:rPr>
      <w:rFonts w:ascii="Cambria" w:eastAsia="Times New Roman" w:hAnsi="Cambria" w:cs="Times New Roman"/>
      <w:b/>
      <w:bCs/>
      <w:sz w:val="26"/>
      <w:szCs w:val="26"/>
      <w:lang w:eastAsia="en-US"/>
    </w:rPr>
  </w:style>
  <w:style w:type="paragraph" w:customStyle="1" w:styleId="Default">
    <w:name w:val="Default"/>
    <w:rsid w:val="002117BA"/>
    <w:pPr>
      <w:autoSpaceDE w:val="0"/>
      <w:autoSpaceDN w:val="0"/>
      <w:adjustRightInd w:val="0"/>
    </w:pPr>
    <w:rPr>
      <w:rFonts w:ascii="Times New Roman" w:eastAsia="Calibri" w:hAnsi="Times New Roman"/>
      <w:color w:val="000000"/>
      <w:sz w:val="24"/>
      <w:szCs w:val="24"/>
      <w:lang w:val="en-GB" w:eastAsia="en-GB"/>
    </w:rPr>
  </w:style>
  <w:style w:type="paragraph" w:customStyle="1" w:styleId="LightGrid-Accent31">
    <w:name w:val="Light Grid - Accent 31"/>
    <w:basedOn w:val="Normal"/>
    <w:uiPriority w:val="34"/>
    <w:qFormat/>
    <w:rsid w:val="00116FD8"/>
    <w:pPr>
      <w:ind w:left="720"/>
      <w:contextualSpacing/>
    </w:pPr>
  </w:style>
  <w:style w:type="character" w:styleId="LineNumber">
    <w:name w:val="line number"/>
    <w:rsid w:val="00665404"/>
  </w:style>
  <w:style w:type="character" w:styleId="Emphasis">
    <w:name w:val="Emphasis"/>
    <w:qFormat/>
    <w:rsid w:val="00413B3C"/>
    <w:rPr>
      <w:i/>
      <w:iCs/>
    </w:rPr>
  </w:style>
  <w:style w:type="paragraph" w:customStyle="1" w:styleId="LightList-Accent31">
    <w:name w:val="Light List - Accent 31"/>
    <w:hidden/>
    <w:uiPriority w:val="99"/>
    <w:semiHidden/>
    <w:rsid w:val="00002178"/>
    <w:rPr>
      <w:sz w:val="24"/>
      <w:szCs w:val="24"/>
      <w:lang w:val="en-GB"/>
    </w:rPr>
  </w:style>
  <w:style w:type="paragraph" w:customStyle="1" w:styleId="MediumList2-Accent21">
    <w:name w:val="Medium List 2 - Accent 21"/>
    <w:hidden/>
    <w:uiPriority w:val="99"/>
    <w:semiHidden/>
    <w:rsid w:val="00046A01"/>
    <w:rPr>
      <w:sz w:val="24"/>
      <w:szCs w:val="24"/>
      <w:lang w:val="en-GB"/>
    </w:rPr>
  </w:style>
  <w:style w:type="numbering" w:customStyle="1" w:styleId="NoList1">
    <w:name w:val="No List1"/>
    <w:next w:val="NoList"/>
    <w:uiPriority w:val="99"/>
    <w:semiHidden/>
    <w:unhideWhenUsed/>
    <w:rsid w:val="00742962"/>
  </w:style>
  <w:style w:type="paragraph" w:customStyle="1" w:styleId="MediumGrid1-Accent21">
    <w:name w:val="Medium Grid 1 - Accent 21"/>
    <w:basedOn w:val="Normal"/>
    <w:uiPriority w:val="34"/>
    <w:qFormat/>
    <w:rsid w:val="005852CA"/>
    <w:pPr>
      <w:spacing w:after="200" w:line="276" w:lineRule="auto"/>
      <w:ind w:left="720"/>
      <w:contextualSpacing/>
    </w:pPr>
    <w:rPr>
      <w:rFonts w:ascii="Calibri" w:eastAsia="Calibri" w:hAnsi="Calibri"/>
      <w:sz w:val="22"/>
      <w:szCs w:val="22"/>
    </w:rPr>
  </w:style>
  <w:style w:type="numbering" w:customStyle="1" w:styleId="NoList2">
    <w:name w:val="No List2"/>
    <w:next w:val="NoList"/>
    <w:uiPriority w:val="99"/>
    <w:semiHidden/>
    <w:unhideWhenUsed/>
    <w:rsid w:val="00AE22D7"/>
  </w:style>
  <w:style w:type="table" w:customStyle="1" w:styleId="TableGrid1">
    <w:name w:val="Table Grid1"/>
    <w:basedOn w:val="TableNormal"/>
    <w:next w:val="TableGrid"/>
    <w:uiPriority w:val="59"/>
    <w:rsid w:val="00AE22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AE22D7"/>
  </w:style>
  <w:style w:type="paragraph" w:styleId="ListParagraph">
    <w:name w:val="List Paragraph"/>
    <w:basedOn w:val="Normal"/>
    <w:uiPriority w:val="34"/>
    <w:qFormat/>
    <w:rsid w:val="00C70986"/>
    <w:pPr>
      <w:ind w:left="720"/>
      <w:contextualSpacing/>
    </w:pPr>
  </w:style>
  <w:style w:type="paragraph" w:customStyle="1" w:styleId="TableNote">
    <w:name w:val="TableNote"/>
    <w:basedOn w:val="Normal"/>
    <w:rsid w:val="00446008"/>
    <w:pPr>
      <w:spacing w:line="300" w:lineRule="exact"/>
    </w:pPr>
    <w:rPr>
      <w:rFonts w:ascii="Times New Roman" w:eastAsia="Times New Roman" w:hAnsi="Times New Roman"/>
      <w:szCs w:val="20"/>
    </w:rPr>
  </w:style>
  <w:style w:type="paragraph" w:customStyle="1" w:styleId="TableTitle">
    <w:name w:val="TableTitle"/>
    <w:basedOn w:val="Normal"/>
    <w:rsid w:val="00446008"/>
    <w:pPr>
      <w:spacing w:line="300" w:lineRule="exact"/>
    </w:pPr>
    <w:rPr>
      <w:rFonts w:ascii="Times New Roman" w:eastAsia="Times New Roman" w:hAnsi="Times New Roman"/>
      <w:szCs w:val="20"/>
    </w:rPr>
  </w:style>
  <w:style w:type="paragraph" w:customStyle="1" w:styleId="TableHeader">
    <w:name w:val="TableHeader"/>
    <w:basedOn w:val="Normal"/>
    <w:rsid w:val="00446008"/>
    <w:pPr>
      <w:spacing w:before="120"/>
    </w:pPr>
    <w:rPr>
      <w:rFonts w:ascii="Times New Roman" w:eastAsia="Times New Roman" w:hAnsi="Times New Roman"/>
      <w:b/>
      <w:szCs w:val="20"/>
    </w:rPr>
  </w:style>
  <w:style w:type="paragraph" w:customStyle="1" w:styleId="TableSubHead">
    <w:name w:val="TableSubHead"/>
    <w:basedOn w:val="TableHeader"/>
    <w:rsid w:val="004460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011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B40436D-184C-4D0E-9107-1491455EA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36874</Words>
  <Characters>210188</Characters>
  <Application>Microsoft Office Word</Application>
  <DocSecurity>4</DocSecurity>
  <Lines>1751</Lines>
  <Paragraphs>493</Paragraphs>
  <ScaleCrop>false</ScaleCrop>
  <HeadingPairs>
    <vt:vector size="2" baseType="variant">
      <vt:variant>
        <vt:lpstr>Title</vt:lpstr>
      </vt:variant>
      <vt:variant>
        <vt:i4>1</vt:i4>
      </vt:variant>
    </vt:vector>
  </HeadingPairs>
  <TitlesOfParts>
    <vt:vector size="1" baseType="lpstr">
      <vt:lpstr>The Impact of Refined Electrocardiogram Screening Criteria on Athletes of African/Afro-Caribbean Origin</vt:lpstr>
    </vt:vector>
  </TitlesOfParts>
  <Company>SGUL</Company>
  <LinksUpToDate>false</LinksUpToDate>
  <CharactersWithSpaces>246569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Refined Electrocardiogram Screening Criteria on Athletes of African/Afro-Caribbean Origin</dc:title>
  <dc:subject/>
  <dc:creator>Michael Papadakis</dc:creator>
  <cp:keywords/>
  <cp:lastModifiedBy>Sanjay Sharma</cp:lastModifiedBy>
  <cp:revision>2</cp:revision>
  <cp:lastPrinted>2016-01-04T13:05:00Z</cp:lastPrinted>
  <dcterms:created xsi:type="dcterms:W3CDTF">2016-04-19T09:34:00Z</dcterms:created>
  <dcterms:modified xsi:type="dcterms:W3CDTF">2016-04-19T09:34:00Z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nabeelsheikh99@yahoo.com@www.mendeley.com</vt:lpwstr>
  </property>
  <property fmtid="{D5CDD505-2E9C-101B-9397-08002B2CF9AE}" pid="4" name="Mendeley Citation Style_1">
    <vt:lpwstr>http://www.zotero.org/styles/heart</vt:lpwstr>
  </property>
  <property fmtid="{D5CDD505-2E9C-101B-9397-08002B2CF9AE}" pid="5" name="Mendeley Recent Style Name 0_1">
    <vt:lpwstr>American Medical Association</vt:lpwstr>
  </property>
  <property fmtid="{D5CDD505-2E9C-101B-9397-08002B2CF9AE}" pid="6" name="Mendeley Recent Style Id 0_1">
    <vt:lpwstr>http://www.zotero.org/styles/american-medical-association</vt:lpwstr>
  </property>
  <property fmtid="{D5CDD505-2E9C-101B-9397-08002B2CF9AE}" pid="7" name="Mendeley Recent Style Name 1_1">
    <vt:lpwstr>American Political Science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2_1">
    <vt:lpwstr>American Psychological Association 6th edition</vt:lpwstr>
  </property>
  <property fmtid="{D5CDD505-2E9C-101B-9397-08002B2CF9AE}" pid="10" name="Mendeley Recent Style Id 2_1">
    <vt:lpwstr>http://www.zotero.org/styles/apa</vt:lpwstr>
  </property>
  <property fmtid="{D5CDD505-2E9C-101B-9397-08002B2CF9AE}" pid="11" name="Mendeley Recent Style Name 3_1">
    <vt:lpwstr>Chicago Manual of Style 16th edition (author-date)</vt:lpwstr>
  </property>
  <property fmtid="{D5CDD505-2E9C-101B-9397-08002B2CF9AE}" pid="12" name="Mendeley Recent Style Id 3_1">
    <vt:lpwstr>http://www.zotero.org/styles/chicago-author-date</vt:lpwstr>
  </property>
  <property fmtid="{D5CDD505-2E9C-101B-9397-08002B2CF9AE}" pid="13" name="Mendeley Recent Style Name 4_1">
    <vt:lpwstr>Circulation</vt:lpwstr>
  </property>
  <property fmtid="{D5CDD505-2E9C-101B-9397-08002B2CF9AE}" pid="14" name="Mendeley Recent Style Id 4_1">
    <vt:lpwstr>http://www.zotero.org/styles/circulation</vt:lpwstr>
  </property>
  <property fmtid="{D5CDD505-2E9C-101B-9397-08002B2CF9AE}" pid="15" name="Mendeley Recent Style Name 5_1">
    <vt:lpwstr>Circulation - Nabeel Sheikh</vt:lpwstr>
  </property>
  <property fmtid="{D5CDD505-2E9C-101B-9397-08002B2CF9AE}" pid="16" name="Mendeley Recent Style Id 5_1">
    <vt:lpwstr>http://csl.mendeley.com/styles/2711231/circulation</vt:lpwstr>
  </property>
  <property fmtid="{D5CDD505-2E9C-101B-9397-08002B2CF9AE}" pid="17" name="Mendeley Recent Style Name 6_1">
    <vt:lpwstr>Heart</vt:lpwstr>
  </property>
  <property fmtid="{D5CDD505-2E9C-101B-9397-08002B2CF9AE}" pid="18" name="Mendeley Recent Style Id 6_1">
    <vt:lpwstr>http://www.zotero.org/styles/heart</vt:lpwstr>
  </property>
  <property fmtid="{D5CDD505-2E9C-101B-9397-08002B2CF9AE}" pid="19" name="Mendeley Recent Style Name 7_1">
    <vt:lpwstr>IEEE</vt:lpwstr>
  </property>
  <property fmtid="{D5CDD505-2E9C-101B-9397-08002B2CF9AE}" pid="20" name="Mendeley Recent Style Id 7_1">
    <vt:lpwstr>http://www.zotero.org/styles/ieee</vt:lpwstr>
  </property>
  <property fmtid="{D5CDD505-2E9C-101B-9397-08002B2CF9AE}" pid="21" name="Mendeley Recent Style Name 8_1">
    <vt:lpwstr>Nature</vt:lpwstr>
  </property>
  <property fmtid="{D5CDD505-2E9C-101B-9397-08002B2CF9AE}" pid="22" name="Mendeley Recent Style Id 8_1">
    <vt:lpwstr>http://www.zotero.org/styles/nature</vt:lpwstr>
  </property>
  <property fmtid="{D5CDD505-2E9C-101B-9397-08002B2CF9AE}" pid="23" name="Mendeley Recent Style Name 9_1">
    <vt:lpwstr>Vancouver</vt:lpwstr>
  </property>
  <property fmtid="{D5CDD505-2E9C-101B-9397-08002B2CF9AE}" pid="24" name="Mendeley Recent Style Id 9_1">
    <vt:lpwstr>http://www.zotero.org/styles/vancouver</vt:lpwstr>
  </property>
</Properties>
</file>