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23" w:rsidRDefault="009E7B23">
      <w:pPr>
        <w:rPr>
          <w:b/>
        </w:rPr>
      </w:pPr>
      <w:r w:rsidRPr="009E7B23">
        <w:rPr>
          <w:b/>
        </w:rPr>
        <w:t>Placental expression of epithelial sodium channels and NEDD4-2 throughout gestation in human pregnancy</w:t>
      </w:r>
    </w:p>
    <w:p w:rsidR="004D658B" w:rsidRPr="004D658B" w:rsidRDefault="004D658B" w:rsidP="004D658B">
      <w:r w:rsidRPr="004D658B">
        <w:t>Paula J Williams</w:t>
      </w:r>
      <w:r w:rsidRPr="000441DB">
        <w:rPr>
          <w:vertAlign w:val="superscript"/>
        </w:rPr>
        <w:t>1</w:t>
      </w:r>
      <w:r w:rsidRPr="004D658B">
        <w:t xml:space="preserve">, </w:t>
      </w:r>
      <w:proofErr w:type="spellStart"/>
      <w:r>
        <w:t>Lesia</w:t>
      </w:r>
      <w:proofErr w:type="spellEnd"/>
      <w:r>
        <w:t xml:space="preserve"> O. Kurlak</w:t>
      </w:r>
      <w:r w:rsidRPr="000441DB">
        <w:rPr>
          <w:vertAlign w:val="superscript"/>
        </w:rPr>
        <w:t>1</w:t>
      </w:r>
      <w:r w:rsidRPr="004D658B">
        <w:t xml:space="preserve">, </w:t>
      </w:r>
      <w:r>
        <w:t>Judith E Cartwright</w:t>
      </w:r>
      <w:r w:rsidRPr="000441DB">
        <w:rPr>
          <w:vertAlign w:val="superscript"/>
        </w:rPr>
        <w:t>2</w:t>
      </w:r>
      <w:r>
        <w:t>, Guy S. Whitley</w:t>
      </w:r>
      <w:r w:rsidRPr="000441DB">
        <w:rPr>
          <w:vertAlign w:val="superscript"/>
        </w:rPr>
        <w:t>2</w:t>
      </w:r>
      <w:r>
        <w:t>, Markus G Mohaupt</w:t>
      </w:r>
      <w:r w:rsidRPr="000441DB">
        <w:rPr>
          <w:vertAlign w:val="superscript"/>
        </w:rPr>
        <w:t>3</w:t>
      </w:r>
      <w:r>
        <w:t xml:space="preserve"> &amp; </w:t>
      </w:r>
      <w:proofErr w:type="spellStart"/>
      <w:r>
        <w:t>Hiten</w:t>
      </w:r>
      <w:proofErr w:type="spellEnd"/>
      <w:r>
        <w:t xml:space="preserve"> D Mistry</w:t>
      </w:r>
      <w:r w:rsidRPr="000441DB">
        <w:rPr>
          <w:vertAlign w:val="superscript"/>
        </w:rPr>
        <w:t>1</w:t>
      </w:r>
      <w:bookmarkStart w:id="0" w:name="_GoBack"/>
      <w:bookmarkEnd w:id="0"/>
    </w:p>
    <w:p w:rsidR="004D658B" w:rsidRPr="004D658B" w:rsidRDefault="004D658B" w:rsidP="004D658B">
      <w:r>
        <w:t>1</w:t>
      </w:r>
      <w:r w:rsidRPr="004D658B">
        <w:t>.</w:t>
      </w:r>
      <w:r w:rsidRPr="004D658B">
        <w:tab/>
        <w:t>Division of Child Health, Obstetrics and Gynaecology, University of Nottingham, City Hos</w:t>
      </w:r>
      <w:r>
        <w:t>pital Nottingham, Nottingham, UK</w:t>
      </w:r>
    </w:p>
    <w:p w:rsidR="004D658B" w:rsidRPr="004D658B" w:rsidRDefault="004D658B" w:rsidP="004D658B">
      <w:r>
        <w:t>2.</w:t>
      </w:r>
      <w:r>
        <w:tab/>
        <w:t>Division of Biomedical Sciences, St. George’s University of London, London, UK</w:t>
      </w:r>
    </w:p>
    <w:p w:rsidR="009E7B23" w:rsidRDefault="004D658B">
      <w:r>
        <w:t>3</w:t>
      </w:r>
      <w:r w:rsidRPr="004D658B">
        <w:t>.</w:t>
      </w:r>
      <w:r w:rsidRPr="004D658B">
        <w:tab/>
        <w:t>Department of Nephrology, Hypertension, Clinical Pharmacology and Department of Clinical Research, University o</w:t>
      </w:r>
      <w:r>
        <w:t>f Bern, 3010 Berne, Switzerland</w:t>
      </w:r>
    </w:p>
    <w:p w:rsidR="009F1F2D" w:rsidRDefault="00BF5545">
      <w:r w:rsidRPr="004D658B">
        <w:rPr>
          <w:b/>
        </w:rPr>
        <w:t>Objective</w:t>
      </w:r>
      <w:r w:rsidR="00FE17CC" w:rsidRPr="004D658B">
        <w:rPr>
          <w:b/>
        </w:rPr>
        <w:t>:</w:t>
      </w:r>
      <w:r w:rsidR="00FE17CC">
        <w:t xml:space="preserve"> </w:t>
      </w:r>
      <w:r w:rsidR="00210A69">
        <w:t xml:space="preserve">The </w:t>
      </w:r>
      <w:r w:rsidR="00FE17CC">
        <w:t>epithelial sodium channel (</w:t>
      </w:r>
      <w:proofErr w:type="spellStart"/>
      <w:r w:rsidR="00FE17CC">
        <w:t>ENaC</w:t>
      </w:r>
      <w:proofErr w:type="spellEnd"/>
      <w:r w:rsidR="00FE17CC">
        <w:t xml:space="preserve">) is an important regulator of blood pressure due to its role in sodium ion transport. </w:t>
      </w:r>
      <w:r w:rsidR="00210A69">
        <w:t>The aim of th</w:t>
      </w:r>
      <w:r w:rsidR="00924C4F">
        <w:t xml:space="preserve">is study was to characterise </w:t>
      </w:r>
      <w:r w:rsidR="00210A69">
        <w:t>expression</w:t>
      </w:r>
      <w:r w:rsidR="00BC2AC3">
        <w:t xml:space="preserve"> of a number of key genes involved in blood pressure regulation </w:t>
      </w:r>
      <w:r w:rsidR="00FF4C47">
        <w:t>throughout gestation</w:t>
      </w:r>
      <w:r w:rsidR="00BC2AC3">
        <w:t>. These include</w:t>
      </w:r>
      <w:r w:rsidR="00210A69">
        <w:t xml:space="preserve"> the four </w:t>
      </w:r>
      <w:proofErr w:type="spellStart"/>
      <w:r w:rsidR="00210A69">
        <w:t>ENaC</w:t>
      </w:r>
      <w:proofErr w:type="spellEnd"/>
      <w:r w:rsidR="00210A69">
        <w:t xml:space="preserve"> subunits α, β,</w:t>
      </w:r>
      <w:r w:rsidR="00FE17CC">
        <w:t xml:space="preserve"> γ</w:t>
      </w:r>
      <w:r w:rsidR="004D658B">
        <w:t>,</w:t>
      </w:r>
      <w:r w:rsidR="00FE17CC">
        <w:t xml:space="preserve"> </w:t>
      </w:r>
      <w:r w:rsidR="004D658B">
        <w:t xml:space="preserve">δ </w:t>
      </w:r>
      <w:r w:rsidR="00210A69">
        <w:t>and the ubiquitin ligase NEDD4-2</w:t>
      </w:r>
      <w:r w:rsidR="004D658B">
        <w:t>,</w:t>
      </w:r>
      <w:r w:rsidR="00FE17CC">
        <w:t xml:space="preserve"> </w:t>
      </w:r>
      <w:r w:rsidR="00210A69">
        <w:t>which is an impor</w:t>
      </w:r>
      <w:r w:rsidR="00FF4C47">
        <w:t xml:space="preserve">tant regulator of </w:t>
      </w:r>
      <w:proofErr w:type="spellStart"/>
      <w:r w:rsidR="00FF4C47">
        <w:t>ENaC</w:t>
      </w:r>
      <w:proofErr w:type="spellEnd"/>
      <w:r w:rsidR="00FF4C47">
        <w:t xml:space="preserve"> activity</w:t>
      </w:r>
      <w:r w:rsidR="00634B0D">
        <w:t>.</w:t>
      </w:r>
    </w:p>
    <w:p w:rsidR="00210A69" w:rsidRDefault="00210A69">
      <w:pPr>
        <w:rPr>
          <w:sz w:val="24"/>
          <w:szCs w:val="24"/>
        </w:rPr>
      </w:pPr>
      <w:r w:rsidRPr="004D658B">
        <w:rPr>
          <w:b/>
        </w:rPr>
        <w:t>Methods:</w:t>
      </w:r>
      <w:r>
        <w:t xml:space="preserve">  </w:t>
      </w:r>
      <w:r w:rsidRPr="002423F4">
        <w:rPr>
          <w:sz w:val="24"/>
          <w:szCs w:val="24"/>
        </w:rPr>
        <w:t>Following ethical committee approval and informed patient consent placental tissue was obtained</w:t>
      </w:r>
      <w:r w:rsidR="001845C6">
        <w:rPr>
          <w:sz w:val="24"/>
          <w:szCs w:val="24"/>
        </w:rPr>
        <w:t xml:space="preserve"> from </w:t>
      </w:r>
      <w:r w:rsidR="009F53BC">
        <w:rPr>
          <w:sz w:val="24"/>
          <w:szCs w:val="24"/>
        </w:rPr>
        <w:t>6</w:t>
      </w:r>
      <w:r w:rsidR="00435FFF">
        <w:rPr>
          <w:sz w:val="24"/>
          <w:szCs w:val="24"/>
        </w:rPr>
        <w:t xml:space="preserve"> </w:t>
      </w:r>
      <w:r w:rsidR="001845C6">
        <w:rPr>
          <w:sz w:val="24"/>
          <w:szCs w:val="24"/>
        </w:rPr>
        <w:t>early (</w:t>
      </w:r>
      <w:r w:rsidR="00630786">
        <w:rPr>
          <w:sz w:val="24"/>
          <w:szCs w:val="24"/>
        </w:rPr>
        <w:t>6-9</w:t>
      </w:r>
      <w:r w:rsidR="001845C6">
        <w:rPr>
          <w:sz w:val="24"/>
          <w:szCs w:val="24"/>
        </w:rPr>
        <w:t xml:space="preserve"> weeks gestational age [GA]) and </w:t>
      </w:r>
      <w:r w:rsidR="009F53BC">
        <w:rPr>
          <w:sz w:val="24"/>
          <w:szCs w:val="24"/>
        </w:rPr>
        <w:t>7</w:t>
      </w:r>
      <w:r w:rsidR="00884976">
        <w:rPr>
          <w:sz w:val="24"/>
          <w:szCs w:val="24"/>
        </w:rPr>
        <w:t xml:space="preserve"> mid</w:t>
      </w:r>
      <w:r w:rsidR="001845C6">
        <w:rPr>
          <w:sz w:val="24"/>
          <w:szCs w:val="24"/>
        </w:rPr>
        <w:t xml:space="preserve"> (</w:t>
      </w:r>
      <w:r w:rsidR="009F53BC" w:rsidRPr="00630786">
        <w:rPr>
          <w:sz w:val="24"/>
          <w:szCs w:val="24"/>
        </w:rPr>
        <w:t>10-1</w:t>
      </w:r>
      <w:r w:rsidR="00630786" w:rsidRPr="00630786">
        <w:rPr>
          <w:sz w:val="24"/>
          <w:szCs w:val="24"/>
        </w:rPr>
        <w:t>4</w:t>
      </w:r>
      <w:r w:rsidR="001845C6">
        <w:rPr>
          <w:sz w:val="24"/>
          <w:szCs w:val="24"/>
        </w:rPr>
        <w:t xml:space="preserve"> weeks GA) pregnancy terminations (TOP) and from women undergoing</w:t>
      </w:r>
      <w:r w:rsidRPr="002423F4">
        <w:rPr>
          <w:sz w:val="24"/>
          <w:szCs w:val="24"/>
        </w:rPr>
        <w:t xml:space="preserve"> elective Caesarean section </w:t>
      </w:r>
      <w:r w:rsidR="001845C6">
        <w:rPr>
          <w:sz w:val="24"/>
          <w:szCs w:val="24"/>
        </w:rPr>
        <w:t xml:space="preserve">following </w:t>
      </w:r>
      <w:r>
        <w:rPr>
          <w:sz w:val="24"/>
          <w:szCs w:val="24"/>
        </w:rPr>
        <w:t>normal pregnancy (n=6</w:t>
      </w:r>
      <w:r w:rsidRPr="002423F4">
        <w:rPr>
          <w:sz w:val="24"/>
          <w:szCs w:val="24"/>
        </w:rPr>
        <w:t>; mean gestatio</w:t>
      </w:r>
      <w:r w:rsidR="00FF4C47">
        <w:rPr>
          <w:sz w:val="24"/>
          <w:szCs w:val="24"/>
        </w:rPr>
        <w:t>nal age[standard deviation] 39.5 [1.02</w:t>
      </w:r>
      <w:r>
        <w:rPr>
          <w:sz w:val="24"/>
          <w:szCs w:val="24"/>
        </w:rPr>
        <w:t>] weeks)</w:t>
      </w:r>
      <w:r w:rsidRPr="002423F4">
        <w:rPr>
          <w:sz w:val="24"/>
          <w:szCs w:val="24"/>
        </w:rPr>
        <w:t>.</w:t>
      </w:r>
      <w:r>
        <w:rPr>
          <w:sz w:val="24"/>
          <w:szCs w:val="24"/>
        </w:rPr>
        <w:t xml:space="preserve"> </w:t>
      </w:r>
      <w:r w:rsidR="00435FFF">
        <w:rPr>
          <w:sz w:val="24"/>
          <w:szCs w:val="24"/>
        </w:rPr>
        <w:t>Quantitative real-time PCR</w:t>
      </w:r>
      <w:r w:rsidRPr="002423F4">
        <w:rPr>
          <w:sz w:val="24"/>
          <w:szCs w:val="24"/>
        </w:rPr>
        <w:t xml:space="preserve"> w</w:t>
      </w:r>
      <w:r w:rsidR="00435FFF">
        <w:rPr>
          <w:sz w:val="24"/>
          <w:szCs w:val="24"/>
        </w:rPr>
        <w:t>as</w:t>
      </w:r>
      <w:r w:rsidRPr="002423F4">
        <w:rPr>
          <w:sz w:val="24"/>
          <w:szCs w:val="24"/>
        </w:rPr>
        <w:t xml:space="preserve"> used </w:t>
      </w:r>
      <w:r>
        <w:rPr>
          <w:sz w:val="24"/>
          <w:szCs w:val="24"/>
        </w:rPr>
        <w:t xml:space="preserve">to determine expression of </w:t>
      </w:r>
      <w:proofErr w:type="spellStart"/>
      <w:r>
        <w:rPr>
          <w:sz w:val="24"/>
          <w:szCs w:val="24"/>
        </w:rPr>
        <w:t>ENaC</w:t>
      </w:r>
      <w:proofErr w:type="spellEnd"/>
      <w:r w:rsidR="00AC78B3">
        <w:rPr>
          <w:sz w:val="24"/>
          <w:szCs w:val="24"/>
        </w:rPr>
        <w:t>α</w:t>
      </w:r>
      <w:r>
        <w:rPr>
          <w:sz w:val="24"/>
          <w:szCs w:val="24"/>
        </w:rPr>
        <w:t xml:space="preserve">, </w:t>
      </w:r>
      <w:proofErr w:type="spellStart"/>
      <w:r>
        <w:rPr>
          <w:sz w:val="24"/>
          <w:szCs w:val="24"/>
        </w:rPr>
        <w:t>ENaC</w:t>
      </w:r>
      <w:proofErr w:type="spellEnd"/>
      <w:r w:rsidR="00AC78B3">
        <w:rPr>
          <w:sz w:val="24"/>
          <w:szCs w:val="24"/>
        </w:rPr>
        <w:t>β</w:t>
      </w:r>
      <w:r>
        <w:rPr>
          <w:sz w:val="24"/>
          <w:szCs w:val="24"/>
        </w:rPr>
        <w:t xml:space="preserve">, </w:t>
      </w:r>
      <w:proofErr w:type="spellStart"/>
      <w:r>
        <w:rPr>
          <w:sz w:val="24"/>
          <w:szCs w:val="24"/>
        </w:rPr>
        <w:t>ENaC</w:t>
      </w:r>
      <w:r w:rsidR="00AC78B3">
        <w:rPr>
          <w:sz w:val="24"/>
          <w:szCs w:val="24"/>
        </w:rPr>
        <w:t>γ</w:t>
      </w:r>
      <w:proofErr w:type="spellEnd"/>
      <w:r w:rsidR="00AC78B3">
        <w:rPr>
          <w:sz w:val="24"/>
          <w:szCs w:val="24"/>
        </w:rPr>
        <w:t xml:space="preserve">, </w:t>
      </w:r>
      <w:proofErr w:type="spellStart"/>
      <w:r w:rsidR="00AC78B3">
        <w:rPr>
          <w:sz w:val="24"/>
          <w:szCs w:val="24"/>
        </w:rPr>
        <w:t>ENaCδ</w:t>
      </w:r>
      <w:proofErr w:type="spellEnd"/>
      <w:r w:rsidR="00AC78B3">
        <w:rPr>
          <w:sz w:val="24"/>
          <w:szCs w:val="24"/>
        </w:rPr>
        <w:t xml:space="preserve">, </w:t>
      </w:r>
      <w:proofErr w:type="gramStart"/>
      <w:r w:rsidR="00AC78B3">
        <w:rPr>
          <w:sz w:val="24"/>
          <w:szCs w:val="24"/>
        </w:rPr>
        <w:t>NEDD4</w:t>
      </w:r>
      <w:proofErr w:type="gramEnd"/>
      <w:r w:rsidR="00AC78B3">
        <w:rPr>
          <w:sz w:val="24"/>
          <w:szCs w:val="24"/>
        </w:rPr>
        <w:t>-</w:t>
      </w:r>
      <w:r w:rsidR="00884976">
        <w:rPr>
          <w:sz w:val="24"/>
          <w:szCs w:val="24"/>
        </w:rPr>
        <w:t>2 and the housekeeping genes</w:t>
      </w:r>
      <w:r w:rsidR="00AC78B3">
        <w:rPr>
          <w:sz w:val="24"/>
          <w:szCs w:val="24"/>
        </w:rPr>
        <w:t xml:space="preserve"> GAPDH and β-actin.</w:t>
      </w:r>
    </w:p>
    <w:p w:rsidR="00884976" w:rsidRDefault="009F53BC">
      <w:pPr>
        <w:rPr>
          <w:sz w:val="24"/>
          <w:szCs w:val="24"/>
        </w:rPr>
      </w:pPr>
      <w:r w:rsidRPr="004D658B">
        <w:rPr>
          <w:b/>
          <w:sz w:val="24"/>
          <w:szCs w:val="24"/>
        </w:rPr>
        <w:t>Results:</w:t>
      </w:r>
      <w:r w:rsidR="00AC47E7">
        <w:rPr>
          <w:sz w:val="24"/>
          <w:szCs w:val="24"/>
        </w:rPr>
        <w:t xml:space="preserve"> </w:t>
      </w:r>
      <w:r w:rsidR="00884976">
        <w:rPr>
          <w:sz w:val="24"/>
          <w:szCs w:val="24"/>
        </w:rPr>
        <w:t xml:space="preserve">Placental </w:t>
      </w:r>
      <w:proofErr w:type="spellStart"/>
      <w:r w:rsidR="00884976">
        <w:rPr>
          <w:sz w:val="24"/>
          <w:szCs w:val="24"/>
        </w:rPr>
        <w:t>ENaC</w:t>
      </w:r>
      <w:proofErr w:type="spellEnd"/>
      <w:r w:rsidR="00884976">
        <w:rPr>
          <w:sz w:val="24"/>
          <w:szCs w:val="24"/>
        </w:rPr>
        <w:t xml:space="preserve">α, </w:t>
      </w:r>
      <w:proofErr w:type="spellStart"/>
      <w:r w:rsidR="00884976">
        <w:rPr>
          <w:sz w:val="24"/>
          <w:szCs w:val="24"/>
        </w:rPr>
        <w:t>ENaC</w:t>
      </w:r>
      <w:proofErr w:type="spellEnd"/>
      <w:r w:rsidR="00884976">
        <w:rPr>
          <w:sz w:val="24"/>
          <w:szCs w:val="24"/>
        </w:rPr>
        <w:t xml:space="preserve">β, </w:t>
      </w:r>
      <w:proofErr w:type="spellStart"/>
      <w:r w:rsidR="00884976">
        <w:rPr>
          <w:sz w:val="24"/>
          <w:szCs w:val="24"/>
        </w:rPr>
        <w:t>ENaCγ</w:t>
      </w:r>
      <w:proofErr w:type="spellEnd"/>
      <w:r w:rsidR="00884976">
        <w:rPr>
          <w:sz w:val="24"/>
          <w:szCs w:val="24"/>
        </w:rPr>
        <w:t xml:space="preserve">, </w:t>
      </w:r>
      <w:proofErr w:type="spellStart"/>
      <w:r w:rsidR="00884976">
        <w:rPr>
          <w:sz w:val="24"/>
          <w:szCs w:val="24"/>
        </w:rPr>
        <w:t>ENaCδ</w:t>
      </w:r>
      <w:proofErr w:type="spellEnd"/>
      <w:r w:rsidR="00884976">
        <w:rPr>
          <w:sz w:val="24"/>
          <w:szCs w:val="24"/>
        </w:rPr>
        <w:t xml:space="preserve"> and NEDD4-2 expression were unchanged during the first trimester. However, </w:t>
      </w:r>
      <w:r w:rsidR="00AC47E7">
        <w:rPr>
          <w:sz w:val="24"/>
          <w:szCs w:val="24"/>
        </w:rPr>
        <w:t xml:space="preserve">with the exception of </w:t>
      </w:r>
      <w:proofErr w:type="spellStart"/>
      <w:r w:rsidR="00AC47E7">
        <w:rPr>
          <w:sz w:val="24"/>
          <w:szCs w:val="24"/>
        </w:rPr>
        <w:t>ENaC</w:t>
      </w:r>
      <w:proofErr w:type="spellEnd"/>
      <w:r w:rsidR="00AC47E7">
        <w:rPr>
          <w:sz w:val="24"/>
          <w:szCs w:val="24"/>
        </w:rPr>
        <w:t xml:space="preserve">α </w:t>
      </w:r>
      <w:r w:rsidR="00884976">
        <w:rPr>
          <w:sz w:val="24"/>
          <w:szCs w:val="24"/>
        </w:rPr>
        <w:t xml:space="preserve">expression was significantly decreased at term for all genes examined compared to both early </w:t>
      </w:r>
      <w:r w:rsidR="00435FFF">
        <w:rPr>
          <w:sz w:val="24"/>
          <w:szCs w:val="24"/>
        </w:rPr>
        <w:t>and mid TOP</w:t>
      </w:r>
      <w:r w:rsidR="00BF5545">
        <w:rPr>
          <w:sz w:val="24"/>
          <w:szCs w:val="24"/>
        </w:rPr>
        <w:t>.</w:t>
      </w:r>
    </w:p>
    <w:tbl>
      <w:tblPr>
        <w:tblStyle w:val="TableGrid"/>
        <w:tblW w:w="0" w:type="auto"/>
        <w:tblLayout w:type="fixed"/>
        <w:tblLook w:val="04A0" w:firstRow="1" w:lastRow="0" w:firstColumn="1" w:lastColumn="0" w:noHBand="0" w:noVBand="1"/>
      </w:tblPr>
      <w:tblGrid>
        <w:gridCol w:w="959"/>
        <w:gridCol w:w="1559"/>
        <w:gridCol w:w="1559"/>
        <w:gridCol w:w="1560"/>
        <w:gridCol w:w="1701"/>
        <w:gridCol w:w="1842"/>
      </w:tblGrid>
      <w:tr w:rsidR="00B61191" w:rsidTr="00B61191">
        <w:tc>
          <w:tcPr>
            <w:tcW w:w="959" w:type="dxa"/>
          </w:tcPr>
          <w:p w:rsidR="00BF5545" w:rsidRPr="00835DE0" w:rsidRDefault="00BF5545">
            <w:pPr>
              <w:rPr>
                <w:sz w:val="20"/>
                <w:szCs w:val="20"/>
              </w:rPr>
            </w:pPr>
          </w:p>
        </w:tc>
        <w:tc>
          <w:tcPr>
            <w:tcW w:w="1559" w:type="dxa"/>
          </w:tcPr>
          <w:p w:rsidR="00BF5545" w:rsidRPr="00835DE0" w:rsidRDefault="004D658B">
            <w:pPr>
              <w:rPr>
                <w:sz w:val="20"/>
                <w:szCs w:val="20"/>
              </w:rPr>
            </w:pPr>
            <w:proofErr w:type="spellStart"/>
            <w:r w:rsidRPr="00835DE0">
              <w:rPr>
                <w:sz w:val="20"/>
                <w:szCs w:val="20"/>
              </w:rPr>
              <w:t>ENaC</w:t>
            </w:r>
            <w:proofErr w:type="spellEnd"/>
            <w:r w:rsidR="00BF5545" w:rsidRPr="00835DE0">
              <w:rPr>
                <w:sz w:val="20"/>
                <w:szCs w:val="20"/>
              </w:rPr>
              <w:t>α</w:t>
            </w:r>
          </w:p>
        </w:tc>
        <w:tc>
          <w:tcPr>
            <w:tcW w:w="1559" w:type="dxa"/>
          </w:tcPr>
          <w:p w:rsidR="00BF5545" w:rsidRPr="00835DE0" w:rsidRDefault="004D658B">
            <w:pPr>
              <w:rPr>
                <w:sz w:val="20"/>
                <w:szCs w:val="20"/>
              </w:rPr>
            </w:pPr>
            <w:proofErr w:type="spellStart"/>
            <w:r w:rsidRPr="00835DE0">
              <w:rPr>
                <w:sz w:val="20"/>
                <w:szCs w:val="20"/>
              </w:rPr>
              <w:t>ENaC</w:t>
            </w:r>
            <w:proofErr w:type="spellEnd"/>
            <w:r w:rsidR="00BF5545" w:rsidRPr="00835DE0">
              <w:rPr>
                <w:sz w:val="20"/>
                <w:szCs w:val="20"/>
              </w:rPr>
              <w:t>β</w:t>
            </w:r>
          </w:p>
        </w:tc>
        <w:tc>
          <w:tcPr>
            <w:tcW w:w="1560" w:type="dxa"/>
          </w:tcPr>
          <w:p w:rsidR="00BF5545" w:rsidRPr="00835DE0" w:rsidRDefault="00BF5545" w:rsidP="004D658B">
            <w:pPr>
              <w:rPr>
                <w:sz w:val="20"/>
                <w:szCs w:val="20"/>
              </w:rPr>
            </w:pPr>
            <w:proofErr w:type="spellStart"/>
            <w:r w:rsidRPr="00835DE0">
              <w:rPr>
                <w:sz w:val="20"/>
                <w:szCs w:val="20"/>
              </w:rPr>
              <w:t>ENaCγ</w:t>
            </w:r>
            <w:proofErr w:type="spellEnd"/>
          </w:p>
        </w:tc>
        <w:tc>
          <w:tcPr>
            <w:tcW w:w="1701" w:type="dxa"/>
          </w:tcPr>
          <w:p w:rsidR="00BF5545" w:rsidRPr="00835DE0" w:rsidRDefault="00BF5545" w:rsidP="004D658B">
            <w:pPr>
              <w:rPr>
                <w:sz w:val="20"/>
                <w:szCs w:val="20"/>
              </w:rPr>
            </w:pPr>
            <w:proofErr w:type="spellStart"/>
            <w:r w:rsidRPr="00835DE0">
              <w:rPr>
                <w:sz w:val="20"/>
                <w:szCs w:val="20"/>
              </w:rPr>
              <w:t>ENaCδ</w:t>
            </w:r>
            <w:proofErr w:type="spellEnd"/>
          </w:p>
        </w:tc>
        <w:tc>
          <w:tcPr>
            <w:tcW w:w="1842" w:type="dxa"/>
          </w:tcPr>
          <w:p w:rsidR="00BF5545" w:rsidRPr="00835DE0" w:rsidRDefault="002063D6">
            <w:pPr>
              <w:rPr>
                <w:sz w:val="20"/>
                <w:szCs w:val="20"/>
              </w:rPr>
            </w:pPr>
            <w:r w:rsidRPr="00835DE0">
              <w:rPr>
                <w:sz w:val="20"/>
                <w:szCs w:val="20"/>
              </w:rPr>
              <w:t>NEDD</w:t>
            </w:r>
            <w:r w:rsidR="00BF5545" w:rsidRPr="00835DE0">
              <w:rPr>
                <w:sz w:val="20"/>
                <w:szCs w:val="20"/>
              </w:rPr>
              <w:t>4-2</w:t>
            </w:r>
          </w:p>
        </w:tc>
      </w:tr>
      <w:tr w:rsidR="00B61191" w:rsidTr="00B61191">
        <w:tc>
          <w:tcPr>
            <w:tcW w:w="959" w:type="dxa"/>
          </w:tcPr>
          <w:p w:rsidR="00BF5545" w:rsidRPr="00835DE0" w:rsidRDefault="00BF5545" w:rsidP="00AC47E7">
            <w:pPr>
              <w:jc w:val="center"/>
              <w:rPr>
                <w:sz w:val="20"/>
                <w:szCs w:val="20"/>
              </w:rPr>
            </w:pPr>
            <w:r w:rsidRPr="00835DE0">
              <w:rPr>
                <w:sz w:val="20"/>
                <w:szCs w:val="20"/>
              </w:rPr>
              <w:t>Early TOP (n=6)</w:t>
            </w:r>
          </w:p>
        </w:tc>
        <w:tc>
          <w:tcPr>
            <w:tcW w:w="1559" w:type="dxa"/>
          </w:tcPr>
          <w:p w:rsidR="00BF5545" w:rsidRPr="00835DE0" w:rsidRDefault="00BF5545" w:rsidP="00AC47E7">
            <w:pPr>
              <w:jc w:val="center"/>
              <w:rPr>
                <w:rFonts w:cs="Arial"/>
                <w:sz w:val="20"/>
                <w:szCs w:val="20"/>
                <w:vertAlign w:val="superscript"/>
              </w:rPr>
            </w:pPr>
            <w:r w:rsidRPr="00835DE0">
              <w:rPr>
                <w:rFonts w:cs="Arial"/>
                <w:sz w:val="20"/>
                <w:szCs w:val="20"/>
              </w:rPr>
              <w:t>1135</w:t>
            </w:r>
          </w:p>
          <w:p w:rsidR="00BF5545" w:rsidRPr="00835DE0" w:rsidRDefault="00BF5545" w:rsidP="00AC47E7">
            <w:pPr>
              <w:jc w:val="center"/>
              <w:rPr>
                <w:rFonts w:cs="Arial"/>
                <w:sz w:val="20"/>
                <w:szCs w:val="20"/>
              </w:rPr>
            </w:pPr>
            <w:r w:rsidRPr="00835DE0">
              <w:rPr>
                <w:rFonts w:cs="Arial"/>
                <w:sz w:val="20"/>
                <w:szCs w:val="20"/>
              </w:rPr>
              <w:t>[478.9, 2125]</w:t>
            </w:r>
          </w:p>
        </w:tc>
        <w:tc>
          <w:tcPr>
            <w:tcW w:w="1559" w:type="dxa"/>
          </w:tcPr>
          <w:p w:rsidR="00BF5545" w:rsidRPr="00835DE0" w:rsidRDefault="00AC47E7" w:rsidP="00AC47E7">
            <w:pPr>
              <w:jc w:val="center"/>
              <w:rPr>
                <w:sz w:val="20"/>
                <w:szCs w:val="20"/>
                <w:vertAlign w:val="superscript"/>
              </w:rPr>
            </w:pPr>
            <w:r w:rsidRPr="00835DE0">
              <w:rPr>
                <w:sz w:val="20"/>
                <w:szCs w:val="20"/>
              </w:rPr>
              <w:t>356.3</w:t>
            </w:r>
            <w:r w:rsidRPr="00835DE0">
              <w:rPr>
                <w:sz w:val="20"/>
                <w:szCs w:val="20"/>
                <w:vertAlign w:val="superscript"/>
              </w:rPr>
              <w:t>a</w:t>
            </w:r>
          </w:p>
          <w:p w:rsidR="00BF5545" w:rsidRPr="00835DE0" w:rsidRDefault="00BF5545" w:rsidP="00AC47E7">
            <w:pPr>
              <w:jc w:val="center"/>
              <w:rPr>
                <w:sz w:val="20"/>
                <w:szCs w:val="20"/>
              </w:rPr>
            </w:pPr>
            <w:r w:rsidRPr="00835DE0">
              <w:rPr>
                <w:sz w:val="20"/>
                <w:szCs w:val="20"/>
              </w:rPr>
              <w:t>[274.5, 2735]</w:t>
            </w:r>
          </w:p>
        </w:tc>
        <w:tc>
          <w:tcPr>
            <w:tcW w:w="1560" w:type="dxa"/>
          </w:tcPr>
          <w:p w:rsidR="00FF6D6B" w:rsidRPr="00835DE0" w:rsidRDefault="00AC47E7" w:rsidP="00AC47E7">
            <w:pPr>
              <w:jc w:val="center"/>
              <w:rPr>
                <w:sz w:val="20"/>
                <w:szCs w:val="20"/>
              </w:rPr>
            </w:pPr>
            <w:r w:rsidRPr="00835DE0">
              <w:rPr>
                <w:sz w:val="20"/>
                <w:szCs w:val="20"/>
              </w:rPr>
              <w:t>9</w:t>
            </w:r>
            <w:r w:rsidR="00FF6D6B" w:rsidRPr="00835DE0">
              <w:rPr>
                <w:sz w:val="20"/>
                <w:szCs w:val="20"/>
              </w:rPr>
              <w:t>58.3</w:t>
            </w:r>
            <w:r w:rsidRPr="00835DE0">
              <w:rPr>
                <w:sz w:val="20"/>
                <w:szCs w:val="20"/>
                <w:vertAlign w:val="superscript"/>
              </w:rPr>
              <w:t>a</w:t>
            </w:r>
          </w:p>
          <w:p w:rsidR="00BF5545" w:rsidRPr="00835DE0" w:rsidRDefault="00FF6D6B" w:rsidP="00AC47E7">
            <w:pPr>
              <w:jc w:val="center"/>
              <w:rPr>
                <w:sz w:val="20"/>
                <w:szCs w:val="20"/>
              </w:rPr>
            </w:pPr>
            <w:r w:rsidRPr="00835DE0">
              <w:rPr>
                <w:sz w:val="20"/>
                <w:szCs w:val="20"/>
              </w:rPr>
              <w:t>[671.5, 2211]</w:t>
            </w:r>
          </w:p>
        </w:tc>
        <w:tc>
          <w:tcPr>
            <w:tcW w:w="1701" w:type="dxa"/>
          </w:tcPr>
          <w:p w:rsidR="00B61191" w:rsidRPr="00835DE0" w:rsidRDefault="00AC47E7" w:rsidP="00AC47E7">
            <w:pPr>
              <w:jc w:val="center"/>
              <w:rPr>
                <w:sz w:val="20"/>
                <w:szCs w:val="20"/>
                <w:vertAlign w:val="superscript"/>
              </w:rPr>
            </w:pPr>
            <w:r w:rsidRPr="00835DE0">
              <w:rPr>
                <w:sz w:val="20"/>
                <w:szCs w:val="20"/>
              </w:rPr>
              <w:t>3698</w:t>
            </w:r>
            <w:r w:rsidRPr="00835DE0">
              <w:rPr>
                <w:sz w:val="20"/>
                <w:szCs w:val="20"/>
                <w:vertAlign w:val="superscript"/>
              </w:rPr>
              <w:t>a</w:t>
            </w:r>
          </w:p>
          <w:p w:rsidR="00BF5545" w:rsidRPr="00835DE0" w:rsidRDefault="00B61191" w:rsidP="00AC47E7">
            <w:pPr>
              <w:jc w:val="center"/>
              <w:rPr>
                <w:sz w:val="20"/>
                <w:szCs w:val="20"/>
              </w:rPr>
            </w:pPr>
            <w:r w:rsidRPr="00835DE0">
              <w:rPr>
                <w:sz w:val="20"/>
                <w:szCs w:val="20"/>
              </w:rPr>
              <w:t>[762.2, 10106]</w:t>
            </w:r>
          </w:p>
        </w:tc>
        <w:tc>
          <w:tcPr>
            <w:tcW w:w="1842" w:type="dxa"/>
          </w:tcPr>
          <w:p w:rsidR="00B61191" w:rsidRPr="00835DE0" w:rsidRDefault="00AC47E7" w:rsidP="00AC47E7">
            <w:pPr>
              <w:jc w:val="center"/>
              <w:rPr>
                <w:sz w:val="20"/>
                <w:szCs w:val="20"/>
                <w:vertAlign w:val="superscript"/>
              </w:rPr>
            </w:pPr>
            <w:r w:rsidRPr="00835DE0">
              <w:rPr>
                <w:sz w:val="20"/>
                <w:szCs w:val="20"/>
              </w:rPr>
              <w:t>76079</w:t>
            </w:r>
            <w:r w:rsidRPr="00835DE0">
              <w:rPr>
                <w:sz w:val="20"/>
                <w:szCs w:val="20"/>
                <w:vertAlign w:val="superscript"/>
              </w:rPr>
              <w:t>a</w:t>
            </w:r>
          </w:p>
          <w:p w:rsidR="00BF5545" w:rsidRPr="00835DE0" w:rsidRDefault="00B61191" w:rsidP="00AC47E7">
            <w:pPr>
              <w:jc w:val="center"/>
              <w:rPr>
                <w:sz w:val="20"/>
                <w:szCs w:val="20"/>
              </w:rPr>
            </w:pPr>
            <w:r w:rsidRPr="00835DE0">
              <w:rPr>
                <w:sz w:val="20"/>
                <w:szCs w:val="20"/>
              </w:rPr>
              <w:t>[45441, 132288]</w:t>
            </w:r>
          </w:p>
        </w:tc>
      </w:tr>
      <w:tr w:rsidR="00B61191" w:rsidTr="00B61191">
        <w:tc>
          <w:tcPr>
            <w:tcW w:w="959" w:type="dxa"/>
          </w:tcPr>
          <w:p w:rsidR="00BF5545" w:rsidRPr="00835DE0" w:rsidRDefault="00BF5545" w:rsidP="00AC47E7">
            <w:pPr>
              <w:jc w:val="center"/>
              <w:rPr>
                <w:sz w:val="20"/>
                <w:szCs w:val="20"/>
              </w:rPr>
            </w:pPr>
            <w:r w:rsidRPr="00835DE0">
              <w:rPr>
                <w:sz w:val="20"/>
                <w:szCs w:val="20"/>
              </w:rPr>
              <w:t>Mid TOP (n=7)</w:t>
            </w:r>
          </w:p>
        </w:tc>
        <w:tc>
          <w:tcPr>
            <w:tcW w:w="1559" w:type="dxa"/>
          </w:tcPr>
          <w:p w:rsidR="00BF5545" w:rsidRPr="00835DE0" w:rsidRDefault="00BF5545" w:rsidP="00AC47E7">
            <w:pPr>
              <w:jc w:val="center"/>
              <w:rPr>
                <w:sz w:val="20"/>
                <w:szCs w:val="20"/>
                <w:vertAlign w:val="superscript"/>
              </w:rPr>
            </w:pPr>
            <w:r w:rsidRPr="00835DE0">
              <w:rPr>
                <w:sz w:val="20"/>
                <w:szCs w:val="20"/>
              </w:rPr>
              <w:t>758.9</w:t>
            </w:r>
          </w:p>
          <w:p w:rsidR="00BF5545" w:rsidRPr="00835DE0" w:rsidRDefault="00BF5545" w:rsidP="00AC47E7">
            <w:pPr>
              <w:jc w:val="center"/>
              <w:rPr>
                <w:sz w:val="20"/>
                <w:szCs w:val="20"/>
              </w:rPr>
            </w:pPr>
            <w:r w:rsidRPr="00835DE0">
              <w:rPr>
                <w:sz w:val="20"/>
                <w:szCs w:val="20"/>
              </w:rPr>
              <w:t>[542.8, 1474]</w:t>
            </w:r>
          </w:p>
        </w:tc>
        <w:tc>
          <w:tcPr>
            <w:tcW w:w="1559" w:type="dxa"/>
          </w:tcPr>
          <w:p w:rsidR="00BF5545" w:rsidRPr="00835DE0" w:rsidRDefault="00BF5545" w:rsidP="00AC47E7">
            <w:pPr>
              <w:jc w:val="center"/>
              <w:rPr>
                <w:sz w:val="20"/>
                <w:szCs w:val="20"/>
                <w:vertAlign w:val="superscript"/>
              </w:rPr>
            </w:pPr>
            <w:r w:rsidRPr="00835DE0">
              <w:rPr>
                <w:sz w:val="20"/>
                <w:szCs w:val="20"/>
              </w:rPr>
              <w:t>713.2</w:t>
            </w:r>
            <w:r w:rsidR="00AC47E7" w:rsidRPr="00835DE0">
              <w:rPr>
                <w:sz w:val="20"/>
                <w:szCs w:val="20"/>
                <w:vertAlign w:val="superscript"/>
              </w:rPr>
              <w:t>b</w:t>
            </w:r>
          </w:p>
          <w:p w:rsidR="00BF5545" w:rsidRPr="00835DE0" w:rsidRDefault="00BF5545" w:rsidP="00AC47E7">
            <w:pPr>
              <w:jc w:val="center"/>
              <w:rPr>
                <w:sz w:val="20"/>
                <w:szCs w:val="20"/>
              </w:rPr>
            </w:pPr>
            <w:r w:rsidRPr="00835DE0">
              <w:rPr>
                <w:sz w:val="20"/>
                <w:szCs w:val="20"/>
              </w:rPr>
              <w:t>[467, 2318]</w:t>
            </w:r>
          </w:p>
        </w:tc>
        <w:tc>
          <w:tcPr>
            <w:tcW w:w="1560" w:type="dxa"/>
          </w:tcPr>
          <w:p w:rsidR="00B61191" w:rsidRPr="00835DE0" w:rsidRDefault="00AC47E7" w:rsidP="00AC47E7">
            <w:pPr>
              <w:jc w:val="center"/>
              <w:rPr>
                <w:sz w:val="20"/>
                <w:szCs w:val="20"/>
                <w:vertAlign w:val="superscript"/>
              </w:rPr>
            </w:pPr>
            <w:r w:rsidRPr="00835DE0">
              <w:rPr>
                <w:sz w:val="20"/>
                <w:szCs w:val="20"/>
              </w:rPr>
              <w:t>899.8</w:t>
            </w:r>
            <w:r w:rsidRPr="00835DE0">
              <w:rPr>
                <w:sz w:val="20"/>
                <w:szCs w:val="20"/>
                <w:vertAlign w:val="superscript"/>
              </w:rPr>
              <w:t>b</w:t>
            </w:r>
          </w:p>
          <w:p w:rsidR="00BF5545" w:rsidRPr="00835DE0" w:rsidRDefault="00FF6D6B" w:rsidP="00AC47E7">
            <w:pPr>
              <w:jc w:val="center"/>
              <w:rPr>
                <w:sz w:val="20"/>
                <w:szCs w:val="20"/>
              </w:rPr>
            </w:pPr>
            <w:r w:rsidRPr="00835DE0">
              <w:rPr>
                <w:sz w:val="20"/>
                <w:szCs w:val="20"/>
              </w:rPr>
              <w:t>[716.5, 1238]</w:t>
            </w:r>
          </w:p>
        </w:tc>
        <w:tc>
          <w:tcPr>
            <w:tcW w:w="1701" w:type="dxa"/>
          </w:tcPr>
          <w:p w:rsidR="00B61191" w:rsidRPr="00835DE0" w:rsidRDefault="00B61191" w:rsidP="00AC47E7">
            <w:pPr>
              <w:jc w:val="center"/>
              <w:rPr>
                <w:sz w:val="20"/>
                <w:szCs w:val="20"/>
              </w:rPr>
            </w:pPr>
            <w:r w:rsidRPr="00835DE0">
              <w:rPr>
                <w:sz w:val="20"/>
                <w:szCs w:val="20"/>
              </w:rPr>
              <w:t>1251</w:t>
            </w:r>
            <w:r w:rsidR="00AC47E7" w:rsidRPr="00835DE0">
              <w:rPr>
                <w:sz w:val="20"/>
                <w:szCs w:val="20"/>
                <w:vertAlign w:val="superscript"/>
              </w:rPr>
              <w:t>b</w:t>
            </w:r>
          </w:p>
          <w:p w:rsidR="00BF5545" w:rsidRPr="00835DE0" w:rsidRDefault="00B61191" w:rsidP="00AC47E7">
            <w:pPr>
              <w:jc w:val="center"/>
              <w:rPr>
                <w:sz w:val="20"/>
                <w:szCs w:val="20"/>
              </w:rPr>
            </w:pPr>
            <w:r w:rsidRPr="00835DE0">
              <w:rPr>
                <w:sz w:val="20"/>
                <w:szCs w:val="20"/>
              </w:rPr>
              <w:t>[790.4, 2589]</w:t>
            </w:r>
          </w:p>
        </w:tc>
        <w:tc>
          <w:tcPr>
            <w:tcW w:w="1842" w:type="dxa"/>
          </w:tcPr>
          <w:p w:rsidR="00B61191" w:rsidRPr="00835DE0" w:rsidRDefault="00B61191" w:rsidP="00AC47E7">
            <w:pPr>
              <w:jc w:val="center"/>
              <w:rPr>
                <w:sz w:val="20"/>
                <w:szCs w:val="20"/>
              </w:rPr>
            </w:pPr>
            <w:r w:rsidRPr="00835DE0">
              <w:rPr>
                <w:sz w:val="20"/>
                <w:szCs w:val="20"/>
              </w:rPr>
              <w:t>42980</w:t>
            </w:r>
            <w:r w:rsidR="00AC47E7" w:rsidRPr="00835DE0">
              <w:rPr>
                <w:sz w:val="20"/>
                <w:szCs w:val="20"/>
                <w:vertAlign w:val="superscript"/>
              </w:rPr>
              <w:t>b</w:t>
            </w:r>
          </w:p>
          <w:p w:rsidR="00BF5545" w:rsidRPr="00835DE0" w:rsidRDefault="00B61191" w:rsidP="00AC47E7">
            <w:pPr>
              <w:jc w:val="center"/>
              <w:rPr>
                <w:sz w:val="20"/>
                <w:szCs w:val="20"/>
              </w:rPr>
            </w:pPr>
            <w:r w:rsidRPr="00835DE0">
              <w:rPr>
                <w:sz w:val="20"/>
                <w:szCs w:val="20"/>
              </w:rPr>
              <w:t>[35438, 58016]</w:t>
            </w:r>
          </w:p>
        </w:tc>
      </w:tr>
      <w:tr w:rsidR="00B61191" w:rsidTr="00B61191">
        <w:tc>
          <w:tcPr>
            <w:tcW w:w="959" w:type="dxa"/>
          </w:tcPr>
          <w:p w:rsidR="00BF5545" w:rsidRPr="00835DE0" w:rsidRDefault="00BF5545" w:rsidP="00AC47E7">
            <w:pPr>
              <w:jc w:val="center"/>
              <w:rPr>
                <w:sz w:val="20"/>
                <w:szCs w:val="20"/>
              </w:rPr>
            </w:pPr>
            <w:r w:rsidRPr="00835DE0">
              <w:rPr>
                <w:sz w:val="20"/>
                <w:szCs w:val="20"/>
              </w:rPr>
              <w:t>Term (n=6)</w:t>
            </w:r>
          </w:p>
        </w:tc>
        <w:tc>
          <w:tcPr>
            <w:tcW w:w="1559" w:type="dxa"/>
          </w:tcPr>
          <w:p w:rsidR="00BF5545" w:rsidRPr="00835DE0" w:rsidRDefault="00B61191" w:rsidP="00AC47E7">
            <w:pPr>
              <w:jc w:val="center"/>
              <w:rPr>
                <w:rFonts w:cs="Arial"/>
                <w:sz w:val="20"/>
                <w:szCs w:val="20"/>
                <w:vertAlign w:val="superscript"/>
              </w:rPr>
            </w:pPr>
            <w:r w:rsidRPr="00835DE0">
              <w:rPr>
                <w:rFonts w:cs="Arial"/>
                <w:sz w:val="20"/>
                <w:szCs w:val="20"/>
              </w:rPr>
              <w:t>54.5</w:t>
            </w:r>
          </w:p>
          <w:p w:rsidR="00BF5545" w:rsidRPr="00835DE0" w:rsidRDefault="00B61191" w:rsidP="00AC47E7">
            <w:pPr>
              <w:jc w:val="center"/>
              <w:rPr>
                <w:rFonts w:cs="Arial"/>
                <w:sz w:val="20"/>
                <w:szCs w:val="20"/>
              </w:rPr>
            </w:pPr>
            <w:r w:rsidRPr="00835DE0">
              <w:rPr>
                <w:rFonts w:cs="Arial"/>
                <w:sz w:val="20"/>
                <w:szCs w:val="20"/>
              </w:rPr>
              <w:t>[48.4, 60.6</w:t>
            </w:r>
            <w:r w:rsidR="00BF5545" w:rsidRPr="00835DE0">
              <w:rPr>
                <w:rFonts w:cs="Arial"/>
                <w:sz w:val="20"/>
                <w:szCs w:val="20"/>
              </w:rPr>
              <w:t>]</w:t>
            </w:r>
          </w:p>
        </w:tc>
        <w:tc>
          <w:tcPr>
            <w:tcW w:w="1559" w:type="dxa"/>
          </w:tcPr>
          <w:p w:rsidR="00BF5545" w:rsidRPr="00835DE0" w:rsidRDefault="00B61191" w:rsidP="00AC47E7">
            <w:pPr>
              <w:jc w:val="center"/>
              <w:rPr>
                <w:sz w:val="20"/>
                <w:szCs w:val="20"/>
                <w:vertAlign w:val="superscript"/>
              </w:rPr>
            </w:pPr>
            <w:r w:rsidRPr="00835DE0">
              <w:rPr>
                <w:sz w:val="20"/>
                <w:szCs w:val="20"/>
              </w:rPr>
              <w:t>14.8</w:t>
            </w:r>
            <w:r w:rsidR="00AC47E7" w:rsidRPr="00835DE0">
              <w:rPr>
                <w:sz w:val="20"/>
                <w:szCs w:val="20"/>
                <w:vertAlign w:val="superscript"/>
              </w:rPr>
              <w:t>a,b</w:t>
            </w:r>
          </w:p>
          <w:p w:rsidR="00BF5545" w:rsidRPr="00835DE0" w:rsidRDefault="00B61191" w:rsidP="00AC47E7">
            <w:pPr>
              <w:jc w:val="center"/>
              <w:rPr>
                <w:sz w:val="20"/>
                <w:szCs w:val="20"/>
              </w:rPr>
            </w:pPr>
            <w:r w:rsidRPr="00835DE0">
              <w:rPr>
                <w:sz w:val="20"/>
                <w:szCs w:val="20"/>
              </w:rPr>
              <w:t>[4.5, 82.4</w:t>
            </w:r>
            <w:r w:rsidR="00BF5545" w:rsidRPr="00835DE0">
              <w:rPr>
                <w:sz w:val="20"/>
                <w:szCs w:val="20"/>
              </w:rPr>
              <w:t>]</w:t>
            </w:r>
          </w:p>
        </w:tc>
        <w:tc>
          <w:tcPr>
            <w:tcW w:w="1560" w:type="dxa"/>
          </w:tcPr>
          <w:p w:rsidR="00B61191" w:rsidRPr="00835DE0" w:rsidRDefault="00FF6D6B" w:rsidP="00AC47E7">
            <w:pPr>
              <w:jc w:val="center"/>
              <w:rPr>
                <w:sz w:val="20"/>
                <w:szCs w:val="20"/>
              </w:rPr>
            </w:pPr>
            <w:r w:rsidRPr="00835DE0">
              <w:rPr>
                <w:sz w:val="20"/>
                <w:szCs w:val="20"/>
              </w:rPr>
              <w:t>18.2</w:t>
            </w:r>
            <w:r w:rsidR="00AC47E7" w:rsidRPr="00835DE0">
              <w:rPr>
                <w:sz w:val="20"/>
                <w:szCs w:val="20"/>
                <w:vertAlign w:val="superscript"/>
              </w:rPr>
              <w:t>a,b</w:t>
            </w:r>
          </w:p>
          <w:p w:rsidR="00BF5545" w:rsidRPr="00835DE0" w:rsidRDefault="00B61191" w:rsidP="00AC47E7">
            <w:pPr>
              <w:jc w:val="center"/>
              <w:rPr>
                <w:sz w:val="20"/>
                <w:szCs w:val="20"/>
              </w:rPr>
            </w:pPr>
            <w:r w:rsidRPr="00835DE0">
              <w:rPr>
                <w:sz w:val="20"/>
                <w:szCs w:val="20"/>
              </w:rPr>
              <w:t>[9.0, 73.9]</w:t>
            </w:r>
          </w:p>
        </w:tc>
        <w:tc>
          <w:tcPr>
            <w:tcW w:w="1701" w:type="dxa"/>
          </w:tcPr>
          <w:p w:rsidR="00B61191" w:rsidRPr="00835DE0" w:rsidRDefault="00B61191" w:rsidP="00AC47E7">
            <w:pPr>
              <w:jc w:val="center"/>
              <w:rPr>
                <w:sz w:val="20"/>
                <w:szCs w:val="20"/>
              </w:rPr>
            </w:pPr>
            <w:r w:rsidRPr="00835DE0">
              <w:rPr>
                <w:sz w:val="20"/>
                <w:szCs w:val="20"/>
              </w:rPr>
              <w:t>305.6</w:t>
            </w:r>
            <w:r w:rsidR="00AC47E7" w:rsidRPr="00835DE0">
              <w:rPr>
                <w:sz w:val="20"/>
                <w:szCs w:val="20"/>
                <w:vertAlign w:val="superscript"/>
              </w:rPr>
              <w:t>a,b</w:t>
            </w:r>
          </w:p>
          <w:p w:rsidR="00BF5545" w:rsidRPr="00835DE0" w:rsidRDefault="00B61191" w:rsidP="00AC47E7">
            <w:pPr>
              <w:jc w:val="center"/>
              <w:rPr>
                <w:sz w:val="20"/>
                <w:szCs w:val="20"/>
              </w:rPr>
            </w:pPr>
            <w:r w:rsidRPr="00835DE0">
              <w:rPr>
                <w:sz w:val="20"/>
                <w:szCs w:val="20"/>
              </w:rPr>
              <w:t>[51.3, 719.5]</w:t>
            </w:r>
          </w:p>
        </w:tc>
        <w:tc>
          <w:tcPr>
            <w:tcW w:w="1842" w:type="dxa"/>
          </w:tcPr>
          <w:p w:rsidR="00B61191" w:rsidRPr="00835DE0" w:rsidRDefault="00B61191" w:rsidP="00AC47E7">
            <w:pPr>
              <w:jc w:val="center"/>
              <w:rPr>
                <w:sz w:val="20"/>
                <w:szCs w:val="20"/>
              </w:rPr>
            </w:pPr>
            <w:r w:rsidRPr="00835DE0">
              <w:rPr>
                <w:sz w:val="20"/>
                <w:szCs w:val="20"/>
              </w:rPr>
              <w:t>1403</w:t>
            </w:r>
            <w:r w:rsidR="00AC47E7" w:rsidRPr="00835DE0">
              <w:rPr>
                <w:sz w:val="20"/>
                <w:szCs w:val="20"/>
                <w:vertAlign w:val="superscript"/>
              </w:rPr>
              <w:t>a,b</w:t>
            </w:r>
          </w:p>
          <w:p w:rsidR="00BF5545" w:rsidRPr="00835DE0" w:rsidRDefault="00B61191" w:rsidP="00AC47E7">
            <w:pPr>
              <w:jc w:val="center"/>
              <w:rPr>
                <w:sz w:val="20"/>
                <w:szCs w:val="20"/>
              </w:rPr>
            </w:pPr>
            <w:r w:rsidRPr="00835DE0">
              <w:rPr>
                <w:sz w:val="20"/>
                <w:szCs w:val="20"/>
              </w:rPr>
              <w:t>[1036, 2026]</w:t>
            </w:r>
          </w:p>
        </w:tc>
      </w:tr>
    </w:tbl>
    <w:p w:rsidR="00BF5545" w:rsidRPr="00435FFF" w:rsidRDefault="002063D6">
      <w:pPr>
        <w:rPr>
          <w:sz w:val="20"/>
          <w:szCs w:val="20"/>
        </w:rPr>
      </w:pPr>
      <w:r w:rsidRPr="00435FFF">
        <w:rPr>
          <w:sz w:val="20"/>
          <w:szCs w:val="20"/>
        </w:rPr>
        <w:t>Data presented as median [I</w:t>
      </w:r>
      <w:r w:rsidR="00102E0F" w:rsidRPr="00435FFF">
        <w:rPr>
          <w:sz w:val="20"/>
          <w:szCs w:val="20"/>
        </w:rPr>
        <w:t>QR] normalised copy number. Significant differences</w:t>
      </w:r>
      <w:r w:rsidR="00435FFF" w:rsidRPr="00435FFF">
        <w:rPr>
          <w:sz w:val="20"/>
          <w:szCs w:val="20"/>
        </w:rPr>
        <w:t xml:space="preserve"> (P&lt;0.05)</w:t>
      </w:r>
      <w:r w:rsidR="00102E0F" w:rsidRPr="00435FFF">
        <w:rPr>
          <w:sz w:val="20"/>
          <w:szCs w:val="20"/>
        </w:rPr>
        <w:t xml:space="preserve"> between groups are indicated by corresponding superscripts. </w:t>
      </w:r>
    </w:p>
    <w:p w:rsidR="00435FFF" w:rsidRPr="002063D6" w:rsidRDefault="00435FFF">
      <w:pPr>
        <w:rPr>
          <w:sz w:val="24"/>
          <w:szCs w:val="24"/>
        </w:rPr>
      </w:pPr>
      <w:r w:rsidRPr="004D658B">
        <w:rPr>
          <w:b/>
          <w:sz w:val="24"/>
          <w:szCs w:val="24"/>
        </w:rPr>
        <w:t>Conclusion:</w:t>
      </w:r>
      <w:r>
        <w:rPr>
          <w:sz w:val="24"/>
          <w:szCs w:val="24"/>
        </w:rPr>
        <w:t xml:space="preserve"> These data clearly suggest that </w:t>
      </w:r>
      <w:proofErr w:type="spellStart"/>
      <w:r>
        <w:rPr>
          <w:sz w:val="24"/>
          <w:szCs w:val="24"/>
        </w:rPr>
        <w:t>ENaC</w:t>
      </w:r>
      <w:proofErr w:type="spellEnd"/>
      <w:r>
        <w:rPr>
          <w:sz w:val="24"/>
          <w:szCs w:val="24"/>
        </w:rPr>
        <w:t xml:space="preserve"> channels and their regulator are important in early pregnancy, which implies that they have an important role in the plasma volume increase that is essential for healthy pregnancy. Future work will confirm these changes at the functional level. </w:t>
      </w:r>
    </w:p>
    <w:p w:rsidR="001845C6" w:rsidRDefault="001845C6">
      <w:pPr>
        <w:rPr>
          <w:sz w:val="24"/>
          <w:szCs w:val="24"/>
        </w:rPr>
      </w:pPr>
    </w:p>
    <w:sectPr w:rsidR="00184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CC"/>
    <w:rsid w:val="000441DB"/>
    <w:rsid w:val="00102E0F"/>
    <w:rsid w:val="00113C1A"/>
    <w:rsid w:val="001845C6"/>
    <w:rsid w:val="002063D6"/>
    <w:rsid w:val="00210A69"/>
    <w:rsid w:val="00435FFF"/>
    <w:rsid w:val="004A4A10"/>
    <w:rsid w:val="004D658B"/>
    <w:rsid w:val="00630786"/>
    <w:rsid w:val="00634B0D"/>
    <w:rsid w:val="00835DE0"/>
    <w:rsid w:val="00884976"/>
    <w:rsid w:val="00924C4F"/>
    <w:rsid w:val="009E7B23"/>
    <w:rsid w:val="009F1F2D"/>
    <w:rsid w:val="009F53BC"/>
    <w:rsid w:val="00AC47E7"/>
    <w:rsid w:val="00AC78B3"/>
    <w:rsid w:val="00B61191"/>
    <w:rsid w:val="00BC2AC3"/>
    <w:rsid w:val="00BF5545"/>
    <w:rsid w:val="00DA6D09"/>
    <w:rsid w:val="00EE3C40"/>
    <w:rsid w:val="00FA46AD"/>
    <w:rsid w:val="00FE17CC"/>
    <w:rsid w:val="00FF4C47"/>
    <w:rsid w:val="00FF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C6"/>
    <w:rPr>
      <w:rFonts w:ascii="Tahoma" w:hAnsi="Tahoma" w:cs="Tahoma"/>
      <w:sz w:val="16"/>
      <w:szCs w:val="16"/>
    </w:rPr>
  </w:style>
  <w:style w:type="table" w:styleId="TableGrid">
    <w:name w:val="Table Grid"/>
    <w:basedOn w:val="TableNormal"/>
    <w:uiPriority w:val="59"/>
    <w:rsid w:val="00BF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C6"/>
    <w:rPr>
      <w:rFonts w:ascii="Tahoma" w:hAnsi="Tahoma" w:cs="Tahoma"/>
      <w:sz w:val="16"/>
      <w:szCs w:val="16"/>
    </w:rPr>
  </w:style>
  <w:style w:type="table" w:styleId="TableGrid">
    <w:name w:val="Table Grid"/>
    <w:basedOn w:val="TableNormal"/>
    <w:uiPriority w:val="59"/>
    <w:rsid w:val="00BF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2806">
      <w:bodyDiv w:val="1"/>
      <w:marLeft w:val="0"/>
      <w:marRight w:val="0"/>
      <w:marTop w:val="0"/>
      <w:marBottom w:val="0"/>
      <w:divBdr>
        <w:top w:val="none" w:sz="0" w:space="0" w:color="auto"/>
        <w:left w:val="none" w:sz="0" w:space="0" w:color="auto"/>
        <w:bottom w:val="none" w:sz="0" w:space="0" w:color="auto"/>
        <w:right w:val="none" w:sz="0" w:space="0" w:color="auto"/>
      </w:divBdr>
    </w:div>
    <w:div w:id="679819543">
      <w:bodyDiv w:val="1"/>
      <w:marLeft w:val="0"/>
      <w:marRight w:val="0"/>
      <w:marTop w:val="0"/>
      <w:marBottom w:val="0"/>
      <w:divBdr>
        <w:top w:val="none" w:sz="0" w:space="0" w:color="auto"/>
        <w:left w:val="none" w:sz="0" w:space="0" w:color="auto"/>
        <w:bottom w:val="none" w:sz="0" w:space="0" w:color="auto"/>
        <w:right w:val="none" w:sz="0" w:space="0" w:color="auto"/>
      </w:divBdr>
    </w:div>
    <w:div w:id="856888698">
      <w:bodyDiv w:val="1"/>
      <w:marLeft w:val="0"/>
      <w:marRight w:val="0"/>
      <w:marTop w:val="0"/>
      <w:marBottom w:val="0"/>
      <w:divBdr>
        <w:top w:val="none" w:sz="0" w:space="0" w:color="auto"/>
        <w:left w:val="none" w:sz="0" w:space="0" w:color="auto"/>
        <w:bottom w:val="none" w:sz="0" w:space="0" w:color="auto"/>
        <w:right w:val="none" w:sz="0" w:space="0" w:color="auto"/>
      </w:divBdr>
    </w:div>
    <w:div w:id="1685979845">
      <w:bodyDiv w:val="1"/>
      <w:marLeft w:val="0"/>
      <w:marRight w:val="0"/>
      <w:marTop w:val="0"/>
      <w:marBottom w:val="0"/>
      <w:divBdr>
        <w:top w:val="none" w:sz="0" w:space="0" w:color="auto"/>
        <w:left w:val="none" w:sz="0" w:space="0" w:color="auto"/>
        <w:bottom w:val="none" w:sz="0" w:space="0" w:color="auto"/>
        <w:right w:val="none" w:sz="0" w:space="0" w:color="auto"/>
      </w:divBdr>
    </w:div>
    <w:div w:id="1711881810">
      <w:bodyDiv w:val="1"/>
      <w:marLeft w:val="0"/>
      <w:marRight w:val="0"/>
      <w:marTop w:val="0"/>
      <w:marBottom w:val="0"/>
      <w:divBdr>
        <w:top w:val="none" w:sz="0" w:space="0" w:color="auto"/>
        <w:left w:val="none" w:sz="0" w:space="0" w:color="auto"/>
        <w:bottom w:val="none" w:sz="0" w:space="0" w:color="auto"/>
        <w:right w:val="none" w:sz="0" w:space="0" w:color="auto"/>
      </w:divBdr>
    </w:div>
    <w:div w:id="20209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Paula</dc:creator>
  <cp:lastModifiedBy>Williams Paula</cp:lastModifiedBy>
  <cp:revision>15</cp:revision>
  <dcterms:created xsi:type="dcterms:W3CDTF">2016-04-14T10:57:00Z</dcterms:created>
  <dcterms:modified xsi:type="dcterms:W3CDTF">2016-04-15T17:28:00Z</dcterms:modified>
</cp:coreProperties>
</file>