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C25F2" w14:textId="77777777" w:rsidR="00711BC7" w:rsidRDefault="00711BC7"/>
    <w:p w14:paraId="0DCE69CD" w14:textId="48788ED9" w:rsidR="00711BC7" w:rsidRPr="00865354" w:rsidRDefault="00FC5525" w:rsidP="00FC5525">
      <w:pPr>
        <w:spacing w:line="240" w:lineRule="auto"/>
        <w:jc w:val="center"/>
        <w:rPr>
          <w:b/>
          <w:szCs w:val="24"/>
        </w:rPr>
      </w:pPr>
      <w:r w:rsidRPr="00865354">
        <w:rPr>
          <w:rFonts w:eastAsia="Times New Roman"/>
          <w:b/>
          <w:color w:val="212121"/>
          <w:szCs w:val="24"/>
          <w:lang w:eastAsia="en-GB"/>
        </w:rPr>
        <w:t>Schedules for Pneumococcal Vaccination of Preterm Infants: An RCT</w:t>
      </w:r>
      <w:r w:rsidRPr="00865354">
        <w:rPr>
          <w:rFonts w:eastAsia="Times New Roman"/>
          <w:b/>
          <w:color w:val="212121"/>
          <w:szCs w:val="24"/>
          <w:lang w:eastAsia="en-GB"/>
        </w:rPr>
        <w:br/>
      </w:r>
    </w:p>
    <w:p w14:paraId="434F15E8" w14:textId="0FFD05BA" w:rsidR="00525B87" w:rsidRDefault="00525B87" w:rsidP="00DE39EF">
      <w:pPr>
        <w:spacing w:line="240" w:lineRule="auto"/>
        <w:outlineLvl w:val="0"/>
        <w:rPr>
          <w:b/>
        </w:rPr>
      </w:pPr>
      <w:r>
        <w:rPr>
          <w:b/>
        </w:rPr>
        <w:t xml:space="preserve">Short title: </w:t>
      </w:r>
      <w:r w:rsidR="00066734" w:rsidRPr="001E3F16">
        <w:rPr>
          <w:rFonts w:eastAsia="Times New Roman"/>
          <w:b/>
          <w:color w:val="212121"/>
          <w:szCs w:val="24"/>
          <w:lang w:eastAsia="en-GB"/>
        </w:rPr>
        <w:t>Schedules for Pneumococcal Vaccination of Preterms</w:t>
      </w:r>
    </w:p>
    <w:p w14:paraId="4C083E5F" w14:textId="77777777" w:rsidR="00525B87" w:rsidRDefault="00525B87" w:rsidP="00DE39EF">
      <w:pPr>
        <w:spacing w:line="240" w:lineRule="auto"/>
        <w:outlineLvl w:val="0"/>
        <w:rPr>
          <w:b/>
        </w:rPr>
      </w:pPr>
    </w:p>
    <w:p w14:paraId="42BD931F" w14:textId="77777777" w:rsidR="00314C8E" w:rsidRPr="00531AA7" w:rsidRDefault="00314C8E" w:rsidP="00DE39EF">
      <w:pPr>
        <w:spacing w:line="240" w:lineRule="auto"/>
        <w:outlineLvl w:val="0"/>
        <w:rPr>
          <w:b/>
        </w:rPr>
      </w:pPr>
      <w:r w:rsidRPr="00531AA7">
        <w:rPr>
          <w:b/>
        </w:rPr>
        <w:t>Authors:</w:t>
      </w:r>
    </w:p>
    <w:p w14:paraId="1671EA05" w14:textId="77777777" w:rsidR="00BD187D" w:rsidRDefault="00BD187D" w:rsidP="00BD187D">
      <w:pPr>
        <w:spacing w:line="240" w:lineRule="auto"/>
      </w:pPr>
      <w:r>
        <w:t>Kent, Alison MBChB MRCPCH (1)</w:t>
      </w:r>
    </w:p>
    <w:p w14:paraId="2B2B7EE2" w14:textId="77777777" w:rsidR="00BD187D" w:rsidRDefault="00BD187D" w:rsidP="00BD187D">
      <w:pPr>
        <w:spacing w:line="240" w:lineRule="auto"/>
      </w:pPr>
      <w:r>
        <w:t>Ladhani, Shamez N MBBS PhD(2)</w:t>
      </w:r>
    </w:p>
    <w:p w14:paraId="3EAF7F5D" w14:textId="3746AE85" w:rsidR="00BD187D" w:rsidRDefault="00BD187D" w:rsidP="00BD187D">
      <w:pPr>
        <w:spacing w:line="240" w:lineRule="auto"/>
      </w:pPr>
      <w:r>
        <w:t>Andrews, Nick J</w:t>
      </w:r>
      <w:r w:rsidR="00316CD1">
        <w:t xml:space="preserve"> PhD</w:t>
      </w:r>
      <w:r>
        <w:t xml:space="preserve"> (3)</w:t>
      </w:r>
    </w:p>
    <w:p w14:paraId="6DB5F5C3" w14:textId="77777777" w:rsidR="00BD187D" w:rsidRDefault="00BD187D" w:rsidP="00BD187D">
      <w:pPr>
        <w:spacing w:line="240" w:lineRule="auto"/>
      </w:pPr>
      <w:r>
        <w:t>Scorrer, Tim MBChB MRCPCH (4)</w:t>
      </w:r>
    </w:p>
    <w:p w14:paraId="78A23804" w14:textId="77777777" w:rsidR="00BD187D" w:rsidRDefault="00BD187D" w:rsidP="00BD187D">
      <w:pPr>
        <w:spacing w:line="240" w:lineRule="auto"/>
      </w:pPr>
      <w:r>
        <w:t>Pollard, Andrew J MBBS PhD(5)</w:t>
      </w:r>
    </w:p>
    <w:p w14:paraId="024BED2A" w14:textId="77777777" w:rsidR="00BD187D" w:rsidRDefault="00BD187D" w:rsidP="00BD187D">
      <w:pPr>
        <w:spacing w:line="240" w:lineRule="auto"/>
        <w:outlineLvl w:val="0"/>
      </w:pPr>
      <w:r>
        <w:t>Clarke, Paul MD FRCPCH MRCP (6)</w:t>
      </w:r>
    </w:p>
    <w:p w14:paraId="35D6138A" w14:textId="3A441A58" w:rsidR="00BD187D" w:rsidRDefault="00BD187D" w:rsidP="00BD187D">
      <w:pPr>
        <w:spacing w:line="240" w:lineRule="auto"/>
      </w:pPr>
      <w:r>
        <w:t xml:space="preserve">Hughes, Stephen </w:t>
      </w:r>
      <w:r w:rsidR="00316CD1">
        <w:t xml:space="preserve">M </w:t>
      </w:r>
      <w:r>
        <w:t>MBChB PhD (7)</w:t>
      </w:r>
    </w:p>
    <w:p w14:paraId="70B86036" w14:textId="77777777" w:rsidR="00BD187D" w:rsidRDefault="00BD187D" w:rsidP="00BD187D">
      <w:pPr>
        <w:spacing w:line="240" w:lineRule="auto"/>
      </w:pPr>
      <w:r>
        <w:t xml:space="preserve">Heal, Carrie MBChB MRCPCH (8) </w:t>
      </w:r>
    </w:p>
    <w:p w14:paraId="6C4FE89B" w14:textId="77777777" w:rsidR="00BD187D" w:rsidRDefault="00BD187D" w:rsidP="00BD187D">
      <w:pPr>
        <w:spacing w:line="240" w:lineRule="auto"/>
      </w:pPr>
      <w:r>
        <w:t>Menson, Esse MBChB DPhil (9)</w:t>
      </w:r>
    </w:p>
    <w:p w14:paraId="509B7F37" w14:textId="77777777" w:rsidR="00BD187D" w:rsidRDefault="00BD187D" w:rsidP="00BD187D">
      <w:pPr>
        <w:spacing w:line="240" w:lineRule="auto"/>
      </w:pPr>
      <w:r>
        <w:t>Chang, John MBChB FRCPCH (10)</w:t>
      </w:r>
    </w:p>
    <w:p w14:paraId="786C3306" w14:textId="77777777" w:rsidR="00BD187D" w:rsidRDefault="00BD187D" w:rsidP="00BD187D">
      <w:pPr>
        <w:spacing w:line="240" w:lineRule="auto"/>
      </w:pPr>
      <w:r>
        <w:t>Satodia, Prakash MBBS FRCPCH (11)</w:t>
      </w:r>
    </w:p>
    <w:p w14:paraId="69EE6969" w14:textId="77777777" w:rsidR="00BD187D" w:rsidRDefault="00BD187D" w:rsidP="00BD187D">
      <w:pPr>
        <w:spacing w:line="240" w:lineRule="auto"/>
      </w:pPr>
      <w:r>
        <w:t>Collinson, Andrew C MBChB MD (12)</w:t>
      </w:r>
    </w:p>
    <w:p w14:paraId="3A599C5B" w14:textId="56E7140D" w:rsidR="00BD187D" w:rsidRDefault="00C47B48" w:rsidP="00BD187D">
      <w:pPr>
        <w:spacing w:line="240" w:lineRule="auto"/>
      </w:pPr>
      <w:r>
        <w:t>Faust, Saul N MBBS PhD (13</w:t>
      </w:r>
      <w:r w:rsidR="00BD187D">
        <w:t>)</w:t>
      </w:r>
    </w:p>
    <w:p w14:paraId="1AD027B4" w14:textId="6364B154" w:rsidR="00BD187D" w:rsidRDefault="00C47B48" w:rsidP="00BD187D">
      <w:pPr>
        <w:spacing w:line="240" w:lineRule="auto"/>
      </w:pPr>
      <w:r>
        <w:t>Goldblatt, David MBChB PhD(14</w:t>
      </w:r>
      <w:r w:rsidR="00BD187D">
        <w:t>)</w:t>
      </w:r>
    </w:p>
    <w:p w14:paraId="3E8FD34C" w14:textId="2A6C1575" w:rsidR="00BD187D" w:rsidRDefault="00C47B48" w:rsidP="00BD187D">
      <w:pPr>
        <w:spacing w:line="240" w:lineRule="auto"/>
      </w:pPr>
      <w:r>
        <w:t>Miller, Elizabeth (15</w:t>
      </w:r>
      <w:r w:rsidR="00BD187D">
        <w:t>)</w:t>
      </w:r>
    </w:p>
    <w:p w14:paraId="2EA9D936" w14:textId="77777777" w:rsidR="00BD187D" w:rsidRDefault="00BD187D" w:rsidP="00BD187D">
      <w:pPr>
        <w:spacing w:line="240" w:lineRule="auto"/>
      </w:pPr>
      <w:r>
        <w:t>Heath, Paul T MBBS FRCPCH (1)</w:t>
      </w:r>
    </w:p>
    <w:p w14:paraId="1185843D" w14:textId="6EC1A155" w:rsidR="00D45102" w:rsidRDefault="00BD187D" w:rsidP="00D45102">
      <w:pPr>
        <w:spacing w:line="240" w:lineRule="auto"/>
      </w:pPr>
      <w:r>
        <w:t xml:space="preserve">On behalf of the </w:t>
      </w:r>
      <w:r w:rsidR="00D45102">
        <w:t>PUNS study group (see acknowledgements)</w:t>
      </w:r>
    </w:p>
    <w:p w14:paraId="2052C49B" w14:textId="05915CC3" w:rsidR="00E53437" w:rsidRDefault="00E53437" w:rsidP="00E53437">
      <w:pPr>
        <w:spacing w:line="240" w:lineRule="auto"/>
      </w:pPr>
    </w:p>
    <w:p w14:paraId="224D3EA2" w14:textId="77777777" w:rsidR="00E53437" w:rsidRDefault="00E53437" w:rsidP="00E53437">
      <w:pPr>
        <w:spacing w:line="240" w:lineRule="auto"/>
      </w:pPr>
    </w:p>
    <w:p w14:paraId="0F9378FE" w14:textId="77777777" w:rsidR="00314C8E" w:rsidRPr="00531AA7" w:rsidRDefault="00314C8E" w:rsidP="00DE39EF">
      <w:pPr>
        <w:spacing w:line="240" w:lineRule="auto"/>
        <w:outlineLvl w:val="0"/>
        <w:rPr>
          <w:b/>
        </w:rPr>
      </w:pPr>
      <w:r w:rsidRPr="00531AA7">
        <w:rPr>
          <w:b/>
        </w:rPr>
        <w:t>Author Affiliations</w:t>
      </w:r>
      <w:r w:rsidR="00531AA7" w:rsidRPr="00531AA7">
        <w:rPr>
          <w:b/>
        </w:rPr>
        <w:t>:</w:t>
      </w:r>
    </w:p>
    <w:p w14:paraId="279562F2" w14:textId="77777777" w:rsidR="00E1516C" w:rsidRDefault="00314C8E" w:rsidP="00531AA7">
      <w:pPr>
        <w:pStyle w:val="ColorfulList-Accent11"/>
        <w:numPr>
          <w:ilvl w:val="0"/>
          <w:numId w:val="1"/>
        </w:numPr>
        <w:spacing w:line="240" w:lineRule="auto"/>
      </w:pPr>
      <w:r>
        <w:t>Paediatric Infectious Diseases Research Group and Vaccine Institute, St George’s, University of London, London</w:t>
      </w:r>
      <w:r w:rsidR="00E1516C">
        <w:t>, UK</w:t>
      </w:r>
    </w:p>
    <w:p w14:paraId="29019A02" w14:textId="7787F85A" w:rsidR="00E1516C" w:rsidRDefault="00670EA5" w:rsidP="00531AA7">
      <w:pPr>
        <w:pStyle w:val="ColorfulList-Accent11"/>
        <w:numPr>
          <w:ilvl w:val="0"/>
          <w:numId w:val="1"/>
        </w:numPr>
        <w:spacing w:line="240" w:lineRule="auto"/>
      </w:pPr>
      <w:r>
        <w:t>Immunization</w:t>
      </w:r>
      <w:r w:rsidR="00314C8E">
        <w:t xml:space="preserve">, Hepatitis and Blood Safety Department, Public Health England, </w:t>
      </w:r>
      <w:r w:rsidR="00E1516C">
        <w:t>Colindale, London, UK</w:t>
      </w:r>
    </w:p>
    <w:p w14:paraId="3D7E0C21" w14:textId="77777777" w:rsidR="00E53437" w:rsidRDefault="00E53437" w:rsidP="00E53437">
      <w:pPr>
        <w:pStyle w:val="ColorfulList-Accent11"/>
        <w:numPr>
          <w:ilvl w:val="0"/>
          <w:numId w:val="1"/>
        </w:numPr>
        <w:spacing w:line="240" w:lineRule="auto"/>
      </w:pPr>
      <w:r>
        <w:t>Statistics, Modelling and Economics Department, Public Health England, Colindale, London, UK</w:t>
      </w:r>
    </w:p>
    <w:p w14:paraId="01247B7D" w14:textId="64FD7423" w:rsidR="00D835B2" w:rsidRDefault="00D835B2" w:rsidP="00D835B2">
      <w:pPr>
        <w:pStyle w:val="ColorfulList-Accent11"/>
        <w:numPr>
          <w:ilvl w:val="0"/>
          <w:numId w:val="1"/>
        </w:numPr>
        <w:spacing w:line="240" w:lineRule="auto"/>
      </w:pPr>
      <w:r>
        <w:t>Neonatal Unit, Queen Alexandra Hospital, Portsmouth, UK</w:t>
      </w:r>
    </w:p>
    <w:p w14:paraId="7649E12E" w14:textId="77777777" w:rsidR="00D835B2" w:rsidRPr="00E1516C" w:rsidRDefault="00D835B2" w:rsidP="00D835B2">
      <w:pPr>
        <w:pStyle w:val="ColorfulList-Accent11"/>
        <w:numPr>
          <w:ilvl w:val="0"/>
          <w:numId w:val="1"/>
        </w:numPr>
        <w:spacing w:line="240" w:lineRule="auto"/>
      </w:pPr>
      <w:r w:rsidRPr="00E1516C">
        <w:t xml:space="preserve">Oxford Vaccine Group, University of Oxford, and the NIHR Oxford Biomedical Research Centre, Oxford UK </w:t>
      </w:r>
    </w:p>
    <w:p w14:paraId="0B509E2C" w14:textId="77777777" w:rsidR="00D835B2" w:rsidRDefault="00D835B2" w:rsidP="00D835B2">
      <w:pPr>
        <w:pStyle w:val="ColorfulList-Accent11"/>
        <w:numPr>
          <w:ilvl w:val="0"/>
          <w:numId w:val="1"/>
        </w:numPr>
        <w:spacing w:line="240" w:lineRule="auto"/>
      </w:pPr>
      <w:r>
        <w:t>Neonatal Unit, Norfolk and Norwich University Hospitals NHS Foundation Trust, Norwich, UK</w:t>
      </w:r>
    </w:p>
    <w:p w14:paraId="2ED0A639" w14:textId="77777777" w:rsidR="00D835B2" w:rsidRDefault="00D835B2" w:rsidP="00D835B2">
      <w:pPr>
        <w:pStyle w:val="ColorfulList-Accent11"/>
        <w:numPr>
          <w:ilvl w:val="0"/>
          <w:numId w:val="1"/>
        </w:numPr>
        <w:spacing w:line="240" w:lineRule="auto"/>
      </w:pPr>
      <w:r>
        <w:t>Department of Immunology, Royal Manchester Children’s Hospital, Manchester, UK</w:t>
      </w:r>
    </w:p>
    <w:p w14:paraId="1585A0F1" w14:textId="77777777" w:rsidR="00D835B2" w:rsidRDefault="00D835B2" w:rsidP="00D835B2">
      <w:pPr>
        <w:pStyle w:val="ColorfulList-Accent11"/>
        <w:numPr>
          <w:ilvl w:val="0"/>
          <w:numId w:val="1"/>
        </w:numPr>
        <w:spacing w:line="240" w:lineRule="auto"/>
      </w:pPr>
      <w:r>
        <w:t>Neonatal Unit, Stepping Hill Hospital, Stockport, UK</w:t>
      </w:r>
    </w:p>
    <w:p w14:paraId="427BF4EC" w14:textId="77777777" w:rsidR="00D835B2" w:rsidRDefault="00D835B2" w:rsidP="00D835B2">
      <w:pPr>
        <w:pStyle w:val="ColorfulList-Accent11"/>
        <w:numPr>
          <w:ilvl w:val="0"/>
          <w:numId w:val="1"/>
        </w:numPr>
        <w:spacing w:line="240" w:lineRule="auto"/>
      </w:pPr>
      <w:r>
        <w:t>Department of Paediatric Infectious Diseases, Evelina London Children’s Hospital, London</w:t>
      </w:r>
      <w:bookmarkStart w:id="0" w:name="_GoBack"/>
      <w:bookmarkEnd w:id="0"/>
      <w:r>
        <w:t>, UK</w:t>
      </w:r>
    </w:p>
    <w:p w14:paraId="286FE47E" w14:textId="77777777" w:rsidR="00D835B2" w:rsidRDefault="00D835B2" w:rsidP="00D835B2">
      <w:pPr>
        <w:pStyle w:val="ColorfulList-Accent11"/>
        <w:numPr>
          <w:ilvl w:val="0"/>
          <w:numId w:val="1"/>
        </w:numPr>
        <w:spacing w:line="240" w:lineRule="auto"/>
      </w:pPr>
      <w:r>
        <w:t>Neonatal Unit, Croydon University Hospital, London, UK</w:t>
      </w:r>
    </w:p>
    <w:p w14:paraId="679D78AF" w14:textId="31AC9CC6" w:rsidR="00D835B2" w:rsidRDefault="00D835B2" w:rsidP="00D835B2">
      <w:pPr>
        <w:pStyle w:val="ColorfulList-Accent11"/>
        <w:numPr>
          <w:ilvl w:val="0"/>
          <w:numId w:val="1"/>
        </w:numPr>
        <w:spacing w:line="240" w:lineRule="auto"/>
      </w:pPr>
      <w:r>
        <w:t>Neonatal Unit, University Hospital Coventry</w:t>
      </w:r>
      <w:r w:rsidR="002461B8">
        <w:t xml:space="preserve"> and Warwickshire NHS Trust</w:t>
      </w:r>
      <w:r>
        <w:t>, Coventry, UK</w:t>
      </w:r>
    </w:p>
    <w:p w14:paraId="1F2BB348" w14:textId="77777777" w:rsidR="00D835B2" w:rsidRDefault="00D835B2" w:rsidP="00D835B2">
      <w:pPr>
        <w:pStyle w:val="ColorfulList-Accent11"/>
        <w:numPr>
          <w:ilvl w:val="0"/>
          <w:numId w:val="1"/>
        </w:numPr>
        <w:spacing w:line="240" w:lineRule="auto"/>
      </w:pPr>
      <w:r>
        <w:t>Neonatal Unit, Royal Cornwall Hospital, Truro, UK</w:t>
      </w:r>
    </w:p>
    <w:p w14:paraId="45DC5B6F" w14:textId="5DF138F6" w:rsidR="002461B8" w:rsidRDefault="00F93A9C" w:rsidP="002461B8">
      <w:pPr>
        <w:pStyle w:val="ColorfulList-Accent11"/>
        <w:numPr>
          <w:ilvl w:val="0"/>
          <w:numId w:val="1"/>
        </w:numPr>
        <w:spacing w:line="240" w:lineRule="auto"/>
      </w:pPr>
      <w:r>
        <w:t xml:space="preserve">NIHR Welcome Trust Clinical Research Facility, </w:t>
      </w:r>
      <w:r w:rsidR="002461B8">
        <w:t>University of Southampton and University Hospital Southampton NHS Foundation Trust</w:t>
      </w:r>
      <w:r w:rsidR="00316CD1">
        <w:t>, Southampton, UK</w:t>
      </w:r>
    </w:p>
    <w:p w14:paraId="59A62870" w14:textId="0D7EE981" w:rsidR="00C93E77" w:rsidRDefault="00C93E77" w:rsidP="00D835B2">
      <w:pPr>
        <w:pStyle w:val="ColorfulList-Accent11"/>
        <w:numPr>
          <w:ilvl w:val="0"/>
          <w:numId w:val="1"/>
        </w:numPr>
        <w:spacing w:line="240" w:lineRule="auto"/>
      </w:pPr>
      <w:r>
        <w:t>Institute of Child Health, UCL, London, UK</w:t>
      </w:r>
    </w:p>
    <w:p w14:paraId="566A2D73" w14:textId="22025C11" w:rsidR="00C93E77" w:rsidRDefault="00670EA5" w:rsidP="00B212AA">
      <w:pPr>
        <w:pStyle w:val="ColorfulList-Accent11"/>
        <w:numPr>
          <w:ilvl w:val="0"/>
          <w:numId w:val="1"/>
        </w:numPr>
        <w:spacing w:line="240" w:lineRule="auto"/>
      </w:pPr>
      <w:r>
        <w:t>Immunization</w:t>
      </w:r>
      <w:r w:rsidR="00B212AA">
        <w:t>, Hepatitis and Blood Safety Department, Public Health England, Colindale, London, UK</w:t>
      </w:r>
    </w:p>
    <w:p w14:paraId="425E69AC" w14:textId="77777777" w:rsidR="00314C8E" w:rsidRDefault="00314C8E" w:rsidP="00531AA7">
      <w:pPr>
        <w:spacing w:line="240" w:lineRule="auto"/>
      </w:pPr>
    </w:p>
    <w:p w14:paraId="3B08BD9B" w14:textId="77777777" w:rsidR="00D154D9" w:rsidRPr="00531AA7" w:rsidRDefault="00D154D9" w:rsidP="00DE39EF">
      <w:pPr>
        <w:spacing w:line="240" w:lineRule="auto"/>
        <w:outlineLvl w:val="0"/>
        <w:rPr>
          <w:b/>
          <w:szCs w:val="24"/>
        </w:rPr>
      </w:pPr>
      <w:r w:rsidRPr="00531AA7">
        <w:rPr>
          <w:b/>
          <w:szCs w:val="24"/>
        </w:rPr>
        <w:t xml:space="preserve">Corresponding author: </w:t>
      </w:r>
    </w:p>
    <w:p w14:paraId="595EC025" w14:textId="1795A607" w:rsidR="00412F18" w:rsidRDefault="00412F18" w:rsidP="00412F18">
      <w:pPr>
        <w:spacing w:line="240" w:lineRule="auto"/>
      </w:pPr>
      <w:r>
        <w:lastRenderedPageBreak/>
        <w:t xml:space="preserve">A Kent, Paediatric Infectious Diseases Research Group and Vaccine Institute, St George’s, University of London, London, UK.  </w:t>
      </w:r>
      <w:r w:rsidR="00042309" w:rsidRPr="00042309">
        <w:t>alisonkent@doctors.org.uk</w:t>
      </w:r>
      <w:r w:rsidR="00042309">
        <w:t>. Tel: 00 44 20 8725 5382, Fax: 0044 20 8725 0170</w:t>
      </w:r>
    </w:p>
    <w:p w14:paraId="26135804" w14:textId="77777777" w:rsidR="00042309" w:rsidRDefault="00042309" w:rsidP="00412F18">
      <w:pPr>
        <w:spacing w:line="240" w:lineRule="auto"/>
      </w:pPr>
    </w:p>
    <w:p w14:paraId="78139F60" w14:textId="68EA25BC" w:rsidR="00320123" w:rsidRDefault="00320123" w:rsidP="00320123">
      <w:pPr>
        <w:spacing w:line="240" w:lineRule="auto"/>
        <w:outlineLvl w:val="0"/>
      </w:pPr>
      <w:r w:rsidRPr="00531AA7">
        <w:rPr>
          <w:b/>
        </w:rPr>
        <w:t>Clinical trial registration:</w:t>
      </w:r>
      <w:r>
        <w:t xml:space="preserve"> EudraCT number </w:t>
      </w:r>
      <w:r w:rsidRPr="00531AA7">
        <w:t>2007-007535-23</w:t>
      </w:r>
    </w:p>
    <w:p w14:paraId="5BBFEEE1" w14:textId="77777777" w:rsidR="003372DD" w:rsidRDefault="003372DD" w:rsidP="00320123">
      <w:pPr>
        <w:spacing w:line="240" w:lineRule="auto"/>
        <w:outlineLvl w:val="0"/>
      </w:pPr>
    </w:p>
    <w:p w14:paraId="257BBD0E" w14:textId="7094434A" w:rsidR="003372DD" w:rsidRDefault="003372DD" w:rsidP="003372DD">
      <w:pPr>
        <w:spacing w:line="240" w:lineRule="auto"/>
      </w:pPr>
      <w:r w:rsidRPr="00531AA7">
        <w:rPr>
          <w:b/>
        </w:rPr>
        <w:t>Funding</w:t>
      </w:r>
      <w:r>
        <w:rPr>
          <w:b/>
        </w:rPr>
        <w:t xml:space="preserve"> statement</w:t>
      </w:r>
    </w:p>
    <w:p w14:paraId="17108A3F" w14:textId="77777777" w:rsidR="003372DD" w:rsidRDefault="003372DD" w:rsidP="003372DD">
      <w:pPr>
        <w:spacing w:line="240" w:lineRule="auto"/>
      </w:pPr>
      <w:r>
        <w:t>This work was supported by Pfizer Ltd as an investigator-led study.  The funder had no input into the conduct of the trial, analysis of data, interpretation of results or the preparation of this manuscript.</w:t>
      </w:r>
    </w:p>
    <w:p w14:paraId="43A97577" w14:textId="77777777" w:rsidR="00BD187D" w:rsidRDefault="00BD187D" w:rsidP="00320123">
      <w:pPr>
        <w:spacing w:line="240" w:lineRule="auto"/>
        <w:outlineLvl w:val="0"/>
      </w:pPr>
    </w:p>
    <w:p w14:paraId="570C3577" w14:textId="4BC3F904" w:rsidR="00BD187D" w:rsidRPr="00B25ED9" w:rsidRDefault="00BD187D" w:rsidP="00320123">
      <w:pPr>
        <w:spacing w:line="240" w:lineRule="auto"/>
        <w:outlineLvl w:val="0"/>
        <w:rPr>
          <w:b/>
        </w:rPr>
      </w:pPr>
      <w:r w:rsidRPr="00B25ED9">
        <w:rPr>
          <w:b/>
        </w:rPr>
        <w:t>Financial Disclosure Statement</w:t>
      </w:r>
      <w:r w:rsidR="00B25ED9">
        <w:rPr>
          <w:b/>
        </w:rPr>
        <w:t>:</w:t>
      </w:r>
    </w:p>
    <w:p w14:paraId="7D80E944" w14:textId="5C8984CC" w:rsidR="00BD187D" w:rsidRPr="005F21EA" w:rsidRDefault="003372DD" w:rsidP="00BD187D">
      <w:pPr>
        <w:rPr>
          <w:color w:val="000000"/>
        </w:rPr>
      </w:pPr>
      <w:r>
        <w:rPr>
          <w:color w:val="000000"/>
        </w:rPr>
        <w:t>Dr S Ladhani</w:t>
      </w:r>
      <w:r w:rsidR="00BD187D">
        <w:rPr>
          <w:color w:val="000000"/>
        </w:rPr>
        <w:t xml:space="preserve"> and </w:t>
      </w:r>
      <w:r>
        <w:rPr>
          <w:color w:val="000000"/>
        </w:rPr>
        <w:t xml:space="preserve">Prof </w:t>
      </w:r>
      <w:r w:rsidR="00BD187D">
        <w:rPr>
          <w:color w:val="000000"/>
        </w:rPr>
        <w:t>P</w:t>
      </w:r>
      <w:r>
        <w:rPr>
          <w:color w:val="000000"/>
        </w:rPr>
        <w:t xml:space="preserve"> </w:t>
      </w:r>
      <w:r w:rsidR="00BD187D">
        <w:rPr>
          <w:color w:val="000000"/>
        </w:rPr>
        <w:t>T</w:t>
      </w:r>
      <w:r>
        <w:rPr>
          <w:color w:val="000000"/>
        </w:rPr>
        <w:t xml:space="preserve"> </w:t>
      </w:r>
      <w:r w:rsidR="00BD187D">
        <w:rPr>
          <w:color w:val="000000"/>
        </w:rPr>
        <w:t>H</w:t>
      </w:r>
      <w:r>
        <w:rPr>
          <w:color w:val="000000"/>
        </w:rPr>
        <w:t>eath</w:t>
      </w:r>
      <w:r w:rsidR="00BD187D">
        <w:rPr>
          <w:color w:val="000000"/>
        </w:rPr>
        <w:t xml:space="preserve"> have conducted studies on behalf of St George’s, University of London funded by vaccine manufacturers but do not receive any personal payments or travel support.</w:t>
      </w:r>
    </w:p>
    <w:p w14:paraId="63BE9B83" w14:textId="07DB15B3" w:rsidR="00BD187D" w:rsidRDefault="003372DD" w:rsidP="00BD187D">
      <w:r>
        <w:t xml:space="preserve">Prof </w:t>
      </w:r>
      <w:r w:rsidR="00BD187D" w:rsidRPr="002B0FA2">
        <w:t>A</w:t>
      </w:r>
      <w:r>
        <w:t xml:space="preserve"> </w:t>
      </w:r>
      <w:r w:rsidR="00BD187D" w:rsidRPr="002B0FA2">
        <w:t>J</w:t>
      </w:r>
      <w:r>
        <w:t xml:space="preserve"> </w:t>
      </w:r>
      <w:r w:rsidR="00BD187D" w:rsidRPr="002B0FA2">
        <w:t>P</w:t>
      </w:r>
      <w:r>
        <w:t>ollard</w:t>
      </w:r>
      <w:r w:rsidR="00BD187D" w:rsidRPr="002B0FA2">
        <w:t xml:space="preserve"> has previously conducted clinical trials on behalf of Oxford University, funded by vaccine manufacturers but did not receive any personal payments from them. </w:t>
      </w:r>
      <w:r>
        <w:t>Prof A J Pollard</w:t>
      </w:r>
      <w:r w:rsidR="00BD187D" w:rsidRPr="002B0FA2">
        <w:t xml:space="preserve"> chairs the UK Department of Health’s (DH) Joint Committee on Vaccination and </w:t>
      </w:r>
      <w:r w:rsidR="00BD187D">
        <w:t>Immunization</w:t>
      </w:r>
      <w:r w:rsidR="00BD187D" w:rsidRPr="002B0FA2">
        <w:t xml:space="preserve"> (JCVI); the views expressed</w:t>
      </w:r>
      <w:r w:rsidR="00BD187D">
        <w:t xml:space="preserve"> in this manuscript do not necessarily reflect the views of JCVI or DH</w:t>
      </w:r>
      <w:r w:rsidR="00B25ED9">
        <w:t>.</w:t>
      </w:r>
    </w:p>
    <w:p w14:paraId="68210261" w14:textId="52E879AC" w:rsidR="00BD187D" w:rsidRDefault="003372DD" w:rsidP="00BD187D">
      <w:pPr>
        <w:spacing w:line="240" w:lineRule="auto"/>
      </w:pPr>
      <w:r>
        <w:t>Dr S N Faust</w:t>
      </w:r>
      <w:r w:rsidR="00BD187D" w:rsidRPr="002461B8">
        <w:t xml:space="preserve"> acts as chief or principal investigators for clinical trials and studies conducted on behalf of University Hospital Southampton NHS Foundation Trust and the University of Southampton, sponsored by vaccine manufacturers, Universities or NHS Trusts, but receives no </w:t>
      </w:r>
      <w:r>
        <w:t>personal payments from them. Dr SN Faust</w:t>
      </w:r>
      <w:r w:rsidR="00BD187D" w:rsidRPr="002461B8">
        <w:t xml:space="preserve"> has participated in advisory boards for vaccine manufacturers, but receives no personal payments for this work. All grants and honoraria are paid into accounts at the NHS Trust or University.</w:t>
      </w:r>
    </w:p>
    <w:p w14:paraId="55652911" w14:textId="605DF7F9" w:rsidR="00BD187D" w:rsidRDefault="003372DD" w:rsidP="00BD187D">
      <w:pPr>
        <w:spacing w:line="240" w:lineRule="auto"/>
        <w:rPr>
          <w:color w:val="000000" w:themeColor="text1"/>
          <w:szCs w:val="24"/>
        </w:rPr>
      </w:pPr>
      <w:r>
        <w:t xml:space="preserve">Prof D </w:t>
      </w:r>
      <w:r w:rsidRPr="008841C1">
        <w:rPr>
          <w:color w:val="000000" w:themeColor="text1"/>
        </w:rPr>
        <w:t>Goldblatt</w:t>
      </w:r>
      <w:r w:rsidR="00B25ED9" w:rsidRPr="008841C1">
        <w:rPr>
          <w:color w:val="000000" w:themeColor="text1"/>
        </w:rPr>
        <w:t>:</w:t>
      </w:r>
      <w:r w:rsidR="00BD187D" w:rsidRPr="008841C1">
        <w:rPr>
          <w:color w:val="000000" w:themeColor="text1"/>
        </w:rPr>
        <w:t xml:space="preserve"> UCL ICH receives funding for</w:t>
      </w:r>
      <w:r w:rsidRPr="008841C1">
        <w:rPr>
          <w:color w:val="000000" w:themeColor="text1"/>
        </w:rPr>
        <w:t xml:space="preserve"> contract research from GSK. Prof D Goldblatt </w:t>
      </w:r>
      <w:r w:rsidR="00BD187D" w:rsidRPr="008841C1">
        <w:rPr>
          <w:color w:val="000000" w:themeColor="text1"/>
        </w:rPr>
        <w:t>contribu</w:t>
      </w:r>
      <w:r w:rsidR="00B25ED9" w:rsidRPr="008841C1">
        <w:rPr>
          <w:color w:val="000000" w:themeColor="text1"/>
        </w:rPr>
        <w:t>tes to occasional GSK advisory b</w:t>
      </w:r>
      <w:r w:rsidR="00BD187D" w:rsidRPr="008841C1">
        <w:rPr>
          <w:color w:val="000000" w:themeColor="text1"/>
        </w:rPr>
        <w:t>oards</w:t>
      </w:r>
      <w:r w:rsidR="008841C1" w:rsidRPr="008841C1">
        <w:rPr>
          <w:color w:val="000000" w:themeColor="text1"/>
        </w:rPr>
        <w:t xml:space="preserve">.  </w:t>
      </w:r>
      <w:r w:rsidR="008841C1" w:rsidRPr="008841C1">
        <w:rPr>
          <w:color w:val="000000" w:themeColor="text1"/>
          <w:szCs w:val="24"/>
          <w:shd w:val="clear" w:color="auto" w:fill="FFFFFF"/>
        </w:rPr>
        <w:t>D</w:t>
      </w:r>
      <w:r w:rsidR="008841C1">
        <w:rPr>
          <w:color w:val="000000" w:themeColor="text1"/>
          <w:szCs w:val="24"/>
          <w:shd w:val="clear" w:color="auto" w:fill="FFFFFF"/>
        </w:rPr>
        <w:t xml:space="preserve"> </w:t>
      </w:r>
      <w:r w:rsidR="008841C1" w:rsidRPr="008841C1">
        <w:rPr>
          <w:color w:val="000000" w:themeColor="text1"/>
          <w:szCs w:val="24"/>
          <w:shd w:val="clear" w:color="auto" w:fill="FFFFFF"/>
        </w:rPr>
        <w:t>G</w:t>
      </w:r>
      <w:r w:rsidR="008841C1">
        <w:rPr>
          <w:color w:val="000000" w:themeColor="text1"/>
          <w:szCs w:val="24"/>
          <w:shd w:val="clear" w:color="auto" w:fill="FFFFFF"/>
        </w:rPr>
        <w:t>oldblatt</w:t>
      </w:r>
      <w:r w:rsidR="008841C1" w:rsidRPr="008841C1">
        <w:rPr>
          <w:color w:val="000000" w:themeColor="text1"/>
          <w:szCs w:val="24"/>
          <w:shd w:val="clear" w:color="auto" w:fill="FFFFFF"/>
        </w:rPr>
        <w:t xml:space="preserve"> is supported by the National Institute for Health Research Biomedical Research Centre at Great Ormond Street Hospital for Children NHS Foundation Trust and University College London</w:t>
      </w:r>
      <w:r w:rsidR="008841C1" w:rsidRPr="008841C1">
        <w:rPr>
          <w:color w:val="000000" w:themeColor="text1"/>
          <w:szCs w:val="24"/>
        </w:rPr>
        <w:t>.</w:t>
      </w:r>
    </w:p>
    <w:p w14:paraId="7E0D7167" w14:textId="77777777" w:rsidR="008841C1" w:rsidRPr="008841C1" w:rsidRDefault="008841C1" w:rsidP="00BD187D">
      <w:pPr>
        <w:spacing w:line="240" w:lineRule="auto"/>
        <w:rPr>
          <w:color w:val="000000" w:themeColor="text1"/>
          <w:szCs w:val="24"/>
        </w:rPr>
      </w:pPr>
    </w:p>
    <w:p w14:paraId="381EB675" w14:textId="5CA89E0B" w:rsidR="00BD187D" w:rsidRDefault="00B25ED9" w:rsidP="00320123">
      <w:pPr>
        <w:spacing w:line="240" w:lineRule="auto"/>
        <w:outlineLvl w:val="0"/>
      </w:pPr>
      <w:r w:rsidRPr="008841C1">
        <w:rPr>
          <w:color w:val="000000" w:themeColor="text1"/>
        </w:rPr>
        <w:t xml:space="preserve">All other </w:t>
      </w:r>
      <w:r w:rsidRPr="008841C1">
        <w:rPr>
          <w:color w:val="000000" w:themeColor="text1"/>
          <w:szCs w:val="24"/>
        </w:rPr>
        <w:t xml:space="preserve">authors </w:t>
      </w:r>
      <w:r w:rsidRPr="008841C1">
        <w:rPr>
          <w:color w:val="000000" w:themeColor="text1"/>
          <w:szCs w:val="24"/>
          <w:shd w:val="clear" w:color="auto" w:fill="FFFFFF"/>
        </w:rPr>
        <w:t xml:space="preserve">have no financial relationships relevant to this article </w:t>
      </w:r>
      <w:r w:rsidRPr="00B25ED9">
        <w:rPr>
          <w:szCs w:val="24"/>
          <w:shd w:val="clear" w:color="auto" w:fill="FFFFFF"/>
        </w:rPr>
        <w:t>to disclose.</w:t>
      </w:r>
    </w:p>
    <w:p w14:paraId="0A6BEAE7" w14:textId="77777777" w:rsidR="00BD187D" w:rsidRDefault="00BD187D" w:rsidP="00320123">
      <w:pPr>
        <w:spacing w:line="240" w:lineRule="auto"/>
        <w:outlineLvl w:val="0"/>
      </w:pPr>
    </w:p>
    <w:p w14:paraId="7344CA8C" w14:textId="0C76AC42" w:rsidR="00BD187D" w:rsidRPr="00B25ED9" w:rsidRDefault="00BD187D" w:rsidP="00320123">
      <w:pPr>
        <w:spacing w:line="240" w:lineRule="auto"/>
        <w:outlineLvl w:val="0"/>
        <w:rPr>
          <w:b/>
        </w:rPr>
      </w:pPr>
      <w:r w:rsidRPr="00B25ED9">
        <w:rPr>
          <w:b/>
        </w:rPr>
        <w:t>Conflict of Interest Statement</w:t>
      </w:r>
      <w:r w:rsidR="00B25ED9" w:rsidRPr="00B25ED9">
        <w:rPr>
          <w:b/>
        </w:rPr>
        <w:t>:</w:t>
      </w:r>
    </w:p>
    <w:p w14:paraId="1FFDD9C7" w14:textId="77777777" w:rsidR="003372DD" w:rsidRPr="005F21EA" w:rsidRDefault="003372DD" w:rsidP="003372DD">
      <w:pPr>
        <w:rPr>
          <w:color w:val="000000"/>
        </w:rPr>
      </w:pPr>
      <w:r>
        <w:rPr>
          <w:color w:val="000000"/>
        </w:rPr>
        <w:t>Dr S Ladhani and Prof P T Heath have conducted studies on behalf of St George’s, University of London funded by vaccine manufacturers but do not receive any personal payments or travel support.</w:t>
      </w:r>
    </w:p>
    <w:p w14:paraId="68987D3C" w14:textId="77777777" w:rsidR="003372DD" w:rsidRDefault="003372DD" w:rsidP="003372DD">
      <w:r>
        <w:t xml:space="preserve">Prof </w:t>
      </w:r>
      <w:r w:rsidRPr="002B0FA2">
        <w:t>A</w:t>
      </w:r>
      <w:r>
        <w:t xml:space="preserve"> </w:t>
      </w:r>
      <w:r w:rsidRPr="002B0FA2">
        <w:t>J</w:t>
      </w:r>
      <w:r>
        <w:t xml:space="preserve"> </w:t>
      </w:r>
      <w:r w:rsidRPr="002B0FA2">
        <w:t>P</w:t>
      </w:r>
      <w:r>
        <w:t>ollard</w:t>
      </w:r>
      <w:r w:rsidRPr="002B0FA2">
        <w:t xml:space="preserve"> has previously conducted clinical trials on behalf of Oxford University, funded by vaccine manufacturers but did not receive any personal payments from them. </w:t>
      </w:r>
      <w:r>
        <w:t>Prof A J Pollard</w:t>
      </w:r>
      <w:r w:rsidRPr="002B0FA2">
        <w:t xml:space="preserve"> chairs the UK Department of Health’s (DH) Joint Committee on Vaccination and </w:t>
      </w:r>
      <w:r>
        <w:t>Immunization</w:t>
      </w:r>
      <w:r w:rsidRPr="002B0FA2">
        <w:t xml:space="preserve"> (JCVI); the views expressed</w:t>
      </w:r>
      <w:r>
        <w:t xml:space="preserve"> in this manuscript do not necessarily reflect the views of JCVI or DH.</w:t>
      </w:r>
    </w:p>
    <w:p w14:paraId="3D094DC0" w14:textId="4222E2EF" w:rsidR="003372DD" w:rsidRDefault="003372DD" w:rsidP="003372DD">
      <w:pPr>
        <w:spacing w:line="240" w:lineRule="auto"/>
      </w:pPr>
      <w:r>
        <w:t>Dr S N Faust</w:t>
      </w:r>
      <w:r w:rsidRPr="002461B8">
        <w:t xml:space="preserve"> acts as chief or principal investigators for clinical trials and studies conducted on behalf of University Hospital Southampton NHS Foundation Trust and the University of Southampton, sponsored by vaccine manufacturers, Universities or NHS Trusts, but receives no </w:t>
      </w:r>
      <w:r>
        <w:t>personal payments from them. Dr SN Faust</w:t>
      </w:r>
      <w:r w:rsidRPr="002461B8">
        <w:t xml:space="preserve"> has participated in advisory boards for vaccine manufacturers</w:t>
      </w:r>
      <w:r>
        <w:t>.</w:t>
      </w:r>
      <w:r w:rsidRPr="002461B8">
        <w:t xml:space="preserve"> </w:t>
      </w:r>
    </w:p>
    <w:p w14:paraId="6D5EAA44" w14:textId="77777777" w:rsidR="003372DD" w:rsidRDefault="003372DD" w:rsidP="003372DD">
      <w:pPr>
        <w:spacing w:line="240" w:lineRule="auto"/>
      </w:pPr>
    </w:p>
    <w:p w14:paraId="59381F08" w14:textId="77777777" w:rsidR="008841C1" w:rsidRDefault="003372DD" w:rsidP="003372DD">
      <w:pPr>
        <w:spacing w:line="240" w:lineRule="auto"/>
        <w:rPr>
          <w:color w:val="000000" w:themeColor="text1"/>
          <w:szCs w:val="24"/>
        </w:rPr>
      </w:pPr>
      <w:r>
        <w:t>Prof D Goldblatt:</w:t>
      </w:r>
      <w:r w:rsidRPr="00091F38">
        <w:t xml:space="preserve"> </w:t>
      </w:r>
      <w:r>
        <w:t xml:space="preserve">Prof D Goldblatt </w:t>
      </w:r>
      <w:r w:rsidRPr="00091F38">
        <w:t>contribu</w:t>
      </w:r>
      <w:r>
        <w:t>tes to occasional GSK advisory b</w:t>
      </w:r>
      <w:r w:rsidRPr="00091F38">
        <w:t>oards</w:t>
      </w:r>
      <w:r w:rsidR="008841C1">
        <w:t xml:space="preserve">. </w:t>
      </w:r>
      <w:r w:rsidR="008841C1" w:rsidRPr="008841C1">
        <w:rPr>
          <w:color w:val="000000" w:themeColor="text1"/>
          <w:szCs w:val="24"/>
          <w:shd w:val="clear" w:color="auto" w:fill="FFFFFF"/>
        </w:rPr>
        <w:t>D</w:t>
      </w:r>
      <w:r w:rsidR="008841C1">
        <w:rPr>
          <w:color w:val="000000" w:themeColor="text1"/>
          <w:szCs w:val="24"/>
          <w:shd w:val="clear" w:color="auto" w:fill="FFFFFF"/>
        </w:rPr>
        <w:t xml:space="preserve"> </w:t>
      </w:r>
      <w:r w:rsidR="008841C1" w:rsidRPr="008841C1">
        <w:rPr>
          <w:color w:val="000000" w:themeColor="text1"/>
          <w:szCs w:val="24"/>
          <w:shd w:val="clear" w:color="auto" w:fill="FFFFFF"/>
        </w:rPr>
        <w:t>G</w:t>
      </w:r>
      <w:r w:rsidR="008841C1">
        <w:rPr>
          <w:color w:val="000000" w:themeColor="text1"/>
          <w:szCs w:val="24"/>
          <w:shd w:val="clear" w:color="auto" w:fill="FFFFFF"/>
        </w:rPr>
        <w:t>oldblatt</w:t>
      </w:r>
      <w:r w:rsidR="008841C1" w:rsidRPr="008841C1">
        <w:rPr>
          <w:color w:val="000000" w:themeColor="text1"/>
          <w:szCs w:val="24"/>
          <w:shd w:val="clear" w:color="auto" w:fill="FFFFFF"/>
        </w:rPr>
        <w:t xml:space="preserve"> is supported by the National Institute for Health Research Biomedical Research Centre at Great Ormond Street Hospital for Children NHS Foundation Trust and University College London</w:t>
      </w:r>
      <w:r w:rsidR="008841C1" w:rsidRPr="008841C1">
        <w:rPr>
          <w:color w:val="000000" w:themeColor="text1"/>
          <w:szCs w:val="24"/>
        </w:rPr>
        <w:t>.</w:t>
      </w:r>
    </w:p>
    <w:p w14:paraId="28F88842" w14:textId="590B5151" w:rsidR="003372DD" w:rsidRDefault="003372DD" w:rsidP="003372DD">
      <w:pPr>
        <w:spacing w:line="240" w:lineRule="auto"/>
      </w:pPr>
      <w:r>
        <w:t xml:space="preserve"> </w:t>
      </w:r>
    </w:p>
    <w:p w14:paraId="459BFE46" w14:textId="7033E995" w:rsidR="00B25ED9" w:rsidRDefault="00B25ED9" w:rsidP="00B25ED9">
      <w:pPr>
        <w:spacing w:line="240" w:lineRule="auto"/>
        <w:outlineLvl w:val="0"/>
      </w:pPr>
      <w:r>
        <w:t xml:space="preserve">All other </w:t>
      </w:r>
      <w:r w:rsidRPr="00B25ED9">
        <w:rPr>
          <w:szCs w:val="24"/>
        </w:rPr>
        <w:t xml:space="preserve">authors </w:t>
      </w:r>
      <w:r w:rsidRPr="00B25ED9">
        <w:rPr>
          <w:szCs w:val="24"/>
          <w:shd w:val="clear" w:color="auto" w:fill="FFFFFF"/>
        </w:rPr>
        <w:t xml:space="preserve">have no </w:t>
      </w:r>
      <w:r>
        <w:rPr>
          <w:szCs w:val="24"/>
          <w:shd w:val="clear" w:color="auto" w:fill="FFFFFF"/>
        </w:rPr>
        <w:t>conflicts of interest</w:t>
      </w:r>
      <w:r w:rsidRPr="00B25ED9">
        <w:rPr>
          <w:szCs w:val="24"/>
          <w:shd w:val="clear" w:color="auto" w:fill="FFFFFF"/>
        </w:rPr>
        <w:t xml:space="preserve"> relevant to this article to disclose</w:t>
      </w:r>
    </w:p>
    <w:p w14:paraId="22FE274E" w14:textId="77777777" w:rsidR="00D154D9" w:rsidRDefault="00D154D9" w:rsidP="00531AA7">
      <w:pPr>
        <w:spacing w:line="240" w:lineRule="auto"/>
      </w:pPr>
    </w:p>
    <w:p w14:paraId="05A8AB7C" w14:textId="77777777" w:rsidR="00711BC7" w:rsidRPr="00531AA7" w:rsidRDefault="00711BC7" w:rsidP="00DE39EF">
      <w:pPr>
        <w:spacing w:line="240" w:lineRule="auto"/>
        <w:outlineLvl w:val="0"/>
        <w:rPr>
          <w:b/>
        </w:rPr>
      </w:pPr>
      <w:r w:rsidRPr="00531AA7">
        <w:rPr>
          <w:b/>
        </w:rPr>
        <w:t>Abbreviations</w:t>
      </w:r>
      <w:r w:rsidR="00D154D9" w:rsidRPr="00531AA7">
        <w:rPr>
          <w:b/>
        </w:rPr>
        <w:t>:</w:t>
      </w:r>
    </w:p>
    <w:p w14:paraId="32C76D71" w14:textId="77777777" w:rsidR="00711BC7" w:rsidRDefault="00711BC7" w:rsidP="00531AA7">
      <w:pPr>
        <w:spacing w:line="240" w:lineRule="auto"/>
      </w:pPr>
      <w:r>
        <w:lastRenderedPageBreak/>
        <w:t>PCV7</w:t>
      </w:r>
      <w:r w:rsidR="00D154D9">
        <w:tab/>
      </w:r>
      <w:r w:rsidR="00D154D9">
        <w:tab/>
      </w:r>
      <w:r w:rsidR="00D154D9">
        <w:tab/>
        <w:t>7 valent pneumococcal conjugate vaccine</w:t>
      </w:r>
    </w:p>
    <w:p w14:paraId="27BE6723" w14:textId="77777777" w:rsidR="00711BC7" w:rsidRDefault="00711BC7" w:rsidP="00531AA7">
      <w:pPr>
        <w:spacing w:line="240" w:lineRule="auto"/>
      </w:pPr>
      <w:r>
        <w:t>PCV13</w:t>
      </w:r>
      <w:r w:rsidR="00D154D9">
        <w:tab/>
      </w:r>
      <w:r w:rsidR="00D154D9">
        <w:tab/>
      </w:r>
      <w:r w:rsidR="00D154D9">
        <w:tab/>
        <w:t>13 valent pneumococcal conjugate vaccine</w:t>
      </w:r>
    </w:p>
    <w:p w14:paraId="1F293340" w14:textId="77777777" w:rsidR="00711BC7" w:rsidRDefault="00711BC7" w:rsidP="00531AA7">
      <w:pPr>
        <w:spacing w:line="240" w:lineRule="auto"/>
      </w:pPr>
      <w:r>
        <w:t>IgG</w:t>
      </w:r>
      <w:r w:rsidR="00D154D9">
        <w:tab/>
      </w:r>
      <w:r w:rsidR="00D154D9">
        <w:tab/>
      </w:r>
      <w:r w:rsidR="00D154D9">
        <w:tab/>
        <w:t>Immunoglobulin G</w:t>
      </w:r>
    </w:p>
    <w:p w14:paraId="0A9FD9AC" w14:textId="77777777" w:rsidR="00711BC7" w:rsidRDefault="00711BC7" w:rsidP="00531AA7">
      <w:pPr>
        <w:spacing w:line="240" w:lineRule="auto"/>
      </w:pPr>
      <w:r>
        <w:t>GMC</w:t>
      </w:r>
      <w:r w:rsidR="00D154D9">
        <w:tab/>
      </w:r>
      <w:r w:rsidR="00D154D9">
        <w:tab/>
      </w:r>
      <w:r w:rsidR="00D154D9">
        <w:tab/>
        <w:t>Geometric mean concentrations</w:t>
      </w:r>
    </w:p>
    <w:p w14:paraId="316E5089" w14:textId="77777777" w:rsidR="00711BC7" w:rsidRDefault="00711BC7" w:rsidP="00531AA7">
      <w:pPr>
        <w:spacing w:line="240" w:lineRule="auto"/>
      </w:pPr>
      <w:r>
        <w:t>IPD</w:t>
      </w:r>
      <w:r w:rsidR="00D154D9">
        <w:tab/>
      </w:r>
      <w:r w:rsidR="00D154D9">
        <w:tab/>
      </w:r>
      <w:r w:rsidR="00D154D9">
        <w:tab/>
        <w:t>Invasive pneumococcal disease</w:t>
      </w:r>
    </w:p>
    <w:p w14:paraId="68AAF1E1" w14:textId="77777777" w:rsidR="00042309" w:rsidRDefault="00042309" w:rsidP="00531AA7">
      <w:pPr>
        <w:spacing w:line="240" w:lineRule="auto"/>
      </w:pPr>
    </w:p>
    <w:p w14:paraId="50CC62F1" w14:textId="005BFCB0" w:rsidR="00320123" w:rsidRDefault="00BD187D" w:rsidP="00531AA7">
      <w:pPr>
        <w:spacing w:line="240" w:lineRule="auto"/>
        <w:rPr>
          <w:b/>
        </w:rPr>
      </w:pPr>
      <w:r>
        <w:rPr>
          <w:b/>
        </w:rPr>
        <w:t>What’s known on this subject</w:t>
      </w:r>
      <w:r w:rsidR="00320123" w:rsidRPr="00320123">
        <w:rPr>
          <w:b/>
        </w:rPr>
        <w:t>:</w:t>
      </w:r>
      <w:r w:rsidR="00B3470D">
        <w:rPr>
          <w:b/>
        </w:rPr>
        <w:t xml:space="preserve"> </w:t>
      </w:r>
    </w:p>
    <w:p w14:paraId="6B361CBA" w14:textId="5EF946F5" w:rsidR="00B3470D" w:rsidRDefault="00B3470D" w:rsidP="00531AA7">
      <w:pPr>
        <w:spacing w:line="240" w:lineRule="auto"/>
      </w:pPr>
      <w:r>
        <w:t xml:space="preserve">Premature infants have a higher risk of invasive pneumococcal disease and are more likely to have lower vaccine responses compared to term infants.  </w:t>
      </w:r>
      <w:r w:rsidR="00316CD1" w:rsidRPr="00316CD1">
        <w:t>The optimal primary schedule to generate protective concentrations of pneumococcal antibodies in preterm infants is unknown.</w:t>
      </w:r>
    </w:p>
    <w:p w14:paraId="1C23FC26" w14:textId="77777777" w:rsidR="00316CD1" w:rsidRDefault="00316CD1" w:rsidP="00531AA7">
      <w:pPr>
        <w:spacing w:line="240" w:lineRule="auto"/>
      </w:pPr>
    </w:p>
    <w:p w14:paraId="76EACB44" w14:textId="0CFD5F97" w:rsidR="00BD187D" w:rsidRDefault="00BD187D" w:rsidP="00531AA7">
      <w:pPr>
        <w:spacing w:line="240" w:lineRule="auto"/>
        <w:rPr>
          <w:b/>
        </w:rPr>
      </w:pPr>
      <w:r>
        <w:rPr>
          <w:b/>
        </w:rPr>
        <w:t>What this study adds:</w:t>
      </w:r>
    </w:p>
    <w:p w14:paraId="1A74CE34" w14:textId="7FE13FBB" w:rsidR="00AB4D51" w:rsidRPr="00963198" w:rsidRDefault="00963198" w:rsidP="00AB4D51">
      <w:pPr>
        <w:spacing w:line="240" w:lineRule="auto"/>
        <w:outlineLvl w:val="0"/>
        <w:rPr>
          <w:szCs w:val="24"/>
        </w:rPr>
      </w:pPr>
      <w:r w:rsidRPr="00963198">
        <w:rPr>
          <w:szCs w:val="24"/>
        </w:rPr>
        <w:t>This 13-valent pneumococcal conjugate vaccine schedule RCT in preterm infants demonstrated that a reduced primary schedule resulted in higher post-booster, but lower post-primary IgG concentrations. The optimum schedule for preterm infants depends on when they are most at risk of invasive disease.</w:t>
      </w:r>
    </w:p>
    <w:p w14:paraId="7CF2C9F2" w14:textId="77777777" w:rsidR="00B25ED9" w:rsidRDefault="00B25ED9" w:rsidP="00AB4D51">
      <w:pPr>
        <w:spacing w:line="240" w:lineRule="auto"/>
        <w:outlineLvl w:val="0"/>
      </w:pPr>
    </w:p>
    <w:p w14:paraId="1911784F" w14:textId="4E41209A" w:rsidR="00B25ED9" w:rsidRDefault="00B25ED9">
      <w:pPr>
        <w:spacing w:line="240" w:lineRule="auto"/>
      </w:pPr>
      <w:r>
        <w:br w:type="page"/>
      </w:r>
    </w:p>
    <w:p w14:paraId="41FA7A39" w14:textId="0D271C93" w:rsidR="00B25ED9" w:rsidRDefault="00B25ED9" w:rsidP="00B25ED9">
      <w:pPr>
        <w:spacing w:line="240" w:lineRule="auto"/>
        <w:rPr>
          <w:b/>
        </w:rPr>
      </w:pPr>
      <w:r w:rsidRPr="00B25ED9">
        <w:rPr>
          <w:b/>
        </w:rPr>
        <w:lastRenderedPageBreak/>
        <w:t>Contributors’ Statement Page</w:t>
      </w:r>
      <w:r>
        <w:rPr>
          <w:b/>
        </w:rPr>
        <w:t>:</w:t>
      </w:r>
    </w:p>
    <w:p w14:paraId="35E134F0" w14:textId="1B422651" w:rsidR="00B25ED9" w:rsidRDefault="00C2382F" w:rsidP="00B25ED9">
      <w:pPr>
        <w:spacing w:line="240" w:lineRule="auto"/>
      </w:pPr>
      <w:r>
        <w:t>Dr A Kent</w:t>
      </w:r>
      <w:r w:rsidR="00B25ED9">
        <w:t xml:space="preserve"> coordinated the study, performed statistical analysis and drafted the initial manuscript.</w:t>
      </w:r>
    </w:p>
    <w:p w14:paraId="5038DF9A" w14:textId="77777777" w:rsidR="00C2382F" w:rsidRDefault="00C2382F" w:rsidP="00C2382F">
      <w:pPr>
        <w:spacing w:line="240" w:lineRule="auto"/>
      </w:pPr>
      <w:r>
        <w:t>Dr S Ladhani</w:t>
      </w:r>
      <w:r w:rsidR="00B25ED9">
        <w:t xml:space="preserve"> assisted w</w:t>
      </w:r>
      <w:r>
        <w:t>ith the design of the study, coordination of the study, critically reviewed the manuscript and approved the final manuscript as submitted.</w:t>
      </w:r>
    </w:p>
    <w:p w14:paraId="6987A8A2" w14:textId="5A823505" w:rsidR="00C2382F" w:rsidRDefault="00C2382F" w:rsidP="00241D24">
      <w:pPr>
        <w:spacing w:line="240" w:lineRule="auto"/>
      </w:pPr>
    </w:p>
    <w:p w14:paraId="531F025C" w14:textId="170394AA" w:rsidR="00C2382F" w:rsidRDefault="00C2382F" w:rsidP="00C2382F">
      <w:pPr>
        <w:spacing w:line="240" w:lineRule="auto"/>
      </w:pPr>
      <w:r>
        <w:t xml:space="preserve">Dr N Andrews </w:t>
      </w:r>
      <w:r w:rsidR="00B25ED9">
        <w:t>approved t</w:t>
      </w:r>
      <w:r>
        <w:t xml:space="preserve">he data collection tools, </w:t>
      </w:r>
      <w:r w:rsidR="00BF734D">
        <w:t>per</w:t>
      </w:r>
      <w:r w:rsidR="00B25ED9">
        <w:t>for</w:t>
      </w:r>
      <w:r>
        <w:t>med the statistically analysis, critically reviewed the manuscript and approved the final manuscript as submitted.</w:t>
      </w:r>
    </w:p>
    <w:p w14:paraId="700B34CE" w14:textId="1D2FF036" w:rsidR="00C2382F" w:rsidRDefault="00B25ED9" w:rsidP="00241D24">
      <w:pPr>
        <w:spacing w:line="240" w:lineRule="auto"/>
      </w:pPr>
      <w:r>
        <w:t xml:space="preserve"> </w:t>
      </w:r>
    </w:p>
    <w:p w14:paraId="101E8A1D" w14:textId="0D0D6453" w:rsidR="00C2382F" w:rsidRDefault="00C2382F" w:rsidP="00C2382F">
      <w:pPr>
        <w:spacing w:line="240" w:lineRule="auto"/>
      </w:pPr>
      <w:r>
        <w:t xml:space="preserve">Dr </w:t>
      </w:r>
      <w:r w:rsidR="00B25ED9">
        <w:t>T</w:t>
      </w:r>
      <w:r>
        <w:t xml:space="preserve"> </w:t>
      </w:r>
      <w:r w:rsidR="00B25ED9">
        <w:t>S</w:t>
      </w:r>
      <w:r>
        <w:t xml:space="preserve">correr, Prof A </w:t>
      </w:r>
      <w:r w:rsidR="00B25ED9">
        <w:t>P</w:t>
      </w:r>
      <w:r>
        <w:t>ollard</w:t>
      </w:r>
      <w:r w:rsidR="00B25ED9">
        <w:t xml:space="preserve">, </w:t>
      </w:r>
      <w:r>
        <w:t xml:space="preserve">Dr </w:t>
      </w:r>
      <w:r w:rsidR="00B25ED9">
        <w:t>P</w:t>
      </w:r>
      <w:r>
        <w:t xml:space="preserve"> Clarke</w:t>
      </w:r>
      <w:r w:rsidR="00B25ED9">
        <w:t xml:space="preserve">, </w:t>
      </w:r>
      <w:r>
        <w:t xml:space="preserve">Dr </w:t>
      </w:r>
      <w:r w:rsidR="00B25ED9">
        <w:t>S</w:t>
      </w:r>
      <w:r>
        <w:t xml:space="preserve"> Hughes</w:t>
      </w:r>
      <w:r w:rsidR="00B25ED9">
        <w:t xml:space="preserve">, </w:t>
      </w:r>
      <w:r>
        <w:t xml:space="preserve">Dr </w:t>
      </w:r>
      <w:r w:rsidR="00B25ED9">
        <w:t>C</w:t>
      </w:r>
      <w:r>
        <w:t xml:space="preserve"> </w:t>
      </w:r>
      <w:r w:rsidR="00B25ED9">
        <w:t>H</w:t>
      </w:r>
      <w:r>
        <w:t>eal</w:t>
      </w:r>
      <w:r w:rsidR="00B25ED9">
        <w:t xml:space="preserve">, </w:t>
      </w:r>
      <w:r>
        <w:t xml:space="preserve">Dr </w:t>
      </w:r>
      <w:r w:rsidR="00B25ED9">
        <w:t>E</w:t>
      </w:r>
      <w:r>
        <w:t xml:space="preserve"> </w:t>
      </w:r>
      <w:r w:rsidR="00B25ED9">
        <w:t>M</w:t>
      </w:r>
      <w:r>
        <w:t>enson</w:t>
      </w:r>
      <w:r w:rsidR="00B25ED9">
        <w:t xml:space="preserve">, </w:t>
      </w:r>
      <w:r>
        <w:t xml:space="preserve">Dr </w:t>
      </w:r>
      <w:r w:rsidR="00B25ED9">
        <w:t>J</w:t>
      </w:r>
      <w:r>
        <w:t xml:space="preserve"> </w:t>
      </w:r>
      <w:r w:rsidR="00B25ED9">
        <w:t>C</w:t>
      </w:r>
      <w:r>
        <w:t>hang</w:t>
      </w:r>
      <w:r w:rsidR="00B25ED9">
        <w:t xml:space="preserve">, </w:t>
      </w:r>
      <w:r>
        <w:t xml:space="preserve">Dr </w:t>
      </w:r>
      <w:r w:rsidR="00B25ED9">
        <w:t>P</w:t>
      </w:r>
      <w:r>
        <w:t xml:space="preserve"> </w:t>
      </w:r>
      <w:r w:rsidR="00B25ED9">
        <w:t>S</w:t>
      </w:r>
      <w:r>
        <w:t>atodia</w:t>
      </w:r>
      <w:r w:rsidR="00B25ED9">
        <w:t xml:space="preserve">, </w:t>
      </w:r>
      <w:r>
        <w:t xml:space="preserve">Dr </w:t>
      </w:r>
      <w:r w:rsidR="00B25ED9">
        <w:t>A</w:t>
      </w:r>
      <w:r>
        <w:t xml:space="preserve"> </w:t>
      </w:r>
      <w:r w:rsidR="00B25ED9">
        <w:t>C</w:t>
      </w:r>
      <w:r>
        <w:t xml:space="preserve"> </w:t>
      </w:r>
      <w:r w:rsidR="00B25ED9">
        <w:t>C</w:t>
      </w:r>
      <w:r>
        <w:t>ollinson</w:t>
      </w:r>
      <w:r w:rsidR="00B25ED9">
        <w:t xml:space="preserve"> and </w:t>
      </w:r>
      <w:r>
        <w:t xml:space="preserve">Dr </w:t>
      </w:r>
      <w:r w:rsidR="00B25ED9">
        <w:t>S</w:t>
      </w:r>
      <w:r>
        <w:t xml:space="preserve"> </w:t>
      </w:r>
      <w:r w:rsidR="00B25ED9">
        <w:t>F</w:t>
      </w:r>
      <w:r>
        <w:t>aust</w:t>
      </w:r>
      <w:r w:rsidR="00B25ED9">
        <w:t xml:space="preserve"> </w:t>
      </w:r>
      <w:r>
        <w:t>were members of the tr</w:t>
      </w:r>
      <w:r w:rsidR="00241D24">
        <w:t>i</w:t>
      </w:r>
      <w:r>
        <w:t>a</w:t>
      </w:r>
      <w:r w:rsidR="00241D24">
        <w:t xml:space="preserve">l steering committee, recruited participants and were responsible for data collection and study procedures at their sites.  </w:t>
      </w:r>
      <w:r>
        <w:t>They critically reviewed the manuscript and approved the final manuscript as submitted.</w:t>
      </w:r>
    </w:p>
    <w:p w14:paraId="05F7D797" w14:textId="67AA6CD8" w:rsidR="00C2382F" w:rsidRDefault="00C2382F" w:rsidP="00241D24">
      <w:pPr>
        <w:spacing w:line="240" w:lineRule="auto"/>
      </w:pPr>
    </w:p>
    <w:p w14:paraId="427F6426" w14:textId="77777777" w:rsidR="00C2382F" w:rsidRDefault="00C2382F" w:rsidP="00C2382F">
      <w:pPr>
        <w:spacing w:line="240" w:lineRule="auto"/>
      </w:pPr>
      <w:r>
        <w:t xml:space="preserve">Prof </w:t>
      </w:r>
      <w:r w:rsidR="00241D24">
        <w:t>D</w:t>
      </w:r>
      <w:r>
        <w:t xml:space="preserve"> </w:t>
      </w:r>
      <w:r w:rsidR="00241D24">
        <w:t>G</w:t>
      </w:r>
      <w:r>
        <w:t>oldblatt</w:t>
      </w:r>
      <w:r w:rsidR="00241D24">
        <w:t xml:space="preserve"> supervised the anal</w:t>
      </w:r>
      <w:r>
        <w:t>ysis of all laboratory samples, critically reviewed the manuscript and approved the final manuscript as submitted.</w:t>
      </w:r>
    </w:p>
    <w:p w14:paraId="4746E6B9" w14:textId="25979016" w:rsidR="00C2382F" w:rsidRDefault="00241D24" w:rsidP="00241D24">
      <w:pPr>
        <w:spacing w:line="240" w:lineRule="auto"/>
      </w:pPr>
      <w:r>
        <w:t xml:space="preserve"> </w:t>
      </w:r>
    </w:p>
    <w:p w14:paraId="46EE00E8" w14:textId="77777777" w:rsidR="00C2382F" w:rsidRDefault="00C2382F" w:rsidP="00C2382F">
      <w:pPr>
        <w:spacing w:line="240" w:lineRule="auto"/>
      </w:pPr>
      <w:r>
        <w:t xml:space="preserve">Prof </w:t>
      </w:r>
      <w:r w:rsidR="00241D24">
        <w:t>E</w:t>
      </w:r>
      <w:r>
        <w:t xml:space="preserve"> </w:t>
      </w:r>
      <w:r w:rsidR="00241D24">
        <w:t>M</w:t>
      </w:r>
      <w:r>
        <w:t>iller</w:t>
      </w:r>
      <w:r w:rsidR="00241D24">
        <w:t xml:space="preserve"> and </w:t>
      </w:r>
      <w:r>
        <w:t xml:space="preserve">Prof </w:t>
      </w:r>
      <w:r w:rsidR="00241D24">
        <w:t>P</w:t>
      </w:r>
      <w:r>
        <w:t xml:space="preserve"> </w:t>
      </w:r>
      <w:r w:rsidR="00241D24">
        <w:t>T</w:t>
      </w:r>
      <w:r>
        <w:t xml:space="preserve"> </w:t>
      </w:r>
      <w:r w:rsidR="00241D24">
        <w:t>H</w:t>
      </w:r>
      <w:r>
        <w:t>eath</w:t>
      </w:r>
      <w:r w:rsidR="00241D24">
        <w:t xml:space="preserve"> were responsible for the concept and design of the study and the overall supervision of all a</w:t>
      </w:r>
      <w:r>
        <w:t>spects of the clinical trial.  They critically reviewed the manuscript and approved the final manuscript as submitted.</w:t>
      </w:r>
    </w:p>
    <w:p w14:paraId="68BA4826" w14:textId="0FE7B3EB" w:rsidR="00C2382F" w:rsidRDefault="00C2382F" w:rsidP="00241D24">
      <w:pPr>
        <w:spacing w:line="240" w:lineRule="auto"/>
      </w:pPr>
    </w:p>
    <w:p w14:paraId="20D9C04C" w14:textId="77777777" w:rsidR="00C2382F" w:rsidRDefault="00C2382F">
      <w:pPr>
        <w:spacing w:line="240" w:lineRule="auto"/>
        <w:rPr>
          <w:b/>
        </w:rPr>
      </w:pPr>
      <w:r>
        <w:rPr>
          <w:b/>
        </w:rPr>
        <w:br w:type="page"/>
      </w:r>
    </w:p>
    <w:p w14:paraId="4C500E0E" w14:textId="2E69832A" w:rsidR="00AB4D51" w:rsidRPr="00AB4D51" w:rsidRDefault="00AB4D51" w:rsidP="00DE39EF">
      <w:pPr>
        <w:outlineLvl w:val="0"/>
        <w:rPr>
          <w:b/>
        </w:rPr>
      </w:pPr>
      <w:r w:rsidRPr="00AB4D51">
        <w:rPr>
          <w:b/>
        </w:rPr>
        <w:lastRenderedPageBreak/>
        <w:t>Abstract</w:t>
      </w:r>
    </w:p>
    <w:p w14:paraId="36380B53" w14:textId="77777777" w:rsidR="00AB4D51" w:rsidRDefault="00AB4D51" w:rsidP="00DE39EF">
      <w:pPr>
        <w:outlineLvl w:val="0"/>
      </w:pPr>
    </w:p>
    <w:p w14:paraId="2E49A5FB" w14:textId="5AAA3969" w:rsidR="0006648E" w:rsidRPr="00AB4D51" w:rsidRDefault="003D3C43" w:rsidP="00DE39EF">
      <w:pPr>
        <w:outlineLvl w:val="0"/>
        <w:rPr>
          <w:b/>
        </w:rPr>
      </w:pPr>
      <w:r>
        <w:rPr>
          <w:b/>
        </w:rPr>
        <w:t>Background</w:t>
      </w:r>
    </w:p>
    <w:p w14:paraId="00AD859D" w14:textId="25769BD8" w:rsidR="00AB4D51" w:rsidRPr="00AB4D51" w:rsidRDefault="00684FC4" w:rsidP="00684FC4">
      <w:pPr>
        <w:rPr>
          <w:b/>
        </w:rPr>
      </w:pPr>
      <w:r>
        <w:t xml:space="preserve">Premature infants have </w:t>
      </w:r>
      <w:r w:rsidR="0025038E">
        <w:t>a</w:t>
      </w:r>
      <w:r>
        <w:t xml:space="preserve"> </w:t>
      </w:r>
      <w:r w:rsidR="009C656F">
        <w:t>higher risk</w:t>
      </w:r>
      <w:r>
        <w:t xml:space="preserve"> of invasive pneumococcal disease and </w:t>
      </w:r>
      <w:r w:rsidR="009C656F">
        <w:t xml:space="preserve">are more likely to have </w:t>
      </w:r>
      <w:r>
        <w:t xml:space="preserve">lower </w:t>
      </w:r>
      <w:r w:rsidR="001B00B4">
        <w:t xml:space="preserve">vaccine </w:t>
      </w:r>
      <w:r w:rsidR="009C656F">
        <w:t>responses</w:t>
      </w:r>
      <w:r w:rsidR="001B00B4">
        <w:t xml:space="preserve"> </w:t>
      </w:r>
      <w:r>
        <w:t>compared to term infants.</w:t>
      </w:r>
      <w:r w:rsidR="00AB4D51">
        <w:t xml:space="preserve">  Increasingly</w:t>
      </w:r>
      <w:r w:rsidR="002C6B0C">
        <w:t>,</w:t>
      </w:r>
      <w:r w:rsidR="00AB4D51">
        <w:t xml:space="preserve"> </w:t>
      </w:r>
      <w:r w:rsidR="00670EA5">
        <w:t>immunization</w:t>
      </w:r>
      <w:r w:rsidR="00AB4D51">
        <w:t xml:space="preserve"> schedules </w:t>
      </w:r>
      <w:r w:rsidR="002C6B0C">
        <w:t xml:space="preserve">are </w:t>
      </w:r>
      <w:r w:rsidR="00AB4D51">
        <w:t>includ</w:t>
      </w:r>
      <w:r w:rsidR="002C6B0C">
        <w:t>ing</w:t>
      </w:r>
      <w:r w:rsidR="00AB4D51">
        <w:t xml:space="preserve"> a reduced</w:t>
      </w:r>
      <w:r w:rsidR="002C6B0C">
        <w:t>,</w:t>
      </w:r>
      <w:r w:rsidR="00AB4D51">
        <w:t xml:space="preserve"> 2-dose</w:t>
      </w:r>
      <w:r w:rsidR="002C6B0C">
        <w:t>,</w:t>
      </w:r>
      <w:r w:rsidR="00AB4D51">
        <w:t xml:space="preserve"> pneumococcal conjugate vaccine (PCV) priming schedule.</w:t>
      </w:r>
    </w:p>
    <w:p w14:paraId="3711A9BA" w14:textId="22A19380" w:rsidR="00AB4D51" w:rsidRDefault="00684FC4" w:rsidP="00684FC4">
      <w:r>
        <w:t xml:space="preserve">We aimed to assess the immunogenicity </w:t>
      </w:r>
      <w:r w:rsidR="007D2BD0">
        <w:t xml:space="preserve">of 3 </w:t>
      </w:r>
      <w:r w:rsidR="00C57152">
        <w:t>commonly</w:t>
      </w:r>
      <w:r w:rsidR="006534B1">
        <w:t xml:space="preserve"> </w:t>
      </w:r>
      <w:r w:rsidR="00C57152">
        <w:t xml:space="preserve">used </w:t>
      </w:r>
      <w:r w:rsidR="001B00B4">
        <w:t xml:space="preserve">PCV13 priming </w:t>
      </w:r>
      <w:r w:rsidR="006534B1">
        <w:t xml:space="preserve">schedules </w:t>
      </w:r>
      <w:r w:rsidR="00C57152">
        <w:t xml:space="preserve">in premature infants, and </w:t>
      </w:r>
      <w:r w:rsidR="0025038E">
        <w:t>their response to</w:t>
      </w:r>
      <w:r>
        <w:t xml:space="preserve"> </w:t>
      </w:r>
      <w:r w:rsidR="0057084C">
        <w:t xml:space="preserve">a </w:t>
      </w:r>
      <w:r w:rsidR="009C656F">
        <w:t>12-month booster</w:t>
      </w:r>
      <w:r w:rsidR="0043640D">
        <w:t xml:space="preserve"> dose</w:t>
      </w:r>
      <w:r w:rsidR="0025038E">
        <w:t>.</w:t>
      </w:r>
    </w:p>
    <w:p w14:paraId="5A715A02" w14:textId="749D7683" w:rsidR="00684FC4" w:rsidRPr="00AB4D51" w:rsidRDefault="008C734E" w:rsidP="00684FC4">
      <w:pPr>
        <w:rPr>
          <w:b/>
        </w:rPr>
      </w:pPr>
      <w:r>
        <w:rPr>
          <w:b/>
        </w:rPr>
        <w:t>Methods</w:t>
      </w:r>
    </w:p>
    <w:p w14:paraId="6806EC96" w14:textId="4C82201E" w:rsidR="008C734E" w:rsidRDefault="008C734E" w:rsidP="008C734E">
      <w:r>
        <w:t>Premature infants (&lt;35 weeks gestation) were randomized to receive PCV13 at 2 and 4 months (reduced schedule); 2, 3 and 4 months (accelerated schedule); or 2, 4 and 6 months (extended schedule). All infants received a 12-month PCV13 booster.  Serotype-specific pneumococcal immunoglobulin G (IgG) for PCV13 serotypes were measured by ELISA 1 month after primary and booster vaccinations.</w:t>
      </w:r>
    </w:p>
    <w:p w14:paraId="381ECB0E" w14:textId="56AE7F2B" w:rsidR="00684FC4" w:rsidRDefault="00F35AB7" w:rsidP="00BE270E">
      <w:pPr>
        <w:rPr>
          <w:b/>
        </w:rPr>
      </w:pPr>
      <w:r w:rsidRPr="00BE270E">
        <w:rPr>
          <w:b/>
        </w:rPr>
        <w:t>Results</w:t>
      </w:r>
    </w:p>
    <w:p w14:paraId="4CBAB55E" w14:textId="48857985" w:rsidR="008C734E" w:rsidRPr="008C734E" w:rsidRDefault="008C734E" w:rsidP="00BE270E">
      <w:r>
        <w:t>A total of 210 infants (</w:t>
      </w:r>
      <w:r>
        <w:rPr>
          <w:lang w:val="en-US"/>
        </w:rPr>
        <w:t>median birth gestation 29</w:t>
      </w:r>
      <w:r w:rsidRPr="00EE2861">
        <w:rPr>
          <w:vertAlign w:val="superscript"/>
          <w:lang w:val="en-US"/>
        </w:rPr>
        <w:t>+6</w:t>
      </w:r>
      <w:r>
        <w:rPr>
          <w:lang w:val="en-US"/>
        </w:rPr>
        <w:t xml:space="preserve"> weeks, range 23</w:t>
      </w:r>
      <w:r w:rsidRPr="00EE2861">
        <w:rPr>
          <w:vertAlign w:val="superscript"/>
          <w:lang w:val="en-US"/>
        </w:rPr>
        <w:t>+2</w:t>
      </w:r>
      <w:r>
        <w:rPr>
          <w:lang w:val="en-US"/>
        </w:rPr>
        <w:t>-34</w:t>
      </w:r>
      <w:r w:rsidRPr="00EE2861">
        <w:rPr>
          <w:vertAlign w:val="superscript"/>
          <w:lang w:val="en-US"/>
        </w:rPr>
        <w:t>+6</w:t>
      </w:r>
      <w:r>
        <w:rPr>
          <w:lang w:val="en-US"/>
        </w:rPr>
        <w:t xml:space="preserve">) </w:t>
      </w:r>
      <w:r>
        <w:t>were included.</w:t>
      </w:r>
    </w:p>
    <w:p w14:paraId="4837E95C" w14:textId="77777777" w:rsidR="00963198" w:rsidRPr="00963198" w:rsidRDefault="007D2BD0" w:rsidP="00963198">
      <w:pPr>
        <w:pStyle w:val="pagecontents"/>
        <w:spacing w:before="0" w:beforeAutospacing="0" w:after="0" w:afterAutospacing="0"/>
        <w:rPr>
          <w:rFonts w:ascii="Times New Roman" w:hAnsi="Times New Roman"/>
          <w:color w:val="auto"/>
          <w:sz w:val="24"/>
          <w:szCs w:val="24"/>
        </w:rPr>
      </w:pPr>
      <w:r w:rsidRPr="00963198">
        <w:rPr>
          <w:rFonts w:ascii="Times New Roman" w:hAnsi="Times New Roman"/>
          <w:color w:val="auto"/>
          <w:sz w:val="24"/>
          <w:szCs w:val="24"/>
        </w:rPr>
        <w:t>Following</w:t>
      </w:r>
      <w:r w:rsidR="00684FC4" w:rsidRPr="00963198">
        <w:rPr>
          <w:rFonts w:ascii="Times New Roman" w:hAnsi="Times New Roman"/>
          <w:color w:val="auto"/>
          <w:sz w:val="24"/>
          <w:szCs w:val="24"/>
        </w:rPr>
        <w:t xml:space="preserve"> primary vaccination</w:t>
      </w:r>
      <w:r w:rsidR="0043639D" w:rsidRPr="00963198">
        <w:rPr>
          <w:rFonts w:ascii="Times New Roman" w:hAnsi="Times New Roman"/>
          <w:color w:val="auto"/>
          <w:sz w:val="24"/>
          <w:szCs w:val="24"/>
        </w:rPr>
        <w:t xml:space="preserve">, </w:t>
      </w:r>
      <w:r w:rsidR="00017C3B" w:rsidRPr="00963198">
        <w:rPr>
          <w:rFonts w:ascii="Times New Roman" w:hAnsi="Times New Roman"/>
          <w:color w:val="auto"/>
          <w:sz w:val="24"/>
          <w:szCs w:val="24"/>
        </w:rPr>
        <w:t>75</w:t>
      </w:r>
      <w:r w:rsidR="002306E8" w:rsidRPr="00963198">
        <w:rPr>
          <w:rFonts w:ascii="Times New Roman" w:hAnsi="Times New Roman"/>
          <w:color w:val="auto"/>
          <w:sz w:val="24"/>
          <w:szCs w:val="24"/>
        </w:rPr>
        <w:t>%</w:t>
      </w:r>
      <w:r w:rsidR="009A4DEF" w:rsidRPr="00963198">
        <w:rPr>
          <w:rFonts w:ascii="Times New Roman" w:hAnsi="Times New Roman"/>
          <w:color w:val="auto"/>
          <w:sz w:val="24"/>
          <w:szCs w:val="24"/>
        </w:rPr>
        <w:t xml:space="preserve"> (95% CI 62-85)</w:t>
      </w:r>
      <w:r w:rsidR="002306E8" w:rsidRPr="00963198">
        <w:rPr>
          <w:rFonts w:ascii="Times New Roman" w:hAnsi="Times New Roman"/>
          <w:color w:val="auto"/>
          <w:sz w:val="24"/>
          <w:szCs w:val="24"/>
        </w:rPr>
        <w:t xml:space="preserve">, </w:t>
      </w:r>
      <w:r w:rsidR="00017C3B" w:rsidRPr="00963198">
        <w:rPr>
          <w:rFonts w:ascii="Times New Roman" w:hAnsi="Times New Roman"/>
          <w:color w:val="auto"/>
          <w:sz w:val="24"/>
          <w:szCs w:val="24"/>
        </w:rPr>
        <w:t>88</w:t>
      </w:r>
      <w:r w:rsidR="002306E8" w:rsidRPr="00963198">
        <w:rPr>
          <w:rFonts w:ascii="Times New Roman" w:hAnsi="Times New Roman"/>
          <w:color w:val="auto"/>
          <w:sz w:val="24"/>
          <w:szCs w:val="24"/>
        </w:rPr>
        <w:t>%</w:t>
      </w:r>
      <w:r w:rsidR="009A4DEF" w:rsidRPr="00963198">
        <w:rPr>
          <w:rFonts w:ascii="Times New Roman" w:hAnsi="Times New Roman"/>
          <w:color w:val="auto"/>
          <w:sz w:val="24"/>
          <w:szCs w:val="24"/>
        </w:rPr>
        <w:t xml:space="preserve"> (95% CI 76-95)</w:t>
      </w:r>
      <w:r w:rsidR="00017C3B" w:rsidRPr="00963198">
        <w:rPr>
          <w:rFonts w:ascii="Times New Roman" w:hAnsi="Times New Roman"/>
          <w:color w:val="auto"/>
          <w:sz w:val="24"/>
          <w:szCs w:val="24"/>
        </w:rPr>
        <w:t xml:space="preserve"> and 97</w:t>
      </w:r>
      <w:r w:rsidR="002306E8" w:rsidRPr="00963198">
        <w:rPr>
          <w:rFonts w:ascii="Times New Roman" w:hAnsi="Times New Roman"/>
          <w:color w:val="auto"/>
          <w:sz w:val="24"/>
          <w:szCs w:val="24"/>
        </w:rPr>
        <w:t>%</w:t>
      </w:r>
      <w:r w:rsidR="009A4DEF" w:rsidRPr="00963198">
        <w:rPr>
          <w:rFonts w:ascii="Times New Roman" w:hAnsi="Times New Roman"/>
          <w:color w:val="auto"/>
          <w:sz w:val="24"/>
          <w:szCs w:val="24"/>
        </w:rPr>
        <w:t xml:space="preserve"> (95% CI 87-99)</w:t>
      </w:r>
      <w:r w:rsidR="002306E8" w:rsidRPr="00963198">
        <w:rPr>
          <w:rFonts w:ascii="Times New Roman" w:hAnsi="Times New Roman"/>
          <w:color w:val="auto"/>
          <w:sz w:val="24"/>
          <w:szCs w:val="24"/>
        </w:rPr>
        <w:t xml:space="preserve"> </w:t>
      </w:r>
      <w:r w:rsidR="00F51094" w:rsidRPr="00963198">
        <w:rPr>
          <w:rFonts w:ascii="Times New Roman" w:hAnsi="Times New Roman"/>
          <w:color w:val="auto"/>
          <w:sz w:val="24"/>
          <w:szCs w:val="24"/>
        </w:rPr>
        <w:t xml:space="preserve">of participants </w:t>
      </w:r>
      <w:r w:rsidR="002306E8" w:rsidRPr="00963198">
        <w:rPr>
          <w:rFonts w:ascii="Times New Roman" w:hAnsi="Times New Roman"/>
          <w:color w:val="auto"/>
          <w:sz w:val="24"/>
          <w:szCs w:val="24"/>
        </w:rPr>
        <w:t xml:space="preserve">had protective antibody concentrations for at least half the PCV13 serotypes </w:t>
      </w:r>
      <w:r w:rsidR="00F51094" w:rsidRPr="00963198">
        <w:rPr>
          <w:rFonts w:ascii="Times New Roman" w:hAnsi="Times New Roman"/>
          <w:color w:val="auto"/>
          <w:sz w:val="24"/>
          <w:szCs w:val="24"/>
        </w:rPr>
        <w:t xml:space="preserve">for </w:t>
      </w:r>
      <w:r w:rsidR="002B3922" w:rsidRPr="00963198">
        <w:rPr>
          <w:rFonts w:ascii="Times New Roman" w:hAnsi="Times New Roman"/>
          <w:color w:val="auto"/>
          <w:sz w:val="24"/>
          <w:szCs w:val="24"/>
        </w:rPr>
        <w:t>the reduced, accelerated and extended schedules</w:t>
      </w:r>
      <w:r w:rsidR="002306E8" w:rsidRPr="00963198">
        <w:rPr>
          <w:rFonts w:ascii="Times New Roman" w:hAnsi="Times New Roman"/>
          <w:color w:val="auto"/>
          <w:sz w:val="24"/>
          <w:szCs w:val="24"/>
        </w:rPr>
        <w:t xml:space="preserve"> respectively.  </w:t>
      </w:r>
      <w:r w:rsidR="00963198" w:rsidRPr="00963198">
        <w:rPr>
          <w:rFonts w:ascii="Times New Roman" w:hAnsi="Times New Roman"/>
          <w:color w:val="auto"/>
          <w:sz w:val="24"/>
          <w:szCs w:val="24"/>
        </w:rPr>
        <w:t>Following booster vaccination, participants receiving the extended schedule had significantly lower (p&lt;0.05) geometric mean concentrations compared with reduced (for 9/13 serotypes) and accelerated schedules (for 4/13 serotypes), but nearly all participations, regardless of schedule or serotype, had seroprotective IgG concentrations.</w:t>
      </w:r>
    </w:p>
    <w:p w14:paraId="175C6402" w14:textId="2C36AA81" w:rsidR="00192433" w:rsidRPr="002B3922" w:rsidRDefault="0006648E" w:rsidP="00963198">
      <w:pPr>
        <w:tabs>
          <w:tab w:val="left" w:pos="6568"/>
        </w:tabs>
        <w:rPr>
          <w:b/>
        </w:rPr>
      </w:pPr>
      <w:r w:rsidRPr="002B3922">
        <w:rPr>
          <w:b/>
        </w:rPr>
        <w:t>Conclusions</w:t>
      </w:r>
      <w:r w:rsidR="002B3922" w:rsidRPr="002B3922">
        <w:rPr>
          <w:b/>
        </w:rPr>
        <w:t xml:space="preserve"> </w:t>
      </w:r>
    </w:p>
    <w:p w14:paraId="24760EF3" w14:textId="67FD2989" w:rsidR="002B3922" w:rsidRDefault="00963198">
      <w:pPr>
        <w:spacing w:line="240" w:lineRule="auto"/>
      </w:pPr>
      <w:r w:rsidRPr="00963198">
        <w:rPr>
          <w:szCs w:val="24"/>
        </w:rPr>
        <w:t>A reduced priming schedule of PCV13 resulted in higher post-booster IgG concentrations, but lower post-primary concentrations</w:t>
      </w:r>
      <w:r w:rsidR="003D36F3" w:rsidRPr="00963198">
        <w:rPr>
          <w:szCs w:val="24"/>
        </w:rPr>
        <w:t>.</w:t>
      </w:r>
      <w:r w:rsidR="003D36F3" w:rsidRPr="00963198">
        <w:t xml:space="preserve"> </w:t>
      </w:r>
      <w:r w:rsidR="003D36F3">
        <w:t>The optimum vaccine schedule for preterm infants will therefore depend on when they are most at risk of invasive pneumococcal disease.</w:t>
      </w:r>
      <w:r w:rsidR="002B3922">
        <w:br w:type="page"/>
      </w:r>
    </w:p>
    <w:p w14:paraId="53031229" w14:textId="77777777" w:rsidR="002B3922" w:rsidRDefault="002B3922" w:rsidP="002B3922">
      <w:pPr>
        <w:spacing w:line="240" w:lineRule="auto"/>
        <w:outlineLvl w:val="0"/>
      </w:pPr>
    </w:p>
    <w:p w14:paraId="4869C7E3" w14:textId="77777777" w:rsidR="00256DEE" w:rsidRPr="00F3549E" w:rsidRDefault="00256DEE" w:rsidP="00DE39EF">
      <w:pPr>
        <w:pStyle w:val="MediumGrid21"/>
        <w:outlineLvl w:val="0"/>
        <w:rPr>
          <w:b/>
        </w:rPr>
      </w:pPr>
      <w:r w:rsidRPr="00F3549E">
        <w:rPr>
          <w:b/>
        </w:rPr>
        <w:t>Introduction</w:t>
      </w:r>
    </w:p>
    <w:p w14:paraId="1D263C90" w14:textId="6E9B80E5" w:rsidR="00256DEE" w:rsidRDefault="00256DEE" w:rsidP="00256DEE">
      <w:pPr>
        <w:pStyle w:val="MediumGrid21"/>
      </w:pPr>
      <w:r>
        <w:t>Premature infants are at increased risk of vaccine preventable diseases, including a two-fold risk of invasive pneumococcal disease (IPD) compared to term infants.</w:t>
      </w:r>
      <w:r w:rsidR="00634A07">
        <w:fldChar w:fldCharType="begin" w:fldLock="1"/>
      </w:r>
      <w:r w:rsidR="00992AB4">
        <w:instrText>ADDIN CSL_CITATION { "citationItems" : [ { "id" : "ITEM-1", "itemData" : { "DOI" : "10.1186/1471-2334-10-12", "ISSN" : "1471-2334", "PMID" : "20085656", "abstract" : "BACKGROUND: Evidence for protection of preterm born infants from invasive pneumococcal disease (IPD) by 7-valent pneumococcal conjugate vaccination (PCV7) is relatively sparse. Data from randomized trials is based on relatively small numbers of preterm born children.\n\nMETHODS: We report data from active prospective surveillance of IPD in children in Germany. The cohorts of preterm born children in 2000 and 2007 and the respective whole birth cohorts are compared regarding occurrence of IPD.\n\nRESULTS: After introduction of PCV7 we observed a reduction in the rate of IPD in preterm born infants comparing the 2000 and 2007 birth cohort. The rate of IPD among the whole birth cohorts was reduced from 15.0 to 8.5 notifications per 100,000 (P &lt; .001). The impact among the preterm birth cohort was comparable: A reduction in notification rate from 26.1 to 16.7 per 100,000 comparing the 2000 with the 2007 preterm birth cohort (P = .39). Preterm born infants with IPD were either unvaccinated or vaccinated delayed or incomplete.\n\nCONCLUSIONS: This adds to evidence that PCV7 also protects preterm born infants effectively from IPD. Preterm born infants should receive pneumococcal vaccination according to their chronological age.", "author" : [ { "dropping-particle" : "", "family" : "R\u00fcckinger", "given" : "Simon", "non-dropping-particle" : "", "parse-names" : false, "suffix" : "" }, { "dropping-particle" : "", "family" : "Linden", "given" : "Mark", "non-dropping-particle" : "van der", "parse-names" : false, "suffix" : "" }, { "dropping-particle" : "", "family" : "Kries", "given" : "R\u00fcdiger", "non-dropping-particle" : "von", "parse-names" : false, "suffix" : "" } ], "container-title" : "BMC infectious diseases", "id" : "ITEM-1", "issue" : "July 2006", "issued" : { "date-parts" : [ [ "2010", "1" ] ] }, "page" : "12", "title" : "Effect of heptavalent pneumococcal conjugate vaccination on invasive pneumococcal disease in preterm born infants.", "type" : "article-journal", "volume" : "10" }, "uris" : [ "http://www.mendeley.com/documents/?uuid=79583137-c137-431e-b820-9f2ded7c58a8" ] }, { "id" : "ITEM-2", "itemData" : { "DOI" : "10.1086/512814", "ISSN" : "1537-6591", "PMID" : "17366448", "abstract" : "BACKGROUND: Denmark's systems of registry-based data offer a unique opportunity to examine, on a population basis, risk factors for invasive pneumococcal disease (IPD) relating to perinatal and crowding exposures among children. The main objective of this study was to identify the role of familial and day care factors in the risk of IPD among unvaccinated infants and children.\n\nMETHODS: A total of 1381 children aged 0-5 years old who experienced IPD were identified from a national surveillance program of IPD in Denmark. Risk factors were assessed in a matched, nested, case-control study that assigned 10 population control subjects to every case patient. Exposure information was obtained from several population-based, person-identifiable Danish registries.\n\nRESULTS: Preterm birth and low birth weight significantly increased the risk of IPD among infants. In infants 0-5 months of age, the risk of IPD was high among infants who had older siblings, compared with infants of the same age who had no older siblings (adjusted rate ratio [aRR], 3.38; 95% confidence interval, 2.11-5.42), whereas the aRR was low (aRR, 0.56; 95% confidence interval, 0.47-0.65) in children aged 6-23 months. Day care attendance, compared with home care, increased the aRR of IPD 0-2 months after enrollment in a day care program (aRR, 2.28; 95% confidence interval, 1.73-3.00), whereas the aRR was 0.70; (95% confidence interval, 0.46-1.06) &gt; or = 6 months after enrollment in children aged 6-23 months.\n\nCONCLUSIONS: During infancy (age, 0-6 months), risk of IPD is associated with low birth weight, presumably because of lower levels of passively acquired maternal antibody. During early childhood, exposure to other young children (either siblings or through day care attendance) is clearly associated with IPD, but natural exposure appears to occur rapidly and confer durable immunity.", "author" : [ { "dropping-particle" : "", "family" : "Hjuler", "given" : "Thomas", "non-dropping-particle" : "", "parse-names" : false, "suffix" : "" }, { "dropping-particle" : "", "family" : "Wohlfahrt", "given" : "Jan", "non-dropping-particle" : "", "parse-names" : false, "suffix" : "" }, { "dropping-particle" : "", "family" : "Simonsen", "given" : "Jacob", "non-dropping-particle" : "", "parse-names" : false, "suffix" : "" }, { "dropping-particle" : "", "family" : "Kaltoft", "given" : "Margit S", "non-dropping-particle" : "", "parse-names" : false, "suffix" : "" }, { "dropping-particle" : "", "family" : "Koch", "given" : "Anders", "non-dropping-particle" : "", "parse-names" : false, "suffix" : "" }, { "dropping-particle" : "", "family" : "Kamper-J\u00f8rgensen", "given" : "Mads", "non-dropping-particle" : "", "parse-names" : false, "suffix" : "" }, { "dropping-particle" : "", "family" : "Biggar", "given" : "Robert J", "non-dropping-particle" : "", "parse-names" : false, "suffix" : "" }, { "dropping-particle" : "", "family" : "Melbye", "given" : "Mads", "non-dropping-particle" : "", "parse-names" : false, "suffix" : "" } ], "container-title" : "Clinical infectious diseases : an official publication of the Infectious Diseases Society of America", "id" : "ITEM-2", "issue" : "8", "issued" : { "date-parts" : [ [ "2007", "4", "15" ] ] }, "page" : "1051-6", "title" : "Perinatal and crowding-related risk factors for invasive pneumococcal disease in infants and young children: a population-based case-control study.", "type" : "article-journal", "volume" : "44" }, "uris" : [ "http://www.mendeley.com/documents/?uuid=41875e5f-d5df-486d-87b8-0f4adee8df9b" ] }, { "id" : "ITEM-3", "itemData" : { "ISSN" : "0891-3668", "PMID" : "12005078", "abstract" : "OBJECTIVE: To determine the efficacy, immunogenicity and safety of the heptavalent CRM197 pneumococcal conjugate vaccine (PCV) in low birth weight (LBW) and preterm (PT) infants against invasive pneumococcal disease caused by vaccine types.\n\nMETHODS: In a randomized double blind trial of 37,868 infants given either PCV or meningococcal type C conjugate vaccine (MCV), 1756 infants &lt;750 g &lt;2500 g (LBW) and 4340 infants from 32 to &lt;38 weeks old (PT) were identified. Risk of invasive pneumococcal disease in LBW and PT infants was compared with risk in normal birth weight (NBW) and full term (FT) infants. Local and systemic events observed within 48 h of recent vaccine were assessed by telephone interviews and similar comparisons made. Premature infant Emergency Department visits and hospitalization were also identified and compared with FT and NBW infants.\n\nRESULTS: Initiation of immunization and intervals between doses were similar for all groups. The risk ratio for invasive pneumococcal diseases for LBW infants compared with NBW infants was 2.6 (P = 0.03), and for PT compared with FT infants the risk ratio was 1.6 (P = 0.06). Vaccine efficacy for both groups was 100%. PCV was as immunogenic in LBW and PT as in NBW and FT infants. Fever and local events after PCV vaccination were similar when adjusted for clustering among multiple doses per child. When stratified for individual doses there was more redness and swelling for LBW infants and more swelling for PT infants after Dose 3. Isolated local and systemic reactions were more commonly seen with PCV than with MCV, a pattern similar to that in NBW and FT infants. Hospitalization rates were similar for PCV and MCV recipients.\n\nCONCLUSION: These data support the use of PCV in LBW infants and PT infants.", "author" : [ { "dropping-particle" : "", "family" : "Shinefield", "given" : "Henry", "non-dropping-particle" : "", "parse-names" : false, "suffix" : "" }, { "dropping-particle" : "", "family" : "Black", "given" : "Steven", "non-dropping-particle" : "", "parse-names" : false, "suffix" : "" }, { "dropping-particle" : "", "family" : "Ray", "given" : "Paula", "non-dropping-particle" : "", "parse-names" : false, "suffix" : "" }, { "dropping-particle" : "", "family" : "Fireman", "given" : "Bruce", "non-dropping-particle" : "", "parse-names" : false, "suffix" : "" }, { "dropping-particle" : "", "family" : "Schwalbe", "given" : "Joan", "non-dropping-particle" : "", "parse-names" : false, "suffix" : "" }, { "dropping-particle" : "", "family" : "Lewis", "given" : "Edwin", "non-dropping-particle" : "", "parse-names" : false, "suffix" : "" } ], "container-title" : "The Pediatric infectious disease journal", "id" : "ITEM-3", "issue" : "3", "issued" : { "date-parts" : [ [ "2002", "3" ] ] }, "page" : "182-6", "title" : "Efficacy, immunogenicity and safety of heptavalent pneumococcal conjugate vaccine in low birth weight and preterm infants.", "type" : "article-journal", "volume" : "21" }, "uris" : [ "http://www.mendeley.com/documents/?uuid=cdc159e0-376b-4ad4-b6c5-d8b55246a6b6" ] } ], "mendeley" : { "formattedCitation" : "[1\u20133]", "plainTextFormattedCitation" : "[1\u20133]", "previouslyFormattedCitation" : "[1\u20133]" }, "properties" : { "noteIndex" : 0 }, "schema" : "https://github.com/citation-style-language/schema/raw/master/csl-citation.json" }</w:instrText>
      </w:r>
      <w:r w:rsidR="00634A07">
        <w:fldChar w:fldCharType="separate"/>
      </w:r>
      <w:r w:rsidR="00042309" w:rsidRPr="00042309">
        <w:rPr>
          <w:noProof/>
        </w:rPr>
        <w:t>[1–3]</w:t>
      </w:r>
      <w:r w:rsidR="00634A07">
        <w:fldChar w:fldCharType="end"/>
      </w:r>
    </w:p>
    <w:p w14:paraId="5EEE25C5" w14:textId="75564979" w:rsidR="00256DEE" w:rsidRDefault="00256DEE" w:rsidP="00256DEE">
      <w:pPr>
        <w:pStyle w:val="MediumGrid21"/>
      </w:pPr>
      <w:r>
        <w:t xml:space="preserve">In most industrialised countries with established pneumococcal </w:t>
      </w:r>
      <w:r w:rsidR="00670EA5">
        <w:t>immunization</w:t>
      </w:r>
      <w:r>
        <w:t xml:space="preserve"> programmes, the 13-valent pneumo</w:t>
      </w:r>
      <w:r w:rsidR="0043640D">
        <w:t>coccal conjugate vaccine (PCV13</w:t>
      </w:r>
      <w:r w:rsidR="00F95229">
        <w:t xml:space="preserve">) has superseded </w:t>
      </w:r>
      <w:r>
        <w:t>the 7-valent PCV and has been shown to be highly immunogenic in term infants.</w:t>
      </w:r>
      <w:r w:rsidR="00634A07">
        <w:fldChar w:fldCharType="begin" w:fldLock="1"/>
      </w:r>
      <w:r w:rsidR="0052390D">
        <w:instrText>ADDIN CSL_CITATION { "citationItems" : [ { "id" : "ITEM-1", "itemData" : { "DOI" : "10.1097/INF.0b013e3181faa6be", "ISSN" : "0891-3668", "author" : [ { "dropping-particle" : "", "family" : "Snape", "given" : "Matthew D.", "non-dropping-particle" : "", "parse-names" : false, "suffix" : "" }, { "dropping-particle" : "", "family" : "Klinger", "given" : "Chaam L.", "non-dropping-particle" : "", "parse-names" : false, "suffix" : "" }, { "dropping-particle" : "", "family" : "Daniels", "given" : "Elvis D.", "non-dropping-particle" : "", "parse-names" : false, "suffix" : "" }, { "dropping-particle" : "", "family" : "John", "given" : "Tessa M.", "non-dropping-particle" : "", "parse-names" : false, "suffix" : "" }, { "dropping-particle" : "", "family" : "Layton", "given" : "Helen", "non-dropping-particle" : "", "parse-names" : false, "suffix" : "" }, { "dropping-particle" : "", "family" : "Rollinson", "given" : "Llinos", "non-dropping-particle" : "", "parse-names" : false, "suffix" : "" }, { "dropping-particle" : "", "family" : "Pestridge", "given" : "Sarah", "non-dropping-particle" : "", "parse-names" : false, "suffix" : "" }, { "dropping-particle" : "", "family" : "Dymond", "given" : "Sandra", "non-dropping-particle" : "", "parse-names" : false, "suffix" : "" }, { "dropping-particle" : "", "family" : "Galiza", "given" : "Eva", "non-dropping-particle" : "", "parse-names" : false, "suffix" : "" }, { "dropping-particle" : "", "family" : "Tansey", "given" : "Susan", "non-dropping-particle" : "", "parse-names" : false, "suffix" : "" }, { "dropping-particle" : "", "family" : "Scott", "given" : "Daniel a.", "non-dropping-particle" : "", "parse-names" : false, "suffix" : "" }, { "dropping-particle" : "", "family" : "Baker", "given" : "Sherryl a.", "non-dropping-particle" : "", "parse-names" : false, "suffix" : "" }, { "dropping-particle" : "", "family" : "Jones", "given" : "Thomas R.", "non-dropping-particle" : "", "parse-names" : false, "suffix" : "" }, { "dropping-particle" : "", "family" : "Yu", "given" : "Ly-Mee", "non-dropping-particle" : "", "parse-names" : false, "suffix" : "" }, { "dropping-particle" : "", "family" : "Gruber", "given" : "William C.", "non-dropping-particle" : "", "parse-names" : false, "suffix" : "" }, { "dropping-particle" : "", "family" : "Emini", "given" : "Emilio a.", "non-dropping-particle" : "", "parse-names" : false, "suffix" : "" }, { "dropping-particle" : "", "family" : "Faust", "given" : "Saul N.", "non-dropping-particle" : "", "parse-names" : false, "suffix" : "" }, { "dropping-particle" : "", "family" : "Finn", "given" : "Adam", "non-dropping-particle" : "", "parse-names" : false, "suffix" : "" }, { "dropping-particle" : "", "family" : "Heath", "given" : "Paul T.", "non-dropping-particle" : "", "parse-names" : false, "suffix" : "" }, { "dropping-particle" : "", "family" : "Pollard", "given" : "Andrew J.", "non-dropping-particle" : "", "parse-names" : false, "suffix" : "" } ], "container-title" : "The Pediatric Infectious Disease Journal", "id" : "ITEM-1", "issue" : "12", "issued" : { "date-parts" : [ [ "2010", "12" ] ] }, "page" : "e80-e90", "title" : "Immunogenicity and Reactogenicity of a 13-Valent-pneumococcal Conjugate Vaccine Administered at 2, 4, and 12 Months of Age", "type" : "article-journal", "volume" : "29" }, "uris" : [ "http://www.mendeley.com/documents/?uuid=62033d66-673e-4af9-a31e-2a10677e840e" ] }, { "id" : "ITEM-2", "itemData" : { "DOI" : "10.1371/journal.pone.0074906", "ISSN" : "1932-6203", "PMID" : "24086394", "abstract" : "BACKGROUND: Protection against disease or colonization from serotypes related to those in pneumococcal conjugate vaccines (i.e. cross-protection) vary by serotype; the basis for this variation is not understood. The 13-valent pneumococcal conjugate vaccine (PCV13) replaced 7-valent conjugate (PCV7) in the USA in 2010 allowing assessment of PCV7 and PCV13 immunogenicity and functional cross-protection in vitro.\n\nMETHODS: Post-primary, pre-booster and post-booster sera from American Indian children receiving exclusively PCV7 or PCV13 were collected. IgG was measured by ELISA for 13 vaccine serotypes; functional antibody was assessed by opsonophagocytic killing assays for serotypes 6A/B/C and 19A/F.\n\nRESULTS: Post-primary IgG geometric mean concentrations (GMC) for serotypes 4 and 9V were lower in PCV13 recipients while 19F GMCs were higher. Only 19F differences persisted after receipt of the booster dose. Functional antibody activity was higher among PCV13 recipients for 6A, 6C, 19A and 19F (p&lt;0.04), and among PCV7 recipients for 6B (p\u200a=\u200a0.01). Following PCV7, functional antibodies to 6A but not 19A were observed. High levels of 6C functional activity were seen after PCV13 but not PCV7.\n\nCONCLUSIONS: Functional antibody activity against 6A/B/C and 19A/F suggest that PCV13 is likely to control the 19A disease and 6C disease remaining despite widespread use of PCV7.", "author" : [ { "dropping-particle" : "", "family" : "Grant", "given" : "Lindsay R", "non-dropping-particle" : "", "parse-names" : false, "suffix" : "" }, { "dropping-particle" : "", "family" : "O'Brien", "given" : "Sarah E", "non-dropping-particle" : "", "parse-names" : false, "suffix" : "" }, { "dropping-particle" : "", "family" : "Burbidge", "given" : "Polly", "non-dropping-particle" : "", "parse-names" : false, "suffix" : "" }, { "dropping-particle" : "", "family" : "Haston", "given" : "Mitch", "non-dropping-particle" : "", "parse-names" : false, "suffix" : "" }, { "dropping-particle" : "", "family" : "Zancolli", "given" : "Marta", "non-dropping-particle" : "", "parse-names" : false, "suffix" : "" }, { "dropping-particle" : "", "family" : "Cowell", "given" : "Lucy", "non-dropping-particle" : "", "parse-names" : false, "suffix" : "" }, { "dropping-particle" : "", "family" : "Johnson", "given" : "Marina", "non-dropping-particle" : "", "parse-names" : false, "suffix" : "" }, { "dropping-particle" : "", "family" : "Weatherholtz", "given" : "Robert C", "non-dropping-particle" : "", "parse-names" : false, "suffix" : "" }, { "dropping-particle" : "", "family" : "Reid", "given" : "Raymond", "non-dropping-particle" : "", "parse-names" : false, "suffix" : "" }, { "dropping-particle" : "", "family" : "Santosham", "given" : "Mathuram", "non-dropping-particle" : "", "parse-names" : false, "suffix" : "" }, { "dropping-particle" : "", "family" : "O'Brien", "given" : "Katherine L", "non-dropping-particle" : "", "parse-names" : false, "suffix" : "" }, { "dropping-particle" : "", "family" : "Goldblatt", "given" : "David", "non-dropping-particle" : "", "parse-names" : false, "suffix" : "" } ], "container-title" : "PloS one", "id" : "ITEM-2", "issue" : "9", "issued" : { "date-parts" : [ [ "2013", "1" ] ] }, "page" : "e74906", "title" : "Comparative immunogenicity of 7 and 13-valent pneumococcal conjugate vaccines and the development of functional antibodies to cross-reactive serotypes.", "type" : "article-journal", "volume" : "8" }, "uris" : [ "http://www.mendeley.com/documents/?uuid=a1f48cf2-ee6d-4590-aac6-d12be8924470" ] }, { "id" : "ITEM-3", "itemData" : { "DOI" : "10.1016/j.vaccine.2011.09.112", "ISSN" : "1873-2518", "PMID" : "21983361", "abstract" : "Efficacy of the new serotypes in the 13-valent pneumococcal conjugate vaccine (PCV13) against invasive pneumococcal disease (IPD) was based on a putative correlate of protection. In England and Wales, PCV13 replaced PCV7 in the 2, 4, and 13 month schedule in April 2010. Using non-vaccine type IPD cases as controls, we estimated vaccine effectiveness (VE) for the new serotypes. Among 166 IPD cases in PCV13 eligible children reported by July 2011 with known serotype and vaccination status, VE for 2 doses under a year was 78% (95% confidence interval -18% to 96%) and 77% (38-91%) for one dose over a year. VE for 7F and 19A was 76% (21-93%) and 70% (10-90%) respectively for \u2265one dose. VE for serotypes 1 and 3 was 62% and 66% respectively although confidence intervals spanned zero. IPD due to PCV13-only serotypes halved in children under 2 years in the study period.", "author" : [ { "dropping-particle" : "", "family" : "Miller", "given" : "Elizabeth", "non-dropping-particle" : "", "parse-names" : false, "suffix" : "" }, { "dropping-particle" : "", "family" : "Andrews", "given" : "Nicholas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"George", "given" : "Robert C", "non-dropping-particle" : "", "parse-names" : false, "suffix" : "" } ], "container-title" : "Vaccine", "id" : "ITEM-3", "issue" : "49", "issued" : { "date-parts" : [ [ "2011", "11", "15" ] ] }, "page" : "9127-31", "title" : "Effectiveness of the new serotypes in the 13-valent pneumococcal conjugate vaccine.", "type" : "article-journal", "volume" : "29" }, "uris" : [ "http://www.mendeley.com/documents/?uuid=88800e31-891a-4f63-9163-59b1e78c69eb" ] } ], "mendeley" : { "formattedCitation" : "[4\u20136]", "plainTextFormattedCitation" : "[4\u20136]", "previouslyFormattedCitation" : "[4\u20136]" }, "properties" : { "noteIndex" : 0 }, "schema" : "https://github.com/citation-style-language/schema/raw/master/csl-citation.json" }</w:instrText>
      </w:r>
      <w:r w:rsidR="00634A07">
        <w:fldChar w:fldCharType="separate"/>
      </w:r>
      <w:r w:rsidR="00042309" w:rsidRPr="00042309">
        <w:rPr>
          <w:noProof/>
        </w:rPr>
        <w:t>[4–6]</w:t>
      </w:r>
      <w:r w:rsidR="00634A07">
        <w:fldChar w:fldCharType="end"/>
      </w:r>
    </w:p>
    <w:p w14:paraId="712BDF04" w14:textId="475334BD" w:rsidR="00256DEE" w:rsidRDefault="00256DEE" w:rsidP="00256DEE">
      <w:pPr>
        <w:pStyle w:val="MediumGrid21"/>
      </w:pPr>
      <w:r>
        <w:t xml:space="preserve">The immunogenicity of PCV13 in </w:t>
      </w:r>
      <w:r w:rsidR="003D19E8">
        <w:t xml:space="preserve">premature </w:t>
      </w:r>
      <w:r>
        <w:t xml:space="preserve">infants receiving a 2-3-4 and </w:t>
      </w:r>
      <w:r w:rsidR="00F95229">
        <w:t>12-</w:t>
      </w:r>
      <w:r>
        <w:t xml:space="preserve">month schedule was only recently </w:t>
      </w:r>
      <w:r w:rsidR="004F613C">
        <w:t xml:space="preserve">reported </w:t>
      </w:r>
      <w:r>
        <w:t xml:space="preserve">and showed lower </w:t>
      </w:r>
      <w:r w:rsidR="008B5E58">
        <w:t>immunoglobulin G (</w:t>
      </w:r>
      <w:r>
        <w:t>IgG</w:t>
      </w:r>
      <w:r w:rsidR="008B5E58">
        <w:t>)</w:t>
      </w:r>
      <w:r>
        <w:t xml:space="preserve"> concentrations for 8 serotypes after both primary and booster doses compared to term infants.</w:t>
      </w:r>
      <w:r w:rsidR="00634A07">
        <w:fldChar w:fldCharType="begin" w:fldLock="1"/>
      </w:r>
      <w:r w:rsidR="0052390D">
        <w:instrText>ADDIN CSL_CITATION { "citationItems" : [ { "id" : "ITEM-1", "itemData" : { "author" : [ { "dropping-particle" : "", "family" : "Martin\u00f3n-Torres", "given" : "Federico", "non-dropping-particle" : "", "parse-names" : false, "suffix" : "" }, { "dropping-particle" : "", "family" : "Czajka", "given" : "Hanna", "non-dropping-particle" : "", "parse-names" : false, "suffix" : "" }, { "dropping-particle" : "", "family" : "Wysocki", "given" : "Jacek", "non-dropping-particle" : "", "parse-names" : false, "suffix" : "" } ], "container-title" : "Pediatrics", "id" : "ITEM-1", "issue" : "4", "issued" : { "date-parts" : [ [ "2015" ] ] }, "title" : "13-Valent Pneumococcal Conjugate Vaccine ( PCV13 ) in Preterm Versus Term Infants", "type" : "article-journal", "volume" : "135" }, "uris" : [ "http://www.mendeley.com/documents/?uuid=a4492c76-ce2f-445b-a534-6501b5a4a697" ] } ], "mendeley" : { "formattedCitation" : "[7]", "plainTextFormattedCitation" : "[7]", "previouslyFormattedCitation" : "[7]" }, "properties" : { "noteIndex" : 0 }, "schema" : "https://github.com/citation-style-language/schema/raw/master/csl-citation.json" }</w:instrText>
      </w:r>
      <w:r w:rsidR="00634A07">
        <w:fldChar w:fldCharType="separate"/>
      </w:r>
      <w:r w:rsidR="00042309" w:rsidRPr="00042309">
        <w:rPr>
          <w:noProof/>
        </w:rPr>
        <w:t>[7]</w:t>
      </w:r>
      <w:r w:rsidR="00634A07">
        <w:fldChar w:fldCharType="end"/>
      </w:r>
      <w:r>
        <w:t xml:space="preserve"> This lower immunogenicity is consistent with previous PCV7 studies </w:t>
      </w:r>
      <w:r>
        <w:fldChar w:fldCharType="begin" w:fldLock="1"/>
      </w:r>
      <w:r w:rsidR="0052390D">
        <w:instrText>ADDIN CSL_CITATION { "citationItems" : [ { "id" : "ITEM-1", "itemData" : { "DOI" : "10.1016/j.vaccine.2006.07.036", "ISSN" : "0264-410X", "PMID" : "17070968", "abstract" : "Data on the immunogenicity and memory induction of pneumococcal conjugate vaccines in very preterm infants is limited. We vaccinated 69 full term and 68 preterm infants (median gestational age (GA) 30 weeks) with a 7-valent pneumococcal conjugate vaccine (PCV7) at 2/3/4 months of age, followed by a plain polysaccharide booster at 12 months of age. IgG-GMC (ELISA) was significantly lower in preterm infants to six vaccine serotypes (ST) at 2 months and 5 months of age, to five ST at 12 months of age and to three ST at 13 months of age. A significantly lower proportion of preterm infants achieved IgG levels&gt;or=0.35 microg/ml to ST 4, 6B and 9V at 5 months and to ST 4, 6B, 18C, 19F and 23F at 12 months of age. Fold rises following the polysaccharide booster were comparable to those of term infants. At least 93% of both cohorts achieved IgG&gt;or=0.35 microg/ml to all STs following booster vaccination. Pneumococcal conjugate vaccine at an accelerated schedule of 2/3/4 months of age is likely to provide protection against pneumococcal disease for preterm infants. Antibody concentrations wane over the first year of life in both preterm and term infants and booster vaccination is therefore likely to be important.", "author" : [ { "dropping-particle" : "", "family" : "Ruggeberg", "given" : "Jens U", "non-dropping-particle" : "", "parse-names" : false, "suffix" : "" }, { "dropping-particle" : "", "family" : "Collins", "given" : "Clare", "non-dropping-particle" : "", "parse-names" : false, "suffix" : "" }, { "dropping-particle" : "", "family" : "Clarke", "given" : "Paul", "non-dropping-particle" : "", "parse-names" : false, "suffix" : "" }, { "dropping-particle" : "", "family" : "Johnson", "given" : "Nik", "non-dropping-particle" : "", "parse-names" : false, "suffix" : "" }, { "dropping-particle" : "", "family" : "Sinha", "given" : "Ruchi", "non-dropping-particle" : "", "parse-names" : false, "suffix" : "" }, { "dropping-particle" : "", "family" : "Everest", "given" : "Neil", "non-dropping-particle" : "", "parse-names" : false, "suffix" : "" }, { "dropping-particle" : "", "family" : "Chang", "given" : "John", "non-dropping-particle" : "", "parse-names" : false, "suffix" : "" }, { "dropping-particle" : "", "family" : "Stanford", "given" : "Elaine", "non-dropping-particle" : "", "parse-names" : false, "suffix" : "" }, { "dropping-particle" : "", "family" : "Balmer", "given" : "Paul", "non-dropping-particle" : "", "parse-names" : false, "suffix" : "" }, { "dropping-particle" : "", "family" : "Borrow", "given" : "Ray", "non-dropping-particle" : "", "parse-names" : false, "suffix" : "" }, { "dropping-particle" : "", "family" : "Martin", "given" : "Sarah", "non-dropping-particle" : "", "parse-names" : false, "suffix" : "" }, { "dropping-particle" : "", "family" : "Robinson", "given" : "Michael J", "non-dropping-particle" : "", "parse-names" : false, "suffix" : "" }, { "dropping-particle" : "", "family" : "Moxon", "given" : "E Richard", "non-dropping-particle" : "", "parse-names" : false, "suffix" : "" }, { "dropping-particle" : "", "family" : "Pollard", "given" : "Andrew J", "non-dropping-particle" : "", "parse-names" : false, "suffix" : "" }, { "dropping-particle" : "", "family" : "Heath", "given" : "Paul T", "non-dropping-particle" : "", "parse-names" : false, "suffix" : "" } ], "container-title" : "Vaccine", "id" : "ITEM-1", "issue" : "2", "issued" : { "date-parts" : [ [ "2007", "1", "4" ] ] }, "page" : "264-71", "title" : "Immunogenicity and induction of immunological memory of the heptavalent pneumococcal conjugate vaccine in preterm UK infants.", "type" : "article-journal", "volume" : "25" }, "uris" : [ "http://www.mendeley.com/documents/?uuid=5385c160-2d68-43e7-b72d-8169f4432c04" ] }, { "id" : "ITEM-2", "itemData" : { "DOI" : "10.1128/CVI.00214-10", "ISSN" : "1556-679X", "PMID" : "20861323", "abstract" : "Preterm infants are at an increased risk of invasive pneumococcal disease infection and, additionally, have a diminished response to Haemophilus influenzae type b (Hib) conjugate vaccines. There are little data examining the response of preterm infants to a seven-valent pneumococcal conjugate vaccine (PCV7). We examined the responses of preterm infants immunized at 2, 3, and 4 months of age to PCV7. A total of 133 preterm and 54 term infants were immunized with PCV7 and the Neisseria meningitidis group C (MCC), diphtheria, tetanus, pertussis, polio, and Hib vaccines. Pneumococcal serotype-specific IgG was measured by enzyme-linked immunosorbent assay (ELISA) pre- and postimmunization and at 12 months or following a booster of PCV7. Term and preterm responses were compared using linear and logistic regression analyses. Term infants had higher preimmunization geometric mean concentrations (GMCs) for all serotypes. Preterm infants had lower postimmunization GMCs for serotype 23F. Gestational age affected postimmunization GMCs for serotypes 4, 6B, and 23F. Preterm infants were as likely to have levels of \u22650.35 \u03bcg/ml as term infants for all serotypes except 23F. The proportions of infants with titers of \u22650.35 \u03bcg/ml for all 7 serotypes were comparable between groups. A total of 28 of 29 term infants who received a booster had levels of \u22650.35 \u03bcg/ml for all serotypes. One infant had undetectable levels for serotype 6B. Of the 32 preterm infants boosted, 9 had levels of &lt;0.35 \u03bcg/ml for 1 serotype, and 1 had levels of &lt;0.35 \u03bcg/ml for 2 serotypes. In nonboosted infants, GMCs for all serotypes except 6B had fallen by 12 months of age. These results support the need for a booster dose in the second year of life.", "author" : [ { "dropping-particle" : "", "family" : "Moss", "given" : "S J", "non-dropping-particle" : "", "parse-names" : false, "suffix" : "" }, { "dropping-particle" : "", "family" : "Fenton", "given" : "A C", "non-dropping-particle" : "", "parse-names" : false, "suffix" : "" }, { "dropping-particle" : "", "family" : "Toomey", "given" : "J A", "non-dropping-particle" : "", "parse-names" : false, "suffix" : "" }, { "dropping-particle" : "", "family" : "Grainger", "given" : "A J", "non-dropping-particle" : "", "parse-names" : false, "suffix" : "" }, { "dropping-particle" : "", "family" : "Smith", "given" : "J", "non-dropping-particle" : "", "parse-names" : false, "suffix" : "" }, { "dropping-particle" : "", "family" : "Gennery", "given" : "A R", "non-dropping-particle" : "", "parse-names" : false, "suffix" : "" } ], "container-title" : "Clinical and vaccine immunology : CVI", "id" : "ITEM-2", "issue" : "11", "issued" : { "date-parts" : [ [ "2010", "11" ] ] }, "page" : "1810-6", "title" : "Responses to a conjugate pneumococcal vaccine in preterm infants immunized at 2, 3, and 4 months of age.", "type" : "article-journal", "volume" : "17" }, "uris" : [ "http://www.mendeley.com/documents/?uuid=9ed84b16-76d0-4eb7-8312-b8233c240b49" ] }, { "id" : "ITEM-3", "itemData" : { "DOI" : "10.1136/adc.2005.086306", "ISSN" : "1468-2044", "PMID" : "17056868", "abstract" : "Premature infants are at increased risk of vaccine preventable infections, but audits have shown that their vaccinations are often delayed. Early protection is desirable. While the evidence base for immunisation of preterm infants is limited, the available data support early immunisation without correction for gestational age. For a number of antigens the antibody response to initial doses may be lower than that of term infants, but protective concentrations are often achieved and memory successfully induced. A 2-3-4 month schedule may be preferable for immunisation of preterm infants in order to achieve protection as early as possible, but an additional dose may be required to achieve persistence of protection. This update focuses on the use of routine childhood vaccines in premature infants.", "author" : [ { "dropping-particle" : "", "family" : "Bonhoeffer", "given" : "J", "non-dropping-particle" : "", "parse-names" : false, "suffix" : "" }, { "dropping-particle" : "", "family" : "Siegrist", "given" : "C-a", "non-dropping-particle" : "", "parse-names" : false, "suffix" : "" }, { "dropping-particle" : "", "family" : "Heath", "given" : "P T", "non-dropping-particle" : "", "parse-names" : false, "suffix" : "" } ], "container-title" : "Archives of disease in childhood", "id" : "ITEM-3", "issue" : "11", "issued" : { "date-parts" : [ [ "2006", "11" ] ] }, "page" : "929-35", "title" : "Immunisation of premature infants.", "type" : "article-journal", "volume" : "91" }, "uris" : [ "http://www.mendeley.com/documents/?uuid=44da90a4-196d-4d14-b92d-b0dc435ac1d3" ] } ], "mendeley" : { "formattedCitation" : "[8\u201310]", "plainTextFormattedCitation" : "[8\u201310]", "previouslyFormattedCitation" : "[8\u201310]" }, "properties" : { "noteIndex" : 0 }, "schema" : "https://github.com/citation-style-language/schema/raw/master/csl-citation.json" }</w:instrText>
      </w:r>
      <w:r>
        <w:fldChar w:fldCharType="separate"/>
      </w:r>
      <w:r w:rsidR="00042309" w:rsidRPr="00042309">
        <w:rPr>
          <w:noProof/>
        </w:rPr>
        <w:t>[8–10]</w:t>
      </w:r>
      <w:r>
        <w:fldChar w:fldCharType="end"/>
      </w:r>
      <w:r>
        <w:t xml:space="preserve"> and is concerning because premature infants are also less likely to benefit from </w:t>
      </w:r>
      <w:r w:rsidR="0017039E">
        <w:t xml:space="preserve">the </w:t>
      </w:r>
      <w:r>
        <w:t>protective maternal antibodies transferred during late pregnancy.</w:t>
      </w:r>
    </w:p>
    <w:p w14:paraId="3B177E3C" w14:textId="5E1B1944" w:rsidR="00256DEE" w:rsidRDefault="00256DEE" w:rsidP="00256DEE">
      <w:pPr>
        <w:pStyle w:val="MediumGrid21"/>
      </w:pPr>
      <w:r>
        <w:t xml:space="preserve">Additionally, national </w:t>
      </w:r>
      <w:r w:rsidR="00670EA5">
        <w:t>immunization</w:t>
      </w:r>
      <w:r>
        <w:t xml:space="preserve"> programmes are increasingly including reduced (2) dose priming schedules.</w:t>
      </w:r>
      <w:r w:rsidR="006B7E33">
        <w:fldChar w:fldCharType="begin" w:fldLock="1"/>
      </w:r>
      <w:r w:rsidR="006B7E33">
        <w:instrText>ADDIN CSL_CITATION { "citationItems" : [ { "id" : "ITEM-1", "itemData" : { "DOI" : "10.1371/journal.pmed.1001839", "author" : [ { "dropping-particle" : "", "family" : "Flasche", "given" : "Stefan", "non-dropping-particle" : "", "parse-names" : false, "suffix" : "" }, { "dropping-particle" : "Van", "family" : "Hoek", "given" : "Albert Jan", "non-dropping-particle" : "", "parse-names" : false, "suffix" : "" }, { "dropping-particle" : "", "family" : "Goldblatt", "given" : "David", "non-dropping-particle" : "", "parse-names" : false, "suffix" : "" }, { "dropping-particle" : "", "family" : "Edmunds", "given" : "W John", "non-dropping-particle" : "", "parse-names" : false, "suffix" : "" }, { "dropping-particle" : "", "family" : "Brien", "given" : "L O", "non-dropping-particle" : "", "parse-names" : false, "suffix" : "" }, { "dropping-particle" : "", "family" : "Scott", "given" : "J Anthony G", "non-dropping-particle" : "", "parse-names" : false, "suffix" : "" }, { "dropping-particle" : "", "family" : "Miller", "given" : "Elizabeth", "non-dropping-particle" : "", "parse-names" : false, "suffix" : "" } ], "container-title" : "PloS Medicine", "id" : "ITEM-1", "issue" : "6", "issued" : { "date-parts" : [ [ "2015" ] ] }, "page" : "e1001839", "title" : "The Potential for Reducing the Number of Pneumococcal Conjugate Vaccine Doses While Sustaining Herd Immunity in High- Income Countries", "type" : "article-journal", "volume" : "12" }, "uris" : [ "http://www.mendeley.com/documents/?uuid=a524b14f-2928-4a91-a2b9-b9a79fe89dbc" ] }, { "id" : "ITEM-2", "itemData" : { "DOI" : "10.1080/21645515.2015.1019189", "ISSN" : "2164-554X", "PMID" : "25912095", "abstract" : "In 1999, the UK introduced meningococcal serogroup C conjugate (MCC) vaccination at 2, 3, 4 months of age with a single dose for children 1-18 y In 2006, the schedule was refined to a 2 dose priming schedule with a booster in the second year of life. In 2013, the number of priming doses was reduced to a single priming dose, the booster maintained at 12 months of age and an adolescent booster dose introduced. The paper presents the evidence supporting the reduction in the number of priming doses. A UK study provided evidence for reducing the priming doses of MCC-TT together with the positive correlation of lower quantity of antigen and serum bactericidal antibody (SBA) levels post-primary but a higher magnitude of the booster response. Another UK study, demonstrated one dose of MCC-TT or MCC-CRM197 at 3 months gave comparable responses to 2 doses (SBA titres \u22658) both post-primary vaccination and post-booster Hib/MCC-TT at 12 months. However, the magnitude of the SBA GMT was higher in the MCC-TT primed post-booster. A single priming dose of MCC-TT (at 4 or 6 months) compared to 2 doses (2 and 4 months) gave higher SBA titres in all groups, post-primary and post-booster at 12-13 months, with the highest SBA responses observed in the 4 month single dose group. A study in Malta, comparing one dose of MCC-TT or MCC-CRM197 at (3 months) versus 2 doses of MCC-CRM197 (3 and 4 months), showed a high proportion (&gt;84.72%) of subjects achieving SBA titres \u22658 following a single dose. These studies show that a single-dose priming MCC vaccination in infancy is sufficient.", "author" : [ { "dropping-particle" : "", "family" : "Findlow", "given" : "Helen", "non-dropping-particle" : "", "parse-names" : false, "suffix" : "" }, { "dropping-particle" : "", "family" : "Borrow", "given" : "Ray", "non-dropping-particle" : "", "parse-names" : false, "suffix" : "" } ], "container-title" : "Human vaccines &amp; immunotherapeutics", "id" : "ITEM-2", "issue" : "6", "issued" : { "date-parts" : [ [ "2015", "1" ] ] }, "page" : "1501-6", "title" : "Is a single infant priming dose of meningococcal serogroup C conjugate vaccine in the United Kingdom sufficient?", "type" : "article-journal", "volume" : "11" }, "uris" : [ "http://www.mendeley.com/documents/?uuid=eafac733-4c7e-4860-8d3b-31a406d24a05" ] } ], "mendeley" : { "formattedCitation" : "[11,12]", "plainTextFormattedCitation" : "[11,12]" }, "properties" : { "noteIndex" : 0 }, "schema" : "https://github.com/citation-style-language/schema/raw/master/csl-citation.json" }</w:instrText>
      </w:r>
      <w:r w:rsidR="006B7E33">
        <w:fldChar w:fldCharType="separate"/>
      </w:r>
      <w:r w:rsidR="006B7E33" w:rsidRPr="006B7E33">
        <w:rPr>
          <w:noProof/>
        </w:rPr>
        <w:t>[11,12]</w:t>
      </w:r>
      <w:r w:rsidR="006B7E33">
        <w:fldChar w:fldCharType="end"/>
      </w:r>
      <w:r>
        <w:t xml:space="preserve">  These schedules are immunogenic in term infants and, with some vaccines, may even improve B cell memory and booster responses.</w:t>
      </w:r>
      <w:r w:rsidR="00634A07">
        <w:fldChar w:fldCharType="begin" w:fldLock="1"/>
      </w:r>
      <w:r w:rsidR="006B7E33">
        <w:instrText>ADDIN CSL_CITATION { "citationItems" : [ { "id" : "ITEM-1", "itemData" : { "DOI" : "10.1016/j.vaccine.2010.02.065", "ISSN" : "1873-2518", "PMID" : "20199764", "abstract" : "Fijian infants aged 6 weeks were stratified by ethnicity and randomized to receive 0, 1, 2, or 3 PCV-7 doses with or without the 23-valent pneumococcal polysaccharide vaccine (PPV-23) at 12 months. Strong booster effects for all 7 PCV-7 serotypes were elicited, and for 4/7 serotypes these responses were highest in the single PCV-7 group. There were fourfold rises in GMC for all non-PCV-7 serotypes. By 17 months the PPV-23 group still had significantly higher GMC (each p&lt;0.001) for all serotypes. The PPV-23 was well tolerated and induced excellent responses for all serotypes which were greatest in the single PCV-7 group.", "author" : [ { "dropping-particle" : "", "family" : "Russell", "given" : "F M", "non-dropping-particle" : "", "parse-names" : false, "suffix" : "" }, { "dropping-particle" : "V", "family" : "Licciardi", "given" : "P", "non-dropping-particle" : "", "parse-names" : false, "suffix" : "" }, { "dropping-particle" : "", "family" : "Balloch", "given" : "A", "non-dropping-particle" : "", "parse-names" : false, "suffix" : "" }, { "dropping-particle" : "", "family" : "Biaukula", "given" : "V", "non-dropping-particle" : "", "parse-names" : false, "suffix" : "" }, { "dropping-particle" : "", "family" : "Tikoduadua", "given" : "L", "non-dropping-particle" : "", "parse-names" : false, "suffix" : "" }, { "dropping-particle" : "", "family" : "Carapetis", "given" : "J R", "non-dropping-particle" : "", "parse-names" : false, "suffix" : "" }, { "dropping-particle" : "", "family" : "Nelson", "given" : "J", "non-dropping-particle" : "", "parse-names" : false, "suffix" : "" }, { "dropping-particle" : "", "family" : "Jenney", "given" : "A W J", "non-dropping-particle" : "", "parse-names" : false, "suffix" : "" }, { "dropping-particle" : "", "family" : "Waqatakirewa", "given" : "L", "non-dropping-particle" : "", "parse-names" : false, "suffix" : "" }, { "dropping-particle" : "", "family" : "Colquhoun", "given" : "S", "non-dropping-particle" : "", "parse-names" : false, "suffix" : "" }, { "dropping-particle" : "", "family" : "Cheung", "given" : "Y B", "non-dropping-particle" : "", "parse-names" : false, "suffix" : "" }, { "dropping-particle" : "", "family" : "Tang", "given" : "M L K", "non-dropping-particle" : "", "parse-names" : false, "suffix" : "" }, { "dropping-particle" : "", "family" : "Mulholland", "given" : "E K", "non-dropping-particle" : "", "parse-names" : false, "suffix" : "" } ], "container-title" : "Vaccine", "id" : "ITEM-1", "issue" : "18", "issued" : { "date-parts" : [ [ "2010", "4", "19" ] ] }, "page" : "3086-94", "publisher" : "Elsevier Ltd", "title" : "Safety and immunogenicity of the 23-valent pneumococcal polysaccharide vaccine at 12 months of age, following one, two, or three doses of the 7-valent pneumococcal conjugate vaccine in infancy.", "type" : "article-journal", "volume" : "28" }, "uris" : [ "http://www.mendeley.com/documents/?uuid=be9b875c-63a0-4fdb-879d-c4f26d5127b3" ] }, { "id" : "ITEM-2", "itemData" : { "author" : [ { "dropping-particle" : "", "family" : "Richmond", "given" : "Peter", "non-dropping-particle" : "", "parse-names" : false, "suffix" : "" }, { "dropping-particle" : "", "family" : "Borrow", "given" : "Ray", "non-dropping-particle" : "", "parse-names" : false, "suffix" : "" }, { "dropping-particle" : "", "family" : "Miller", "given" : "Elizabeth", "non-dropping-particle" : "", "parse-names" : false, "suffix" : "" }, { "dropping-particle" : "", "family" : "Clark", "given" : "Sarah", "non-dropping-particle" : "", "parse-names" : false, "suffix" : "" }, { "dropping-particle" : "", "family" : "Sadler", "given" : "Francesca", "non-dropping-particle" : "", "parse-names" : false, "suffix" : "" }, { "dropping-particle" : "", "family" : "Fox", "given" : "Andrew", "non-dropping-particle" : "", "parse-names" : false, "suffix" : "" }, { "dropping-particle" : "", "family" : "Begg", "given" : "Norman", "non-dropping-particle" : "", "parse-names" : false, "suffix" : "" }, { "dropping-particle" : "", "family" : "Morris", "given" : "Rhonwen", "non-dropping-particle" : "", "parse-names" : false, "suffix" : "" }, { "dropping-particle" : "", "family" : "Cartwright", "given" : "Keith", "non-dropping-particle" : "", "parse-names" : false, "suffix" : "" } ], "container-title" : "Journal of Infectious Diseases", "id" : "ITEM-2", "issued" : { "date-parts" : [ [ "1999" ] ] }, "page" : "1569-1572", "title" : "Meningococcal Serogroup C Conjugate Vaccine Is Immunogenic in Infancy and Primes for Memory", "type" : "article-journal", "volume" : "179" }, "uris" : [ "http://www.mendeley.com/documents/?uuid=ec97e59e-850f-452c-8883-3d46f0e8795d" ] }, { "id" : "ITEM-3", "itemData" : { "DOI" : "10.1128/IAI.71.10.5549", "author" : [ { "dropping-particle" : "", "family" : "Borrow", "given" : "Ray", "non-dropping-particle" : "", "parse-names" : false, "suffix" : "" }, { "dropping-particle" : "", "family" : "Goldblatt", "given" : "David", "non-dropping-particle" : "", "parse-names" : false, "suffix" : "" }, { "dropping-particle" : "", "family" : "Finn", "given" : "Adam", "non-dropping-particle" : "", "parse-names" : false, "suffix" : "" }, { "dropping-particle" : "", "family" : "Southern", "given" : "Joanna", "non-dropping-particle" : "", "parse-names" : false, "suffix" : "" }, { "dropping-particle" : "", "family" : "Ashton", "given" : "Lindsey", "non-dropping-particle" : "", "parse-names" : false, "suffix" : "" }, { "dropping-particle" : "", "family" : "Andrews", "given" : "Nick", "non-dropping-particle" : "", "parse-names" : false, "suffix" : "" }, { "dropping-particle" : "", "family" : "Lal", "given" : "Gouri", "non-dropping-particle" : "", "parse-names" : false, "suffix" : "" }, { "dropping-particle" : "", "family" : "Riley", "given" : "Christine", "non-dropping-particle" : "", "parse-names" : false, "suffix" : "" }, { "dropping-particle" : "", "family" : "Rahim", "given" : "Rukhsana", "non-dropping-particle" : "", "parse-names" : false, "suffix" : "" }, { "dropping-particle" : "", "family" : "Cartwright", "given" : "Keith", "non-dropping-particle" : "", "parse-names" : false, "suffix" : "" }, { "dropping-particle" : "", "family" : "Allan", "given" : "Geraldine", "non-dropping-particle" : "", "parse-names" : false, "suffix" : "" }, { "dropping-particle" : "", "family" : "Miller", "given" : "Elizabeth", "non-dropping-particle" : "", "parse-names" : false, "suffix" : "" } ], "container-title" : "Infection and Immunity", "id" : "ITEM-3", "issue" : "10", "issued" : { "date-parts" : [ [ "2003" ] ] }, "page" : "5549-5555", "title" : "Immunogenicity of, and Immunologic Memory to, a Reduced Primary Schedule of Meningococcal C-Tetanus Toxoid Conjugate Vaccine in Infants in the United Kingdom", "type" : "article-journal", "volume" : "71" }, "uris" : [ "http://www.mendeley.com/documents/?uuid=fb754588-c2f8-4313-84d8-a07d89343cf4" ] }, { "id" : "ITEM-4", "itemData" : { "DOI" : "10.1136/bmj.h1554", "author" : [ { "dropping-particle" : "", "family" : "Pace", "given" : "D", "non-dropping-particle" : "", "parse-names" : false, "suffix" : "" }, { "dropping-particle" : "", "family" : "Khatami", "given" : "Ameneh", "non-dropping-particle" : "", "parse-names" : false, "suffix" : "" }, { "dropping-particle" : "", "family" : "McKenna", "given" : "Jennifer", "non-dropping-particle" : "", "parse-names" : false, "suffix" : "" }, { "dropping-particle" : "", "family" : "Campbell", "given" : "Danielle", "non-dropping-particle" : "", "parse-names" : false, "suffix" : "" }, { "dropping-particle" : "", "family" : "Attard-Montalto", "given" : "Simon", "non-dropping-particle" : "", "parse-names" : false, "suffix" : "" }, { "dropping-particle" : "", "family" : "Birks", "given" : "Jacqueline", "non-dropping-particle" : "", "parse-names" : false, "suffix" : "" }, { "dropping-particle" : "", "family" : "Voysey", "given" : "Merryn", "non-dropping-particle" : "", "parse-names" : false, "suffix" : "" }, { "dropping-particle" : "", "family" : "White", "given" : "Catherine", "non-dropping-particle" : "", "parse-names" : false, "suffix" : "" }, { "dropping-particle" : "", "family" : "Finn", "given" : "Adam", "non-dropping-particle" : "", "parse-names" : false, "suffix" : "" }, { "dropping-particle" : "", "family" : "Macloed", "given" : "Emma", "non-dropping-particle" : "", "parse-names" : false, "suffix" : "" }, { "dropping-particle" : "", "family" : "Faust", "given" : "Saul N", "non-dropping-particle" : "", "parse-names" : false, "suffix" : "" }, { "dropping-particle" : "", "family" : "Kent", "given" : "Alison", "non-dropping-particle" : "", "parse-names" : false, "suffix" : "" }, { "dropping-particle" : "", "family" : "Heath", "given" : "Paul T", "non-dropping-particle" : "", "parse-names" : false, "suffix" : "" }, { "dropping-particle" : "", "family" : "Borrow", "given" : "Ray", "non-dropping-particle" : "", "parse-names" : false, "suffix" : "" }, { "dropping-particle" : "", "family" : "Snape", "given" : "Matthew D", "non-dropping-particle" : "", "parse-names" : false, "suffix" : "" }, { "dropping-particle" : "", "family" : "Pollard", "given" : "Andrew J", "non-dropping-particle" : "", "parse-names" : false, "suffix" : "" } ], "container-title" : "British medical journal (Clinical research ed.)", "id" : "ITEM-4", "issued" : { "date-parts" : [ [ "2015" ] ] }, "page" : "h1554", "title" : "Immunogenicity of reduced dose priming schedules of serogroup C meningococcal conjugate vaccine followed by a booster at 12 months in infants: an open label randomised controlled trial", "type" : "article-journal", "volume" : "350" }, "uris" : [ "http://www.mendeley.com/documents/?uuid=ce2148c9-b243-4af2-985b-e917000f9772" ] } ], "mendeley" : { "formattedCitation" : "[13\u201316]", "plainTextFormattedCitation" : "[13\u201316]", "previouslyFormattedCitation" : "[11\u201314]" }, "properties" : { "noteIndex" : 0 }, "schema" : "https://github.com/citation-style-language/schema/raw/master/csl-citation.json" }</w:instrText>
      </w:r>
      <w:r w:rsidR="00634A07">
        <w:fldChar w:fldCharType="separate"/>
      </w:r>
      <w:r w:rsidR="006B7E33" w:rsidRPr="006B7E33">
        <w:rPr>
          <w:noProof/>
        </w:rPr>
        <w:t>[13–16]</w:t>
      </w:r>
      <w:r w:rsidR="00634A07">
        <w:fldChar w:fldCharType="end"/>
      </w:r>
      <w:r>
        <w:t xml:space="preserve">  However, little is known about the immunogenicity of fewer primary doses in </w:t>
      </w:r>
      <w:r w:rsidR="003D19E8">
        <w:t xml:space="preserve">premature </w:t>
      </w:r>
      <w:r>
        <w:t xml:space="preserve">infants. </w:t>
      </w:r>
    </w:p>
    <w:p w14:paraId="0F529F4A" w14:textId="77777777" w:rsidR="00256DEE" w:rsidRDefault="00256DEE" w:rsidP="00256DEE">
      <w:pPr>
        <w:pStyle w:val="MediumGrid21"/>
        <w:rPr>
          <w:szCs w:val="24"/>
        </w:rPr>
      </w:pPr>
    </w:p>
    <w:p w14:paraId="6FB5850A" w14:textId="2155A737" w:rsidR="00256DEE" w:rsidRDefault="00256DEE" w:rsidP="00256DEE">
      <w:pPr>
        <w:pStyle w:val="MediumGrid21"/>
      </w:pPr>
      <w:r>
        <w:rPr>
          <w:szCs w:val="24"/>
        </w:rPr>
        <w:t xml:space="preserve">This </w:t>
      </w:r>
      <w:r w:rsidR="00670EA5">
        <w:rPr>
          <w:szCs w:val="24"/>
        </w:rPr>
        <w:t>randomized</w:t>
      </w:r>
      <w:r>
        <w:rPr>
          <w:szCs w:val="24"/>
        </w:rPr>
        <w:t>, controlled trial</w:t>
      </w:r>
      <w:r w:rsidRPr="00053A55">
        <w:rPr>
          <w:szCs w:val="24"/>
        </w:rPr>
        <w:t xml:space="preserve"> aimed to assess the</w:t>
      </w:r>
      <w:r>
        <w:t xml:space="preserve"> immunogenicity of reduced, accelerated (intended to provide maximum early protection) and extended (doses administered over a longer period) PCV13 priming schedules in premature infants after completion of the primary series and after a 12</w:t>
      </w:r>
      <w:r w:rsidR="00930712">
        <w:t>-</w:t>
      </w:r>
      <w:r>
        <w:t xml:space="preserve">month booster. </w:t>
      </w:r>
    </w:p>
    <w:p w14:paraId="21BDC273" w14:textId="77777777" w:rsidR="00256DEE" w:rsidRDefault="00256DEE" w:rsidP="00256DEE">
      <w:pPr>
        <w:pStyle w:val="MediumGrid21"/>
      </w:pPr>
    </w:p>
    <w:p w14:paraId="07D98C53" w14:textId="77777777" w:rsidR="00E15883" w:rsidRDefault="00E15883" w:rsidP="00DE39EF">
      <w:pPr>
        <w:pStyle w:val="MediumGrid21"/>
        <w:outlineLvl w:val="0"/>
        <w:rPr>
          <w:b/>
        </w:rPr>
        <w:sectPr w:rsidR="00E15883" w:rsidSect="00D60CF2">
          <w:pgSz w:w="11906" w:h="16838"/>
          <w:pgMar w:top="1440" w:right="1440" w:bottom="1440" w:left="1440" w:header="708" w:footer="113" w:gutter="0"/>
          <w:cols w:space="708"/>
          <w:docGrid w:linePitch="360"/>
        </w:sectPr>
      </w:pPr>
    </w:p>
    <w:p w14:paraId="3FE8F7C3" w14:textId="77777777" w:rsidR="00256DEE" w:rsidRPr="00F3549E" w:rsidRDefault="00256DEE" w:rsidP="00DE39EF">
      <w:pPr>
        <w:pStyle w:val="MediumGrid21"/>
        <w:outlineLvl w:val="0"/>
        <w:rPr>
          <w:b/>
        </w:rPr>
      </w:pPr>
      <w:r w:rsidRPr="00F3549E">
        <w:rPr>
          <w:b/>
        </w:rPr>
        <w:lastRenderedPageBreak/>
        <w:t xml:space="preserve">Patients and Methods </w:t>
      </w:r>
    </w:p>
    <w:p w14:paraId="6775C2BD" w14:textId="77777777" w:rsidR="00256DEE" w:rsidRPr="00DD076A" w:rsidRDefault="00256DEE" w:rsidP="00DE39EF">
      <w:pPr>
        <w:pStyle w:val="MediumGrid21"/>
        <w:outlineLvl w:val="0"/>
        <w:rPr>
          <w:b/>
        </w:rPr>
      </w:pPr>
      <w:r w:rsidRPr="00DD076A">
        <w:rPr>
          <w:b/>
        </w:rPr>
        <w:t>Participants and recruitment</w:t>
      </w:r>
    </w:p>
    <w:p w14:paraId="2BBCB0C4" w14:textId="11277B2F" w:rsidR="00256DEE" w:rsidRPr="00367083" w:rsidRDefault="00256DEE" w:rsidP="00256DEE">
      <w:pPr>
        <w:pStyle w:val="MediumGrid21"/>
      </w:pPr>
      <w:r>
        <w:t>Premature infants were enrolled in a phase IV open-label</w:t>
      </w:r>
      <w:r w:rsidRPr="00367083">
        <w:t xml:space="preserve"> </w:t>
      </w:r>
      <w:r w:rsidR="00670EA5">
        <w:t>randomized</w:t>
      </w:r>
      <w:r>
        <w:t xml:space="preserve"> controlled trial from 12 UK </w:t>
      </w:r>
      <w:r w:rsidR="004F613C">
        <w:t>centre</w:t>
      </w:r>
      <w:r w:rsidR="006637DC">
        <w:t>s between May 2012</w:t>
      </w:r>
      <w:r>
        <w:t xml:space="preserve"> and May 2013.   Potentially eligible infants were identified by the clinical team</w:t>
      </w:r>
      <w:r w:rsidR="00930712">
        <w:t>s</w:t>
      </w:r>
      <w:r>
        <w:t xml:space="preserve"> and parents were provided with information by the research team</w:t>
      </w:r>
      <w:r w:rsidR="00930712">
        <w:t>s</w:t>
      </w:r>
      <w:r>
        <w:t>.  Infants were eligible for inclusion if they had a birth gestation less than 35</w:t>
      </w:r>
      <w:r w:rsidRPr="00036C11">
        <w:rPr>
          <w:vertAlign w:val="superscript"/>
        </w:rPr>
        <w:t>+0</w:t>
      </w:r>
      <w:r>
        <w:t xml:space="preserve"> weeks, had no contra-indications for vaccination as defined by Department of Health guidelines</w:t>
      </w:r>
      <w:r>
        <w:fldChar w:fldCharType="begin" w:fldLock="1"/>
      </w:r>
      <w:r w:rsidR="006B7E33">
        <w:instrText>ADDIN CSL_CITATION { "citationItems" : [ { "id" : "ITEM-1", "itemData" : { "URL" : "https://www.gov.uk/government/collections/immunisation-against-infectious-disease-the-green-book", "author" : [ { "dropping-particle" : "", "family" : "Department of Health", "given" : "", "non-dropping-particle" : "", "parse-names" : false, "suffix" : "" } ], "chapter-number" : "Contraindi", "editor" : [ { "dropping-particle" : "", "family" : "Salisbury", "given" : "D", "non-dropping-particle" : "", "parse-names" : false, "suffix" : "" }, { "dropping-particle" : "", "family" : "Ramsey", "given" : "M", "non-dropping-particle" : "", "parse-names" : false, "suffix" : "" }, { "dropping-particle" : "", "family" : "Noakes", "given" : "K", "non-dropping-particle" : "", "parse-names" : false, "suffix" : "" } ], "id" : "ITEM-1", "issued" : { "date-parts" : [ [ "2006" ] ] }, "publisher" : "The Stationary Office", "publisher-place" : "London, UK", "title" : "Contraindications and special considerations (Chapter 6). Immunisation against Infectious Disease: The Green Book", "type" : "webpage" }, "uris" : [ "http://www.mendeley.com/documents/?uuid=b657e721-57dc-4690-a5c9-fe5500b872ee" ] } ], "mendeley" : { "formattedCitation" : "[17]", "plainTextFormattedCitation" : "[17]", "previouslyFormattedCitation" : "[15]" }, "properties" : { "noteIndex" : 0 }, "schema" : "https://github.com/citation-style-language/schema/raw/master/csl-citation.json" }</w:instrText>
      </w:r>
      <w:r>
        <w:fldChar w:fldCharType="separate"/>
      </w:r>
      <w:r w:rsidR="006B7E33" w:rsidRPr="006B7E33">
        <w:rPr>
          <w:noProof/>
        </w:rPr>
        <w:t>[17]</w:t>
      </w:r>
      <w:r>
        <w:fldChar w:fldCharType="end"/>
      </w:r>
      <w:r>
        <w:t xml:space="preserve"> and were between 7 and 12 weeks of age.  Additionally, infants should not have received any other vaccinations (with the exceptions of BCG and hepatitis B).  </w:t>
      </w:r>
      <w:r w:rsidR="003D19E8">
        <w:t xml:space="preserve">Information on the participants’ past medical, medication and vaccination history was collected </w:t>
      </w:r>
      <w:r w:rsidR="00804CE7">
        <w:t xml:space="preserve">from the medical records </w:t>
      </w:r>
      <w:r w:rsidR="003D19E8">
        <w:t>using a stan</w:t>
      </w:r>
      <w:r w:rsidR="00804CE7">
        <w:t>dardis</w:t>
      </w:r>
      <w:r w:rsidR="003D19E8">
        <w:t>ed case report form.</w:t>
      </w:r>
      <w:r>
        <w:t xml:space="preserve"> </w:t>
      </w:r>
    </w:p>
    <w:p w14:paraId="310E7265" w14:textId="47FDAE87" w:rsidR="00256DEE" w:rsidRDefault="00256DEE" w:rsidP="00256DEE">
      <w:pPr>
        <w:pStyle w:val="MediumGrid21"/>
      </w:pPr>
      <w:r>
        <w:t xml:space="preserve">Written informed consent was obtained from parents prior to </w:t>
      </w:r>
      <w:r w:rsidR="00723582">
        <w:t>enrolment</w:t>
      </w:r>
      <w:r>
        <w:t>.</w:t>
      </w:r>
      <w:r w:rsidR="009A4A74">
        <w:t xml:space="preserve">  </w:t>
      </w:r>
      <w:r>
        <w:t>The study was approved by the East of England – Essex research ethics committee (REC reference 07/HO301.11) and registered on the EudraCT clinical trial database (</w:t>
      </w:r>
      <w:r w:rsidRPr="00531AA7">
        <w:t>2007-007535-23</w:t>
      </w:r>
      <w:r>
        <w:t>).</w:t>
      </w:r>
    </w:p>
    <w:p w14:paraId="124767E2" w14:textId="77777777" w:rsidR="00256DEE" w:rsidRDefault="00256DEE" w:rsidP="00256DEE">
      <w:pPr>
        <w:pStyle w:val="MediumGrid21"/>
      </w:pPr>
    </w:p>
    <w:p w14:paraId="58690A40" w14:textId="77777777" w:rsidR="00256DEE" w:rsidRPr="008379BA" w:rsidRDefault="00256DEE" w:rsidP="00DE39EF">
      <w:pPr>
        <w:pStyle w:val="MediumGrid21"/>
        <w:outlineLvl w:val="0"/>
        <w:rPr>
          <w:b/>
        </w:rPr>
      </w:pPr>
      <w:r w:rsidRPr="008379BA">
        <w:rPr>
          <w:b/>
        </w:rPr>
        <w:t>Vaccination</w:t>
      </w:r>
    </w:p>
    <w:p w14:paraId="50BB23D6" w14:textId="0665898A" w:rsidR="00256DEE" w:rsidRDefault="00256DEE" w:rsidP="00256DEE">
      <w:pPr>
        <w:pStyle w:val="MediumGrid21"/>
      </w:pPr>
      <w:r>
        <w:t>Infants were randomly assigned (1:1:1) to receive PCV13 (</w:t>
      </w:r>
      <w:r w:rsidRPr="00A165E9">
        <w:t>Prevenar13</w:t>
      </w:r>
      <w:r>
        <w:t>; Pfizer, New Y</w:t>
      </w:r>
      <w:r w:rsidR="00091F38">
        <w:t>ork) at 2 and 4 months of age (r</w:t>
      </w:r>
      <w:r>
        <w:t>educed schedule - Group 1), at 2, 3 and 4 months of age (</w:t>
      </w:r>
      <w:r w:rsidR="00091F38">
        <w:t>a</w:t>
      </w:r>
      <w:r>
        <w:t xml:space="preserve">ccelerated schedule - </w:t>
      </w:r>
      <w:r w:rsidRPr="00E77F38">
        <w:t>Group 2) or at 2, 4 and 6 months of age (</w:t>
      </w:r>
      <w:r w:rsidR="00091F38">
        <w:t>e</w:t>
      </w:r>
      <w:r w:rsidRPr="00E77F38">
        <w:t>xtended schedule - Group 3)</w:t>
      </w:r>
      <w:r w:rsidR="00E77F38" w:rsidRPr="00E77F38">
        <w:t>(supplementary table 1</w:t>
      </w:r>
      <w:r w:rsidR="004F613C" w:rsidRPr="00E77F38">
        <w:t>)</w:t>
      </w:r>
      <w:r w:rsidRPr="00E77F38">
        <w:t>.</w:t>
      </w:r>
      <w:r>
        <w:t xml:space="preserve">  A booster dose of PCV13 was administered to all infants at 12 months of age.  Additionally, all participants received a combined diphtheria, tetanus, acellular pertussis, </w:t>
      </w:r>
      <w:r w:rsidRPr="00A165E9">
        <w:rPr>
          <w:i/>
        </w:rPr>
        <w:t>Haemophilus influenzae</w:t>
      </w:r>
      <w:r>
        <w:t xml:space="preserve"> type b and inactivated polio vaccine (</w:t>
      </w:r>
      <w:r w:rsidRPr="00A165E9">
        <w:t>Pediacel;</w:t>
      </w:r>
      <w:r>
        <w:t xml:space="preserve"> Sanofi Pasteur MSD, Lyon, France) at 2, 3 and 4 months old, meningococcal C-CRM</w:t>
      </w:r>
      <w:r w:rsidRPr="003A0F73">
        <w:rPr>
          <w:vertAlign w:val="subscript"/>
        </w:rPr>
        <w:t>197</w:t>
      </w:r>
      <w:r w:rsidR="009A4A74">
        <w:t xml:space="preserve"> vaccine</w:t>
      </w:r>
      <w:r>
        <w:t xml:space="preserve"> (Menjugate; Novartis Vaccines, Siena, Italy) at 3 and 4 months of age and a combined measles, mumps and rubella vaccine (Priorix; GlaxoSmithKline Biologicals, Rixensart, Belgium) and Hib-MenC-TT conjugate vaccine (Menitorix, GlaxoSmithKline Biologicals, Rixensart, Belgium) at 12 months of age</w:t>
      </w:r>
      <w:r w:rsidR="00DA74F0">
        <w:t xml:space="preserve"> (supplementary </w:t>
      </w:r>
      <w:r w:rsidR="00DA74F0">
        <w:lastRenderedPageBreak/>
        <w:t>table 1)</w:t>
      </w:r>
      <w:r>
        <w:t xml:space="preserve">.  </w:t>
      </w:r>
      <w:r w:rsidR="00D835B2">
        <w:t xml:space="preserve">Participants were vaccinated in hospital if still receiving inpatient care.  </w:t>
      </w:r>
      <w:r>
        <w:t>All vaccines were administered intramuscularly.</w:t>
      </w:r>
    </w:p>
    <w:p w14:paraId="365A9E29" w14:textId="4476D2F2" w:rsidR="00256DEE" w:rsidRPr="00367083" w:rsidRDefault="00256DEE" w:rsidP="00256DEE">
      <w:pPr>
        <w:pStyle w:val="MediumGrid21"/>
      </w:pPr>
      <w:r>
        <w:t xml:space="preserve">Computerised block </w:t>
      </w:r>
      <w:r w:rsidR="00E017E7">
        <w:t>randomization</w:t>
      </w:r>
      <w:r>
        <w:t xml:space="preserve"> was stratified by </w:t>
      </w:r>
      <w:r w:rsidR="004F613C">
        <w:t>centre</w:t>
      </w:r>
      <w:r>
        <w:t xml:space="preserve"> and gestation (&lt;30 or ≥30 weeks gestation) and each </w:t>
      </w:r>
      <w:r w:rsidR="004F613C">
        <w:t>centre</w:t>
      </w:r>
      <w:r>
        <w:t xml:space="preserve"> was allocated blocks of sequential numbers (block size 18).  Following consent the subject was allocated the next available study number for that </w:t>
      </w:r>
      <w:r w:rsidR="004F613C">
        <w:t>centre</w:t>
      </w:r>
      <w:r>
        <w:t xml:space="preserve"> and gestational age cohort, and the appropriate </w:t>
      </w:r>
      <w:r w:rsidR="002E3F97">
        <w:t xml:space="preserve">sealed </w:t>
      </w:r>
      <w:r>
        <w:t xml:space="preserve">envelope containing the group allocation opened.  </w:t>
      </w:r>
      <w:r w:rsidRPr="00367083">
        <w:t>T</w:t>
      </w:r>
      <w:r>
        <w:t xml:space="preserve">he study was not blinded to parents </w:t>
      </w:r>
      <w:r w:rsidR="00A126E2">
        <w:t xml:space="preserve">or </w:t>
      </w:r>
      <w:r>
        <w:t>clinical personnel</w:t>
      </w:r>
      <w:r w:rsidR="001A60D3">
        <w:t>.</w:t>
      </w:r>
      <w:r>
        <w:t xml:space="preserve"> </w:t>
      </w:r>
    </w:p>
    <w:p w14:paraId="4D72676E" w14:textId="77777777" w:rsidR="00256DEE" w:rsidRDefault="00256DEE" w:rsidP="00256DEE">
      <w:pPr>
        <w:pStyle w:val="MediumGrid21"/>
      </w:pPr>
    </w:p>
    <w:p w14:paraId="38F6CD50" w14:textId="40614126" w:rsidR="00256DEE" w:rsidRPr="00417CBA" w:rsidRDefault="00256DEE" w:rsidP="00DE39EF">
      <w:pPr>
        <w:pStyle w:val="MediumGrid21"/>
        <w:outlineLvl w:val="0"/>
        <w:rPr>
          <w:b/>
        </w:rPr>
      </w:pPr>
      <w:r w:rsidRPr="00417CBA">
        <w:rPr>
          <w:b/>
        </w:rPr>
        <w:t>Blood sampling and serological methods</w:t>
      </w:r>
    </w:p>
    <w:p w14:paraId="6F2F548B" w14:textId="3BD043D4" w:rsidR="00256DEE" w:rsidRDefault="00256DEE" w:rsidP="00256DEE">
      <w:pPr>
        <w:pStyle w:val="MediumGrid21"/>
      </w:pPr>
      <w:r>
        <w:t>Up to 3</w:t>
      </w:r>
      <w:r w:rsidR="00E017E7">
        <w:t xml:space="preserve"> </w:t>
      </w:r>
      <w:r>
        <w:t xml:space="preserve">mL of whole blood </w:t>
      </w:r>
      <w:r w:rsidR="00694DE4">
        <w:t>was</w:t>
      </w:r>
      <w:r>
        <w:t xml:space="preserve"> obtained from each participant prior to the first vaccination (baseline), </w:t>
      </w:r>
      <w:r w:rsidR="00A126E2">
        <w:t xml:space="preserve">1 </w:t>
      </w:r>
      <w:r>
        <w:t xml:space="preserve">month following </w:t>
      </w:r>
      <w:r w:rsidRPr="00E017E7">
        <w:rPr>
          <w:lang w:val="en-US"/>
        </w:rPr>
        <w:t>primary</w:t>
      </w:r>
      <w:r>
        <w:t xml:space="preserve"> vaccination (at</w:t>
      </w:r>
      <w:r w:rsidR="00A126E2">
        <w:t xml:space="preserve"> age</w:t>
      </w:r>
      <w:r>
        <w:t xml:space="preserve"> 5 months for Group</w:t>
      </w:r>
      <w:r w:rsidR="00A126E2">
        <w:t>s</w:t>
      </w:r>
      <w:r>
        <w:t xml:space="preserve"> 1 and 2 participants and at </w:t>
      </w:r>
      <w:r w:rsidR="00A126E2">
        <w:t xml:space="preserve">age </w:t>
      </w:r>
      <w:r>
        <w:t xml:space="preserve">7 months </w:t>
      </w:r>
      <w:r w:rsidR="00A126E2">
        <w:t>for</w:t>
      </w:r>
      <w:r>
        <w:t xml:space="preserve"> Group 3 participants), prior to and </w:t>
      </w:r>
      <w:r w:rsidR="00A126E2">
        <w:t xml:space="preserve">1 </w:t>
      </w:r>
      <w:r>
        <w:t xml:space="preserve">month after booster vaccination (12 and 13 months </w:t>
      </w:r>
      <w:r w:rsidRPr="00E77F38">
        <w:t>respectively)</w:t>
      </w:r>
      <w:r w:rsidR="004F613C" w:rsidRPr="00E77F38">
        <w:t xml:space="preserve"> </w:t>
      </w:r>
      <w:r w:rsidR="00E77F38" w:rsidRPr="00E77F38">
        <w:t>(supplementary table 1</w:t>
      </w:r>
      <w:r w:rsidR="004F613C" w:rsidRPr="00E77F38">
        <w:t>)</w:t>
      </w:r>
      <w:r w:rsidRPr="00E77F38">
        <w:t>.</w:t>
      </w:r>
      <w:r w:rsidR="006637DC">
        <w:t xml:space="preserve">  </w:t>
      </w:r>
    </w:p>
    <w:p w14:paraId="31DEE0A2" w14:textId="4A9AAA63" w:rsidR="00256DEE" w:rsidRDefault="00256DEE" w:rsidP="00256DEE">
      <w:pPr>
        <w:pStyle w:val="NoSpacing"/>
      </w:pPr>
      <w:r>
        <w:t>Serological analysis was performed at the World Health Organisation reference laboratory for pneumococcal serology, Institute of Child Health, London.  Following extraction from whole blood, sera were stored at -70</w:t>
      </w:r>
      <w:r>
        <w:rPr>
          <w:rFonts w:cs="Times New Roman"/>
        </w:rPr>
        <w:t>°</w:t>
      </w:r>
      <w:r>
        <w:t>C prior to assay for pneumococcal serotype-specific immunoglobulin G (IgG) concentrations for the PCV13 pneumococcal serotypes by enzyme-linked immunosorbent assay (ELISA) as previously described.</w:t>
      </w:r>
      <w:r w:rsidR="00634A07">
        <w:fldChar w:fldCharType="begin" w:fldLock="1"/>
      </w:r>
      <w:r w:rsidR="006B7E33">
        <w:instrText>ADDIN CSL_CITATION { "citationItems" : [ { "id" : "ITEM-1", "itemData" : { "DOI" : "10.1128/CDLI.8.2.266", "author" : [ { "dropping-particle" : "", "family" : "Concepcion", "given" : "Nelydia F", "non-dropping-particle" : "", "parse-names" : false, "suffix" : "" }, { "dropping-particle" : "", "family" : "Frasch", "given" : "Carl E", "non-dropping-particle" : "", "parse-names" : false, "suffix" : "" } ], "container-title" : "Clinical and vaccine immunology : CVI", "id" : "ITEM-1", "issue" : "2", "issued" : { "date-parts" : [ [ "2001" ] ] }, "page" : "266-272", "title" : "Pneumococcal Type 22F Polysaccharide Absorption Improves the Specificity of a Enzyme-Linked Immunosorbent Assay", "type" : "article-journal", "volume" : "8" }, "uris" : [ "http://www.mendeley.com/documents/?uuid=f79f8961-2fbc-4064-9b60-6e0b1d8c0701" ] } ], "mendeley" : { "formattedCitation" : "[18]", "plainTextFormattedCitation" : "[18]", "previouslyFormattedCitation" : "[16]" }, "properties" : { "noteIndex" : 0 }, "schema" : "https://github.com/citation-style-language/schema/raw/master/csl-citation.json" }</w:instrText>
      </w:r>
      <w:r w:rsidR="00634A07">
        <w:fldChar w:fldCharType="separate"/>
      </w:r>
      <w:r w:rsidR="006B7E33" w:rsidRPr="006B7E33">
        <w:rPr>
          <w:noProof/>
        </w:rPr>
        <w:t>[18]</w:t>
      </w:r>
      <w:r w:rsidR="00634A07">
        <w:fldChar w:fldCharType="end"/>
      </w:r>
      <w:r>
        <w:t xml:space="preserve">  The lower limit of assay quantification was 0.15</w:t>
      </w:r>
      <w:r w:rsidR="00E017E7">
        <w:t xml:space="preserve"> </w:t>
      </w:r>
      <w:r>
        <w:rPr>
          <w:rFonts w:cs="Times New Roman"/>
        </w:rPr>
        <w:t>µ</w:t>
      </w:r>
      <w:r>
        <w:t>g/mL and IgG concentrations ≥0.35</w:t>
      </w:r>
      <w:r w:rsidR="00E017E7">
        <w:t xml:space="preserve"> </w:t>
      </w:r>
      <w:r>
        <w:t>µg/ml were considered protective.</w:t>
      </w:r>
      <w:r w:rsidR="00634A07">
        <w:fldChar w:fldCharType="begin" w:fldLock="1"/>
      </w:r>
      <w:r w:rsidR="006B7E33">
        <w:instrText>ADDIN CSL_CITATION { "citationItems" : [ { "id" : "ITEM-1", "itemData" : { "DOI" : "10.1016/S0264-410X(03)00230-5", "ISSN" : "0264410X", "author" : [ { "dropping-particle" : "", "family" : "J\u00f3dar", "given" : "Luis", "non-dropping-particle" : "", "parse-names" : false, "suffix" : "" }, { "dropping-particle" : "", "family" : "Butler", "given" : "Jay", "non-dropping-particle" : "", "parse-names" : false, "suffix" : "" }, { "dropping-particle" : "", "family" : "Carlone", "given" : "George", "non-dropping-particle" : "", "parse-names" : false, "suffix" : "" }, { "dropping-particle" : "", "family" : "Dagan", "given" : "Ron", "non-dropping-particle" : "", "parse-names" : false, "suffix" : "" }, { "dropping-particle" : "", "family" : "Goldblatt", "given" : "David", "non-dropping-particle" : "", "parse-names" : false, "suffix" : "" }, { "dropping-particle" : "", "family" : "K\u00e4yhty", "given" : "Helena", "non-dropping-particle" : "", "parse-names" : false, "suffix" : "" }, { "dropping-particle" : "", "family" : "Klugman", "given" : "Keith", "non-dropping-particle" : "", "parse-names" : false, "suffix" : "" }, { "dropping-particle" : "", "family" : "Plikaytis", "given" : "Brian", "non-dropping-particle" : "", "parse-names" : false, "suffix" : "" }, { "dropping-particle" : "", "family" : "Siber", "given" : "George", "non-dropping-particle" : "", "parse-names" : false, "suffix" : "" }, { "dropping-particle" : "", "family" : "Kohberger", "given" : "Robert", "non-dropping-particle" : "", "parse-names" : false, "suffix" : "" }, { "dropping-particle" : "", "family" : "Chang", "given" : "Ih", "non-dropping-particle" : "", "parse-names" : false, "suffix" : "" }, { "dropping-particle" : "", "family" : "Cherian", "given" : "Thomas", "non-dropping-particle" : "", "parse-names" : false, "suffix" : "" } ], "container-title" : "Vaccine", "id" : "ITEM-1", "issue" : "23", "issued" : { "date-parts" : [ [ "2003", "7" ] ] }, "page" : "3265-3272", "title" : "Serological criteria for evaluation and licensure of new pneumococcal conjugate vaccine formulations for use in infants", "type" : "article-journal", "volume" : "21" }, "uris" : [ "http://www.mendeley.com/documents/?uuid=8da6dc50-288d-4db2-ac9c-df97bb67fff0" ] } ], "mendeley" : { "formattedCitation" : "[19]", "plainTextFormattedCitation" : "[19]", "previouslyFormattedCitation" : "[17]" }, "properties" : { "noteIndex" : 0 }, "schema" : "https://github.com/citation-style-language/schema/raw/master/csl-citation.json" }</w:instrText>
      </w:r>
      <w:r w:rsidR="00634A07">
        <w:fldChar w:fldCharType="separate"/>
      </w:r>
      <w:r w:rsidR="006B7E33" w:rsidRPr="006B7E33">
        <w:rPr>
          <w:noProof/>
        </w:rPr>
        <w:t>[19]</w:t>
      </w:r>
      <w:r w:rsidR="00634A07">
        <w:fldChar w:fldCharType="end"/>
      </w:r>
    </w:p>
    <w:p w14:paraId="655E7977" w14:textId="77777777" w:rsidR="00256DEE" w:rsidRDefault="00256DEE" w:rsidP="00256DEE">
      <w:pPr>
        <w:pStyle w:val="MediumGrid21"/>
      </w:pPr>
    </w:p>
    <w:p w14:paraId="7466AFAE" w14:textId="77777777" w:rsidR="00256DEE" w:rsidRDefault="00256DEE" w:rsidP="00DE39EF">
      <w:pPr>
        <w:pStyle w:val="MediumGrid21"/>
        <w:outlineLvl w:val="0"/>
        <w:rPr>
          <w:b/>
        </w:rPr>
      </w:pPr>
      <w:r w:rsidRPr="00652BA2">
        <w:rPr>
          <w:b/>
        </w:rPr>
        <w:t>Safety analysis</w:t>
      </w:r>
    </w:p>
    <w:p w14:paraId="226EA42B" w14:textId="26FD3D40" w:rsidR="00256DEE" w:rsidRDefault="00256DEE" w:rsidP="00256DEE">
      <w:pPr>
        <w:pStyle w:val="MediumGrid21"/>
      </w:pPr>
      <w:r>
        <w:lastRenderedPageBreak/>
        <w:t>All participants were observed for immediate adverse reactions.  Solicited systemic and local adverse reactions were recorded by the infant’s main caregiver for 7 days following each vaccination</w:t>
      </w:r>
      <w:r w:rsidR="00FB568C">
        <w:t>.</w:t>
      </w:r>
      <w:r>
        <w:t xml:space="preserve">  </w:t>
      </w:r>
      <w:r w:rsidR="006637DC">
        <w:t>A</w:t>
      </w:r>
      <w:r>
        <w:t xml:space="preserve">ll </w:t>
      </w:r>
      <w:r w:rsidR="003B5868">
        <w:t xml:space="preserve">AEs </w:t>
      </w:r>
      <w:r w:rsidR="003D19E8">
        <w:t xml:space="preserve">(including serious adverse events) </w:t>
      </w:r>
      <w:r>
        <w:t>were recorded for 28 days after each vaccination</w:t>
      </w:r>
      <w:r w:rsidR="00FB568C">
        <w:t xml:space="preserve"> using an adverse event (AE) diary</w:t>
      </w:r>
      <w:r w:rsidR="006637DC">
        <w:t>.</w:t>
      </w:r>
      <w:r w:rsidR="00A0655B">
        <w:t xml:space="preserve">  </w:t>
      </w:r>
      <w:r w:rsidR="000578FD">
        <w:t>P</w:t>
      </w:r>
      <w:r w:rsidR="00AA319E">
        <w:t>arents had access to a 24-hour</w:t>
      </w:r>
      <w:r w:rsidR="00A0655B">
        <w:t xml:space="preserve"> </w:t>
      </w:r>
      <w:r w:rsidR="000578FD">
        <w:t>tele</w:t>
      </w:r>
      <w:r w:rsidR="00A0655B">
        <w:t xml:space="preserve">phone </w:t>
      </w:r>
      <w:r w:rsidR="00AA319E">
        <w:t xml:space="preserve">contact </w:t>
      </w:r>
      <w:r w:rsidR="000578FD">
        <w:t xml:space="preserve">number </w:t>
      </w:r>
      <w:r w:rsidR="00A0655B">
        <w:t>for AE reporting.</w:t>
      </w:r>
      <w:r w:rsidR="006637DC">
        <w:t xml:space="preserve"> </w:t>
      </w:r>
    </w:p>
    <w:p w14:paraId="099CC623" w14:textId="77777777" w:rsidR="00256DEE" w:rsidRPr="00652BA2" w:rsidRDefault="00256DEE" w:rsidP="00256DEE">
      <w:pPr>
        <w:pStyle w:val="MediumGrid21"/>
      </w:pPr>
    </w:p>
    <w:p w14:paraId="5E69EF40" w14:textId="77777777" w:rsidR="00256DEE" w:rsidRPr="00114A34" w:rsidRDefault="00256DEE" w:rsidP="00DE39EF">
      <w:pPr>
        <w:pStyle w:val="MediumGrid21"/>
        <w:outlineLvl w:val="0"/>
        <w:rPr>
          <w:b/>
        </w:rPr>
      </w:pPr>
      <w:r w:rsidRPr="00114A34">
        <w:rPr>
          <w:b/>
        </w:rPr>
        <w:t>Statistical analysis</w:t>
      </w:r>
    </w:p>
    <w:p w14:paraId="210C4F7B" w14:textId="695D6930" w:rsidR="00256DEE" w:rsidRPr="00225AD1" w:rsidRDefault="00256DEE" w:rsidP="00256DEE">
      <w:pPr>
        <w:pStyle w:val="MediumGrid21"/>
        <w:rPr>
          <w:szCs w:val="20"/>
        </w:rPr>
      </w:pPr>
      <w:r>
        <w:t>The primary objectives were to assess IgG geometric mean concentrations (GMC</w:t>
      </w:r>
      <w:r w:rsidR="00142824">
        <w:t>s</w:t>
      </w:r>
      <w:r>
        <w:t xml:space="preserve">) and the proportion of infants with protective serotype-specific antibody concentrations for PCV13 serotypes at </w:t>
      </w:r>
      <w:r w:rsidR="00317538">
        <w:t xml:space="preserve">1 </w:t>
      </w:r>
      <w:r>
        <w:t>month after completion of the primary vaccination course,</w:t>
      </w:r>
      <w:r w:rsidRPr="008E6546">
        <w:t xml:space="preserve"> </w:t>
      </w:r>
      <w:r>
        <w:t xml:space="preserve">according to the 3 schedules.  The main secondary objectives were to assess differences in serotype-specific IgG GMC and seroprotection rates </w:t>
      </w:r>
      <w:r w:rsidR="001C6806">
        <w:t xml:space="preserve">between schedules </w:t>
      </w:r>
      <w:r>
        <w:t xml:space="preserve">prior to and following booster vaccination at 12 months of age; and to quantify </w:t>
      </w:r>
      <w:r>
        <w:rPr>
          <w:rFonts w:cs="Tahoma"/>
          <w:color w:val="000000"/>
          <w:szCs w:val="20"/>
        </w:rPr>
        <w:t>t</w:t>
      </w:r>
      <w:r w:rsidRPr="00225AD1">
        <w:rPr>
          <w:rFonts w:cs="Tahoma"/>
          <w:color w:val="000000"/>
          <w:szCs w:val="20"/>
        </w:rPr>
        <w:t>h</w:t>
      </w:r>
      <w:r w:rsidRPr="00225AD1">
        <w:rPr>
          <w:rFonts w:cs="Tahoma"/>
          <w:szCs w:val="20"/>
        </w:rPr>
        <w:t xml:space="preserve">e percentage of children experiencing fever, local reactions and non-febrile systemic reactions within 7 days </w:t>
      </w:r>
      <w:r w:rsidRPr="00225AD1">
        <w:rPr>
          <w:rFonts w:cs="Tahoma"/>
          <w:szCs w:val="20"/>
          <w:lang w:val="en-US"/>
        </w:rPr>
        <w:t>following each vaccine dose</w:t>
      </w:r>
      <w:r>
        <w:rPr>
          <w:rFonts w:cs="Tahoma"/>
          <w:szCs w:val="20"/>
          <w:lang w:val="en-US"/>
        </w:rPr>
        <w:t>.</w:t>
      </w:r>
      <w:r w:rsidRPr="00225AD1">
        <w:rPr>
          <w:rFonts w:cs="Tahoma"/>
          <w:color w:val="000000"/>
          <w:szCs w:val="20"/>
        </w:rPr>
        <w:t xml:space="preserve"> </w:t>
      </w:r>
    </w:p>
    <w:p w14:paraId="7051E45E" w14:textId="0F5A022F" w:rsidR="00256DEE" w:rsidRPr="00883CFD" w:rsidRDefault="00256DEE" w:rsidP="00256DEE">
      <w:pPr>
        <w:pStyle w:val="MediumGrid21"/>
      </w:pPr>
      <w:r>
        <w:t xml:space="preserve">Pre-trial sample size calculations estimated a minimum of </w:t>
      </w:r>
      <w:r w:rsidRPr="00114A34">
        <w:t xml:space="preserve">60 infants in each </w:t>
      </w:r>
      <w:r>
        <w:t>group</w:t>
      </w:r>
      <w:r w:rsidRPr="00114A34">
        <w:t xml:space="preserve"> </w:t>
      </w:r>
      <w:r>
        <w:t>to detect</w:t>
      </w:r>
      <w:r w:rsidRPr="00114A34">
        <w:t xml:space="preserve"> </w:t>
      </w:r>
      <w:r>
        <w:t xml:space="preserve">at least a </w:t>
      </w:r>
      <w:r w:rsidRPr="00114A34">
        <w:t>2</w:t>
      </w:r>
      <w:r w:rsidR="00694DE4">
        <w:t xml:space="preserve"> fold difference</w:t>
      </w:r>
      <w:r w:rsidRPr="00114A34">
        <w:t xml:space="preserve"> between groups </w:t>
      </w:r>
      <w:r>
        <w:t xml:space="preserve">after primary </w:t>
      </w:r>
      <w:r w:rsidR="00670EA5">
        <w:t>immunization</w:t>
      </w:r>
      <w:r>
        <w:t xml:space="preserve">, </w:t>
      </w:r>
      <w:r w:rsidRPr="00114A34">
        <w:t xml:space="preserve">with 80% power </w:t>
      </w:r>
      <w:r>
        <w:t>and</w:t>
      </w:r>
      <w:r w:rsidRPr="00114A34">
        <w:t xml:space="preserve"> 5% significance. </w:t>
      </w:r>
      <w:r>
        <w:t xml:space="preserve"> </w:t>
      </w:r>
      <w:r w:rsidRPr="00114A34">
        <w:t xml:space="preserve">Based on </w:t>
      </w:r>
      <w:r>
        <w:t xml:space="preserve">published </w:t>
      </w:r>
      <w:r w:rsidRPr="00114A34">
        <w:t>data, the standard deviation of I</w:t>
      </w:r>
      <w:r w:rsidRPr="00883CFD">
        <w:t xml:space="preserve">gG responses was </w:t>
      </w:r>
      <w:r>
        <w:t>estimated</w:t>
      </w:r>
      <w:r w:rsidRPr="00883CFD">
        <w:t xml:space="preserve"> be 0.6 log</w:t>
      </w:r>
      <w:r w:rsidRPr="00D06A7A">
        <w:rPr>
          <w:vertAlign w:val="subscript"/>
        </w:rPr>
        <w:t>10</w:t>
      </w:r>
      <w:r w:rsidRPr="00883CFD">
        <w:t xml:space="preserve"> units</w:t>
      </w:r>
      <w:r>
        <w:t>.</w:t>
      </w:r>
      <w:r w:rsidR="00634A07">
        <w:fldChar w:fldCharType="begin" w:fldLock="1"/>
      </w:r>
      <w:r w:rsidR="006B7E33">
        <w:instrText>ADDIN CSL_CITATION { "citationItems" : [ { "id" : "ITEM-1", "itemData" : { "DOI" : "10.1097/INF.0b013e3181c67f04", "ISSN" : "1532-0987", "PMID" : "20010312", "abstract" : "BACKGROUND: Pneumococcal conjugate vaccine (PCV) was introduced in the United Kingdom immunization schedule in September 2006. This study was conducted to establish the immunogenicity of licensed PCV (Prevenar) at a reduced, 2 priming dose schedule (2+1) and to evaluate functional responses in the context of vaccine effectiveness.\n\nMETHODS: Infants were randomized to receive PCV at 2 and 3 months or 2 and 4 months of age. Boosters were administered at the same time as Haemophilus influenzae type B/meningococcal C conjugate and Measles, Mumps and Rubella or with Measles, Mumps and Rubella alone (www.ClinicalTrials.gov NCT00197808).\n\nRESULTS: PCV at 2/3 months of age was poorly immunogenic and recruitment to this arm was terminated. PCV at 2/4 months of age resulted in lower than expected responses to serotypes 6B and 23F. Functional analysis of serotype 6B by OPA revealed that an enzyme-linked immunosorbent assay cutoff of 0.2 microg/mL was a better predictor of OPA positivity than a cut off of 0.35 microg/mL. PCV booster responses were excellent and no interference from concomitant vaccines was noted.\n\nCONCLUSIONS: An interval of at least 8 weeks is required when starting PCV vaccination at 2 months of age although not all serotypes are equally immunogenic. Correlates of protection derived from enzyme-linked immunosorbent assay values may not be equally appropriate for all serotypes as illustrated by results for 6B in this study.", "author" : [ { "dropping-particle" : "", "family" : "Goldblatt", "given" : "David", "non-dropping-particle" : "", "parse-names" : false, "suffix" : "" }, { "dropping-particle" : "", "family" : "Southern", "given" : "Jo", "non-dropping-particle" : "", "parse-names" : false, "suffix" : "" }, { "dropping-particle" : "", "family" : "Ashton", "given" : "Lindsey", "non-dropping-particle" : "", "parse-names" : false, "suffix" : "" }, { "dropping-particle" : "", "family" : "Andrews", "given" : "Nick", "non-dropping-particle" : "", "parse-names" : false, "suffix" : "" }, { "dropping-particle" : "", "family" : "Woodgate", "given" : "Sarah", "non-dropping-particle" : "", "parse-names" : false, "suffix" : "" }, { "dropping-particle" : "", "family" : "Burbidge", "given" : "Polly", "non-dropping-particle" : "", "parse-names" : false, "suffix" : "" }, { "dropping-particle" : "", "family" : "Waight", "given" : "Pauline", "non-dropping-particle" : "", "parse-names" : false, "suffix" : "" }, { "dropping-particle" : "", "family" : "Miller", "given" : "Elizabeth", "non-dropping-particle" : "", "parse-names" : false, "suffix" : "" } ], "container-title" : "The Pediatric infectious disease journal", "id" : "ITEM-1", "issue" : "5", "issued" : { "date-parts" : [ [ "2010", "5" ] ] }, "page" : "401-5", "title" : "Immunogenicity of a reduced schedule of pneumococcal conjugate vaccine in healthy infants and correlates of protection for serotype 6B in the United Kingdom.", "type" : "article-journal", "volume" : "29" }, "uris" : [ "http://www.mendeley.com/documents/?uuid=0b504004-c18e-4bc8-bbd4-51e75d55d21c" ] } ], "mendeley" : { "formattedCitation" : "[20]", "plainTextFormattedCitation" : "[20]", "previouslyFormattedCitation" : "[18]" }, "properties" : { "noteIndex" : 0 }, "schema" : "https://github.com/citation-style-language/schema/raw/master/csl-citation.json" }</w:instrText>
      </w:r>
      <w:r w:rsidR="00634A07">
        <w:fldChar w:fldCharType="separate"/>
      </w:r>
      <w:r w:rsidR="006B7E33" w:rsidRPr="006B7E33">
        <w:rPr>
          <w:noProof/>
        </w:rPr>
        <w:t>[20]</w:t>
      </w:r>
      <w:r w:rsidR="00634A07">
        <w:fldChar w:fldCharType="end"/>
      </w:r>
      <w:r>
        <w:t xml:space="preserve">  To allow for drop </w:t>
      </w:r>
      <w:r w:rsidRPr="00883CFD">
        <w:t>out of subjects over the course of the study and the</w:t>
      </w:r>
      <w:r>
        <w:t xml:space="preserve"> challenges of obtaining</w:t>
      </w:r>
      <w:r w:rsidRPr="00883CFD">
        <w:t xml:space="preserve"> blood samples from very premature infants,</w:t>
      </w:r>
      <w:r w:rsidR="00D23E35">
        <w:t xml:space="preserve"> we </w:t>
      </w:r>
      <w:r w:rsidR="00DF03E8">
        <w:t>aimed</w:t>
      </w:r>
      <w:r w:rsidR="00D23E35">
        <w:t xml:space="preserve"> to recruit</w:t>
      </w:r>
      <w:r w:rsidRPr="00883CFD">
        <w:t xml:space="preserve"> </w:t>
      </w:r>
      <w:r w:rsidR="00DF03E8">
        <w:t>210 infants</w:t>
      </w:r>
      <w:r>
        <w:t>.</w:t>
      </w:r>
    </w:p>
    <w:p w14:paraId="10B2DD51" w14:textId="76CC13B5" w:rsidR="00256DEE" w:rsidRPr="00883CFD" w:rsidRDefault="00256DEE" w:rsidP="00256DEE">
      <w:pPr>
        <w:pStyle w:val="MediumGrid21"/>
      </w:pPr>
      <w:r>
        <w:t xml:space="preserve">Data were </w:t>
      </w:r>
      <w:r w:rsidR="00E017E7">
        <w:t>analyzed</w:t>
      </w:r>
      <w:r>
        <w:t xml:space="preserve"> using</w:t>
      </w:r>
      <w:r w:rsidRPr="00883CFD">
        <w:t xml:space="preserve"> a modified intention to treat analysis </w:t>
      </w:r>
      <w:r w:rsidR="00FB568C">
        <w:rPr>
          <w:color w:val="212121"/>
          <w:szCs w:val="24"/>
          <w:shd w:val="clear" w:color="auto" w:fill="FFFFFF"/>
        </w:rPr>
        <w:t>including</w:t>
      </w:r>
      <w:r w:rsidR="003D19E8" w:rsidRPr="0034040D">
        <w:rPr>
          <w:color w:val="212121"/>
          <w:szCs w:val="24"/>
          <w:shd w:val="clear" w:color="auto" w:fill="FFFFFF"/>
        </w:rPr>
        <w:t xml:space="preserve"> all infants </w:t>
      </w:r>
      <w:r w:rsidR="003D19E8">
        <w:rPr>
          <w:color w:val="212121"/>
          <w:szCs w:val="24"/>
          <w:shd w:val="clear" w:color="auto" w:fill="FFFFFF"/>
        </w:rPr>
        <w:t xml:space="preserve">who received a dose of PCV13 </w:t>
      </w:r>
      <w:r w:rsidR="003D19E8" w:rsidRPr="0034040D">
        <w:rPr>
          <w:color w:val="212121"/>
          <w:szCs w:val="24"/>
          <w:shd w:val="clear" w:color="auto" w:fill="FFFFFF"/>
        </w:rPr>
        <w:t>and from whom at least one post-vaccination blood sample was obtained</w:t>
      </w:r>
      <w:r w:rsidRPr="003D19E8">
        <w:rPr>
          <w:szCs w:val="24"/>
        </w:rPr>
        <w:t>.</w:t>
      </w:r>
      <w:r w:rsidRPr="00883CFD">
        <w:t xml:space="preserve">  GMCs and </w:t>
      </w:r>
      <w:r>
        <w:t xml:space="preserve">95% </w:t>
      </w:r>
      <w:r w:rsidRPr="00883CFD">
        <w:t>confidence intervals</w:t>
      </w:r>
      <w:r>
        <w:t xml:space="preserve"> (CI)</w:t>
      </w:r>
      <w:r w:rsidRPr="00883CFD">
        <w:t xml:space="preserve"> were calculated for each sampling time point, along with the proportion of infants achieving protective antibody concentration</w:t>
      </w:r>
      <w:r>
        <w:t>s</w:t>
      </w:r>
      <w:r w:rsidRPr="00883CFD">
        <w:t xml:space="preserve"> and binominal </w:t>
      </w:r>
      <w:r>
        <w:t>CI</w:t>
      </w:r>
      <w:r w:rsidRPr="00883CFD">
        <w:t xml:space="preserve">. </w:t>
      </w:r>
      <w:r>
        <w:t xml:space="preserve"> </w:t>
      </w:r>
      <w:r w:rsidRPr="00883CFD">
        <w:t xml:space="preserve">Results below the lower limit of quantification </w:t>
      </w:r>
      <w:r>
        <w:t xml:space="preserve">(LLQ) </w:t>
      </w:r>
      <w:r w:rsidRPr="00883CFD">
        <w:t>were taken to be half the LLQ for computational purposes</w:t>
      </w:r>
      <w:r>
        <w:t>.</w:t>
      </w:r>
    </w:p>
    <w:p w14:paraId="38E126F2" w14:textId="23EC667A" w:rsidR="00256DEE" w:rsidRPr="004F613C" w:rsidRDefault="00256DEE" w:rsidP="004F613C">
      <w:pPr>
        <w:pStyle w:val="MediumGrid21"/>
      </w:pPr>
      <w:r w:rsidRPr="00883CFD">
        <w:t>Statistical compar</w:t>
      </w:r>
      <w:r>
        <w:t>is</w:t>
      </w:r>
      <w:r w:rsidRPr="004F613C">
        <w:t xml:space="preserve">on of antibody concentrations and the proportion of participants with protective concentrations or AEs between the 3 trial arms were performed using the </w:t>
      </w:r>
      <w:r w:rsidR="000278FF" w:rsidRPr="004F613C">
        <w:t xml:space="preserve">Student’s </w:t>
      </w:r>
      <w:r w:rsidRPr="004F613C">
        <w:t xml:space="preserve">t-test and the χ2-test or </w:t>
      </w:r>
      <w:r w:rsidRPr="004F613C">
        <w:lastRenderedPageBreak/>
        <w:t xml:space="preserve">Fisher’s </w:t>
      </w:r>
      <w:r w:rsidR="000278FF" w:rsidRPr="004F613C">
        <w:t>exact test</w:t>
      </w:r>
      <w:r w:rsidRPr="004F613C">
        <w:t xml:space="preserve">, as appropriate.  </w:t>
      </w:r>
      <w:r w:rsidR="00DF03E8" w:rsidRPr="004F613C">
        <w:t xml:space="preserve">Statistical significance was defined as p&lt;0.05.  </w:t>
      </w:r>
      <w:r w:rsidR="002D6EA3" w:rsidRPr="002D6EA3">
        <w:rPr>
          <w:szCs w:val="24"/>
        </w:rPr>
        <w:t xml:space="preserve">To facilitate </w:t>
      </w:r>
      <w:r w:rsidR="002D6EA3" w:rsidRPr="002D6EA3">
        <w:rPr>
          <w:color w:val="212121"/>
          <w:szCs w:val="24"/>
          <w:lang w:eastAsia="en-GB"/>
        </w:rPr>
        <w:t>comparisons we have analysed schedules based on the proportions achieving adequate protection for at least half of the serotypes.</w:t>
      </w:r>
      <w:r w:rsidR="002D6EA3" w:rsidRPr="004F613C">
        <w:t xml:space="preserve"> </w:t>
      </w:r>
      <w:r w:rsidR="002D6EA3">
        <w:t xml:space="preserve"> </w:t>
      </w:r>
      <w:r w:rsidRPr="004F613C">
        <w:t xml:space="preserve">The number of serotypes with protective concentrations per participant were compared using the non-parametric Kruskal–Wallis one-way analysis of variance test.  </w:t>
      </w:r>
    </w:p>
    <w:p w14:paraId="309FE66F" w14:textId="6CD2ED9A" w:rsidR="00256DEE" w:rsidRPr="004F613C" w:rsidRDefault="00256DEE" w:rsidP="004F613C">
      <w:pPr>
        <w:pStyle w:val="MediumGrid21"/>
      </w:pPr>
      <w:r w:rsidRPr="004F613C">
        <w:t xml:space="preserve">Logistic regression was used to </w:t>
      </w:r>
      <w:r w:rsidR="003A7FFB" w:rsidRPr="004F613C">
        <w:t>examine</w:t>
      </w:r>
      <w:r w:rsidRPr="004F613C">
        <w:t xml:space="preserve"> the effect of gestation, the receipt of antenatal or postnatal steroids, blood transfusion, </w:t>
      </w:r>
      <w:r w:rsidR="00DF03E8" w:rsidRPr="004F613C">
        <w:rPr>
          <w:rStyle w:val="Emphasis"/>
          <w:i w:val="0"/>
          <w:iCs w:val="0"/>
        </w:rPr>
        <w:t>BCG vaccination</w:t>
      </w:r>
      <w:r w:rsidRPr="004F613C">
        <w:t xml:space="preserve">, early post-vaccination paracetamol and the presence of </w:t>
      </w:r>
      <w:r w:rsidR="00DF03E8" w:rsidRPr="004F613C">
        <w:t>chronic lung disease (</w:t>
      </w:r>
      <w:r w:rsidRPr="004F613C">
        <w:t>CLD</w:t>
      </w:r>
      <w:r w:rsidR="00DF03E8" w:rsidRPr="004F613C">
        <w:t>, defined as requiring oxygen or respiratory support at 28 days of age)</w:t>
      </w:r>
      <w:r w:rsidR="00E017E7">
        <w:t xml:space="preserve"> on seroprotection.   Analys</w:t>
      </w:r>
      <w:r w:rsidRPr="004F613C">
        <w:t xml:space="preserve">is was adjusted for gestation.  For post-primary vaccination results multivariable linear regression using log-transformed values was performed (adjusting for group and gestation).  Linear regression was not performed on baseline IgG concentrations due to the large number of results below the LLQ.  </w:t>
      </w:r>
    </w:p>
    <w:p w14:paraId="015805F9" w14:textId="77777777" w:rsidR="00256DEE" w:rsidRPr="007A23BA" w:rsidRDefault="00256DEE" w:rsidP="00256DEE">
      <w:pPr>
        <w:pStyle w:val="MediumGrid21"/>
      </w:pPr>
    </w:p>
    <w:p w14:paraId="28E9C62C" w14:textId="5643F196" w:rsidR="00256DEE" w:rsidRPr="00883CFD" w:rsidRDefault="00256DEE" w:rsidP="00DE39EF">
      <w:pPr>
        <w:pStyle w:val="MediumGrid21"/>
        <w:outlineLvl w:val="0"/>
      </w:pPr>
      <w:r w:rsidRPr="00883CFD">
        <w:t xml:space="preserve">All </w:t>
      </w:r>
      <w:r>
        <w:t xml:space="preserve">data were </w:t>
      </w:r>
      <w:r w:rsidR="00E017E7" w:rsidRPr="00E017E7">
        <w:rPr>
          <w:lang w:val="en-US"/>
        </w:rPr>
        <w:t>analyzed</w:t>
      </w:r>
      <w:r>
        <w:t xml:space="preserve"> </w:t>
      </w:r>
      <w:r w:rsidRPr="00883CFD">
        <w:t>using STATA version 13 (Stata Inc)</w:t>
      </w:r>
      <w:r>
        <w:t>.</w:t>
      </w:r>
    </w:p>
    <w:p w14:paraId="2B645FFA" w14:textId="77777777" w:rsidR="00256DEE" w:rsidRDefault="00256DEE" w:rsidP="00256DEE">
      <w:pPr>
        <w:pStyle w:val="MediumGrid21"/>
      </w:pPr>
    </w:p>
    <w:p w14:paraId="44C2BE91" w14:textId="77777777" w:rsidR="007108E1" w:rsidRDefault="007108E1" w:rsidP="00DE39EF">
      <w:pPr>
        <w:pStyle w:val="MediumGrid21"/>
        <w:outlineLvl w:val="0"/>
        <w:rPr>
          <w:b/>
        </w:rPr>
        <w:sectPr w:rsidR="007108E1" w:rsidSect="00D60CF2">
          <w:pgSz w:w="11906" w:h="16838"/>
          <w:pgMar w:top="1440" w:right="1440" w:bottom="1440" w:left="1440" w:header="708" w:footer="113" w:gutter="0"/>
          <w:cols w:space="708"/>
          <w:docGrid w:linePitch="360"/>
        </w:sectPr>
      </w:pPr>
    </w:p>
    <w:p w14:paraId="7E15A078" w14:textId="77777777" w:rsidR="00256DEE" w:rsidRPr="00D06A7A" w:rsidRDefault="00256DEE" w:rsidP="00DE39EF">
      <w:pPr>
        <w:pStyle w:val="MediumGrid21"/>
        <w:outlineLvl w:val="0"/>
        <w:rPr>
          <w:b/>
        </w:rPr>
      </w:pPr>
      <w:r w:rsidRPr="00D06A7A">
        <w:rPr>
          <w:b/>
        </w:rPr>
        <w:lastRenderedPageBreak/>
        <w:t>Results</w:t>
      </w:r>
    </w:p>
    <w:p w14:paraId="1EBA1162" w14:textId="13C89978" w:rsidR="00256DEE" w:rsidRDefault="00FB568C" w:rsidP="00256DEE">
      <w:pPr>
        <w:pStyle w:val="MediumGrid21"/>
      </w:pPr>
      <w:r>
        <w:t>A</w:t>
      </w:r>
      <w:r w:rsidR="009A4A74">
        <w:t xml:space="preserve"> </w:t>
      </w:r>
      <w:r w:rsidR="006637DC">
        <w:t xml:space="preserve">total of </w:t>
      </w:r>
      <w:r w:rsidR="00256DEE">
        <w:t>210 infants</w:t>
      </w:r>
      <w:r w:rsidR="006637DC">
        <w:t xml:space="preserve"> were recruited.  199 participants (94.7%) completed the primary phase (primary endpoint) and 194 (92.4%) completed the entire study (Figure 1).  2 participants died of causes unrelated to the trial.  </w:t>
      </w:r>
      <w:r w:rsidR="00256DEE">
        <w:t xml:space="preserve"> The majority of infants who did not meet the inclusion criteria were outside the study age range or were too unstable for vaccination.  A s</w:t>
      </w:r>
      <w:r w:rsidR="00DF03E8">
        <w:t>econd</w:t>
      </w:r>
      <w:r w:rsidR="00256DEE">
        <w:t xml:space="preserve"> group of infants </w:t>
      </w:r>
      <w:r w:rsidR="00191932">
        <w:t xml:space="preserve">was </w:t>
      </w:r>
      <w:r w:rsidR="00256DEE">
        <w:t>excluded for logistical reasons - many were transferred to their local neonatal unit prior to their first vaccination (</w:t>
      </w:r>
      <w:r w:rsidR="005462D0">
        <w:t>Figure 1</w:t>
      </w:r>
      <w:r w:rsidR="00256DEE">
        <w:t>).</w:t>
      </w:r>
    </w:p>
    <w:p w14:paraId="6339A4C1" w14:textId="39492D28" w:rsidR="00256DEE" w:rsidRDefault="00256DEE" w:rsidP="00256DEE">
      <w:pPr>
        <w:pStyle w:val="MediumGrid21"/>
      </w:pPr>
      <w:r>
        <w:t xml:space="preserve">The characteristics of </w:t>
      </w:r>
      <w:r w:rsidR="00670EA5">
        <w:t>randomized</w:t>
      </w:r>
      <w:r>
        <w:t xml:space="preserve"> infants were similar between groups (</w:t>
      </w:r>
      <w:r w:rsidR="005462D0">
        <w:t>Table 1</w:t>
      </w:r>
      <w:r>
        <w:t>)</w:t>
      </w:r>
      <w:r w:rsidR="006637DC">
        <w:t xml:space="preserve"> with a median birth gestation of </w:t>
      </w:r>
      <w:r w:rsidR="006637DC">
        <w:rPr>
          <w:lang w:val="en-US"/>
        </w:rPr>
        <w:t>29</w:t>
      </w:r>
      <w:r w:rsidR="006637DC" w:rsidRPr="00EE2861">
        <w:rPr>
          <w:vertAlign w:val="superscript"/>
          <w:lang w:val="en-US"/>
        </w:rPr>
        <w:t>+6</w:t>
      </w:r>
      <w:r w:rsidR="006637DC">
        <w:rPr>
          <w:lang w:val="en-US"/>
        </w:rPr>
        <w:t xml:space="preserve"> </w:t>
      </w:r>
      <w:r w:rsidR="006637DC">
        <w:t xml:space="preserve">(range, </w:t>
      </w:r>
      <w:r w:rsidR="006637DC">
        <w:rPr>
          <w:lang w:val="en-US"/>
        </w:rPr>
        <w:t>23</w:t>
      </w:r>
      <w:r w:rsidR="006637DC" w:rsidRPr="00EE2861">
        <w:rPr>
          <w:vertAlign w:val="superscript"/>
          <w:lang w:val="en-US"/>
        </w:rPr>
        <w:t>+2</w:t>
      </w:r>
      <w:r w:rsidR="006637DC">
        <w:rPr>
          <w:lang w:val="en-US"/>
        </w:rPr>
        <w:t>-34</w:t>
      </w:r>
      <w:r w:rsidR="006637DC" w:rsidRPr="00EE2861">
        <w:rPr>
          <w:vertAlign w:val="superscript"/>
          <w:lang w:val="en-US"/>
        </w:rPr>
        <w:t>+6</w:t>
      </w:r>
      <w:r w:rsidR="006637DC">
        <w:t>) weeks and median birth weight of 1388g (range: 450-3390g).</w:t>
      </w:r>
      <w:r>
        <w:t xml:space="preserve">  </w:t>
      </w:r>
      <w:r w:rsidR="00E77F38" w:rsidRPr="006637DC">
        <w:t xml:space="preserve">112 </w:t>
      </w:r>
      <w:r w:rsidR="004247F6" w:rsidRPr="006637DC">
        <w:t>vaccinations</w:t>
      </w:r>
      <w:r w:rsidR="004247F6">
        <w:t xml:space="preserve"> were admin</w:t>
      </w:r>
      <w:r w:rsidR="001F5AC8">
        <w:t>i</w:t>
      </w:r>
      <w:r w:rsidR="00E77F38">
        <w:t>stered to</w:t>
      </w:r>
      <w:r w:rsidR="00E176B6">
        <w:t xml:space="preserve"> </w:t>
      </w:r>
      <w:r w:rsidR="00E017E7">
        <w:t>hospitalized</w:t>
      </w:r>
      <w:r w:rsidR="00E176B6">
        <w:t xml:space="preserve"> participants.  </w:t>
      </w:r>
    </w:p>
    <w:p w14:paraId="35727D3F" w14:textId="77777777" w:rsidR="00256DEE" w:rsidRDefault="00256DEE" w:rsidP="00256DEE">
      <w:pPr>
        <w:pStyle w:val="MediumGrid21"/>
      </w:pPr>
      <w:r>
        <w:t xml:space="preserve"> </w:t>
      </w:r>
    </w:p>
    <w:p w14:paraId="043B9A67" w14:textId="77777777" w:rsidR="00256DEE" w:rsidRPr="000C7E77" w:rsidRDefault="00256DEE" w:rsidP="00DE39EF">
      <w:pPr>
        <w:pStyle w:val="MediumGrid21"/>
        <w:outlineLvl w:val="0"/>
        <w:rPr>
          <w:b/>
        </w:rPr>
      </w:pPr>
      <w:r w:rsidRPr="000C7E77">
        <w:rPr>
          <w:b/>
        </w:rPr>
        <w:t>Primary vaccination</w:t>
      </w:r>
    </w:p>
    <w:p w14:paraId="7D9F23F3" w14:textId="2E357BAC" w:rsidR="00256DEE" w:rsidRDefault="00256DEE" w:rsidP="00256DEE">
      <w:pPr>
        <w:pStyle w:val="MediumGrid21"/>
      </w:pPr>
      <w:r>
        <w:t>At baseline participants had very low antibody concentrations for all pneumococcal serotypes (</w:t>
      </w:r>
      <w:r w:rsidR="005462D0">
        <w:rPr>
          <w:szCs w:val="24"/>
        </w:rPr>
        <w:t>Table 2</w:t>
      </w:r>
      <w:r>
        <w:rPr>
          <w:szCs w:val="24"/>
        </w:rPr>
        <w:t xml:space="preserve">, </w:t>
      </w:r>
      <w:r>
        <w:t xml:space="preserve">supplementary table </w:t>
      </w:r>
      <w:r w:rsidR="005601E6">
        <w:t>2</w:t>
      </w:r>
      <w:r>
        <w:t xml:space="preserve">).  The highest IgG GMCs </w:t>
      </w:r>
      <w:r w:rsidR="003D19E8">
        <w:t>(</w:t>
      </w:r>
      <w:r w:rsidR="00FB568C">
        <w:t>for all participants</w:t>
      </w:r>
      <w:r w:rsidR="003D19E8">
        <w:t xml:space="preserve">) </w:t>
      </w:r>
      <w:r>
        <w:t>were seen for serotype</w:t>
      </w:r>
      <w:r w:rsidR="00743AD5">
        <w:t>s</w:t>
      </w:r>
      <w:r>
        <w:t xml:space="preserve"> 14 (0.2</w:t>
      </w:r>
      <w:r w:rsidR="00E017E7">
        <w:t>6 µg</w:t>
      </w:r>
      <w:r>
        <w:t>/mL) and 19A (0.1</w:t>
      </w:r>
      <w:r w:rsidR="00E017E7">
        <w:t>9 µg</w:t>
      </w:r>
      <w:r>
        <w:t xml:space="preserve">/mL).  </w:t>
      </w:r>
    </w:p>
    <w:p w14:paraId="5D332CDE" w14:textId="4BE38DF6" w:rsidR="00256DEE" w:rsidRDefault="00256DEE" w:rsidP="00256DEE">
      <w:pPr>
        <w:pStyle w:val="MediumGrid21"/>
      </w:pPr>
      <w:r>
        <w:t xml:space="preserve">Following the primary vaccination course, substantial increases in antibody concentrations were seen for all serotypes and all groups. </w:t>
      </w:r>
      <w:r w:rsidR="003B5868">
        <w:t>There was c</w:t>
      </w:r>
      <w:r>
        <w:t>onsiderable variation between serotypes with IgG GMCs ranging from 0.1</w:t>
      </w:r>
      <w:r w:rsidR="00E017E7">
        <w:t>6 µg</w:t>
      </w:r>
      <w:r>
        <w:t>/mL for serotype 6B (</w:t>
      </w:r>
      <w:r w:rsidR="00091F38">
        <w:t>r</w:t>
      </w:r>
      <w:r w:rsidR="004F613C">
        <w:t>educed schedule</w:t>
      </w:r>
      <w:r>
        <w:t>) to 8.4</w:t>
      </w:r>
      <w:r w:rsidR="00E017E7">
        <w:t>9 µg</w:t>
      </w:r>
      <w:r>
        <w:t>/mL for serotype 14 (</w:t>
      </w:r>
      <w:r w:rsidR="00091F38">
        <w:t>e</w:t>
      </w:r>
      <w:r w:rsidR="004F613C">
        <w:t>xtended schedule</w:t>
      </w:r>
      <w:r>
        <w:t xml:space="preserve">) </w:t>
      </w:r>
      <w:r w:rsidRPr="005601E6">
        <w:t>(</w:t>
      </w:r>
      <w:r w:rsidR="005462D0">
        <w:t>Figure 2</w:t>
      </w:r>
      <w:r w:rsidRPr="005601E6">
        <w:t xml:space="preserve">; </w:t>
      </w:r>
      <w:r w:rsidRPr="005601E6">
        <w:rPr>
          <w:szCs w:val="24"/>
        </w:rPr>
        <w:t xml:space="preserve">Supplementary Table </w:t>
      </w:r>
      <w:r w:rsidR="005601E6">
        <w:rPr>
          <w:szCs w:val="24"/>
        </w:rPr>
        <w:t>3</w:t>
      </w:r>
      <w:r>
        <w:rPr>
          <w:szCs w:val="24"/>
        </w:rPr>
        <w:t>).</w:t>
      </w:r>
    </w:p>
    <w:p w14:paraId="0F4D29C7" w14:textId="77777777" w:rsidR="00256DEE" w:rsidRDefault="00256DEE" w:rsidP="00256DEE">
      <w:pPr>
        <w:pStyle w:val="MediumGrid21"/>
      </w:pPr>
    </w:p>
    <w:p w14:paraId="1E4864B4" w14:textId="3750B8A8" w:rsidR="00256DEE" w:rsidRDefault="00256DEE" w:rsidP="00256DEE">
      <w:pPr>
        <w:pStyle w:val="MediumGrid21"/>
      </w:pPr>
      <w:r>
        <w:t xml:space="preserve">The primary schedule had a significant impact on vaccine immunogenicity.  Lack of seroprotection for more than half the PCV13 serotypes was seen in 25%, 12% and 3% of participants </w:t>
      </w:r>
      <w:r w:rsidR="004F613C">
        <w:t>receiving the reduced, accelerated and extended schedules</w:t>
      </w:r>
      <w:r>
        <w:t xml:space="preserve"> respectively (p&lt;0.001, supplementary </w:t>
      </w:r>
      <w:r w:rsidRPr="005601E6">
        <w:t>figure 1</w:t>
      </w:r>
      <w:r>
        <w:t xml:space="preserve"> and supplementary table </w:t>
      </w:r>
      <w:r w:rsidR="005601E6">
        <w:t>4</w:t>
      </w:r>
      <w:r>
        <w:t xml:space="preserve">). </w:t>
      </w:r>
    </w:p>
    <w:p w14:paraId="5A4C03B6" w14:textId="73CA0495" w:rsidR="00256DEE" w:rsidRDefault="00256DEE" w:rsidP="00256DEE">
      <w:pPr>
        <w:pStyle w:val="MediumGrid21"/>
      </w:pPr>
      <w:r>
        <w:lastRenderedPageBreak/>
        <w:t xml:space="preserve">Participants </w:t>
      </w:r>
      <w:r w:rsidR="009F67BA">
        <w:t>receiving the extended schedule</w:t>
      </w:r>
      <w:r>
        <w:t xml:space="preserve"> </w:t>
      </w:r>
      <w:r w:rsidR="00E86431">
        <w:t xml:space="preserve">had </w:t>
      </w:r>
      <w:r>
        <w:t xml:space="preserve">higher IgG GMCs compared </w:t>
      </w:r>
      <w:r w:rsidR="008627BE">
        <w:t>with</w:t>
      </w:r>
      <w:r>
        <w:t xml:space="preserve"> </w:t>
      </w:r>
      <w:r w:rsidR="009F67BA">
        <w:t>the reduced schedule</w:t>
      </w:r>
      <w:r>
        <w:t xml:space="preserve"> for 11 serotypes and </w:t>
      </w:r>
      <w:r w:rsidR="009F67BA">
        <w:t>accelerated schedule</w:t>
      </w:r>
      <w:r>
        <w:t xml:space="preserve"> for 7 serotypes.  </w:t>
      </w:r>
      <w:r w:rsidR="009F67BA">
        <w:t>The accelerated schedule</w:t>
      </w:r>
      <w:r>
        <w:t xml:space="preserve"> was superior to </w:t>
      </w:r>
      <w:r w:rsidR="009F67BA">
        <w:t>the reduced schedule</w:t>
      </w:r>
      <w:r>
        <w:t xml:space="preserve"> for 4 serotypes (</w:t>
      </w:r>
      <w:r w:rsidR="005462D0">
        <w:rPr>
          <w:rFonts w:cstheme="minorBidi"/>
        </w:rPr>
        <w:t>Figure 2</w:t>
      </w:r>
      <w:r>
        <w:rPr>
          <w:szCs w:val="24"/>
        </w:rPr>
        <w:t xml:space="preserve">, </w:t>
      </w:r>
      <w:r w:rsidR="005462D0">
        <w:rPr>
          <w:szCs w:val="24"/>
        </w:rPr>
        <w:t>Table 2</w:t>
      </w:r>
      <w:r>
        <w:t xml:space="preserve">; Supplementary table </w:t>
      </w:r>
      <w:r w:rsidR="005601E6">
        <w:t>3</w:t>
      </w:r>
      <w:r>
        <w:t xml:space="preserve">).   </w:t>
      </w:r>
    </w:p>
    <w:p w14:paraId="31375168" w14:textId="77777777" w:rsidR="00256DEE" w:rsidRDefault="00256DEE" w:rsidP="00256DEE">
      <w:pPr>
        <w:pStyle w:val="MediumGrid21"/>
      </w:pPr>
    </w:p>
    <w:p w14:paraId="323AD906" w14:textId="77777777" w:rsidR="00256DEE" w:rsidRPr="00020D25" w:rsidRDefault="00256DEE" w:rsidP="00DE39EF">
      <w:pPr>
        <w:pStyle w:val="MediumGrid21"/>
        <w:outlineLvl w:val="0"/>
        <w:rPr>
          <w:b/>
        </w:rPr>
      </w:pPr>
      <w:r w:rsidRPr="00020D25">
        <w:rPr>
          <w:b/>
        </w:rPr>
        <w:t>Booster vaccination</w:t>
      </w:r>
    </w:p>
    <w:p w14:paraId="16A497A5" w14:textId="611D4FB2" w:rsidR="00256DEE" w:rsidRDefault="00256DEE" w:rsidP="00256DEE">
      <w:pPr>
        <w:pStyle w:val="MediumGrid21"/>
      </w:pPr>
      <w:r>
        <w:t>At 12 months of age, waning of pneumococcal antibody concentrations was evident with low rates of seroprotection against individual serotypes (</w:t>
      </w:r>
      <w:r w:rsidR="005462D0">
        <w:t>Table 3</w:t>
      </w:r>
      <w:r>
        <w:t xml:space="preserve">; Supplementary table </w:t>
      </w:r>
      <w:r w:rsidR="005601E6">
        <w:t>5</w:t>
      </w:r>
      <w:r>
        <w:t xml:space="preserve">).   Antibody concentrations remained significantly higher </w:t>
      </w:r>
      <w:r w:rsidR="009F67BA">
        <w:t>in those who had received the extended schedule</w:t>
      </w:r>
      <w:r>
        <w:t xml:space="preserve"> </w:t>
      </w:r>
      <w:r w:rsidR="009F67BA">
        <w:t>compared with reduced</w:t>
      </w:r>
      <w:r>
        <w:t xml:space="preserve"> (for 10 serotypes) or </w:t>
      </w:r>
      <w:r w:rsidR="009F67BA">
        <w:t>accelerated schedules</w:t>
      </w:r>
      <w:r>
        <w:t xml:space="preserve"> (for 11 serotypes), the </w:t>
      </w:r>
      <w:r w:rsidR="009F67BA">
        <w:t>accelerated</w:t>
      </w:r>
      <w:r>
        <w:t xml:space="preserve"> schedule was superior to the </w:t>
      </w:r>
      <w:r w:rsidR="009F67BA">
        <w:t>reduced</w:t>
      </w:r>
      <w:r>
        <w:t xml:space="preserve"> schedule for one serotype only.</w:t>
      </w:r>
    </w:p>
    <w:p w14:paraId="435A4DF6" w14:textId="77777777" w:rsidR="00256DEE" w:rsidRDefault="00256DEE" w:rsidP="00256DEE">
      <w:pPr>
        <w:pStyle w:val="MediumGrid21"/>
      </w:pPr>
    </w:p>
    <w:p w14:paraId="7A6DB8F8" w14:textId="40E34149" w:rsidR="00256DEE" w:rsidRDefault="00256DEE" w:rsidP="00256DEE">
      <w:pPr>
        <w:pStyle w:val="MediumGrid21"/>
      </w:pPr>
      <w:r>
        <w:t xml:space="preserve">Following booster vaccination a high proportion of infants achieved protective concentrations </w:t>
      </w:r>
      <w:r w:rsidRPr="00FD05CD">
        <w:rPr>
          <w:szCs w:val="24"/>
        </w:rPr>
        <w:t>(</w:t>
      </w:r>
      <w:r w:rsidR="005462D0">
        <w:t>Table 3</w:t>
      </w:r>
      <w:r>
        <w:rPr>
          <w:szCs w:val="24"/>
        </w:rPr>
        <w:t xml:space="preserve">).  </w:t>
      </w:r>
      <w:r w:rsidR="00091F38">
        <w:t>As at</w:t>
      </w:r>
      <w:r>
        <w:t xml:space="preserve"> previous time points, significant variation in antibody concentrations between serotypes and groups was apparent (</w:t>
      </w:r>
      <w:r w:rsidR="005462D0">
        <w:t>Figure 3</w:t>
      </w:r>
      <w:r>
        <w:t xml:space="preserve">).  In contrast to post-primary vaccination responses, </w:t>
      </w:r>
      <w:r w:rsidR="009F67BA">
        <w:t>participants receiving the extended schedule</w:t>
      </w:r>
      <w:r>
        <w:t xml:space="preserve"> had lower GMCs compared </w:t>
      </w:r>
      <w:r w:rsidR="008627BE">
        <w:t>with</w:t>
      </w:r>
      <w:r>
        <w:t xml:space="preserve"> the </w:t>
      </w:r>
      <w:r w:rsidR="009F67BA">
        <w:t>reduced</w:t>
      </w:r>
      <w:r>
        <w:t xml:space="preserve"> (</w:t>
      </w:r>
      <w:r w:rsidR="00A80498">
        <w:t xml:space="preserve">for </w:t>
      </w:r>
      <w:r>
        <w:t xml:space="preserve">9 serotypes) and </w:t>
      </w:r>
      <w:r w:rsidR="009F67BA">
        <w:t>accelerated schedules</w:t>
      </w:r>
      <w:r>
        <w:t xml:space="preserve"> (</w:t>
      </w:r>
      <w:r w:rsidR="00A80498">
        <w:t xml:space="preserve">for </w:t>
      </w:r>
      <w:r>
        <w:t xml:space="preserve">4 serotypes).  The </w:t>
      </w:r>
      <w:r w:rsidR="009F67BA">
        <w:t>accelerated</w:t>
      </w:r>
      <w:r>
        <w:t xml:space="preserve"> schedule was inferior to the </w:t>
      </w:r>
      <w:r w:rsidR="009F67BA">
        <w:t>reduced</w:t>
      </w:r>
      <w:r>
        <w:t xml:space="preserve"> schedule for one serotype (19A) (supplementary table </w:t>
      </w:r>
      <w:r w:rsidR="005601E6">
        <w:t>6</w:t>
      </w:r>
      <w:r>
        <w:t xml:space="preserve">).  Infants </w:t>
      </w:r>
      <w:r w:rsidR="009F67BA">
        <w:t>who received the extended schedule</w:t>
      </w:r>
      <w:r>
        <w:t xml:space="preserve"> had lower fold increases in concentrations following booster vaccination than the other groups (supplementary figure 2).  </w:t>
      </w:r>
    </w:p>
    <w:p w14:paraId="5E5E03CB" w14:textId="77777777" w:rsidR="00256DEE" w:rsidRDefault="00256DEE" w:rsidP="00256DEE">
      <w:pPr>
        <w:pStyle w:val="MediumGrid21"/>
      </w:pPr>
    </w:p>
    <w:p w14:paraId="57C46CC5" w14:textId="77777777" w:rsidR="00256DEE" w:rsidRDefault="00256DEE" w:rsidP="00DE39EF">
      <w:pPr>
        <w:pStyle w:val="MediumGrid21"/>
        <w:outlineLvl w:val="0"/>
        <w:rPr>
          <w:b/>
        </w:rPr>
      </w:pPr>
      <w:r w:rsidRPr="001B4188">
        <w:rPr>
          <w:b/>
        </w:rPr>
        <w:t>Predictors of antibody concentrations</w:t>
      </w:r>
    </w:p>
    <w:p w14:paraId="258D9C3B" w14:textId="477B0CF1" w:rsidR="00256DEE" w:rsidRDefault="00256DEE" w:rsidP="00256DEE">
      <w:pPr>
        <w:pStyle w:val="MediumGrid21"/>
      </w:pPr>
      <w:r>
        <w:t xml:space="preserve">Increased odds of seroprotection at 2 months of age were seen </w:t>
      </w:r>
      <w:r w:rsidR="00A80498">
        <w:t xml:space="preserve">with each week of increased gestation </w:t>
      </w:r>
      <w:r>
        <w:t xml:space="preserve">for 4 serotypes: 6A (OR 1.34, 95% CI 1.12-1.60; p=0.001), 14 (OR 1.25, 95% CI 1.12-1.41; p&lt;0.001), 19A (OR 1.27, 95% CI 1.12-1.45; p&lt;0.001) and 19F (OR 1.29, 95% CI 1.09-1.52; p=0.003).  Later gestation was associated with an increase in post primary vaccination IgG concentrations for 3 serotypes: 1 (6% increase </w:t>
      </w:r>
      <w:r>
        <w:lastRenderedPageBreak/>
        <w:t xml:space="preserve">per week, 95% CI 0.9-12; p=0.021), 3 (8% increase per week, 95% CI 4-14, p&lt;0.001) and 7F (8% increase per week, 95% CI 3-13; p=0.002).  </w:t>
      </w:r>
    </w:p>
    <w:p w14:paraId="44AF5508" w14:textId="77777777" w:rsidR="00256DEE" w:rsidRDefault="00256DEE" w:rsidP="00256DEE">
      <w:pPr>
        <w:pStyle w:val="MediumGrid21"/>
      </w:pPr>
    </w:p>
    <w:p w14:paraId="155DE655" w14:textId="29F9ECAB" w:rsidR="00256DEE" w:rsidRDefault="00256DEE" w:rsidP="00256DEE">
      <w:pPr>
        <w:pStyle w:val="MediumGrid21"/>
      </w:pPr>
      <w:r>
        <w:t>Receipt of antenatal steroids was associated with decreased odds of seroprotection at 2 months for 4 serotypes: 5 (OR 0.09, 95% CI 0.01-0.83; p=0.033), 6A (OR 0.26, 95% CI 0.10-0.69; p=0.006), 19A (OR 0.19, 95% CI 0.08-0.45; p&lt;0.001 and 23F (OR 0.23, 95% CI 0.06-0.80, p=0.021).   Additionally, post-primary vaccination serotype-specific IgG GMCs</w:t>
      </w:r>
      <w:r w:rsidDel="00BF19E1">
        <w:t xml:space="preserve"> </w:t>
      </w:r>
      <w:r w:rsidR="003A0B46">
        <w:t>for serotype</w:t>
      </w:r>
      <w:r w:rsidR="00082682">
        <w:t>s</w:t>
      </w:r>
      <w:r w:rsidR="003A0B46">
        <w:t xml:space="preserve"> 1, 4 and 9V </w:t>
      </w:r>
      <w:r>
        <w:t>were reduced in infants who had been exposed to antenatal steroids.  At no time-point</w:t>
      </w:r>
      <w:r w:rsidR="00082682">
        <w:t>s</w:t>
      </w:r>
      <w:r>
        <w:t xml:space="preserve"> were antenatal steroids associated with higher antibody concentrations.   </w:t>
      </w:r>
    </w:p>
    <w:p w14:paraId="4E59F6DC" w14:textId="77777777" w:rsidR="00256DEE" w:rsidRDefault="00256DEE" w:rsidP="00256DEE">
      <w:pPr>
        <w:pStyle w:val="MediumGrid21"/>
      </w:pPr>
    </w:p>
    <w:p w14:paraId="6C6047A9" w14:textId="138A664A" w:rsidR="00256DEE" w:rsidRDefault="00256DEE" w:rsidP="00256DEE">
      <w:pPr>
        <w:pStyle w:val="MediumGrid21"/>
      </w:pPr>
      <w:r>
        <w:t xml:space="preserve">Pre- or post-primary protective concentrations were not associated with any other factors in regression analysis.  An insufficient number of infants </w:t>
      </w:r>
      <w:r w:rsidR="00A7189B">
        <w:t xml:space="preserve">(14) </w:t>
      </w:r>
      <w:r>
        <w:t>received postnatal steroids to analyse any effect.  Serotype-specific antibody concentrations after the 12</w:t>
      </w:r>
      <w:r w:rsidR="001A60D3">
        <w:t>-</w:t>
      </w:r>
      <w:r>
        <w:t>month PCV13 booster were affected by priming schedule and pre-existing antibody levels only.</w:t>
      </w:r>
    </w:p>
    <w:p w14:paraId="44AA1442" w14:textId="77777777" w:rsidR="00256DEE" w:rsidRDefault="00256DEE" w:rsidP="00256DEE">
      <w:pPr>
        <w:pStyle w:val="MediumGrid21"/>
      </w:pPr>
    </w:p>
    <w:p w14:paraId="4BD7F72D" w14:textId="77777777" w:rsidR="00256DEE" w:rsidRPr="009A304D" w:rsidRDefault="00256DEE" w:rsidP="00DE39EF">
      <w:pPr>
        <w:pStyle w:val="MediumGrid21"/>
        <w:outlineLvl w:val="0"/>
        <w:rPr>
          <w:b/>
        </w:rPr>
      </w:pPr>
      <w:r w:rsidRPr="009A304D">
        <w:rPr>
          <w:b/>
        </w:rPr>
        <w:t>Safety</w:t>
      </w:r>
      <w:r>
        <w:rPr>
          <w:b/>
        </w:rPr>
        <w:t xml:space="preserve"> and adverse events</w:t>
      </w:r>
    </w:p>
    <w:p w14:paraId="373252F6" w14:textId="0BD7BE1F" w:rsidR="00256DEE" w:rsidRDefault="00256DEE" w:rsidP="00256DEE">
      <w:pPr>
        <w:pStyle w:val="MediumGrid21"/>
      </w:pPr>
      <w:r>
        <w:t xml:space="preserve">There were no significant differences in the frequency </w:t>
      </w:r>
      <w:r w:rsidR="00091F38">
        <w:t>or</w:t>
      </w:r>
      <w:r>
        <w:t xml:space="preserve"> severity of local and systemic </w:t>
      </w:r>
      <w:r w:rsidR="003B5868">
        <w:t xml:space="preserve">AEs </w:t>
      </w:r>
      <w:r>
        <w:t>between va</w:t>
      </w:r>
      <w:r w:rsidR="009F67BA">
        <w:t>ccination schedules at any time-</w:t>
      </w:r>
      <w:r>
        <w:t xml:space="preserve">point. Altogether 77 </w:t>
      </w:r>
      <w:r w:rsidR="004F613C">
        <w:t>serious adverse events (</w:t>
      </w:r>
      <w:r>
        <w:t>SAEs</w:t>
      </w:r>
      <w:r w:rsidR="004F613C">
        <w:t>)</w:t>
      </w:r>
      <w:r>
        <w:t xml:space="preserve"> were reported (including </w:t>
      </w:r>
      <w:r w:rsidR="008378C9">
        <w:t>the</w:t>
      </w:r>
      <w:r>
        <w:t xml:space="preserve"> 2 deaths</w:t>
      </w:r>
      <w:r w:rsidR="00F802E7">
        <w:t>)</w:t>
      </w:r>
      <w:r>
        <w:t xml:space="preserve">.  SAEs were predominantly acute respiratory infections.  There </w:t>
      </w:r>
      <w:r w:rsidR="00F802E7">
        <w:t>was 1</w:t>
      </w:r>
      <w:r>
        <w:t xml:space="preserve"> </w:t>
      </w:r>
      <w:r w:rsidR="00737B80">
        <w:t>possibly related (</w:t>
      </w:r>
      <w:r w:rsidR="00FB568C">
        <w:t>suspected</w:t>
      </w:r>
      <w:r w:rsidR="00737B80">
        <w:t xml:space="preserve">) </w:t>
      </w:r>
      <w:r>
        <w:t>unexpected serious adverse r</w:t>
      </w:r>
      <w:r w:rsidR="00F802E7">
        <w:t xml:space="preserve">eaction from each </w:t>
      </w:r>
      <w:r w:rsidR="00670EA5">
        <w:t>randomized</w:t>
      </w:r>
      <w:r w:rsidR="00F802E7">
        <w:t xml:space="preserve"> group</w:t>
      </w:r>
      <w:r>
        <w:t xml:space="preserve">: 2 participants had necrotising enterocolitis within a week of vaccination and 1 participant had post-vaccination </w:t>
      </w:r>
      <w:r w:rsidR="001A60D3">
        <w:t>cardiorespiratory instability</w:t>
      </w:r>
      <w:r>
        <w:t xml:space="preserve"> requiring readmission; all 3 infants made a good recovery. </w:t>
      </w:r>
    </w:p>
    <w:p w14:paraId="20A58A80" w14:textId="77777777" w:rsidR="00256DEE" w:rsidRDefault="00256DEE" w:rsidP="00256DEE">
      <w:pPr>
        <w:pStyle w:val="MediumGrid21"/>
      </w:pPr>
    </w:p>
    <w:p w14:paraId="530041DF" w14:textId="631A9785" w:rsidR="00256DEE" w:rsidRPr="00C20F54" w:rsidRDefault="00256DEE" w:rsidP="00DE39EF">
      <w:pPr>
        <w:pStyle w:val="MediumGrid21"/>
        <w:outlineLvl w:val="0"/>
        <w:rPr>
          <w:b/>
        </w:rPr>
      </w:pPr>
      <w:r w:rsidRPr="00C20F54">
        <w:rPr>
          <w:b/>
        </w:rPr>
        <w:t xml:space="preserve">Discussion </w:t>
      </w:r>
    </w:p>
    <w:p w14:paraId="4BEBE0A7" w14:textId="18AD7EDD" w:rsidR="00256DEE" w:rsidRDefault="00256DEE" w:rsidP="00256DEE">
      <w:pPr>
        <w:pStyle w:val="MediumGrid21"/>
        <w:rPr>
          <w:lang w:eastAsia="en-GB"/>
        </w:rPr>
      </w:pPr>
      <w:r>
        <w:rPr>
          <w:lang w:eastAsia="en-GB"/>
        </w:rPr>
        <w:lastRenderedPageBreak/>
        <w:t>T</w:t>
      </w:r>
      <w:r w:rsidRPr="00E13D21">
        <w:rPr>
          <w:lang w:eastAsia="en-GB"/>
        </w:rPr>
        <w:t xml:space="preserve">his is the first study </w:t>
      </w:r>
      <w:r>
        <w:rPr>
          <w:lang w:eastAsia="en-GB"/>
        </w:rPr>
        <w:t xml:space="preserve">to compare different </w:t>
      </w:r>
      <w:r w:rsidRPr="00E13D21">
        <w:rPr>
          <w:lang w:eastAsia="en-GB"/>
        </w:rPr>
        <w:t>PCV13</w:t>
      </w:r>
      <w:r>
        <w:rPr>
          <w:lang w:eastAsia="en-GB"/>
        </w:rPr>
        <w:t xml:space="preserve"> schedules</w:t>
      </w:r>
      <w:r w:rsidRPr="00E13D21">
        <w:rPr>
          <w:lang w:eastAsia="en-GB"/>
        </w:rPr>
        <w:t xml:space="preserve"> in premature infants and demonstrates </w:t>
      </w:r>
      <w:r>
        <w:rPr>
          <w:lang w:eastAsia="en-GB"/>
        </w:rPr>
        <w:t xml:space="preserve">the need for early and effective </w:t>
      </w:r>
      <w:r w:rsidR="00670EA5">
        <w:rPr>
          <w:lang w:eastAsia="en-GB"/>
        </w:rPr>
        <w:t>immunization</w:t>
      </w:r>
      <w:r>
        <w:rPr>
          <w:lang w:eastAsia="en-GB"/>
        </w:rPr>
        <w:t xml:space="preserve"> strategies for this vulnerable group, given the</w:t>
      </w:r>
      <w:r w:rsidR="002E7CF9">
        <w:rPr>
          <w:lang w:eastAsia="en-GB"/>
        </w:rPr>
        <w:t>ir</w:t>
      </w:r>
      <w:r>
        <w:rPr>
          <w:lang w:eastAsia="en-GB"/>
        </w:rPr>
        <w:t xml:space="preserve"> very low pre-</w:t>
      </w:r>
      <w:r w:rsidR="00670EA5">
        <w:rPr>
          <w:lang w:eastAsia="en-GB"/>
        </w:rPr>
        <w:t>immunization</w:t>
      </w:r>
      <w:r>
        <w:rPr>
          <w:lang w:eastAsia="en-GB"/>
        </w:rPr>
        <w:t xml:space="preserve"> antibody concentrations. Our results indicate that </w:t>
      </w:r>
      <w:r w:rsidR="002715C0">
        <w:rPr>
          <w:lang w:eastAsia="en-GB"/>
        </w:rPr>
        <w:t>most</w:t>
      </w:r>
      <w:r>
        <w:rPr>
          <w:lang w:eastAsia="en-GB"/>
        </w:rPr>
        <w:t xml:space="preserve"> preterm infants can achieve seroprotective antibody concentrations for the serotypes in PCV13</w:t>
      </w:r>
      <w:r w:rsidR="00A0655B">
        <w:rPr>
          <w:lang w:eastAsia="en-GB"/>
        </w:rPr>
        <w:t xml:space="preserve"> regardless of the primary schedule administered</w:t>
      </w:r>
      <w:r>
        <w:rPr>
          <w:lang w:eastAsia="en-GB"/>
        </w:rPr>
        <w:t xml:space="preserve">, </w:t>
      </w:r>
      <w:r w:rsidR="001A60D3">
        <w:rPr>
          <w:lang w:eastAsia="en-GB"/>
        </w:rPr>
        <w:t>especially after the 12-</w:t>
      </w:r>
      <w:r>
        <w:rPr>
          <w:lang w:eastAsia="en-GB"/>
        </w:rPr>
        <w:t>month booster, but the</w:t>
      </w:r>
      <w:r w:rsidR="00A0655B">
        <w:rPr>
          <w:lang w:eastAsia="en-GB"/>
        </w:rPr>
        <w:t xml:space="preserve"> magnitude of their</w:t>
      </w:r>
      <w:r>
        <w:rPr>
          <w:lang w:eastAsia="en-GB"/>
        </w:rPr>
        <w:t xml:space="preserve"> </w:t>
      </w:r>
      <w:r w:rsidR="00A0655B">
        <w:rPr>
          <w:lang w:eastAsia="en-GB"/>
        </w:rPr>
        <w:t xml:space="preserve">immunological </w:t>
      </w:r>
      <w:r>
        <w:rPr>
          <w:lang w:eastAsia="en-GB"/>
        </w:rPr>
        <w:t xml:space="preserve">response </w:t>
      </w:r>
      <w:r w:rsidR="00A0655B">
        <w:rPr>
          <w:lang w:eastAsia="en-GB"/>
        </w:rPr>
        <w:t xml:space="preserve">is </w:t>
      </w:r>
      <w:r>
        <w:rPr>
          <w:lang w:eastAsia="en-GB"/>
        </w:rPr>
        <w:t>dependent on the primary schedule they receive.</w:t>
      </w:r>
      <w:r w:rsidR="00794EC6">
        <w:rPr>
          <w:lang w:eastAsia="en-GB"/>
        </w:rPr>
        <w:t xml:space="preserve">  </w:t>
      </w:r>
    </w:p>
    <w:p w14:paraId="33163BF0" w14:textId="77777777" w:rsidR="00256DEE" w:rsidRPr="00E13D21" w:rsidRDefault="00256DEE" w:rsidP="00256DEE">
      <w:pPr>
        <w:pStyle w:val="MediumGrid21"/>
        <w:rPr>
          <w:lang w:eastAsia="en-GB"/>
        </w:rPr>
      </w:pPr>
    </w:p>
    <w:p w14:paraId="770634C9" w14:textId="20B44F3D" w:rsidR="00256DEE" w:rsidRDefault="00256DEE" w:rsidP="00256DEE">
      <w:pPr>
        <w:pStyle w:val="MediumGrid21"/>
        <w:rPr>
          <w:lang w:eastAsia="en-GB"/>
        </w:rPr>
      </w:pPr>
      <w:r>
        <w:rPr>
          <w:lang w:eastAsia="en-GB"/>
        </w:rPr>
        <w:t xml:space="preserve">Serotype-specific responses varied, with lower IgG GMCs achieved for serotypes 3, 5 and 6B after the primary course and </w:t>
      </w:r>
      <w:r w:rsidR="0037403F">
        <w:rPr>
          <w:lang w:eastAsia="en-GB"/>
        </w:rPr>
        <w:t xml:space="preserve">for </w:t>
      </w:r>
      <w:r>
        <w:rPr>
          <w:lang w:eastAsia="en-GB"/>
        </w:rPr>
        <w:t>serotypes 3, 9V and 18C after the booster dose; these findings are consistent with those observed in term infants.</w:t>
      </w:r>
      <w:r w:rsidR="00634A07">
        <w:rPr>
          <w:lang w:eastAsia="en-GB"/>
        </w:rPr>
        <w:fldChar w:fldCharType="begin" w:fldLock="1"/>
      </w:r>
      <w:r w:rsidR="006B7E33">
        <w:rPr>
          <w:lang w:eastAsia="en-GB"/>
        </w:rPr>
        <w:instrText>ADDIN CSL_CITATION { "citationItems" : [ { "id" : "ITEM-1", "itemData" : { "DOI" : "10.1097/INF.0b013e3181faa6be", "ISSN" : "0891-3668", "author" : [ { "dropping-particle" : "", "family" : "Snape", "given" : "Matthew D.", "non-dropping-particle" : "", "parse-names" : false, "suffix" : "" }, { "dropping-particle" : "", "family" : "Klinger", "given" : "Chaam L.", "non-dropping-particle" : "", "parse-names" : false, "suffix" : "" }, { "dropping-particle" : "", "family" : "Daniels", "given" : "Elvis D.", "non-dropping-particle" : "", "parse-names" : false, "suffix" : "" }, { "dropping-particle" : "", "family" : "John", "given" : "Tessa M.", "non-dropping-particle" : "", "parse-names" : false, "suffix" : "" }, { "dropping-particle" : "", "family" : "Layton", "given" : "Helen", "non-dropping-particle" : "", "parse-names" : false, "suffix" : "" }, { "dropping-particle" : "", "family" : "Rollinson", "given" : "Llinos", "non-dropping-particle" : "", "parse-names" : false, "suffix" : "" }, { "dropping-particle" : "", "family" : "Pestridge", "given" : "Sarah", "non-dropping-particle" : "", "parse-names" : false, "suffix" : "" }, { "dropping-particle" : "", "family" : "Dymond", "given" : "Sandra", "non-dropping-particle" : "", "parse-names" : false, "suffix" : "" }, { "dropping-particle" : "", "family" : "Galiza", "given" : "Eva", "non-dropping-particle" : "", "parse-names" : false, "suffix" : "" }, { "dropping-particle" : "", "family" : "Tansey", "given" : "Susan", "non-dropping-particle" : "", "parse-names" : false, "suffix" : "" }, { "dropping-particle" : "", "family" : "Scott", "given" : "Daniel a.", "non-dropping-particle" : "", "parse-names" : false, "suffix" : "" }, { "dropping-particle" : "", "family" : "Baker", "given" : "Sherryl a.", "non-dropping-particle" : "", "parse-names" : false, "suffix" : "" }, { "dropping-particle" : "", "family" : "Jones", "given" : "Thomas R.", "non-dropping-particle" : "", "parse-names" : false, "suffix" : "" }, { "dropping-particle" : "", "family" : "Yu", "given" : "Ly-Mee", "non-dropping-particle" : "", "parse-names" : false, "suffix" : "" }, { "dropping-particle" : "", "family" : "Gruber", "given" : "William C.", "non-dropping-particle" : "", "parse-names" : false, "suffix" : "" }, { "dropping-particle" : "", "family" : "Emini", "given" : "Emilio a.", "non-dropping-particle" : "", "parse-names" : false, "suffix" : "" }, { "dropping-particle" : "", "family" : "Faust", "given" : "Saul N.", "non-dropping-particle" : "", "parse-names" : false, "suffix" : "" }, { "dropping-particle" : "", "family" : "Finn", "given" : "Adam", "non-dropping-particle" : "", "parse-names" : false, "suffix" : "" }, { "dropping-particle" : "", "family" : "Heath", "given" : "Paul T.", "non-dropping-particle" : "", "parse-names" : false, "suffix" : "" }, { "dropping-particle" : "", "family" : "Pollard", "given" : "Andrew J.", "non-dropping-particle" : "", "parse-names" : false, "suffix" : "" } ], "container-title" : "The Pediatric Infectious Disease Journal", "id" : "ITEM-1", "issue" : "12", "issued" : { "date-parts" : [ [ "2010", "12" ] ] }, "page" : "e80-e90", "title" : "Immunogenicity and Reactogenicity of a 13-Valent-pneumococcal Conjugate Vaccine Administered at 2, 4, and 12 Months of Age", "type" : "article-journal", "volume" : "29" }, "uris" : [ "http://www.mendeley.com/documents/?uuid=62033d66-673e-4af9-a31e-2a10677e840e" ] }, { "id" : "ITEM-2", "itemData" : { "DOI" : "10.1097/01.inf.0000207483.60267.e7", "ISSN" : "0891-3668", "PMID" : "16567982", "abstract" : "BACKGROUND: The minimum number of doses of pneumococcal conjugate vaccine required for protection is not known. We studied the immunogenicity of a reduced schedule in infants and toddlers.\n\nMETHODS: U.K. infants were given either 2 or 3 doses (at 2 and 4 or 2/3/4 months of age) of a 9-valent pneumococcal conjugate vaccine (9VPCV) followed by boosting at 12 months of age. In a separate study, toddlers (12 months) received 1 or 2 doses (2 months apart) of 9VPCV followed by pneumococcal polysaccharide vaccine at 18 months of age.\n\nRESULTS: For infants, serotype-specific IgG geometric mean concentrations were similar post-primary immunization between the groups with both showing avidity maturation and similar booster responses. For toddlers, the primary response to 4 of the 9 serotypes was lower in the 1- compared with the 2-dose group (type 6B, 0.77 versus 7.1; type 14, 4.67 versus 14.98; type 19F, 5.05 versus 7.75; type 23F, 2.48 versus 5.05), although for all serotypes booster responses were similar between groups, and the postprimary responses in the 1-dose group were at least as high as those after infant immunization.\n\nCONCLUSIONS: The 2-dose infant priming schedule of 9VPCV is comparable with the 3-dose schedule and may thus be equally protective, whereas 1 dose in toddlers may suffice for a catch-up.", "author" : [ { "dropping-particle" : "", "family" : "Goldblatt", "given" : "David", "non-dropping-particle" : "", "parse-names" : false, "suffix" : "" }, { "dropping-particle" : "", "family" : "Southern", "given" : "Jo", "non-dropping-particle" : "", "parse-names" : false, "suffix" : "" }, { "dropping-particle" : "", "family" : "Ashton", "given" : "Lindsey", "non-dropping-particle" : "", "parse-names" : false, "suffix" : "" }, { "dropping-particle" : "", "family" : "Richmond", "given" : "Peter", "non-dropping-particle" : "", "parse-names" : false, "suffix" : "" }, { "dropping-particle" : "", "family" : "Burbidge", "given" : "Polly", "non-dropping-particle" : "", "parse-names" : false, "suffix" : "" }, { "dropping-particle" : "", "family" : "Tasevska", "given" : "Juliana", "non-dropping-particle" : "", "parse-names" : false, "suffix" : "" }, { "dropping-particle" : "", "family" : "Crowley-Luke", "given" : "Annette", "non-dropping-particle" : "", "parse-names" : false, "suffix" : "" }, { "dropping-particle" : "", "family" : "Andrews", "given" : "Nick", "non-dropping-particle" : "", "parse-names" : false, "suffix" : "" }, { "dropping-particle" : "", "family" : "Morris", "given" : "Rhonwen", "non-dropping-particle" : "", "parse-names" : false, "suffix" : "" }, { "dropping-particle" : "", "family" : "Borrow", "given" : "Ray", "non-dropping-particle" : "", "parse-names" : false, "suffix" : "" }, { "dropping-particle" : "", "family" : "Cartwright", "given" : "Keith", "non-dropping-particle" : "", "parse-names" : false, "suffix" : "" }, { "dropping-particle" : "", "family" : "Miller", "given" : "Elizabeth", "non-dropping-particle" : "", "parse-names" : false, "suffix" : "" } ], "container-title" : "The Pediatric infectious disease journal", "id" : "ITEM-2", "issue" : "4", "issued" : { "date-parts" : [ [ "2006", "4" ] ] }, "page" : "312-9", "title" : "Immunogenicity and boosting after a reduced number of doses of a pneumococcal conjugate vaccine in infants and toddlers.", "type" : "article-journal", "volume" : "25" }, "uris" : [ "http://www.mendeley.com/documents/?uuid=69fd02b4-9dd0-43c6-928c-401b5036db33" ] } ], "mendeley" : { "formattedCitation" : "[4,21]", "plainTextFormattedCitation" : "[4,21]", "previouslyFormattedCitation" : "[4,19]" }, "properties" : { "noteIndex" : 0 }, "schema" : "https://github.com/citation-style-language/schema/raw/master/csl-citation.json" }</w:instrText>
      </w:r>
      <w:r w:rsidR="00634A07">
        <w:rPr>
          <w:lang w:eastAsia="en-GB"/>
        </w:rPr>
        <w:fldChar w:fldCharType="separate"/>
      </w:r>
      <w:r w:rsidR="006B7E33" w:rsidRPr="006B7E33">
        <w:rPr>
          <w:noProof/>
          <w:lang w:eastAsia="en-GB"/>
        </w:rPr>
        <w:t>[4,21]</w:t>
      </w:r>
      <w:r w:rsidR="00634A07">
        <w:rPr>
          <w:lang w:eastAsia="en-GB"/>
        </w:rPr>
        <w:fldChar w:fldCharType="end"/>
      </w:r>
      <w:r>
        <w:rPr>
          <w:lang w:eastAsia="en-GB"/>
        </w:rPr>
        <w:t xml:space="preserve"> However, when compared </w:t>
      </w:r>
      <w:r w:rsidR="00B05BEF">
        <w:rPr>
          <w:lang w:eastAsia="en-GB"/>
        </w:rPr>
        <w:t xml:space="preserve">with </w:t>
      </w:r>
      <w:r>
        <w:rPr>
          <w:lang w:eastAsia="en-GB"/>
        </w:rPr>
        <w:t>previous term (PCV13) and preterm (PCV7) studies, antibody concentrations after primary and booster vaccination are lower overall, resulting in lower seroprotection following primary vaccination</w:t>
      </w:r>
      <w:r w:rsidR="00634A07">
        <w:rPr>
          <w:lang w:eastAsia="en-GB"/>
        </w:rPr>
        <w:t>.</w:t>
      </w:r>
      <w:r w:rsidR="00634A07">
        <w:rPr>
          <w:lang w:eastAsia="en-GB"/>
        </w:rPr>
        <w:fldChar w:fldCharType="begin" w:fldLock="1"/>
      </w:r>
      <w:r w:rsidR="006B7E33">
        <w:rPr>
          <w:lang w:eastAsia="en-GB"/>
        </w:rPr>
        <w:instrText>ADDIN CSL_CITATION { "citationItems" : [ { "id" : "ITEM-1", "itemData" : { "DOI" : "10.1097/INF.0b013e3181faa6be", "ISSN" : "0891-3668", "author" : [ { "dropping-particle" : "", "family" : "Snape", "given" : "Matthew D.", "non-dropping-particle" : "", "parse-names" : false, "suffix" : "" }, { "dropping-particle" : "", "family" : "Klinger", "given" : "Chaam L.", "non-dropping-particle" : "", "parse-names" : false, "suffix" : "" }, { "dropping-particle" : "", "family" : "Daniels", "given" : "Elvis D.", "non-dropping-particle" : "", "parse-names" : false, "suffix" : "" }, { "dropping-particle" : "", "family" : "John", "given" : "Tessa M.", "non-dropping-particle" : "", "parse-names" : false, "suffix" : "" }, { "dropping-particle" : "", "family" : "Layton", "given" : "Helen", "non-dropping-particle" : "", "parse-names" : false, "suffix" : "" }, { "dropping-particle" : "", "family" : "Rollinson", "given" : "Llinos", "non-dropping-particle" : "", "parse-names" : false, "suffix" : "" }, { "dropping-particle" : "", "family" : "Pestridge", "given" : "Sarah", "non-dropping-particle" : "", "parse-names" : false, "suffix" : "" }, { "dropping-particle" : "", "family" : "Dymond", "given" : "Sandra", "non-dropping-particle" : "", "parse-names" : false, "suffix" : "" }, { "dropping-particle" : "", "family" : "Galiza", "given" : "Eva", "non-dropping-particle" : "", "parse-names" : false, "suffix" : "" }, { "dropping-particle" : "", "family" : "Tansey", "given" : "Susan", "non-dropping-particle" : "", "parse-names" : false, "suffix" : "" }, { "dropping-particle" : "", "family" : "Scott", "given" : "Daniel a.", "non-dropping-particle" : "", "parse-names" : false, "suffix" : "" }, { "dropping-particle" : "", "family" : "Baker", "given" : "Sherryl a.", "non-dropping-particle" : "", "parse-names" : false, "suffix" : "" }, { "dropping-particle" : "", "family" : "Jones", "given" : "Thomas R.", "non-dropping-particle" : "", "parse-names" : false, "suffix" : "" }, { "dropping-particle" : "", "family" : "Yu", "given" : "Ly-Mee", "non-dropping-particle" : "", "parse-names" : false, "suffix" : "" }, { "dropping-particle" : "", "family" : "Gruber", "given" : "William C.", "non-dropping-particle" : "", "parse-names" : false, "suffix" : "" }, { "dropping-particle" : "", "family" : "Emini", "given" : "Emilio a.", "non-dropping-particle" : "", "parse-names" : false, "suffix" : "" }, { "dropping-particle" : "", "family" : "Faust", "given" : "Saul N.", "non-dropping-particle" : "", "parse-names" : false, "suffix" : "" }, { "dropping-particle" : "", "family" : "Finn", "given" : "Adam", "non-dropping-particle" : "", "parse-names" : false, "suffix" : "" }, { "dropping-particle" : "", "family" : "Heath", "given" : "Paul T.", "non-dropping-particle" : "", "parse-names" : false, "suffix" : "" }, { "dropping-particle" : "", "family" : "Pollard", "given" : "Andrew J.", "non-dropping-particle" : "", "parse-names" : false, "suffix" : "" } ], "container-title" : "The Pediatric Infectious Disease Journal", "id" : "ITEM-1", "issue" : "12", "issued" : { "date-parts" : [ [ "2010", "12" ] ] }, "page" : "e80-e90", "title" : "Immunogenicity and Reactogenicity of a 13-Valent-pneumococcal Conjugate Vaccine Administered at 2, 4, and 12 Months of Age", "type" : "article-journal", "volume" : "29" }, "uris" : [ "http://www.mendeley.com/documents/?uuid=62033d66-673e-4af9-a31e-2a10677e840e" ] }, { "id" : "ITEM-2", "itemData" : { "DOI" : "10.1371/journal.pone.0074906", "ISSN" : "1932-6203", "PMID" : "24086394", "abstract" : "BACKGROUND: Protection against disease or colonization from serotypes related to those in pneumococcal conjugate vaccines (i.e. cross-protection) vary by serotype; the basis for this variation is not understood. The 13-valent pneumococcal conjugate vaccine (PCV13) replaced 7-valent conjugate (PCV7) in the USA in 2010 allowing assessment of PCV7 and PCV13 immunogenicity and functional cross-protection in vitro.\n\nMETHODS: Post-primary, pre-booster and post-booster sera from American Indian children receiving exclusively PCV7 or PCV13 were collected. IgG was measured by ELISA for 13 vaccine serotypes; functional antibody was assessed by opsonophagocytic killing assays for serotypes 6A/B/C and 19A/F.\n\nRESULTS: Post-primary IgG geometric mean concentrations (GMC) for serotypes 4 and 9V were lower in PCV13 recipients while 19F GMCs were higher. Only 19F differences persisted after receipt of the booster dose. Functional antibody activity was higher among PCV13 recipients for 6A, 6C, 19A and 19F (p&lt;0.04), and among PCV7 recipients for 6B (p\u200a=\u200a0.01). Following PCV7, functional antibodies to 6A but not 19A were observed. High levels of 6C functional activity were seen after PCV13 but not PCV7.\n\nCONCLUSIONS: Functional antibody activity against 6A/B/C and 19A/F suggest that PCV13 is likely to control the 19A disease and 6C disease remaining despite widespread use of PCV7.", "author" : [ { "dropping-particle" : "", "family" : "Grant", "given" : "Lindsay R", "non-dropping-particle" : "", "parse-names" : false, "suffix" : "" }, { "dropping-particle" : "", "family" : "O'Brien", "given" : "Sarah E", "non-dropping-particle" : "", "parse-names" : false, "suffix" : "" }, { "dropping-particle" : "", "family" : "Burbidge", "given" : "Polly", "non-dropping-particle" : "", "parse-names" : false, "suffix" : "" }, { "dropping-particle" : "", "family" : "Haston", "given" : "Mitch", "non-dropping-particle" : "", "parse-names" : false, "suffix" : "" }, { "dropping-particle" : "", "family" : "Zancolli", "given" : "Marta", "non-dropping-particle" : "", "parse-names" : false, "suffix" : "" }, { "dropping-particle" : "", "family" : "Cowell", "given" : "Lucy", "non-dropping-particle" : "", "parse-names" : false, "suffix" : "" }, { "dropping-particle" : "", "family" : "Johnson", "given" : "Marina", "non-dropping-particle" : "", "parse-names" : false, "suffix" : "" }, { "dropping-particle" : "", "family" : "Weatherholtz", "given" : "Robert C", "non-dropping-particle" : "", "parse-names" : false, "suffix" : "" }, { "dropping-particle" : "", "family" : "Reid", "given" : "Raymond", "non-dropping-particle" : "", "parse-names" : false, "suffix" : "" }, { "dropping-particle" : "", "family" : "Santosham", "given" : "Mathuram", "non-dropping-particle" : "", "parse-names" : false, "suffix" : "" }, { "dropping-particle" : "", "family" : "O'Brien", "given" : "Katherine L", "non-dropping-particle" : "", "parse-names" : false, "suffix" : "" }, { "dropping-particle" : "", "family" : "Goldblatt", "given" : "David", "non-dropping-particle" : "", "parse-names" : false, "suffix" : "" } ], "container-title" : "PloS one", "id" : "ITEM-2", "issue" : "9", "issued" : { "date-parts" : [ [ "2013", "1" ] ] }, "page" : "e74906", "title" : "Comparative immunogenicity of 7 and 13-valent pneumococcal conjugate vaccines and the development of functional antibodies to cross-reactive serotypes.", "type" : "article-journal", "volume" : "8" }, "uris" : [ "http://www.mendeley.com/documents/?uuid=a1f48cf2-ee6d-4590-aac6-d12be8924470" ] }, { "id" : "ITEM-3", "itemData" : { "DOI" : "10.1016/j.vaccine.2006.07.036", "ISSN" : "0264-410X", "PMID" : "17070968", "abstract" : "Data on the immunogenicity and memory induction of pneumococcal conjugate vaccines in very preterm infants is limited. We vaccinated 69 full term and 68 preterm infants (median gestational age (GA) 30 weeks) with a 7-valent pneumococcal conjugate vaccine (PCV7) at 2/3/4 months of age, followed by a plain polysaccharide booster at 12 months of age. IgG-GMC (ELISA) was significantly lower in preterm infants to six vaccine serotypes (ST) at 2 months and 5 months of age, to five ST at 12 months of age and to three ST at 13 months of age. A significantly lower proportion of preterm infants achieved IgG levels&gt;or=0.35 microg/ml to ST 4, 6B and 9V at 5 months and to ST 4, 6B, 18C, 19F and 23F at 12 months of age. Fold rises following the polysaccharide booster were comparable to those of term infants. At least 93% of both cohorts achieved IgG&gt;or=0.35 microg/ml to all STs following booster vaccination. Pneumococcal conjugate vaccine at an accelerated schedule of 2/3/4 months of age is likely to provide protection against pneumococcal disease for preterm infants. Antibody concentrations wane over the first year of life in both preterm and term infants and booster vaccination is therefore likely to be important.", "author" : [ { "dropping-particle" : "", "family" : "Ruggeberg", "given" : "Jens U", "non-dropping-particle" : "", "parse-names" : false, "suffix" : "" }, { "dropping-particle" : "", "family" : "Collins", "given" : "Clare", "non-dropping-particle" : "", "parse-names" : false, "suffix" : "" }, { "dropping-particle" : "", "family" : "Clarke", "given" : "Paul", "non-dropping-particle" : "", "parse-names" : false, "suffix" : "" }, { "dropping-particle" : "", "family" : "Johnson", "given" : "Nik", "non-dropping-particle" : "", "parse-names" : false, "suffix" : "" }, { "dropping-particle" : "", "family" : "Sinha", "given" : "Ruchi", "non-dropping-particle" : "", "parse-names" : false, "suffix" : "" }, { "dropping-particle" : "", "family" : "Everest", "given" : "Neil", "non-dropping-particle" : "", "parse-names" : false, "suffix" : "" }, { "dropping-particle" : "", "family" : "Chang", "given" : "John", "non-dropping-particle" : "", "parse-names" : false, "suffix" : "" }, { "dropping-particle" : "", "family" : "Stanford", "given" : "Elaine", "non-dropping-particle" : "", "parse-names" : false, "suffix" : "" }, { "dropping-particle" : "", "family" : "Balmer", "given" : "Paul", "non-dropping-particle" : "", "parse-names" : false, "suffix" : "" }, { "dropping-particle" : "", "family" : "Borrow", "given" : "Ray", "non-dropping-particle" : "", "parse-names" : false, "suffix" : "" }, { "dropping-particle" : "", "family" : "Martin", "given" : "Sarah", "non-dropping-particle" : "", "parse-names" : false, "suffix" : "" }, { "dropping-particle" : "", "family" : "Robinson", "given" : "Michael J", "non-dropping-particle" : "", "parse-names" : false, "suffix" : "" }, { "dropping-particle" : "", "family" : "Moxon", "given" : "E Richard", "non-dropping-particle" : "", "parse-names" : false, "suffix" : "" }, { "dropping-particle" : "", "family" : "Pollard", "given" : "Andrew J", "non-dropping-particle" : "", "parse-names" : false, "suffix" : "" }, { "dropping-particle" : "", "family" : "Heath", "given" : "Paul T", "non-dropping-particle" : "", "parse-names" : false, "suffix" : "" } ], "container-title" : "Vaccine", "id" : "ITEM-3", "issue" : "2", "issued" : { "date-parts" : [ [ "2007", "1", "4" ] ] }, "page" : "264-71", "title" : "Immunogenicity and induction of immunological memory of the heptavalent pneumococcal conjugate vaccine in preterm UK infants.", "type" : "article-journal", "volume" : "25" }, "uris" : [ "http://www.mendeley.com/documents/?uuid=5385c160-2d68-43e7-b72d-8169f4432c04" ] }, { "id" : "ITEM-4", "itemData" : { "DOI" : "10.1128/CVI.00214-10", "ISSN" : "1556-679X", "PMID" : "20861323", "abstract" : "Preterm infants are at an increased risk of invasive pneumococcal disease infection and, additionally, have a diminished response to Haemophilus influenzae type b (Hib) conjugate vaccines. There are little data examining the response of preterm infants to a seven-valent pneumococcal conjugate vaccine (PCV7). We examined the responses of preterm infants immunized at 2, 3, and 4 months of age to PCV7. A total of 133 preterm and 54 term infants were immunized with PCV7 and the Neisseria meningitidis group C (MCC), diphtheria, tetanus, pertussis, polio, and Hib vaccines. Pneumococcal serotype-specific IgG was measured by enzyme-linked immunosorbent assay (ELISA) pre- and postimmunization and at 12 months or following a booster of PCV7. Term and preterm responses were compared using linear and logistic regression analyses. Term infants had higher preimmunization geometric mean concentrations (GMCs) for all serotypes. Preterm infants had lower postimmunization GMCs for serotype 23F. Gestational age affected postimmunization GMCs for serotypes 4, 6B, and 23F. Preterm infants were as likely to have levels of \u22650.35 \u03bcg/ml as term infants for all serotypes except 23F. The proportions of infants with titers of \u22650.35 \u03bcg/ml for all 7 serotypes were comparable between groups. A total of 28 of 29 term infants who received a booster had levels of \u22650.35 \u03bcg/ml for all serotypes. One infant had undetectable levels for serotype 6B. Of the 32 preterm infants boosted, 9 had levels of &lt;0.35 \u03bcg/ml for 1 serotype, and 1 had levels of &lt;0.35 \u03bcg/ml for 2 serotypes. In nonboosted infants, GMCs for all serotypes except 6B had fallen by 12 months of age. These results support the need for a booster dose in the second year of life.", "author" : [ { "dropping-particle" : "", "family" : "Moss", "given" : "S J", "non-dropping-particle" : "", "parse-names" : false, "suffix" : "" }, { "dropping-particle" : "", "family" : "Fenton", "given" : "A C", "non-dropping-particle" : "", "parse-names" : false, "suffix" : "" }, { "dropping-particle" : "", "family" : "Toomey", "given" : "J A", "non-dropping-particle" : "", "parse-names" : false, "suffix" : "" }, { "dropping-particle" : "", "family" : "Grainger", "given" : "A J", "non-dropping-particle" : "", "parse-names" : false, "suffix" : "" }, { "dropping-particle" : "", "family" : "Smith", "given" : "J", "non-dropping-particle" : "", "parse-names" : false, "suffix" : "" }, { "dropping-particle" : "", "family" : "Gennery", "given" : "A R", "non-dropping-particle" : "", "parse-names" : false, "suffix" : "" } ], "container-title" : "Clinical and vaccine immunology : CVI", "id" : "ITEM-4", "issue" : "11", "issued" : { "date-parts" : [ [ "2010", "11" ] ] }, "page" : "1810-6", "title" : "Responses to a conjugate pneumococcal vaccine in preterm infants immunized at 2, 3, and 4 months of age.", "type" : "article-journal", "volume" : "17" }, "uris" : [ "http://www.mendeley.com/documents/?uuid=9ed84b16-76d0-4eb7-8312-b8233c240b49" ] }, { "id" : "ITEM-5", "itemData" : { "DOI" : "10.1016/j.vaccine.2014.12.018", "ISSN" : "1873-2518", "PMID" : "25510388", "abstract" : "An open, non-randomised study was undertaken in England during 2011-12 to evaluate vaccine antibody responses in infants after completion of the routine primary infant immunisation schedule, which included two doses of meningococcal group C (MenC) conjugate (MCC) vaccine at 3 and 4 months. Any of the three licensed MCC vaccines could be used for either dose, depending on local availability. Healthy term infants registered at participating general practices (GPs) in Hertfordshire and Gloucestershire, UK, were recruited prospectively to provide a single blood sample four weeks after primary immunisation, which was administered by the GP surgery. Vaccination history was obtained at blood sampling. MenC serum bactericidal antibody (SBA) and IgG antibodies against Haemophilus influenzae b (Hib), pertussis toxin (PT), diphtheria toxoid (DT), tetanus toxoid (TT) and thirteen pneumococcal serotypes were analysed according to MCC vaccines received. MenC SBA responses differed significantly (P&lt;0.001) according to MCC vaccine schedule as follows: MenC SBA geometric mean titres (GMTs) were significantly lower in infants receiving a diphtheria cross-reacting material-conjugated MCC (MCC-CRM) vaccine followed by TT-conjugated MCC (MCC-TT) vaccine (82.0; 95% CI, 39-173; n=14) compared to those receiving two MCC-CRM (418; 95% CI, 325-537; n=82), two MCC-TT (277; 95% CI, 223-344; n=79) or MCC-TT followed by MCC-CRM (553; 95% CI, 322-949; n=18). The same group also had the lowest Hib geometric mean concentrations (0.60 \u03bcg/mL, 0.27-1.34) compared to 1.85 \u03bcg/mL (1.23-2.78), 2.86 \u03bcg/mL (2.02-4.05) and 4.26 \u03bcg/mL (1.94-9.36), respectively. Our results indicate that MCC vaccines with different carrier proteins are not interchangeable. When several MCC vaccines are available, children requiring more than one dose should receive MCC vaccines with the same carrier protein or, alternatively, receive MCC-TT first wherever possible.", "author" : [ { "dropping-particle" : "", "family" : "Ladhani", "given" : "Shamez N", "non-dropping-particle" : "", "parse-names" : false, "suffix" : "" }, { "dropping-particle" : "", "family" : "Andrews", "given" : "Nick J", "non-dropping-particle" : "", "parse-names" : false, "suffix" : "" }, { "dropping-particle" : "", "family" : "Waight", "given" : "Pauline", "non-dropping-particle" : "", "parse-names" : false, "suffix" : "" }, { "dropping-particle" : "", "family" : "Hallis", "given" : "Bassam", "non-dropping-particle" : "", "parse-names" : false, "suffix" : "" }, { "dropping-particle" : "", "family" : "Matheson", "given" : "Mary", "non-dropping-particle" : "", "parse-names" : false, "suffix" : "" }, { "dropping-particle" : "", "family" : "England", "given" : "Anna", "non-dropping-particle" : "", "parse-names" : false, "suffix" : "" }, { "dropping-particle" : "", "family" : "Findlow", "given" : "Helen", "non-dropping-particle" : "", "parse-names" : false, "suffix" : "" }, { "dropping-particle" : "", "family" : "Bai", "given" : "Xilian", "non-dropping-particle" : "", "parse-names" : false, "suffix" : "" }, { "dropping-particle" : "", "family" : "Borrow", "given" : "Ray", "non-dropping-particle" : "", "parse-names" : false, "suffix" : "" }, { "dropping-particle" : "", "family" : "Burbidge", "given" : "Polly", "non-dropping-particle" : "", "parse-names" : false, "suffix" : "" }, { "dropping-particle" : "", "family" : "Pearce", "given" : "Emma", "non-dropping-particle" : "", "parse-names" : false, "suffix" : "" }, { "dropping-particle" : "", "family" : "Goldblatt", "given" : "David", "non-dropping-particle" : "", "parse-names" : false, "suffix" : "" }, { "dropping-particle" : "", "family" : "Miller", "given" : "Elizabeth", "non-dropping-particle" : "", "parse-names" : false, "suffix" : "" } ], "container-title" : "Vaccine", "id" : "ITEM-5", "issue" : "5", "issued" : { "date-parts" : [ [ "2015", "1", "29" ] ] }, "page" : "648-55", "publisher" : "Elsevier Ltd", "title" : "Interchangeability of meningococcal group C conjugate vaccines with different carrier proteins in the United Kingdom infant immunisation schedule.", "type" : "article-journal", "volume" : "33" }, "uris" : [ "http://www.mendeley.com/documents/?uuid=54ce44f8-ee3b-44db-acfd-63fd5eab00c8" ] } ], "mendeley" : { "formattedCitation" : "[4,5,8,9,22]", "plainTextFormattedCitation" : "[4,5,8,9,22]", "previouslyFormattedCitation" : "[4,5,8,9,20]" }, "properties" : { "noteIndex" : 0 }, "schema" : "https://github.com/citation-style-language/schema/raw/master/csl-citation.json" }</w:instrText>
      </w:r>
      <w:r w:rsidR="00634A07">
        <w:rPr>
          <w:lang w:eastAsia="en-GB"/>
        </w:rPr>
        <w:fldChar w:fldCharType="separate"/>
      </w:r>
      <w:r w:rsidR="006B7E33" w:rsidRPr="006B7E33">
        <w:rPr>
          <w:noProof/>
          <w:lang w:eastAsia="en-GB"/>
        </w:rPr>
        <w:t>[4,5,8,9,22]</w:t>
      </w:r>
      <w:r w:rsidR="00634A07">
        <w:rPr>
          <w:lang w:eastAsia="en-GB"/>
        </w:rPr>
        <w:fldChar w:fldCharType="end"/>
      </w:r>
    </w:p>
    <w:p w14:paraId="5D347E08" w14:textId="77777777" w:rsidR="006D5A3B" w:rsidRDefault="006D5A3B" w:rsidP="00256DEE">
      <w:pPr>
        <w:pStyle w:val="NoSpacing"/>
        <w:rPr>
          <w:lang w:eastAsia="en-GB"/>
        </w:rPr>
      </w:pPr>
    </w:p>
    <w:p w14:paraId="4423F19D" w14:textId="1D08E8BE" w:rsidR="00256DEE" w:rsidRDefault="00256DEE" w:rsidP="00256DEE">
      <w:pPr>
        <w:pStyle w:val="MediumGrid21"/>
        <w:rPr>
          <w:lang w:eastAsia="en-GB"/>
        </w:rPr>
      </w:pPr>
      <w:r>
        <w:rPr>
          <w:lang w:eastAsia="en-GB"/>
        </w:rPr>
        <w:t xml:space="preserve">Similarly, compared </w:t>
      </w:r>
      <w:r w:rsidR="00B05BEF">
        <w:rPr>
          <w:lang w:eastAsia="en-GB"/>
        </w:rPr>
        <w:t xml:space="preserve">with </w:t>
      </w:r>
      <w:r>
        <w:rPr>
          <w:lang w:eastAsia="en-GB"/>
        </w:rPr>
        <w:t>the recent PCV13 preterm study</w:t>
      </w:r>
      <w:r w:rsidR="00091F38">
        <w:rPr>
          <w:lang w:eastAsia="en-GB"/>
        </w:rPr>
        <w:fldChar w:fldCharType="begin" w:fldLock="1"/>
      </w:r>
      <w:r w:rsidR="0052390D">
        <w:rPr>
          <w:lang w:eastAsia="en-GB"/>
        </w:rPr>
        <w:instrText>ADDIN CSL_CITATION { "citationItems" : [ { "id" : "ITEM-1", "itemData" : { "author" : [ { "dropping-particle" : "", "family" : "Martin\u00f3n-Torres", "given" : "Federico", "non-dropping-particle" : "", "parse-names" : false, "suffix" : "" }, { "dropping-particle" : "", "family" : "Czajka", "given" : "Hanna", "non-dropping-particle" : "", "parse-names" : false, "suffix" : "" }, { "dropping-particle" : "", "family" : "Wysocki", "given" : "Jacek", "non-dropping-particle" : "", "parse-names" : false, "suffix" : "" } ], "container-title" : "Pediatrics", "id" : "ITEM-1", "issue" : "4", "issued" : { "date-parts" : [ [ "2015" ] ] }, "title" : "13-Valent Pneumococcal Conjugate Vaccine ( PCV13 ) in Preterm Versus Term Infants", "type" : "article-journal", "volume" : "135" }, "uris" : [ "http://www.mendeley.com/documents/?uuid=a4492c76-ce2f-445b-a534-6501b5a4a697" ] } ], "mendeley" : { "formattedCitation" : "[7]", "plainTextFormattedCitation" : "[7]", "previouslyFormattedCitation" : "[7]" }, "properties" : { "noteIndex" : 0 }, "schema" : "https://github.com/citation-style-language/schema/raw/master/csl-citation.json" }</w:instrText>
      </w:r>
      <w:r w:rsidR="00091F38">
        <w:rPr>
          <w:lang w:eastAsia="en-GB"/>
        </w:rPr>
        <w:fldChar w:fldCharType="separate"/>
      </w:r>
      <w:r w:rsidR="00042309" w:rsidRPr="00042309">
        <w:rPr>
          <w:noProof/>
          <w:lang w:eastAsia="en-GB"/>
        </w:rPr>
        <w:t>[7]</w:t>
      </w:r>
      <w:r w:rsidR="00091F38">
        <w:rPr>
          <w:lang w:eastAsia="en-GB"/>
        </w:rPr>
        <w:fldChar w:fldCharType="end"/>
      </w:r>
      <w:r>
        <w:rPr>
          <w:lang w:eastAsia="en-GB"/>
        </w:rPr>
        <w:t xml:space="preserve">, lower IgG GMCs and seroprotection rates were seen for all serotypes.  These differences may be due to the different laboratory testing methodology for serotype-specific antibody concentrations, but potential biological explanations include interactions with concurrently administered vaccines, the younger gestation of our cohort or our broad inclusion criteria encompassing infants with complex medical problems – representative of the preterm population.  Additionally, Martinon-Torres </w:t>
      </w:r>
      <w:r w:rsidRPr="00017C3B">
        <w:rPr>
          <w:i/>
          <w:lang w:eastAsia="en-GB"/>
        </w:rPr>
        <w:t>et al</w:t>
      </w:r>
      <w:r>
        <w:rPr>
          <w:i/>
          <w:lang w:eastAsia="en-GB"/>
        </w:rPr>
        <w:t>.</w:t>
      </w:r>
      <w:r>
        <w:rPr>
          <w:lang w:eastAsia="en-GB"/>
        </w:rPr>
        <w:t xml:space="preserve"> did not report baseline IgG concentrations which may differ between countries and impact on post-vaccination concentrations.</w:t>
      </w:r>
      <w:r w:rsidR="00634A07">
        <w:rPr>
          <w:lang w:eastAsia="en-GB"/>
        </w:rPr>
        <w:fldChar w:fldCharType="begin" w:fldLock="1"/>
      </w:r>
      <w:r w:rsidR="0052390D">
        <w:rPr>
          <w:lang w:eastAsia="en-GB"/>
        </w:rPr>
        <w:instrText>ADDIN CSL_CITATION { "citationItems" : [ { "id" : "ITEM-1", "itemData" : { "author" : [ { "dropping-particle" : "", "family" : "Martin\u00f3n-Torres", "given" : "Federico", "non-dropping-particle" : "", "parse-names" : false, "suffix" : "" }, { "dropping-particle" : "", "family" : "Czajka", "given" : "Hanna", "non-dropping-particle" : "", "parse-names" : false, "suffix" : "" }, { "dropping-particle" : "", "family" : "Wysocki", "given" : "Jacek", "non-dropping-particle" : "", "parse-names" : false, "suffix" : "" } ], "container-title" : "Pediatrics", "id" : "ITEM-1", "issue" : "4", "issued" : { "date-parts" : [ [ "2015" ] ] }, "title" : "13-Valent Pneumococcal Conjugate Vaccine ( PCV13 ) in Preterm Versus Term Infants", "type" : "article-journal", "volume" : "135" }, "uris" : [ "http://www.mendeley.com/documents/?uuid=a4492c76-ce2f-445b-a534-6501b5a4a697" ] } ], "mendeley" : { "formattedCitation" : "[7]", "plainTextFormattedCitation" : "[7]", "previouslyFormattedCitation" : "[7]" }, "properties" : { "noteIndex" : 0 }, "schema" : "https://github.com/citation-style-language/schema/raw/master/csl-citation.json" }</w:instrText>
      </w:r>
      <w:r w:rsidR="00634A07">
        <w:rPr>
          <w:lang w:eastAsia="en-GB"/>
        </w:rPr>
        <w:fldChar w:fldCharType="separate"/>
      </w:r>
      <w:r w:rsidR="00042309" w:rsidRPr="00042309">
        <w:rPr>
          <w:noProof/>
          <w:lang w:eastAsia="en-GB"/>
        </w:rPr>
        <w:t>[7]</w:t>
      </w:r>
      <w:r w:rsidR="00634A07">
        <w:rPr>
          <w:lang w:eastAsia="en-GB"/>
        </w:rPr>
        <w:fldChar w:fldCharType="end"/>
      </w:r>
    </w:p>
    <w:p w14:paraId="31F8F1C6" w14:textId="77777777" w:rsidR="00256DEE" w:rsidRDefault="00256DEE" w:rsidP="00256DEE">
      <w:pPr>
        <w:pStyle w:val="MediumGrid21"/>
        <w:rPr>
          <w:lang w:eastAsia="en-GB"/>
        </w:rPr>
      </w:pPr>
    </w:p>
    <w:p w14:paraId="31D730DA" w14:textId="10DF5194" w:rsidR="00353952" w:rsidRDefault="00256DEE" w:rsidP="00353952">
      <w:pPr>
        <w:pStyle w:val="MediumGrid21"/>
        <w:rPr>
          <w:lang w:eastAsia="en-GB"/>
        </w:rPr>
      </w:pPr>
      <w:r>
        <w:rPr>
          <w:lang w:eastAsia="en-GB"/>
        </w:rPr>
        <w:t xml:space="preserve">When comparing schedules within our cohort, </w:t>
      </w:r>
      <w:r w:rsidRPr="00E13D21">
        <w:rPr>
          <w:lang w:eastAsia="en-GB"/>
        </w:rPr>
        <w:t xml:space="preserve">the most </w:t>
      </w:r>
      <w:r w:rsidR="004E4BC0">
        <w:rPr>
          <w:lang w:eastAsia="en-GB"/>
        </w:rPr>
        <w:t>striking</w:t>
      </w:r>
      <w:r w:rsidRPr="00E13D21">
        <w:rPr>
          <w:lang w:eastAsia="en-GB"/>
        </w:rPr>
        <w:t xml:space="preserve"> finding was the </w:t>
      </w:r>
      <w:r>
        <w:rPr>
          <w:lang w:eastAsia="en-GB"/>
        </w:rPr>
        <w:t xml:space="preserve">contrasting </w:t>
      </w:r>
      <w:r w:rsidRPr="00E13D21">
        <w:rPr>
          <w:lang w:eastAsia="en-GB"/>
        </w:rPr>
        <w:t xml:space="preserve">immunogenicity </w:t>
      </w:r>
      <w:r>
        <w:rPr>
          <w:lang w:eastAsia="en-GB"/>
        </w:rPr>
        <w:t>of the 3 schedules at different time points</w:t>
      </w:r>
      <w:r w:rsidRPr="00E13D21">
        <w:rPr>
          <w:lang w:eastAsia="en-GB"/>
        </w:rPr>
        <w:t>, with the reduced</w:t>
      </w:r>
      <w:r>
        <w:rPr>
          <w:lang w:eastAsia="en-GB"/>
        </w:rPr>
        <w:t xml:space="preserve"> </w:t>
      </w:r>
      <w:r w:rsidRPr="00E13D21">
        <w:rPr>
          <w:lang w:eastAsia="en-GB"/>
        </w:rPr>
        <w:t xml:space="preserve">dose schedule </w:t>
      </w:r>
      <w:r>
        <w:rPr>
          <w:lang w:eastAsia="en-GB"/>
        </w:rPr>
        <w:t>generating inferior antibody concentrations after the primary course but superior antibody concentrations after the booster dose.  The higher post-primary IgG GMCs following 3 doses (compared with 2 doses) is consistent with two meta-</w:t>
      </w:r>
      <w:r>
        <w:rPr>
          <w:lang w:eastAsia="en-GB"/>
        </w:rPr>
        <w:lastRenderedPageBreak/>
        <w:t>analyses of primary schedules in term infants.</w:t>
      </w:r>
      <w:r w:rsidR="00634A07">
        <w:rPr>
          <w:lang w:eastAsia="en-GB"/>
        </w:rPr>
        <w:fldChar w:fldCharType="begin" w:fldLock="1"/>
      </w:r>
      <w:r w:rsidR="006B7E33">
        <w:rPr>
          <w:lang w:eastAsia="en-GB"/>
        </w:rPr>
        <w:instrText>ADDIN CSL_CITATION { "citationItems" : [ { "id" : "ITEM-1", "itemData" : { "DOI" : "10.1097/INF.0000000000000079", "ISBN" : "0000000000000", "ISSN" : "1532-0987", "PMID" : "24336054", "abstract" : "BACKGROUND: Despite the breadth of studies demonstrating benefits of pneumococcal conjugate vaccine (PCV), uncertainty remains regarding the optimal PCV dosing schedule in infants. METHODS: We conducted a systematic literature review of PCV immunogenicity published from 1994 to 2010 (supplemented post hoc with studies from 2011). Studies included for analysis evaluated \u22652 doses of 7-valent or higher product (excluding Aventis-Pasteur PCV11) administered to nonhigh-risk infants \u22646 months of age. Impact of PCV schedule on geometric mean antibody concentration (GMC) and proportion of subjects over 0.35 mcg/mL were assessed at various time points; the GMC 1 month postdose 3 (for various dosing regimens) for serotypes 1, 5, 6B, 14, 19F and 23F was assessed in detail using random effects linear regression, adjusted for product, acellular diphtheria-tetanus-pertussis/whole-cell diphtheria- tetanus-pertussis coadministration, laboratory method, age at first dose and geographic region. RESULTS: From 61 studies, we evaluated 13 two-dose (2+0) and 65 three-dose primary schedules (3+0) without a booster dose, 11 \"2+1\" (2 primary plus booster) and 42 \"3+1\" schedules. The GMC after the primary series was higher following 3-dose schedules compared with 2-dose schedules for all serotypes except for serotype 1. Pre- and postbooster GMCs were generally similar regardless of whether 2 or 3 primary doses were given. GMCs were significantly higher for all serotypes when dose 3 was administered in the second year (2+1) compared with \u22646 months of age (3+0). CONCLUSIONS: While giving the third dose in the second year of life produces a higher antibody response than when given as part of the primary series in the first 6 months, the lower GMC between the 2-dose primary series and booster may result in less disease protection for infants in that interval than those who completed the 3-dose primary series. Theoretical advantages of higher antibodies induced by giving the third dose in the second year of life, such as increased protection against serotype 1 disease, longer duration of protection or more rapid induction of herd effects, need to be evaluated in practice.", "author" : [ { "dropping-particle" : "", "family" : "Knoll", "given" : "Maria Deloria", "non-dropping-particle" : "", "parse-names" : false, "suffix" : "" }, { "dropping-particle" : "", "family" : "Park", "given" : "Daniel E", "non-dropping-particle" : "", "parse-names" : false, "suffix" : "" }, { "dropping-particle" : "", "family" : "Johnson", "given" : "T Scott", "non-dropping-particle" : "", "parse-names" : false, "suffix" : "" }, { "dropping-particle" : "", "family" : "Chandir", "given" : "Subash", "non-dropping-particle" : "", "parse-names" : false, "suffix" : "" }, { "dropping-particle" : "", "family" : "Nonyane", "given" : "Bareng Aletta S", "non-dropping-particle" : "", "parse-names" : false, "suffix" : "" }, { "dropping-particle" : "", "family" : "Conklin", "given" : "Laura", "non-dropping-particle" : "", "parse-names" : false, "suffix" : "" }, { "dropping-particle" : "", "family" : "Fleming-Dutra", "given" : "Katherine E", "non-dropping-particle" : "", "parse-names" : false, "suffix" : "" }, { "dropping-particle" : "", "family" : "Loo", "given" : "Jennifer D", "non-dropping-particle" : "", "parse-names" : false, "suffix" : "" }, { "dropping-particle" : "", "family" : "Goldblatt", "given" : "David", "non-dropping-particle" : "", "parse-names" : false, "suffix" : "" }, { "dropping-particle" : "", "family" : "Whitney", "given" : "Cynthia G", "non-dropping-particle" : "", "parse-names" : false, "suffix" : "" }, { "dropping-particle" : "", "family" : "O'Brien", "given" : "Katherine L", "non-dropping-particle" : "", "parse-names" : false, "suffix" : "" } ], "container-title" : "The Pediatric infectious disease journal", "id" : "ITEM-1", "issue" : "1", "issued" : { "date-parts" : [ [ "2014", "1" ] ] }, "page" : "S119-29", "title" : "Systematic review of the effect of pneumococcal conjugate vaccine dosing schedules on immunogenicity.", "type" : "article-journal", "volume" : "33 Suppl 2" }, "uris" : [ "http://www.mendeley.com/documents/?uuid=e103f1c2-57bc-4a1f-bb11-98af82955cfb" ] }, { "id" : "ITEM-2", "itemData" : { "DOI" : "10.1016/j.vaccine.2011.07.042", "ISSN" : "1873-2518", "PMID" : "21821080", "abstract" : "BACKGROUND: Pneumococcal conjugate vaccines (PCV) were first licensed for use with 3 primary doses in infancy and a booster dose. The evidence for the effects of different schedules was examined in this systematic review and meta-analysis.\n\nMETHODS: We searched 12 databases and trial registers up to March 2010. We selected randomised controlled trials (RCTs), cohort and case-control studies making direct comparisons between PCV schedules with (2p) or (3p) primary doses, with (+1) or without (+0) a booster dose. We extracted data on clinical, nasopharyngeal carriage and immunological outcomes and used meta-analysis to combine results where appropriate.\n\nRESULTS: Seropositivity levels (antibody concentration \u22650.35 \u03bcg/ml) following 3p and 2p PCV schedules were high for most serotypes (5 RCTs). Differences between schedules were generally small and tended to favour 3p schedules, particularly for serotypes 6B and 23F; between-study heterogeneity was high. Seropositivity levels following 3p+1 and 2p+1 schedules were similar but small differences favouring 3p+1 schedules were seen for serotypes 6B and 23F. We did not identify any RCTs reporting clinical outcomes for these comparisons. In 2 RCTs there was weak evidence of a reduction in carriage of S. pneumoniae serotypes included in the vaccine when 3p+0 schedules were compared to 2p+0 at 6 months of age.\n\nCONCLUSIONS: Most data about the relative effects of different PCV schedules relate to immunological outcomes. Both 3p and 2p schedules result in high levels of seropositivity. The clinical relevance of differences in immunological outcomes between schedules is not known. There is an absence of clinical outcome data from RCTs with direct comparisons of any 2p with any 3p PCV schedule.", "author" : [ { "dropping-particle" : "", "family" : "Scott", "given" : "Pippa", "non-dropping-particle" : "", "parse-names" : false, "suffix" : "" }, { "dropping-particle" : "", "family" : "Rutjes", "given" : "Anne W S", "non-dropping-particle" : "", "parse-names" : false, "suffix" : "" }, { "dropping-particle" : "", "family" : "Bermetz", "given" : "Lilian", "non-dropping-particle" : "", "parse-names" : false, "suffix" : "" }, { "dropping-particle" : "", "family" : "Robert", "given" : "Nad\u00e8ge", "non-dropping-particle" : "", "parse-names" : false, "suffix" : "" }, { "dropping-particle" : "", "family" : "Scott", "given" : "Susana", "non-dropping-particle" : "", "parse-names" : false, "suffix" : "" }, { "dropping-particle" : "", "family" : "Louren\u00e7o", "given" : "Tania", "non-dropping-particle" : "", "parse-names" : false, "suffix" : "" }, { "dropping-particle" : "", "family" : "Egger", "given" : "Matthias", "non-dropping-particle" : "", "parse-names" : false, "suffix" : "" }, { "dropping-particle" : "", "family" : "Low", "given" : "Nicola", "non-dropping-particle" : "", "parse-names" : false, "suffix" : "" } ], "container-title" : "Vaccine", "id" : "ITEM-2", "issue" : "52", "issued" : { "date-parts" : [ [ "2011", "12", "6" ] ] }, "page" : "9711-21", "title" : "Comparing pneumococcal conjugate vaccine schedules based on 3 and 2 primary doses: systematic review and meta-analysis.", "type" : "article-journal", "volume" : "29" }, "uris" : [ "http://www.mendeley.com/documents/?uuid=f7d576ed-329f-4a41-ac59-40f5514b6535" ] } ], "mendeley" : { "formattedCitation" : "[23,24]", "plainTextFormattedCitation" : "[23,24]", "previouslyFormattedCitation" : "[21,22]" }, "properties" : { "noteIndex" : 0 }, "schema" : "https://github.com/citation-style-language/schema/raw/master/csl-citation.json" }</w:instrText>
      </w:r>
      <w:r w:rsidR="00634A07">
        <w:rPr>
          <w:lang w:eastAsia="en-GB"/>
        </w:rPr>
        <w:fldChar w:fldCharType="separate"/>
      </w:r>
      <w:r w:rsidR="006B7E33" w:rsidRPr="006B7E33">
        <w:rPr>
          <w:noProof/>
          <w:lang w:eastAsia="en-GB"/>
        </w:rPr>
        <w:t>[23,24]</w:t>
      </w:r>
      <w:r w:rsidR="00634A07">
        <w:rPr>
          <w:lang w:eastAsia="en-GB"/>
        </w:rPr>
        <w:fldChar w:fldCharType="end"/>
      </w:r>
      <w:r>
        <w:rPr>
          <w:lang w:eastAsia="en-GB"/>
        </w:rPr>
        <w:t xml:space="preserve"> </w:t>
      </w:r>
      <w:r w:rsidR="000578FD">
        <w:rPr>
          <w:lang w:eastAsia="en-GB"/>
        </w:rPr>
        <w:t xml:space="preserve"> </w:t>
      </w:r>
      <w:r>
        <w:rPr>
          <w:lang w:eastAsia="en-GB"/>
        </w:rPr>
        <w:t>Of the 3-dose schedules, higher antibody concentrations were seen in premature infants receiving the extended schedule.  This was not observed in the meta-analyses of term infant responses but an older age at final vaccination may be more important in premature infants as it will allow further maturation</w:t>
      </w:r>
      <w:r w:rsidRPr="00E13D21">
        <w:rPr>
          <w:lang w:eastAsia="en-GB"/>
        </w:rPr>
        <w:t xml:space="preserve"> of </w:t>
      </w:r>
      <w:r>
        <w:rPr>
          <w:lang w:eastAsia="en-GB"/>
        </w:rPr>
        <w:t xml:space="preserve">their </w:t>
      </w:r>
      <w:r w:rsidRPr="00E13D21">
        <w:rPr>
          <w:lang w:eastAsia="en-GB"/>
        </w:rPr>
        <w:t xml:space="preserve">immune </w:t>
      </w:r>
      <w:r>
        <w:rPr>
          <w:lang w:eastAsia="en-GB"/>
        </w:rPr>
        <w:t>system.</w:t>
      </w:r>
      <w:r w:rsidR="00634A07">
        <w:rPr>
          <w:lang w:eastAsia="en-GB"/>
        </w:rPr>
        <w:fldChar w:fldCharType="begin" w:fldLock="1"/>
      </w:r>
      <w:r w:rsidR="006B7E33">
        <w:rPr>
          <w:lang w:eastAsia="en-GB"/>
        </w:rPr>
        <w:instrText>ADDIN CSL_CITATION { "citationItems" : [ { "id" : "ITEM-1", "itemData" : { "author" : [ { "dropping-particle" : "", "family" : "Prabhudas", "given" : "Mercy", "non-dropping-particle" : "", "parse-names" : false, "suffix" : "" }, { "dropping-particle" : "", "family" : "Adkins", "given" : "Becky", "non-dropping-particle" : "", "parse-names" : false, "suffix" : "" }, { "dropping-particle" : "", "family" : "Gans", "given" : "Hayley", "non-dropping-particle" : "", "parse-names" : false, "suffix" : "" }, { "dropping-particle" : "", "family" : "King", "given" : "Christopher", "non-dropping-particle" : "", "parse-names" : false, "suffix" : "" }, { "dropping-particle" : "", "family" : "Levy", "given" : "Ofer", "non-dropping-particle" : "", "parse-names" : false, "suffix" : "" }, { "dropping-particle" : "", "family" : "Ramilo", "given" : "Octavio", "non-dropping-particle" : "", "parse-names" : false, "suffix" : "" }, { "dropping-particle" : "", "family" : "Siegrist", "given" : "Claire-anne", "non-dropping-particle" : "", "parse-names" : false, "suffix" : "" } ], "container-title" : "Nature immunology", "id" : "ITEM-1", "issue" : "3", "issued" : { "date-parts" : [ [ "2011" ] ] }, "page" : "189 - 194", "title" : "Challenges in infant immunity : implications for responses to infection and vaccines", "type" : "article-journal", "volume" : "12" }, "uris" : [ "http://www.mendeley.com/documents/?uuid=ba318fbb-52ea-476f-8052-cb37f10cb3e3" ] }, { "id" : "ITEM-2", "itemData" : { "DOI" : "10.1038/nri2508", "ISSN" : "1474-1741", "PMID" : "19240757", "abstract" : "Infants and the elderly share a high vulnerability to infections and therefore have specific immunization requirements. Inducing potent and sustained B-cell responses is as challenging in infants as it is in older subjects. Several mechanisms to explain the decreased B-cell responses at the extremes of age apply to both infants and the elderly. These include intrinsic B-cell limitations as well as numerous microenvironmental factors in lymphoid organs and the bone marrow. This Review describes the mechanisms that shape B-cell responses at the extremes of age and how they could be taken into account to design more effective immunization strategies for these high-risk age groups.", "author" : [ { "dropping-particle" : "", "family" : "Siegrist", "given" : "Claire-Anne", "non-dropping-particle" : "", "parse-names" : false, "suffix" : "" }, { "dropping-particle" : "", "family" : "Aspinall", "given" : "Richard", "non-dropping-particle" : "", "parse-names" : false, "suffix" : "" } ], "container-title" : "Nature reviews. Immunology", "id" : "ITEM-2", "issue" : "3", "issued" : { "date-parts" : [ [ "2009", "3" ] ] }, "page" : "185-94", "title" : "B-cell responses to vaccination at the extremes of age.", "type" : "article-journal", "volume" : "9" }, "uris" : [ "http://www.mendeley.com/documents/?uuid=192d354a-5911-4598-91c5-42de23bee4ef" ] } ], "mendeley" : { "formattedCitation" : "[25,26]", "plainTextFormattedCitation" : "[25,26]", "previouslyFormattedCitation" : "[23,24]" }, "properties" : { "noteIndex" : 0 }, "schema" : "https://github.com/citation-style-language/schema/raw/master/csl-citation.json" }</w:instrText>
      </w:r>
      <w:r w:rsidR="00634A07">
        <w:rPr>
          <w:lang w:eastAsia="en-GB"/>
        </w:rPr>
        <w:fldChar w:fldCharType="separate"/>
      </w:r>
      <w:r w:rsidR="006B7E33" w:rsidRPr="006B7E33">
        <w:rPr>
          <w:noProof/>
          <w:lang w:eastAsia="en-GB"/>
        </w:rPr>
        <w:t>[25,26]</w:t>
      </w:r>
      <w:r w:rsidR="00634A07">
        <w:rPr>
          <w:lang w:eastAsia="en-GB"/>
        </w:rPr>
        <w:fldChar w:fldCharType="end"/>
      </w:r>
      <w:r w:rsidRPr="00E13D21">
        <w:rPr>
          <w:lang w:eastAsia="en-GB"/>
        </w:rPr>
        <w:t xml:space="preserve"> </w:t>
      </w:r>
      <w:r>
        <w:rPr>
          <w:lang w:eastAsia="en-GB"/>
        </w:rPr>
        <w:t xml:space="preserve"> </w:t>
      </w:r>
      <w:r w:rsidR="00E176B6" w:rsidRPr="00E176B6">
        <w:t>However, this needs to be set against the optimal age at which protection is required in this population. Several studies have indicated an increased susceptibility of IPD in babies born prematurely when compared with term infants; this risk appears maximal in the first 6 months of life.</w:t>
      </w:r>
      <w:r w:rsidR="00634A07">
        <w:fldChar w:fldCharType="begin" w:fldLock="1"/>
      </w:r>
      <w:r w:rsidR="00992AB4">
        <w:instrText>ADDIN CSL_CITATION { "citationItems" : [ { "id" : "ITEM-1", "itemData" : { "ISSN" : "0891-3668", "PMID" : "12005078", "abstract" : "OBJECTIVE: To determine the efficacy, immunogenicity and safety of the heptavalent CRM197 pneumococcal conjugate vaccine (PCV) in low birth weight (LBW) and preterm (PT) infants against invasive pneumococcal disease caused by vaccine types.\n\nMETHODS: In a randomized double blind trial of 37,868 infants given either PCV or meningococcal type C conjugate vaccine (MCV), 1756 infants &lt;750 g &lt;2500 g (LBW) and 4340 infants from 32 to &lt;38 weeks old (PT) were identified. Risk of invasive pneumococcal disease in LBW and PT infants was compared with risk in normal birth weight (NBW) and full term (FT) infants. Local and systemic events observed within 48 h of recent vaccine were assessed by telephone interviews and similar comparisons made. Premature infant Emergency Department visits and hospitalization were also identified and compared with FT and NBW infants.\n\nRESULTS: Initiation of immunization and intervals between doses were similar for all groups. The risk ratio for invasive pneumococcal diseases for LBW infants compared with NBW infants was 2.6 (P = 0.03), and for PT compared with FT infants the risk ratio was 1.6 (P = 0.06). Vaccine efficacy for both groups was 100%. PCV was as immunogenic in LBW and PT as in NBW and FT infants. Fever and local events after PCV vaccination were similar when adjusted for clustering among multiple doses per child. When stratified for individual doses there was more redness and swelling for LBW infants and more swelling for PT infants after Dose 3. Isolated local and systemic reactions were more commonly seen with PCV than with MCV, a pattern similar to that in NBW and FT infants. Hospitalization rates were similar for PCV and MCV recipients.\n\nCONCLUSION: These data support the use of PCV in LBW infants and PT infants.", "author" : [ { "dropping-particle" : "", "family" : "Shinefield", "given" : "Henry", "non-dropping-particle" : "", "parse-names" : false, "suffix" : "" }, { "dropping-particle" : "", "family" : "Black", "given" : "Steven", "non-dropping-particle" : "", "parse-names" : false, "suffix" : "" }, { "dropping-particle" : "", "family" : "Ray", "given" : "Paula", "non-dropping-particle" : "", "parse-names" : false, "suffix" : "" }, { "dropping-particle" : "", "family" : "Fireman", "given" : "Bruce", "non-dropping-particle" : "", "parse-names" : false, "suffix" : "" }, { "dropping-particle" : "", "family" : "Schwalbe", "given" : "Joan", "non-dropping-particle" : "", "parse-names" : false, "suffix" : "" }, { "dropping-particle" : "", "family" : "Lewis", "given" : "Edwin", "non-dropping-particle" : "", "parse-names" : false, "suffix" : "" } ], "container-title" : "The Pediatric infectious disease journal", "id" : "ITEM-1", "issue" : "3", "issued" : { "date-parts" : [ [ "2002", "3" ] ] }, "page" : "182-6", "title" : "Efficacy, immunogenicity and safety of heptavalent pneumococcal conjugate vaccine in low birth weight and preterm infants.", "type" : "article-journal", "volume" : "21" }, "uris" : [ "http://www.mendeley.com/documents/?uuid=cdc159e0-376b-4ad4-b6c5-d8b55246a6b6" ] }, { "id" : "ITEM-2", "itemData" : { "DOI" : "10.1186/1471-2334-10-12", "ISSN" : "1471-2334", "PMID" : "20085656", "abstract" : "BACKGROUND: Evidence for protection of preterm born infants from invasive pneumococcal disease (IPD) by 7-valent pneumococcal conjugate vaccination (PCV7) is relatively sparse. Data from randomized trials is based on relatively small numbers of preterm born children.\n\nMETHODS: We report data from active prospective surveillance of IPD in children in Germany. The cohorts of preterm born children in 2000 and 2007 and the respective whole birth cohorts are compared regarding occurrence of IPD.\n\nRESULTS: After introduction of PCV7 we observed a reduction in the rate of IPD in preterm born infants comparing the 2000 and 2007 birth cohort. The rate of IPD among the whole birth cohorts was reduced from 15.0 to 8.5 notifications per 100,000 (P &lt; .001). The impact among the preterm birth cohort was comparable: A reduction in notification rate from 26.1 to 16.7 per 100,000 comparing the 2000 with the 2007 preterm birth cohort (P = .39). Preterm born infants with IPD were either unvaccinated or vaccinated delayed or incomplete.\n\nCONCLUSIONS: This adds to evidence that PCV7 also protects preterm born infants effectively from IPD. Preterm born infants should receive pneumococcal vaccination according to their chronological age.", "author" : [ { "dropping-particle" : "", "family" : "R\u00fcckinger", "given" : "Simon", "non-dropping-particle" : "", "parse-names" : false, "suffix" : "" }, { "dropping-particle" : "", "family" : "Linden", "given" : "Mark", "non-dropping-particle" : "van der", "parse-names" : false, "suffix" : "" }, { "dropping-particle" : "", "family" : "Kries", "given" : "R\u00fcdiger", "non-dropping-particle" : "von", "parse-names" : false, "suffix" : "" } ], "container-title" : "BMC infectious diseases", "id" : "ITEM-2", "issue" : "July 2006", "issued" : { "date-parts" : [ [ "2010", "1" ] ] }, "page" : "12", "title" : "Effect of heptavalent pneumococcal conjugate vaccination on invasive pneumococcal disease in preterm born infants.", "type" : "article-journal", "volume" : "10" }, "uris" : [ "http://www.mendeley.com/documents/?uuid=79583137-c137-431e-b820-9f2ded7c58a8" ] }, { "id" : "ITEM-3", "itemData" : { "DOI" : "10.1086/512814", "ISSN" : "1537-6591", "PMID" : "17366448", "abstract" : "BACKGROUND: Denmark's systems of registry-based data offer a unique opportunity to examine, on a population basis, risk factors for invasive pneumococcal disease (IPD) relating to perinatal and crowding exposures among children. The main objective of this study was to identify the role of familial and day care factors in the risk of IPD among unvaccinated infants and children.\n\nMETHODS: A total of 1381 children aged 0-5 years old who experienced IPD were identified from a national surveillance program of IPD in Denmark. Risk factors were assessed in a matched, nested, case-control study that assigned 10 population control subjects to every case patient. Exposure information was obtained from several population-based, person-identifiable Danish registries.\n\nRESULTS: Preterm birth and low birth weight significantly increased the risk of IPD among infants. In infants 0-5 months of age, the risk of IPD was high among infants who had older siblings, compared with infants of the same age who had no older siblings (adjusted rate ratio [aRR], 3.38; 95% confidence interval, 2.11-5.42), whereas the aRR was low (aRR, 0.56; 95% confidence interval, 0.47-0.65) in children aged 6-23 months. Day care attendance, compared with home care, increased the aRR of IPD 0-2 months after enrollment in a day care program (aRR, 2.28; 95% confidence interval, 1.73-3.00), whereas the aRR was 0.70; (95% confidence interval, 0.46-1.06) &gt; or = 6 months after enrollment in children aged 6-23 months.\n\nCONCLUSIONS: During infancy (age, 0-6 months), risk of IPD is associated with low birth weight, presumably because of lower levels of passively acquired maternal antibody. During early childhood, exposure to other young children (either siblings or through day care attendance) is clearly associated with IPD, but natural exposure appears to occur rapidly and confer durable immunity.", "author" : [ { "dropping-particle" : "", "family" : "Hjuler", "given" : "Thomas", "non-dropping-particle" : "", "parse-names" : false, "suffix" : "" }, { "dropping-particle" : "", "family" : "Wohlfahrt", "given" : "Jan", "non-dropping-particle" : "", "parse-names" : false, "suffix" : "" }, { "dropping-particle" : "", "family" : "Simonsen", "given" : "Jacob", "non-dropping-particle" : "", "parse-names" : false, "suffix" : "" }, { "dropping-particle" : "", "family" : "Kaltoft", "given" : "Margit S", "non-dropping-particle" : "", "parse-names" : false, "suffix" : "" }, { "dropping-particle" : "", "family" : "Koch", "given" : "Anders", "non-dropping-particle" : "", "parse-names" : false, "suffix" : "" }, { "dropping-particle" : "", "family" : "Kamper-J\u00f8rgensen", "given" : "Mads", "non-dropping-particle" : "", "parse-names" : false, "suffix" : "" }, { "dropping-particle" : "", "family" : "Biggar", "given" : "Robert J", "non-dropping-particle" : "", "parse-names" : false, "suffix" : "" }, { "dropping-particle" : "", "family" : "Melbye", "given" : "Mads", "non-dropping-particle" : "", "parse-names" : false, "suffix" : "" } ], "container-title" : "Clinical infectious diseases : an official publication of the Infectious Diseases Society of America", "id" : "ITEM-3", "issue" : "8", "issued" : { "date-parts" : [ [ "2007", "4", "15" ] ] }, "page" : "1051-6", "title" : "Perinatal and crowding-related risk factors for invasive pneumococcal disease in infants and young children: a population-based case-control study.", "type" : "article-journal", "volume" : "44" }, "uris" : [ "http://www.mendeley.com/documents/?uuid=41875e5f-d5df-486d-87b8-0f4adee8df9b" ] } ], "mendeley" : { "formattedCitation" : "[1\u20133]", "plainTextFormattedCitation" : "[1\u20133]", "previouslyFormattedCitation" : "[1\u20133]" }, "properties" : { "noteIndex" : 0 }, "schema" : "https://github.com/citation-style-language/schema/raw/master/csl-citation.json" }</w:instrText>
      </w:r>
      <w:r w:rsidR="00634A07">
        <w:fldChar w:fldCharType="separate"/>
      </w:r>
      <w:r w:rsidR="00042309" w:rsidRPr="00042309">
        <w:rPr>
          <w:noProof/>
        </w:rPr>
        <w:t>[1–3]</w:t>
      </w:r>
      <w:r w:rsidR="00634A07">
        <w:fldChar w:fldCharType="end"/>
      </w:r>
    </w:p>
    <w:p w14:paraId="1A533411" w14:textId="77777777" w:rsidR="00256DEE" w:rsidRPr="00E13D21" w:rsidRDefault="00256DEE" w:rsidP="00256DEE">
      <w:pPr>
        <w:pStyle w:val="MediumGrid21"/>
        <w:rPr>
          <w:lang w:eastAsia="en-GB"/>
        </w:rPr>
      </w:pPr>
    </w:p>
    <w:p w14:paraId="05012B86" w14:textId="3323FE77" w:rsidR="00256DEE" w:rsidRDefault="00256DEE" w:rsidP="00256DEE">
      <w:pPr>
        <w:pStyle w:val="MediumGrid21"/>
      </w:pPr>
      <w:r w:rsidRPr="00E13D21">
        <w:rPr>
          <w:lang w:eastAsia="en-GB"/>
        </w:rPr>
        <w:t xml:space="preserve">The </w:t>
      </w:r>
      <w:r>
        <w:rPr>
          <w:lang w:eastAsia="en-GB"/>
        </w:rPr>
        <w:t>differences in response to the booster dose was unexpected as the type of priming schedule has not been consistently shown to affect the generation of immunological memory and PCV booster vaccine responses in term infants.</w:t>
      </w:r>
      <w:r w:rsidR="00634A07">
        <w:rPr>
          <w:lang w:eastAsia="en-GB"/>
        </w:rPr>
        <w:fldChar w:fldCharType="begin" w:fldLock="1"/>
      </w:r>
      <w:r w:rsidR="006B7E33">
        <w:rPr>
          <w:lang w:eastAsia="en-GB"/>
        </w:rPr>
        <w:instrText>ADDIN CSL_CITATION { "citationItems" : [ { "id" : "ITEM-1", "itemData" : { "DOI" : "10.1001/jama.2013.228052", "ISSN" : "1538-3598", "PMID" : "24002279", "abstract" : "IMPORTANCE: Immunization schedules with pneumococcal conjugate vaccine (PCV) differ among countries regarding the number of doses, age at vaccinations, and interval between doses.\n\nOBJECTIVE: To assess the optimal primary vaccination schedule by comparing immunogenicity of 13-valent PCV (PCV13) in 4 different immunization schedules.\n\nDESIGN, SETTING, AND PARTICIPANTS: An open-label, parallel-group, randomized clinical trial of healthy term infants in a general community in The Netherlands conducted between June 30, 2010, and January 25, 2011, with 99% follow-up until age 12 months.\n\nINTERVENTIONS: Infants (N\u2009=\u2009400) were randomly assigned (1:1:1:1) to receive PCV13 either at ages 2, 4, and 6 months (2-4-6); at ages 3 and 5 months (3-5); at ages 2, 3, and 4 months (2-3-4); or at ages 2 and 4 months (2-4), with a booster dose at age 11.5 months.\n\nMAIN OUTCOMES AND MEASURES: Primary outcome measure was antibody geometric mean concentrations (GMCs) against PCV13-included serotypes 1 month after the booster dose measured by multiplex immunoassay. Secondary outcomes included GMCs measured 1 month after the primary series, at 8 months of age, and before the booster.\n\nRESULTS: The primary outcome, GMCs at 1 month after the booster dose, was not significantly different between schedules for 70 of 78 comparisons. The 2-4-6 schedule was superior to the 2-3-4 schedule for serotypes 18C (10.2 \u00b5g/mL [95% CI, 8.2-12.7] vs 6.5 \u00b5g/mL [95% CI, 5.4-7.8]) and 23F (10.9 \u00b5g/mL [95% CI, 9.0-13.3] vs 7.3 \u00b5g/mL [95% CI, 5.8-9.2]) and superior to the 2-4 schedule for serotypes 6B (8.5 \u00b5g/mL [95% CI, 7.1-10.2] vs 5.1 \u00b5g/mL [95% CI 3.8-6.7]), 18C (6.6 \u00b5g/mL [95% CI, 5.7-7.7]), and 23F (7.2 \u00b5g/mL [95% CI, 5.9-8.8]). For serotype 1, the 3-5 schedule (11.7 \u00b5g/mL [95% CI, 9.6-14.3]) was superior to the other schedules. Geometric mean concentrations for all 13 serotypes ranged between 1.6 and 19.9 \u00b5g/mL. Secondary outcomes demonstrated differences 1 month after the primary series. The 2-4-6 schedule was superior compared with the 3-5, 2-3-4, and 2-4 schedules for 3, 9, and 11 serotypes, respectively. Differences between schedules persisted until the booster dose.\n\nCONCLUSIONS AND RELEVANCE: The use of 4 different PCV13 immunization schedules in healthy term infants resulted in no statistically significant differences in antibody levels after the booster dose for almost all serotypes. The choice of PCV schedule will require a balance between the need for early protection and maintaining \u2026", "author" : [ { "dropping-particle" : "", "family" : "Spijkerman", "given" : "Judith", "non-dropping-particle" : "", "parse-names" : false, "suffix" : "" }, { "dropping-particle" : "", "family" : "Veenhoven", "given" : "Reinier H", "non-dropping-particle" : "", "parse-names" : false, "suffix" : "" }, { "dropping-particle" : "", "family" : "Wijmenga-Monsuur", "given" : "Alienke J", "non-dropping-particle" : "", "parse-names" : false, "suffix" : "" }, { "dropping-particle" : "", "family" : "Elberse", "given" : "Karin E M", "non-dropping-particle" : "", "parse-names" : false, "suffix" : "" }, { "dropping-particle" : "", "family" : "Gageldonk", "given" : "Pieter G M", "non-dropping-particle" : "van", "parse-names" : false, "suffix" : "" }, { "dropping-particle" : "", "family" : "Knol", "given" : "Mirjam J", "non-dropping-particle" : "", "parse-names" : false, "suffix" : "" }, { "dropping-particle" : "", "family" : "Melker", "given" : "Hester E", "non-dropping-particle" : "de", "parse-names" : false, "suffix" : "" }, { "dropping-particle" : "", "family" : "Sanders", "given" : "Elisabeth a M", "non-dropping-particle" : "", "parse-names" : false, "suffix" : "" }, { "dropping-particle" : "", "family" : "Schouls", "given" : "Leo M", "non-dropping-particle" : "", "parse-names" : false, "suffix" : "" }, { "dropping-particle" : "", "family" : "Berbers", "given" : "Guy a M", "non-dropping-particle" : "", "parse-names" : false, "suffix" : "" } ], "container-title" : "JAMA : the journal of the American Medical Association", "id" : "ITEM-1", "issue" : "9", "issued" : { "date-parts" : [ [ "2013", "9", "4" ] ] }, "page" : "930-7", "title" : "Immunogenicity of 13-valent pneumococcal conjugate vaccine administered according to 4 different primary immunization schedules in infants: a randomized clinical trial.", "type" : "article-journal", "volume" : "310" }, "uris" : [ "http://www.mendeley.com/documents/?uuid=449d9965-73f0-4715-ab65-0dacc7d25f57" ] }, { "id" : "ITEM-2", "itemData" : { "DOI" : "10.1097/INF.0000000000000079", "ISBN" : "0000000000000", "ISSN" : "1532-0987", "PMID" : "24336054", "abstract" : "BACKGROUND: Despite the breadth of studies demonstrating benefits of pneumococcal conjugate vaccine (PCV), uncertainty remains regarding the optimal PCV dosing schedule in infants. METHODS: We conducted a systematic literature review of PCV immunogenicity published from 1994 to 2010 (supplemented post hoc with studies from 2011). Studies included for analysis evaluated \u22652 doses of 7-valent or higher product (excluding Aventis-Pasteur PCV11) administered to nonhigh-risk infants \u22646 months of age. Impact of PCV schedule on geometric mean antibody concentration (GMC) and proportion of subjects over 0.35 mcg/mL were assessed at various time points; the GMC 1 month postdose 3 (for various dosing regimens) for serotypes 1, 5, 6B, 14, 19F and 23F was assessed in detail using random effects linear regression, adjusted for product, acellular diphtheria-tetanus-pertussis/whole-cell diphtheria- tetanus-pertussis coadministration, laboratory method, age at first dose and geographic region. RESULTS: From 61 studies, we evaluated 13 two-dose (2+0) and 65 three-dose primary schedules (3+0) without a booster dose, 11 \"2+1\" (2 primary plus booster) and 42 \"3+1\" schedules. The GMC after the primary series was higher following 3-dose schedules compared with 2-dose schedules for all serotypes except for serotype 1. Pre- and postbooster GMCs were generally similar regardless of whether 2 or 3 primary doses were given. GMCs were significantly higher for all serotypes when dose 3 was administered in the second year (2+1) compared with \u22646 months of age (3+0). CONCLUSIONS: While giving the third dose in the second year of life produces a higher antibody response than when given as part of the primary series in the first 6 months, the lower GMC between the 2-dose primary series and booster may result in less disease protection for infants in that interval than those who completed the 3-dose primary series. Theoretical advantages of higher antibodies induced by giving the third dose in the second year of life, such as increased protection against serotype 1 disease, longer duration of protection or more rapid induction of herd effects, need to be evaluated in practice.", "author" : [ { "dropping-particle" : "", "family" : "Knoll", "given" : "Maria Deloria", "non-dropping-particle" : "", "parse-names" : false, "suffix" : "" }, { "dropping-particle" : "", "family" : "Park", "given" : "Daniel E", "non-dropping-particle" : "", "parse-names" : false, "suffix" : "" }, { "dropping-particle" : "", "family" : "Johnson", "given" : "T Scott", "non-dropping-particle" : "", "parse-names" : false, "suffix" : "" }, { "dropping-particle" : "", "family" : "Chandir", "given" : "Subash", "non-dropping-particle" : "", "parse-names" : false, "suffix" : "" }, { "dropping-particle" : "", "family" : "Nonyane", "given" : "Bareng Aletta S", "non-dropping-particle" : "", "parse-names" : false, "suffix" : "" }, { "dropping-particle" : "", "family" : "Conklin", "given" : "Laura", "non-dropping-particle" : "", "parse-names" : false, "suffix" : "" }, { "dropping-particle" : "", "family" : "Fleming-Dutra", "given" : "Katherine E", "non-dropping-particle" : "", "parse-names" : false, "suffix" : "" }, { "dropping-particle" : "", "family" : "Loo", "given" : "Jennifer D", "non-dropping-particle" : "", "parse-names" : false, "suffix" : "" }, { "dropping-particle" : "", "family" : "Goldblatt", "given" : "David", "non-dropping-particle" : "", "parse-names" : false, "suffix" : "" }, { "dropping-particle" : "", "family" : "Whitney", "given" : "Cynthia G", "non-dropping-particle" : "", "parse-names" : false, "suffix" : "" }, { "dropping-particle" : "", "family" : "O'Brien", "given" : "Katherine L", "non-dropping-particle" : "", "parse-names" : false, "suffix" : "" } ], "container-title" : "The Pediatric infectious disease journal", "id" : "ITEM-2", "issue" : "1", "issued" : { "date-parts" : [ [ "2014", "1" ] ] }, "page" : "S119-29", "title" : "Systematic review of the effect of pneumococcal conjugate vaccine dosing schedules on immunogenicity.", "type" : "article-journal", "volume" : "33 Suppl 2" }, "uris" : [ "http://www.mendeley.com/documents/?uuid=e103f1c2-57bc-4a1f-bb11-98af82955cfb" ] } ], "mendeley" : { "formattedCitation" : "[23,27]", "plainTextFormattedCitation" : "[23,27]", "previouslyFormattedCitation" : "[21,25]" }, "properties" : { "noteIndex" : 0 }, "schema" : "https://github.com/citation-style-language/schema/raw/master/csl-citation.json" }</w:instrText>
      </w:r>
      <w:r w:rsidR="00634A07">
        <w:rPr>
          <w:lang w:eastAsia="en-GB"/>
        </w:rPr>
        <w:fldChar w:fldCharType="separate"/>
      </w:r>
      <w:r w:rsidR="006B7E33" w:rsidRPr="006B7E33">
        <w:rPr>
          <w:noProof/>
          <w:lang w:eastAsia="en-GB"/>
        </w:rPr>
        <w:t>[23,27]</w:t>
      </w:r>
      <w:r w:rsidR="00634A07">
        <w:rPr>
          <w:lang w:eastAsia="en-GB"/>
        </w:rPr>
        <w:fldChar w:fldCharType="end"/>
      </w:r>
      <w:r>
        <w:rPr>
          <w:lang w:eastAsia="en-GB"/>
        </w:rPr>
        <w:t xml:space="preserve">  The improved post-booster immunogenicity of fewer priming doses is well described for meningococcal C conjugate vaccines and is thought to be due to lower total antigen exposure favouring differentiation of B lymphoblasts into mem</w:t>
      </w:r>
      <w:r w:rsidR="001A60D3">
        <w:rPr>
          <w:lang w:eastAsia="en-GB"/>
        </w:rPr>
        <w:t>ory B cells instead of antibody-</w:t>
      </w:r>
      <w:r>
        <w:rPr>
          <w:lang w:eastAsia="en-GB"/>
        </w:rPr>
        <w:t>generating plasma cells.</w:t>
      </w:r>
      <w:r w:rsidR="00634A07">
        <w:rPr>
          <w:lang w:eastAsia="en-GB"/>
        </w:rPr>
        <w:fldChar w:fldCharType="begin" w:fldLock="1"/>
      </w:r>
      <w:r w:rsidR="006B7E33">
        <w:rPr>
          <w:lang w:eastAsia="en-GB"/>
        </w:rPr>
        <w:instrText>ADDIN CSL_CITATION { "citationItems" : [ { "id" : "ITEM-1", "itemData" : { "DOI" : "10.1128/IAI.71.10.5549", "author" : [ { "dropping-particle" : "", "family" : "Borrow", "given" : "Ray", "non-dropping-particle" : "", "parse-names" : false, "suffix" : "" }, { "dropping-particle" : "", "family" : "Goldblatt", "given" : "David", "non-dropping-particle" : "", "parse-names" : false, "suffix" : "" }, { "dropping-particle" : "", "family" : "Finn", "given" : "Adam", "non-dropping-particle" : "", "parse-names" : false, "suffix" : "" }, { "dropping-particle" : "", "family" : "Southern", "given" : "Joanna", "non-dropping-particle" : "", "parse-names" : false, "suffix" : "" }, { "dropping-particle" : "", "family" : "Ashton", "given" : "Lindsey", "non-dropping-particle" : "", "parse-names" : false, "suffix" : "" }, { "dropping-particle" : "", "family" : "Andrews", "given" : "Nick", "non-dropping-particle" : "", "parse-names" : false, "suffix" : "" }, { "dropping-particle" : "", "family" : "Lal", "given" : "Gouri", "non-dropping-particle" : "", "parse-names" : false, "suffix" : "" }, { "dropping-particle" : "", "family" : "Riley", "given" : "Christine", "non-dropping-particle" : "", "parse-names" : false, "suffix" : "" }, { "dropping-particle" : "", "family" : "Rahim", "given" : "Rukhsana", "non-dropping-particle" : "", "parse-names" : false, "suffix" : "" }, { "dropping-particle" : "", "family" : "Cartwright", "given" : "Keith", "non-dropping-particle" : "", "parse-names" : false, "suffix" : "" }, { "dropping-particle" : "", "family" : "Allan", "given" : "Geraldine", "non-dropping-particle" : "", "parse-names" : false, "suffix" : "" }, { "dropping-particle" : "", "family" : "Miller", "given" : "Elizabeth", "non-dropping-particle" : "", "parse-names" : false, "suffix" : "" } ], "container-title" : "Infection and Immunity", "id" : "ITEM-1", "issue" : "10", "issued" : { "date-parts" : [ [ "2003" ] ] }, "page" : "5549-5555", "title" : "Immunogenicity of, and Immunologic Memory to, a Reduced Primary Schedule of Meningococcal C-Tetanus Toxoid Conjugate Vaccine in Infants in the United Kingdom", "type" : "article-journal", "volume" : "71" }, "uris" : [ "http://www.mendeley.com/documents/?uuid=fb754588-c2f8-4313-84d8-a07d89343cf4" ] }, { "id" : "ITEM-2", "itemData" : { "author" : [ { "dropping-particle" : "", "family" : "Richmond", "given" : "Peter", "non-dropping-particle" : "", "parse-names" : false, "suffix" : "" }, { "dropping-particle" : "", "family" : "Borrow", "given" : "Ray", "non-dropping-particle" : "", "parse-names" : false, "suffix" : "" }, { "dropping-particle" : "", "family" : "Miller", "given" : "Elizabeth", "non-dropping-particle" : "", "parse-names" : false, "suffix" : "" }, { "dropping-particle" : "", "family" : "Clark", "given" : "Sarah", "non-dropping-particle" : "", "parse-names" : false, "suffix" : "" }, { "dropping-particle" : "", "family" : "Sadler", "given" : "Francesca", "non-dropping-particle" : "", "parse-names" : false, "suffix" : "" }, { "dropping-particle" : "", "family" : "Fox", "given" : "Andrew", "non-dropping-particle" : "", "parse-names" : false, "suffix" : "" }, { "dropping-particle" : "", "family" : "Begg", "given" : "Norman", "non-dropping-particle" : "", "parse-names" : false, "suffix" : "" }, { "dropping-particle" : "", "family" : "Morris", "given" : "Rhonwen", "non-dropping-particle" : "", "parse-names" : false, "suffix" : "" }, { "dropping-particle" : "", "family" : "Cartwright", "given" : "Keith", "non-dropping-particle" : "", "parse-names" : false, "suffix" : "" } ], "container-title" : "Journal of Infectious Diseases", "id" : "ITEM-2", "issued" : { "date-parts" : [ [ "1999" ] ] }, "page" : "1569-1572", "title" : "Meningococcal Serogroup C Conjugate Vaccine Is Immunogenic in Infancy and Primes for Memory", "type" : "article-journal", "volume" : "179" }, "uris" : [ "http://www.mendeley.com/documents/?uuid=ec97e59e-850f-452c-8883-3d46f0e8795d" ] } ], "mendeley" : { "formattedCitation" : "[14,15]", "plainTextFormattedCitation" : "[14,15]", "previouslyFormattedCitation" : "[12,13]" }, "properties" : { "noteIndex" : 0 }, "schema" : "https://github.com/citation-style-language/schema/raw/master/csl-citation.json" }</w:instrText>
      </w:r>
      <w:r w:rsidR="00634A07">
        <w:rPr>
          <w:lang w:eastAsia="en-GB"/>
        </w:rPr>
        <w:fldChar w:fldCharType="separate"/>
      </w:r>
      <w:r w:rsidR="006B7E33" w:rsidRPr="006B7E33">
        <w:rPr>
          <w:noProof/>
          <w:lang w:eastAsia="en-GB"/>
        </w:rPr>
        <w:t>[14,15]</w:t>
      </w:r>
      <w:r w:rsidR="00634A07">
        <w:rPr>
          <w:lang w:eastAsia="en-GB"/>
        </w:rPr>
        <w:fldChar w:fldCharType="end"/>
      </w:r>
      <w:r>
        <w:rPr>
          <w:lang w:eastAsia="en-GB"/>
        </w:rPr>
        <w:t xml:space="preserve">  In pneumococcal conjugate vaccines, a study of </w:t>
      </w:r>
      <w:r>
        <w:t xml:space="preserve">Fijian infants receiving one PCV7 priming dose followed by the 23-valent pneumococcal polysaccharide vaccine (PPV23) at 12 months had higher IgG GMC for </w:t>
      </w:r>
      <w:r w:rsidR="002F5B3F">
        <w:t>serotypes 4, 9V, 19F compared with</w:t>
      </w:r>
      <w:r>
        <w:t xml:space="preserve"> those who had been primed with two or three </w:t>
      </w:r>
      <w:r w:rsidR="000C5108">
        <w:t xml:space="preserve">PCV7 </w:t>
      </w:r>
      <w:r>
        <w:t>doses.</w:t>
      </w:r>
      <w:r w:rsidR="00634A07">
        <w:fldChar w:fldCharType="begin" w:fldLock="1"/>
      </w:r>
      <w:r w:rsidR="006B7E33">
        <w:instrText>ADDIN CSL_CITATION { "citationItems" : [ { "id" : "ITEM-1", "itemData" : { "DOI" : "10.1016/j.vaccine.2010.02.065", "ISSN" : "1873-2518", "PMID" : "20199764", "abstract" : "Fijian infants aged 6 weeks were stratified by ethnicity and randomized to receive 0, 1, 2, or 3 PCV-7 doses with or without the 23-valent pneumococcal polysaccharide vaccine (PPV-23) at 12 months. Strong booster effects for all 7 PCV-7 serotypes were elicited, and for 4/7 serotypes these responses were highest in the single PCV-7 group. There were fourfold rises in GMC for all non-PCV-7 serotypes. By 17 months the PPV-23 group still had significantly higher GMC (each p&lt;0.001) for all serotypes. The PPV-23 was well tolerated and induced excellent responses for all serotypes which were greatest in the single PCV-7 group.", "author" : [ { "dropping-particle" : "", "family" : "Russell", "given" : "F M", "non-dropping-particle" : "", "parse-names" : false, "suffix" : "" }, { "dropping-particle" : "V", "family" : "Licciardi", "given" : "P", "non-dropping-particle" : "", "parse-names" : false, "suffix" : "" }, { "dropping-particle" : "", "family" : "Balloch", "given" : "A", "non-dropping-particle" : "", "parse-names" : false, "suffix" : "" }, { "dropping-particle" : "", "family" : "Biaukula", "given" : "V", "non-dropping-particle" : "", "parse-names" : false, "suffix" : "" }, { "dropping-particle" : "", "family" : "Tikoduadua", "given" : "L", "non-dropping-particle" : "", "parse-names" : false, "suffix" : "" }, { "dropping-particle" : "", "family" : "Carapetis", "given" : "J R", "non-dropping-particle" : "", "parse-names" : false, "suffix" : "" }, { "dropping-particle" : "", "family" : "Nelson", "given" : "J", "non-dropping-particle" : "", "parse-names" : false, "suffix" : "" }, { "dropping-particle" : "", "family" : "Jenney", "given" : "A W J", "non-dropping-particle" : "", "parse-names" : false, "suffix" : "" }, { "dropping-particle" : "", "family" : "Waqatakirewa", "given" : "L", "non-dropping-particle" : "", "parse-names" : false, "suffix" : "" }, { "dropping-particle" : "", "family" : "Colquhoun", "given" : "S", "non-dropping-particle" : "", "parse-names" : false, "suffix" : "" }, { "dropping-particle" : "", "family" : "Cheung", "given" : "Y B", "non-dropping-particle" : "", "parse-names" : false, "suffix" : "" }, { "dropping-particle" : "", "family" : "Tang", "given" : "M L K", "non-dropping-particle" : "", "parse-names" : false, "suffix" : "" }, { "dropping-particle" : "", "family" : "Mulholland", "given" : "E K", "non-dropping-particle" : "", "parse-names" : false, "suffix" : "" } ], "container-title" : "Vaccine", "id" : "ITEM-1", "issue" : "18", "issued" : { "date-parts" : [ [ "2010", "4", "19" ] ] }, "page" : "3086-94", "publisher" : "Elsevier Ltd", "title" : "Safety and immunogenicity of the 23-valent pneumococcal polysaccharide vaccine at 12 months of age, following one, two, or three doses of the 7-valent pneumococcal conjugate vaccine in infancy.", "type" : "article-journal", "volume" : "28" }, "uris" : [ "http://www.mendeley.com/documents/?uuid=be9b875c-63a0-4fdb-879d-c4f26d5127b3" ] } ], "mendeley" : { "formattedCitation" : "[13]", "plainTextFormattedCitation" : "[13]", "previouslyFormattedCitation" : "[11]" }, "properties" : { "noteIndex" : 0 }, "schema" : "https://github.com/citation-style-language/schema/raw/master/csl-citation.json" }</w:instrText>
      </w:r>
      <w:r w:rsidR="00634A07">
        <w:fldChar w:fldCharType="separate"/>
      </w:r>
      <w:r w:rsidR="006B7E33" w:rsidRPr="006B7E33">
        <w:rPr>
          <w:noProof/>
        </w:rPr>
        <w:t>[13]</w:t>
      </w:r>
      <w:r w:rsidR="00634A07">
        <w:fldChar w:fldCharType="end"/>
      </w:r>
      <w:r>
        <w:t xml:space="preserve">  Similarly, infants receiving a lower antigen-containing investigational tetravalent PCV for priming had higher booster responses than those who had received the higher antigen-containing preparation.</w:t>
      </w:r>
      <w:r w:rsidR="00634A07">
        <w:fldChar w:fldCharType="begin" w:fldLock="1"/>
      </w:r>
      <w:r w:rsidR="006B7E33">
        <w:instrText>ADDIN CSL_CITATION { "citationItems" : [ { "id" : "ITEM-1", "itemData" : { "DOI" : "10.1016/S0264-410X(99)00048-1", "ISSN" : "0264410X", "abstract" : "Three injections of tetravalent pneumococcal polysaccharide-tetanus toxoid conjugate vaccine (PncT) were given to infants at 2, 4 and 6 months of age simultaneously with diphtheria\u2013tetanus\u2013pertussis and Haemophilus influenzae type b\u2013tetanus toxoid conjugate vaccines. Three doses (1, 3 or 10 \u03bcg) of polysaccharides were used. Children were boosted with unconjugated polysaccharide vaccine at 14 months of age. No dose dependency was seen after primary immunization. However, booster response to three vaccine serotypes was highest in the group primed with the lowest dose of conjugate vaccine. As the magnitude of the response to booster may be related to the number of polysaccharide-specific memory B cells, we hypothesize that the 10 \u03bcg dose of the tetravalent conjugate vaccine is too high for optimal induction of immunologic memory.", "author" : [ { "dropping-particle" : "", "family" : "\u00c5hman", "given" : "Heidi", "non-dropping-particle" : "", "parse-names" : false, "suffix" : "" }, { "dropping-particle" : "", "family" : "K\u00e4yhty", "given" : "Helena", "non-dropping-particle" : "", "parse-names" : false, "suffix" : "" }, { "dropping-particle" : "", "family" : "Vuorela", "given" : "Arja", "non-dropping-particle" : "", "parse-names" : false, "suffix" : "" }, { "dropping-particle" : "", "family" : "Leroy", "given" : "Odile", "non-dropping-particle" : "", "parse-names" : false, "suffix" : "" }, { "dropping-particle" : "", "family" : "Eskola", "given" : "Juhani", "non-dropping-particle" : "", "parse-names" : false, "suffix" : "" } ], "container-title" : "Vaccine", "id" : "ITEM-1", "issue" : "20-21", "issued" : { "date-parts" : [ [ "1999", "6" ] ] }, "page" : "2726-2732", "title" : "Dose dependency of antibody response in infants and children to pneumococcal polysaccharides conjugated to tetanus toxoid", "type" : "article-journal", "volume" : "17" }, "uris" : [ "http://www.mendeley.com/documents/?uuid=e5a1e4ef-a8af-4380-96ea-359baa007e13" ] } ], "mendeley" : { "formattedCitation" : "[28]", "plainTextFormattedCitation" : "[28]", "previouslyFormattedCitation" : "[26]" }, "properties" : { "noteIndex" : 0 }, "schema" : "https://github.com/citation-style-language/schema/raw/master/csl-citation.json" }</w:instrText>
      </w:r>
      <w:r w:rsidR="00634A07">
        <w:fldChar w:fldCharType="separate"/>
      </w:r>
      <w:r w:rsidR="006B7E33" w:rsidRPr="006B7E33">
        <w:rPr>
          <w:noProof/>
        </w:rPr>
        <w:t>[28]</w:t>
      </w:r>
      <w:r w:rsidR="00634A07">
        <w:fldChar w:fldCharType="end"/>
      </w:r>
      <w:r w:rsidR="003E483A">
        <w:t xml:space="preserve">  However, it should be noted that a statistically significant difference between the reduced and accelerated schedule groups </w:t>
      </w:r>
      <w:r w:rsidR="002D6EA3">
        <w:t xml:space="preserve">was observed </w:t>
      </w:r>
      <w:r w:rsidR="003E483A">
        <w:t xml:space="preserve">for </w:t>
      </w:r>
      <w:r w:rsidR="002D6EA3">
        <w:t xml:space="preserve">only </w:t>
      </w:r>
      <w:r w:rsidR="003E483A">
        <w:t>one serotype.</w:t>
      </w:r>
    </w:p>
    <w:p w14:paraId="18EF61C3" w14:textId="77777777" w:rsidR="00256DEE" w:rsidRDefault="00256DEE" w:rsidP="00256DEE">
      <w:pPr>
        <w:pStyle w:val="MediumGrid21"/>
      </w:pPr>
    </w:p>
    <w:p w14:paraId="32864484" w14:textId="4DD50E9B" w:rsidR="00256DEE" w:rsidRDefault="00FB568C" w:rsidP="00256DEE">
      <w:pPr>
        <w:pStyle w:val="MediumGrid21"/>
      </w:pPr>
      <w:r>
        <w:rPr>
          <w:lang w:eastAsia="en-GB"/>
        </w:rPr>
        <w:t>Despite seroprotective concentrations, i</w:t>
      </w:r>
      <w:r w:rsidR="00256DEE">
        <w:rPr>
          <w:lang w:eastAsia="en-GB"/>
        </w:rPr>
        <w:t xml:space="preserve">nfants who </w:t>
      </w:r>
      <w:r w:rsidR="002F5B3F">
        <w:rPr>
          <w:lang w:eastAsia="en-GB"/>
        </w:rPr>
        <w:t xml:space="preserve">had </w:t>
      </w:r>
      <w:r w:rsidR="00256DEE">
        <w:rPr>
          <w:lang w:eastAsia="en-GB"/>
        </w:rPr>
        <w:t xml:space="preserve">received the extended schedule had lower fold increases in antibody concentrations following booster vaccination than those receiving either the reduced dose or accelerated schedules suggesting that </w:t>
      </w:r>
      <w:r w:rsidR="00256DEE">
        <w:t>the higher pre-booster antibody concentrations at 12 months may have interfered with booster responses.</w:t>
      </w:r>
      <w:r w:rsidR="003E483A">
        <w:t xml:space="preserve">  </w:t>
      </w:r>
      <w:r w:rsidR="00256DEE">
        <w:rPr>
          <w:lang w:eastAsia="en-GB"/>
        </w:rPr>
        <w:t xml:space="preserve"> This effect has been </w:t>
      </w:r>
      <w:r w:rsidR="00256DEE">
        <w:t xml:space="preserve">observed following booster doses for </w:t>
      </w:r>
      <w:r w:rsidR="00256DEE">
        <w:lastRenderedPageBreak/>
        <w:t>other vaccines and several hypotheses have been proposed including the formation of immune complexes consisting of pre-existing antibody and vaccine antigen resulting in less available vaccine antigen, and B cell receptor mediated negative feedback mechanisms, analogous to those described for high maternal antibody concentrations impairing primary vaccine responses</w:t>
      </w:r>
      <w:r w:rsidR="00E67341">
        <w:t>.</w:t>
      </w:r>
      <w:r w:rsidR="00256DEE">
        <w:fldChar w:fldCharType="begin" w:fldLock="1"/>
      </w:r>
      <w:r w:rsidR="006B7E33">
        <w:instrText>ADDIN CSL_CITATION { "citationItems" : [ { "id" : "ITEM-1", "itemData" : { "DOI" : "10.1016/j.vaccine.2005.05.028", "ISSN" : "0264-410X", "PMID" : "15985319", "abstract" : "Tetanus booster is a routine procedure of tetanus prevention in populations with high risk of injury, independent of the levels of protection. But the immune response in already protected individuals is not well studied. We describe the kinetics of booster response in individuals by measuring tetanus antitoxin levels by indirect ELISA. A 6-month follow up was performed on 60 boosted individuals tested before, 1 week, 1, 2, 3 and 6 months after the booster. High initial protection (mean titer 1.08 IU/ml) and less than 3-fold increase after 1 month were observed. After 1 month of stable antitoxin levels, the levels slowly decreased and reached a mean titer of 1.78 IU/ml after 6 months. Individuals with initial levels &lt;1 IU/ml had booster response after the first month twice as high compared to those with initial level &gt;or=1 IU/ml. However, in both groups, the decline from 1 to 6 months was about 2-fold. Individuals already protected against tetanus exhibited an attenuated, short-lasting booster response to tetanus toxoid. This was more pronounced in individuals with pre-booster levels &gt;or=1 IU/ml, who did not improve immune protection after the booster.", "author" : [ { "dropping-particle" : "", "family" : "Danilova", "given" : "Elena", "non-dropping-particle" : "", "parse-names" : false, "suffix" : "" }, { "dropping-particle" : "", "family" : "Shiryayev", "given" : "Alexey", "non-dropping-particle" : "", "parse-names" : false, "suffix" : "" }, { "dropping-particle" : "", "family" : "Kristoffersen", "given" : "Einar Klaeboe", "non-dropping-particle" : "", "parse-names" : false, "suffix" : "" }, { "dropping-particle" : "", "family" : "Sjursen", "given" : "Haakon", "non-dropping-particle" : "", "parse-names" : false, "suffix" : "" } ], "container-title" : "Vaccine", "id" : "ITEM-1", "issue" : "42", "issued" : { "date-parts" : [ [ "2005", "10", "10" ] ] }, "page" : "4980-3", "title" : "Attenuated immune response to tetanus toxoid in young healthy men protected against tetanus.", "type" : "article-journal", "volume" : "23" }, "uris" : [ "http://www.mendeley.com/documents/?uuid=c91e7396-2a6e-475b-8d66-f86264f2b50b" ] }, { "id" : "ITEM-2", "itemData" : { "DOI" : "10.1016/j.vaccine.2004.09.020", "ISSN" : "0264-410X", "PMID" : "15670879", "abstract" : "The main objective of this study was to investigate the booster antibody response in individuals with initially high levels of diphtheria antitoxin. Sixty individuals eligible for the routine booster by the age of 18 years each received a single dose of 5 Lf of diphtheria toxoid in diphtheria-tetanus vaccine. A double antigen ELISA was used for the assessment of the antibody levels. Chaotropic disruption in paired ELISA was used to test antibody avidity. The ratio between initial and maximum antibody concentrations after 1 month was &gt;10 times higher and after 6 months still four times higher in those with initial antibody levels &lt;1 IU/ml. In individuals with initial antibody levels &gt;/=1 IU/ml a two-fold decrease was observed after 6 months compared to the initial levels. Thus, vaccination of individuals with initial long-term protection against diphtheria (antibody levels &gt;/=1 IU/ml) is unnecessary and should be avoided.", "author" : [ { "dropping-particle" : "", "family" : "Danilova", "given" : "Elena", "non-dropping-particle" : "", "parse-names" : false, "suffix" : "" }, { "dropping-particle" : "", "family" : "Shiryayev", "given" : "Alexey", "non-dropping-particle" : "", "parse-names" : false, "suffix" : "" }, { "dropping-particle" : "", "family" : "Skogen", "given" : "Vegard", "non-dropping-particle" : "", "parse-names" : false, "suffix" : "" }, { "dropping-particle" : "", "family" : "Kristoffersen", "given" : "Einar Klaeboe", "non-dropping-particle" : "", "parse-names" : false, "suffix" : "" }, { "dropping-particle" : "", "family" : "Sjursen", "given" : "Haakon", "non-dropping-particle" : "", "parse-names" : false, "suffix" : "" } ], "container-title" : "Vaccine", "id" : "ITEM-2", "issue" : "12", "issued" : { "date-parts" : [ [ "2005", "2", "10" ] ] }, "page" : "1446-50", "title" : "Short-term booster effect of diphtheria toxoid in initially long-term protected individuals.", "type" : "article-journal", "volume" : "23" }, "uris" : [ "http://www.mendeley.com/documents/?uuid=0878f709-960e-4e8e-a0fb-7fae43639c87" ] }, { "id" : "ITEM-3", "itemData" : { "DOI" : "10.4049/jimmunol.180.4.2165", "ISSN" : "0022-1767", "author" : [ { "dropping-particle" : "", "family" : "Rohner", "given" : "G. B.", "non-dropping-particle" : "", "parse-names" : false, "suffix" : "" }, { "dropping-particle" : "", "family" : "Snape", "given" : "M. D.", "non-dropping-particle" : "", "parse-names" : false, "suffix" : "" }, { "dropping-particle" : "", "family" : "Kelly", "given" : "D. F.", "non-dropping-particle" : "", "parse-names" : false, "suffix" : "" }, { "dropping-particle" : "", "family" : "John", "given" : "T.", "non-dropping-particle" : "", "parse-names" : false, "suffix" : "" }, { "dropping-particle" : "", "family" : "Morant", "given" : "a.", "non-dropping-particle" : "", "parse-names" : false, "suffix" : "" }, { "dropping-particle" : "", "family" : "Yu", "given" : "L.-M.", "non-dropping-particle" : "", "parse-names" : false, "suffix" : "" }, { "dropping-particle" : "", "family" : "Borkowski", "given" : "a.", "non-dropping-particle" : "", "parse-names" : false, "suffix" : "" }, { "dropping-particle" : "", "family" : "Ceddia", "given" : "F.", "non-dropping-particle" : "", "parse-names" : false, "suffix" : "" }, { "dropping-particle" : "", "family" : "Borrow", "given" : "R.", "non-dropping-particle" : "", "parse-names" : false, "suffix" : "" }, { "dropping-particle" : "", "family" : "Siegrist", "given" : "C.-a.", "non-dropping-particle" : "", "parse-names" : false, "suffix" : "" }, { "dropping-particle" : "", "family" : "Pollard", "given" : "a. J.", "non-dropping-particle" : "", "parse-names" : false, "suffix" : "" } ], "container-title" : "The Journal of Immunology", "id" : "ITEM-3", "issue" : "4", "issued" : { "date-parts" : [ [ "2008", "2", "4" ] ] }, "page" : "2165-2173", "title" : "The Magnitude of the Antibody and Memory B Cell Responses during Priming with a Protein-Polysaccharide Conjugate Vaccine in Human Infants Is Associated with the Persistence of Antibody and the Intensity of Booster Response", "type" : "article-journal", "volume" : "180" }, "uris" : [ "http://www.mendeley.com/documents/?uuid=6e6ea8ec-4b72-4a4e-b14a-d185bc54f14c" ] }, { "id" : "ITEM-4", "itemData" : { "DOI" : "10.1016/j.vaccine.2011.08.076", "ISSN" : "1873-2518", "PMID" : "21875635", "abstract" : "In 2009, 943 children aged 6 months to 10 years were randomised to receive two doses of an oil-in water AS03B-adjuvanted split virion or a non-adjuvanted whole virion H1N1 (2009) vaccine. The large numbers allowed investigation of possible predictors of immune response and reactogenicity. We used regression analysis to examine the effect of variables including past receipt of seasonal vaccine, antipyretics post-vaccination, interval between doses and pre-existing antibodies to H1N1 (2009) on immunogenicity. We also examined the relationship between immunogenicity and reactogenicity and whether prior infection or underlying conditions affected reactogenicity. For both vaccines, haemagglutination-inhibition titres were 60% higher in children with fever \u226538 \u00b0C after vaccination and 29% lower in those previously given seasonal vaccine. Early use of antipyretics did not affect immunogenicity. Post-vaccination titres were higher with longer intervals between doses and in those with evidence of prior infection, but reactogenicity in the latter was unaffected. In the adjuvanted vaccine group, reactions were more common in children with atopy. Both vaccines were safe and immunogenic in those with prior infection. Reduction in the interval between doses for earlier protection would be at the cost of reduced immunogenicity. The effect of seasonal vaccine on immunogenicity merits further investigation.", "author" : [ { "dropping-particle" : "", "family" : "Andrews", "given" : "Nick J", "non-dropping-particle" : "", "parse-names" : false, "suffix" : "" }, { "dropping-particle" : "", "family" : "Walker", "given" : "Woolf T", "non-dropping-particle" : "", "parse-names" : false, "suffix" : "" }, { "dropping-particle" : "", "family" : "Finn", "given" : "Adam", "non-dropping-particle" : "", "parse-names" : false, "suffix" : "" }, { "dropping-particle" : "", "family" : "Heath", "given" : "Paul T", "non-dropping-particle" : "", "parse-names" : false, "suffix" : "" }, { "dropping-particle" : "", "family" : "Collinson", "given" : "Andrew C", "non-dropping-particle" : "", "parse-names" : false, "suffix" : "" }, { "dropping-particle" : "", "family" : "Pollard", "given" : "Andrew J", "non-dropping-particle" : "", "parse-names" : false, "suffix" : "" }, { "dropping-particle" : "", "family" : "Snape", "given" : "Matthew D", "non-dropping-particle" : "", "parse-names" : false, "suffix" : "" }, { "dropping-particle" : "", "family" : "Faust", "given" : "Saul N", "non-dropping-particle" : "", "parse-names" : false, "suffix" : "" }, { "dropping-particle" : "", "family" : "Waight", "given" : "Pauline A", "non-dropping-particle" : "", "parse-names" : false, "suffix" : "" }, { "dropping-particle" : "", "family" : "Hoschler", "given" : "Katja", "non-dropping-particle" : "", "parse-names" : false, "suffix" : "" }, { "dropping-particle" : "", "family" : "Sheasby", "given" : "Liz", "non-dropping-particle" : "", "parse-names" : false, "suffix" : "" }, { "dropping-particle" : "", "family" : "Waddington", "given" : "Claire", "non-dropping-particle" : "", "parse-names" : false, "suffix" : "" }, { "dropping-particle" : "", "family" : "Kerridge", "given" : "Simon", "non-dropping-particle" : "", "parse-names" : false, "suffix" : "" }, { "dropping-particle" : "", "family" : "Chalk", "given" : "Jeremy", "non-dropping-particle" : "", "parse-names" : false, "suffix" : "" }, { "dropping-particle" : "", "family" : "Reiner", "given" : "Amanda", "non-dropping-particle" : "", "parse-names" : false, "suffix" : "" }, { "dropping-particle" : "", "family" : "John", "given" : "Tessa", "non-dropping-particle" : "", "parse-names" : false, "suffix" : "" }, { "dropping-particle" : "", "family" : "Fletcher", "given" : "Margaret", "non-dropping-particle" : "", "parse-names" : false, "suffix" : "" }, { "dropping-particle" : "", "family" : "Allen", "given" : "Ruth", "non-dropping-particle" : "", "parse-names" : false, "suffix" : "" }, { "dropping-particle" : "", "family" : "Fineman", "given" : "Natalie", "non-dropping-particle" : "", "parse-names" : false, "suffix" : "" }, { "dropping-particle" : "", "family" : "Wilkins", "given" : "Su", "non-dropping-particle" : "", "parse-names" : false, "suffix" : "" }, { "dropping-particle" : "", "family" : "Casey", "given" : "Michelle", "non-dropping-particle" : "", "parse-names" : false, "suffix" : "" }, { "dropping-particle" : "", "family" : "Michaelis", "given" : "Louise", "non-dropping-particle" : "", "parse-names" : false, "suffix" : "" }, { "dropping-particle" : "", "family" : "Oeser", "given" : "Clarissa", "non-dropping-particle" : "", "parse-names" : false, "suffix" : "" }, { "dropping-particle" : "", "family" : "Okike", "given" : "Ifeanyichukwu", "non-dropping-particle" : "", "parse-names" : false, "suffix" : "" }, { "dropping-particle" : "", "family" : "Ladhani", "given" : "Shamez N", "non-dropping-particle" : "", "parse-names" : false, "suffix" : "" }, { "dropping-particle" : "", "family" : "Miller", "given" : "Elizabeth", "non-dropping-particle" : "", "parse-names" : false, "suffix" : "" } ], "container-title" : "Vaccine", "id" : "ITEM-4", "issue" : "45", "issued" : { "date-parts" : [ [ "2011", "10", "19" ] ] }, "page" : "7913-9", "publisher" : "Elsevier Ltd", "title" : "Predictors of immune response and reactogenicity to AS03B-adjuvanted split virion and non-adjuvanted whole virion H1N1 (2009) pandemic influenza vaccines.", "type" : "article-journal", "volume" : "29" }, "uris" : [ "http://www.mendeley.com/documents/?uuid=1b326c11-f1ef-4676-97c3-57f696351de6" ] }, { "id" : "ITEM-5", "itemData" : { "DOI" : "10.1016/j.jpeds.2007.09.034", "ISSN" : "1097-6833", "PMID" : "18410769", "abstract" : "Because young infants are at highest risk of pertussis complications, this study assessed whether neonatal acellular pertussis (aP) vaccination could provide earlier immunity.", "author" : [ { "dropping-particle" : "", "family" : "Knuf", "given" : "Markus", "non-dropping-particle" : "", "parse-names" : false, "suffix" : "" }, { "dropping-particle" : "", "family" : "Schmitt", "given" : "Heinz-Joesf", "non-dropping-particle" : "", "parse-names" : false, "suffix" : "" }, { "dropping-particle" : "", "family" : "Wolter", "given" : "Joanne", "non-dropping-particle" : "", "parse-names" : false, "suffix" : "" }, { "dropping-particle" : "", "family" : "Schuerman", "given" : "Lode", "non-dropping-particle" : "", "parse-names" : false, "suffix" : "" }, { "dropping-particle" : "", "family" : "Jacquet", "given" : "Jeanne-Marie", "non-dropping-particle" : "", "parse-names" : false, "suffix" : "" }, { "dropping-particle" : "", "family" : "Kieninger", "given" : "Dorothee", "non-dropping-particle" : "", "parse-names" : false, "suffix" : "" }, { "dropping-particle" : "", "family" : "Siegrist", "given" : "Claire-Anne", "non-dropping-particle" : "", "parse-names" : false, "suffix" : "" }, { "dropping-particle" : "", "family" : "Zepp", "given" : "Fred", "non-dropping-particle" : "", "parse-names" : false, "suffix" : "" } ], "container-title" : "The Journal of pediatrics", "id" : "ITEM-5", "issue" : "5", "issued" : { "date-parts" : [ [ "2008", "5" ] ] }, "page" : "655-60, 660.e1", "title" : "Neonatal vaccination with an acellular pertussis vaccine accelerates the acquisition of pertussis antibodies in infants.", "type" : "article-journal", "volume" : "152" }, "uris" : [ "http://www.mendeley.com/documents/?uuid=f7d7c134-40b1-407a-8e7c-799c87571441" ] } ], "mendeley" : { "formattedCitation" : "[29\u201333]", "plainTextFormattedCitation" : "[29\u201333]", "previouslyFormattedCitation" : "[27\u201331]" }, "properties" : { "noteIndex" : 0 }, "schema" : "https://github.com/citation-style-language/schema/raw/master/csl-citation.json" }</w:instrText>
      </w:r>
      <w:r w:rsidR="00256DEE">
        <w:fldChar w:fldCharType="separate"/>
      </w:r>
      <w:r w:rsidR="006B7E33" w:rsidRPr="006B7E33">
        <w:rPr>
          <w:noProof/>
        </w:rPr>
        <w:t>[29–33]</w:t>
      </w:r>
      <w:r w:rsidR="00256DEE">
        <w:fldChar w:fldCharType="end"/>
      </w:r>
      <w:r w:rsidR="00256DEE">
        <w:t xml:space="preserve">  </w:t>
      </w:r>
    </w:p>
    <w:p w14:paraId="63FF4B27" w14:textId="69C71E56" w:rsidR="00256DEE" w:rsidRDefault="00256DEE" w:rsidP="00256DEE">
      <w:pPr>
        <w:pStyle w:val="MediumGrid21"/>
        <w:rPr>
          <w:lang w:eastAsia="en-GB"/>
        </w:rPr>
      </w:pPr>
      <w:r>
        <w:rPr>
          <w:lang w:eastAsia="en-GB"/>
        </w:rPr>
        <w:t>Within our cohort of premature infants, increasing birth gestation was associated with increased immunogenicity.  This has previously been described for other vaccines and reflects deficiencies in both the innate and adaptive immune systems in these more premature infants.</w:t>
      </w:r>
      <w:r w:rsidR="00634A07">
        <w:fldChar w:fldCharType="begin" w:fldLock="1"/>
      </w:r>
      <w:r w:rsidR="006B7E33">
        <w:instrText>ADDIN CSL_CITATION { "citationItems" : [ { "id" : "ITEM-1", "itemData" : { "DOI" : "10.1016/j.clim.2012.08.006", "ISSN" : "1521-7035", "PMID" : "22926079", "abstract" : "Neonates, particularly those born prematurely, are among the most vulnerable age group for morbidity and mortality due to infections. Immaturity of the innate immune system and a high need for invasive medical procedures in the context of a preterm birth make these infants highly susceptible to common neonatal pathogens. Preterm infants who survive may also suffer permanent disabilities due to organ damage resulting from either the infection itself or from the inflammatory response generated under an oxidative stress. Infections in preterm infants continue to pose important healthcare challenges. Yet, developmental maturation events in the innate immune system that underlie their excessively high vulnerability to infection remain largely understudied. In this review article, we identify pertinent knowledge gaps that must be filled in order to orient future translational research.", "author" : [ { "dropping-particle" : "", "family" : "Sharma", "given" : "Ashish Arunkumar", "non-dropping-particle" : "", "parse-names" : false, "suffix" : "" }, { "dropping-particle" : "", "family" : "Jen", "given" : "Roger", "non-dropping-particle" : "", "parse-names" : false, "suffix" : "" }, { "dropping-particle" : "", "family" : "Butler", "given" : "Alison", "non-dropping-particle" : "", "parse-names" : false, "suffix" : "" }, { "dropping-particle" : "", "family" : "Lavoie", "given" : "Pascal M", "non-dropping-particle" : "", "parse-names" : false, "suffix" : "" } ], "container-title" : "Clinical immunology (Orlando, Fla.)", "id" : "ITEM-1", "issue" : "1", "issued" : { "date-parts" : [ [ "2012", "10" ] ] }, "page" : "61-8", "title" : "The developing human preterm neonatal immune system: a case for more research in this area.", "type" : "article-journal", "volume" : "145" }, "uris" : [ "http://www.mendeley.com/documents/?uuid=b0584cff-b287-4c22-8e37-390fb2889464" ] }, { "id" : "ITEM-2", "itemData" : { "DOI" : "10.1086/657143", "ISSN" : "1537-6613", "PMID" : "20977341", "abstract" : "BACKGROUND: Infants born prematurely are highly vulnerable to infections and also exhibit a high susceptibility to organ damage due to inflammation.\n\nMETHODS: To investigate homeostatic immune control early in life, we used advanced multiparameter flow cytometry to compare responses to multiple Toll-like receptor (TLR) ligands in single cells and mononuclear cell populations in term neonates versus preterm neonates born before 29 weeks of gestation.\n\nRESULTS: Preterm neonates had globally attenuated TLR-stimulated interleukin (IL)-6, interferon-\u03b1, and, to a lesser extent, tumor necrosis factor-\u03b1 responses but demonstrated relative preservation of anti-inflammatory IL-10 responses in monocytes and dendritic cell subtypes. Remarkably, preterm neonates were also profoundly deficient in the common IL-12 and IL-23 cytokines' p40 subunit, which is critical for immunity against a wide variety of microbial pathogens in mice. Consistent with the increased susceptibility to infections resulting from the lack of IL-12/IL-23 in human newborns, significantly lower serum p40 concentrations were observed at birth in infants who developed early-onset sepsis.\n\nCONCLUSION: To our knowledge, this study is the first detailed analysis of multiple TLR function in neonates born extremely premature. Although attenuation of proinflammatory pathways may protect against tissue-damaging immunity early in life, this previously unrecognized p40 immune deficiency appears to result in considerably increased susceptibility to infection in human preterm newborns.", "author" : [ { "dropping-particle" : "", "family" : "Lavoie", "given" : "Pascal M", "non-dropping-particle" : "", "parse-names" : false, "suffix" : "" }, { "dropping-particle" : "", "family" : "Huang", "given" : "Qing", "non-dropping-particle" : "", "parse-names" : false, "suffix" : "" }, { "dropping-particle" : "", "family" : "Jolette", "given" : "Elyse", "non-dropping-particle" : "", "parse-names" : false, "suffix" : "" }, { "dropping-particle" : "", "family" : "Whalen", "given" : "Mihoko", "non-dropping-particle" : "", "parse-names" : false, "suffix" : "" }, { "dropping-particle" : "", "family" : "Nuyt", "given" : "Anne Monique", "non-dropping-particle" : "", "parse-names" : false, "suffix" : "" }, { "dropping-particle" : "", "family" : "Audibert", "given" : "Francois", "non-dropping-particle" : "", "parse-names" : false, "suffix" : "" }, { "dropping-particle" : "", "family" : "Speert", "given" : "David P", "non-dropping-particle" : "", "parse-names" : false, "suffix" : "" }, { "dropping-particle" : "", "family" : "Lacaze-Masmonteil", "given" : "Thierry", "non-dropping-particle" : "", "parse-names" : false, "suffix" : "" }, { "dropping-particle" : "", "family" : "Soudeyns", "given" : "Hugo", "non-dropping-particle" : "", "parse-names" : false, "suffix" : "" }, { "dropping-particle" : "", "family" : "Kollmann", "given" : "Tobias R", "non-dropping-particle" : "", "parse-names" : false, "suffix" : "" } ], "container-title" : "The Journal of infectious diseases", "id" : "ITEM-2", "issue" : "11", "issued" : { "date-parts" : [ [ "2010", "12", "1" ] ] }, "page" : "1754-63", "title" : "Profound lack of interleukin (IL)-12/IL-23p40 in neonates born early in gestation is associated with an increased risk of sepsis.", "type" : "article-journal", "volume" : "202" }, "uris" : [ "http://www.mendeley.com/documents/?uuid=1ef2b3f8-f1f5-41fe-8136-78e908bfbd6c" ] }, { "id" : "ITEM-3", "itemData" : { "ISSN" : "0009-9104", "PMID" : "12165087", "abstract" : "This study was undertaken to investigate the phenotypic and functional status of T lymphocytes of human fetuses from early second- to third-trimester. Cord blood samples were obtained from 19 healthy human fetuses (gestation weeks: 18-36), by cordocentesis, and 16 term newborns (gestation weeks 37-42). Maternal and unrelated male blood samples were also taken as controls. Percentage of lymphocytes in fetal white blood cells was 79.3%, reducing to 40% by term birth, much higher than that of adults. Cord blood mononuclear cells (CBMC), prepared by density gradient centrifugation followed by lysis of erythrocytes, were stained using PE- or FITC-labelled monoclonal Abs and analysed by flow cytometry. The frequencies of CD3+ T cells in fetal (40.1%) and neonatal (42.4%) CBMC were significantly lower than that of men (59.6%) and pregnant women (53.6%). Proportions of CD8+ T cells (9.5%), gammadelta-T cells (0.5%) and NK cells (4.8%) in fetal CBMC were also lower than that of neonates (except gammadelta-T cells) and adults. A negative linear correlation (r = -0.609) between the ratio of CD4+/CD8+ T cells in fetal blood and gestation age could also be established. Fetal CBMC showed vigorous spontaneous proliferation but failed to respond to mitogen (PHA) or allogeneic stimulation in vitro. The fetal mononuclear cells were unable to produce IL-2, IL-4 or IFN-gamma, but spontaneously secreted IL-10, IL-6 and TNF-alphain vitro. Stimulation with PHA up-regulated the production of IL-10, IL-6 and TNF-alpha substantially.", "author" : [ { "dropping-particle" : "", "family" : "Zhao", "given" : "Y", "non-dropping-particle" : "", "parse-names" : false, "suffix" : "" }, { "dropping-particle" : "", "family" : "Dai", "given" : "Z-P", "non-dropping-particle" : "", "parse-names" : false, "suffix" : "" }, { "dropping-particle" : "", "family" : "Lv", "given" : "P", "non-dropping-particle" : "", "parse-names" : false, "suffix" : "" }, { "dropping-particle" : "", "family" : "Gao", "given" : "X-M", "non-dropping-particle" : "", "parse-names" : false, "suffix" : "" } ], "container-title" : "Clinical and experimental immunology", "id" : "ITEM-3", "issue" : "2", "issued" : { "date-parts" : [ [ "2002", "8" ] ] }, "page" : "302-8", "title" : "Phenotypic and functional analysis of human T lymphocytes in early second- and third-trimester fetuses.", "type" : "article-journal", "volume" : "129" }, "uris" : [ "http://www.mendeley.com/documents/?uuid=bdde8e68-2678-4810-a1a6-31e5ae3c1a7c" ] }, { "id" : "ITEM-4", "itemData" : { "DOI" : "10.1111/j.1365-2249.2005.02767.x", "ISSN" : "0009-9104", "PMID" : "15807853", "abstract" : "This observational study describes the ranges observed for lymphocyte subsets for significantly preterm infants (&lt;32 weeks) in the first year of life, measured by single platform flow cytometry and compared to identically determined subsets in term infants. After ethical approval 39 term and 28 preterm infants had lymphocyte subset analysis before and after their primary immunization series. Median values with 5th and 95th percentiles of absolute counts and percentages are presented for total lymphocytes, T cells, NK cells, B cells, cytotoxic T cells, helper T cells, dual positive T cells, activated T cells, activated T helper cells (including T regulatory cells), pan memory T cells, pan naive T cells, memory helper T cells, naive helper T cells and the T helper/suppressor ratio. The lymphocyte profile of the preterm infants differed from that of the term infants.", "author" : [ { "dropping-particle" : "", "family" : "Berrington", "given" : "Janet E", "non-dropping-particle" : "", "parse-names" : false, "suffix" : "" }, { "dropping-particle" : "", "family" : "Barge", "given" : "D", "non-dropping-particle" : "", "parse-names" : false, "suffix" : "" }, { "dropping-particle" : "", "family" : "Fenton", "given" : "A C", "non-dropping-particle" : "", "parse-names" : false, "suffix" : "" }, { "dropping-particle" : "", "family" : "Cant", "given" : "A J", "non-dropping-particle" : "", "parse-names" : false, "suffix" : "" }, { "dropping-particle" : "", "family" : "Spickett", "given" : "G P", "non-dropping-particle" : "", "parse-names" : false, "suffix" : "" } ], "container-title" : "Clinical and experimental immunology", "id" : "ITEM-4", "issue" : "2", "issued" : { "date-parts" : [ [ "2005", "5" ] ] }, "page" : "289-92", "title" : "Lymphocyte subsets in term and significantly preterm UK infants in the first year of life analysed by single platform flow cytometry.", "type" : "article-journal", "volume" : "140" }, "uris" : [ "http://www.mendeley.com/documents/?uuid=12ea4ac5-a8a2-4987-89a5-429f54c87ce5" ] }, { "id" : "ITEM-5", "itemData" : { "DOI" : "10.1016/j.imbio.2011.07.027", "ISSN" : "1878-3279", "PMID" : "21868122", "abstract" : "Complement represents a keystone to the innate immune system, with three activation pathways that utilise foreign microbial pattern recognition as well as activation by the host's specific antibodies. However, innate immunity is not synonymous with neonatal immunity. The complement system in healthy term (38-42 weeks gestation) newborns is under-developed and, with only a few exceptions (e.g. C7 and factor D), the circulating complement component concentrations are between 10 and 80% of adult levels. Complement activation is tightly regulated and the circulating regulator levels are also low relative to adults, sometimes at almost undetectable levels (e.g. C4b-binding protein). For premature newborns, these relative deficiencies are even more marked. Newborns are known to be more susceptible to infection, and the importance of complement, not only through its decreased ability to directly lyse bacteria with the common terminal pathway, but also its reduced ability to recruit (chemotaxis) innate and adaptive leukocytes to sites of microbial invasion and reduced ability to enhance phagocytosis (opsonisation) will be discussed. Complement also holds a key role in enhancing and directing refinement of the specific antibody response to pathogens (as an adjuvant) that likely plays a role in the well-known under-performance of the humoral immune response in newborns.", "author" : [ { "dropping-particle" : "", "family" : "McGreal", "given" : "Eamon P", "non-dropping-particle" : "", "parse-names" : false, "suffix" : "" }, { "dropping-particle" : "", "family" : "Hearne", "given" : "Keziah", "non-dropping-particle" : "", "parse-names" : false, "suffix" : "" }, { "dropping-particle" : "", "family" : "Spiller", "given" : "O Brad", "non-dropping-particle" : "", "parse-names" : false, "suffix" : "" } ], "container-title" : "Immunobiology", "id" : "ITEM-5", "issue" : "2", "issued" : { "date-parts" : [ [ "2012", "2" ] ] }, "page" : "176-86", "title" : "Off to a slow start: under-development of the complement system in term newborns is more substantial following premature birth.", "type" : "article-journal", "volume" : "217" }, "uris" : [ "http://www.mendeley.com/documents/?uuid=dc2ff711-a782-4772-8fc3-afa2e8009b86" ] }, { "id" : "ITEM-6", "itemData" : { "ISSN" : "1359-2998", "PMID" : "14711858", "abstract" : "OBJECTIVE: To describe the immune response of preterm infants to a diphtheria/tetanus/three component acellular pertussis (DTaP) vaccine, under an accelerated schedule, and the effects of steroids on this response. To compare responses with those of term infants.\n\nDESIGN: Prospective observational study.\n\nSETTING: Five Wessex neonatal units; Hertfordshire immunisation clinics.\n\nPATIENTS: Infants born at &lt; 32 weeks; term controls.\n\nINTERVENTIONS: DTaP-Haemophilus influenzae type b vaccine given at 2, 3, and 4 months. Blood taken to assess antibody responses to vaccines.\n\nMAIN OUTCOME MEASURES: IgG geometric mean concentrations (GMC) to vaccines.\n\nRESULTS: A total of 130 preterm (mean gestational age 29.1 weeks) and 54 term infants were recruited. After the third immunisation, preterm infants had similar GMCs to controls to diphtheria, tetanus, filamentous haemagglutinin (FHA), and pertactin (PRN), but a significantly lower GMC to pertussis toxin (PT). Responses to tetanus and PRN increased with age at the third immunisation, and those to tetanus, FHA, PRN, and PT increased with gestational age at birth. Response to tetanus correlated negatively with the number of doses of antenatal steroids received. There was no association between responses and postnatal steroids.\n\nCONCLUSION: When immunised with a combined acellular pertussis- H influenzae type b vaccine under an accelerated schedule, IgG GMC of preterm infants to PT was reduced. GMCs to tetanus, FHA, PRN, and PT increased with gestational age at birth, and GMCs to tetanus and PRN increased with age at the third immunisation. There is, however, no benefit in delaying immunisation. Anti-tetanus IgG decreased with increasing number of doses of antenatal steroids. There was no effect for postnatal steroids.", "author" : [ { "dropping-particle" : "", "family" : "Slack", "given" : "M H", "non-dropping-particle" : "", "parse-names" : false, "suffix" : "" }, { "dropping-particle" : "", "family" : "Schapira", "given" : "D", "non-dropping-particle" : "", "parse-names" : false, "suffix" : "" }, { "dropping-particle" : "", "family" : "Thwaites", "given" : "R J", "non-dropping-particle" : "", "parse-names" : false, "suffix" : "" }, { "dropping-particle" : "", "family" : "Schapira", "given" : "C", "non-dropping-particle" : "", "parse-names" : false, "suffix" : "" }, { "dropping-particle" : "", "family" : "Bamber", "given" : "J", "non-dropping-particle" : "", "parse-names" : false, "suffix" : "" }, { "dropping-particle" : "", "family" : "Burrage", "given" : "M", "non-dropping-particle" : "", "parse-names" : false, "suffix" : "" }, { "dropping-particle" : "", "family" : "Southern", "given" : "J", "non-dropping-particle" : "", "parse-names" : false, "suffix" : "" }, { "dropping-particle" : "", "family" : "Andrews", "given" : "N", "non-dropping-particle" : "", "parse-names" : false, "suffix" : "" }, { "dropping-particle" : "", "family" : "Miller", "given" : "E", "non-dropping-particle" : "", "parse-names" : false, "suffix" : "" } ], "container-title" : "Archives of disease in childhood. Fetal and neonatal edition", "id" : "ITEM-6", "issue" : "1", "issued" : { "date-parts" : [ [ "2004", "1" ] ] }, "page" : "F57-60", "title" : "Acellular pertussis vaccine given by accelerated schedule: response of preterm infants.", "type" : "article-journal", "volume" : "89" }, "uris" : [ "http://www.mendeley.com/documents/?uuid=58a93518-93bb-4fa6-84a5-3253dba2d89f" ] } ], "mendeley" : { "formattedCitation" : "[34\u201339]", "plainTextFormattedCitation" : "[34\u201339]", "previouslyFormattedCitation" : "[32\u201337]" }, "properties" : { "noteIndex" : 0 }, "schema" : "https://github.com/citation-style-language/schema/raw/master/csl-citation.json" }</w:instrText>
      </w:r>
      <w:r w:rsidR="00634A07">
        <w:fldChar w:fldCharType="separate"/>
      </w:r>
      <w:r w:rsidR="006B7E33" w:rsidRPr="006B7E33">
        <w:rPr>
          <w:noProof/>
        </w:rPr>
        <w:t>[34–39]</w:t>
      </w:r>
      <w:r w:rsidR="00634A07">
        <w:fldChar w:fldCharType="end"/>
      </w:r>
    </w:p>
    <w:p w14:paraId="53F2F0C8" w14:textId="77777777" w:rsidR="00256DEE" w:rsidRDefault="00256DEE" w:rsidP="00256DEE">
      <w:pPr>
        <w:pStyle w:val="MediumGrid21"/>
        <w:rPr>
          <w:lang w:eastAsia="en-GB"/>
        </w:rPr>
      </w:pPr>
    </w:p>
    <w:p w14:paraId="2A0C0BCA" w14:textId="77777777" w:rsidR="00256DEE" w:rsidRPr="00E13D21" w:rsidRDefault="00256DEE" w:rsidP="00DE39EF">
      <w:pPr>
        <w:pStyle w:val="MediumGrid21"/>
        <w:outlineLvl w:val="0"/>
        <w:rPr>
          <w:lang w:eastAsia="en-GB"/>
        </w:rPr>
      </w:pPr>
      <w:r w:rsidRPr="00E13D21">
        <w:rPr>
          <w:b/>
          <w:bCs/>
          <w:lang w:eastAsia="en-GB"/>
        </w:rPr>
        <w:t>Limitations</w:t>
      </w:r>
    </w:p>
    <w:p w14:paraId="2B2D03C6" w14:textId="4E17F30D" w:rsidR="00256DEE" w:rsidRPr="00E13D21" w:rsidRDefault="00256DEE" w:rsidP="00256DEE">
      <w:pPr>
        <w:pStyle w:val="MediumGrid21"/>
        <w:rPr>
          <w:lang w:eastAsia="en-GB"/>
        </w:rPr>
      </w:pPr>
      <w:r w:rsidRPr="00E13D21">
        <w:rPr>
          <w:lang w:eastAsia="en-GB"/>
        </w:rPr>
        <w:t xml:space="preserve">The study had </w:t>
      </w:r>
      <w:r>
        <w:rPr>
          <w:lang w:eastAsia="en-GB"/>
        </w:rPr>
        <w:t>some</w:t>
      </w:r>
      <w:r w:rsidRPr="00E13D21">
        <w:rPr>
          <w:lang w:eastAsia="en-GB"/>
        </w:rPr>
        <w:t xml:space="preserve"> </w:t>
      </w:r>
      <w:r>
        <w:rPr>
          <w:lang w:eastAsia="en-GB"/>
        </w:rPr>
        <w:t xml:space="preserve">potential </w:t>
      </w:r>
      <w:r w:rsidRPr="00E13D21">
        <w:rPr>
          <w:lang w:eastAsia="en-GB"/>
        </w:rPr>
        <w:t>limitations.  The different age</w:t>
      </w:r>
      <w:r>
        <w:rPr>
          <w:lang w:eastAsia="en-GB"/>
        </w:rPr>
        <w:t>s of infants at</w:t>
      </w:r>
      <w:r w:rsidRPr="00E13D21">
        <w:rPr>
          <w:lang w:eastAsia="en-GB"/>
        </w:rPr>
        <w:t xml:space="preserve"> blood sampling </w:t>
      </w:r>
      <w:r>
        <w:rPr>
          <w:lang w:eastAsia="en-GB"/>
        </w:rPr>
        <w:t xml:space="preserve">between the groups </w:t>
      </w:r>
      <w:r w:rsidRPr="00E13D21">
        <w:rPr>
          <w:lang w:eastAsia="en-GB"/>
        </w:rPr>
        <w:t>must be considered</w:t>
      </w:r>
      <w:r>
        <w:rPr>
          <w:lang w:eastAsia="en-GB"/>
        </w:rPr>
        <w:t xml:space="preserve"> when comparing primary schedules; </w:t>
      </w:r>
      <w:r w:rsidRPr="00E13D21">
        <w:rPr>
          <w:lang w:eastAsia="en-GB"/>
        </w:rPr>
        <w:t xml:space="preserve">the </w:t>
      </w:r>
      <w:r>
        <w:rPr>
          <w:lang w:eastAsia="en-GB"/>
        </w:rPr>
        <w:t xml:space="preserve">antibody concentrations </w:t>
      </w:r>
      <w:r w:rsidRPr="00E13D21">
        <w:rPr>
          <w:lang w:eastAsia="en-GB"/>
        </w:rPr>
        <w:t xml:space="preserve">at 7 months for </w:t>
      </w:r>
      <w:r>
        <w:rPr>
          <w:lang w:eastAsia="en-GB"/>
        </w:rPr>
        <w:t xml:space="preserve">babies in Groups 1 and 2 </w:t>
      </w:r>
      <w:r w:rsidRPr="00E13D21">
        <w:rPr>
          <w:lang w:eastAsia="en-GB"/>
        </w:rPr>
        <w:t>are not known.  </w:t>
      </w:r>
      <w:r w:rsidRPr="006F62D2">
        <w:rPr>
          <w:lang w:eastAsia="en-GB"/>
        </w:rPr>
        <w:t xml:space="preserve">It is possible, that infants in those groups may have </w:t>
      </w:r>
      <w:r w:rsidR="002F5B3F">
        <w:rPr>
          <w:lang w:eastAsia="en-GB"/>
        </w:rPr>
        <w:t>had</w:t>
      </w:r>
      <w:r w:rsidRPr="006F62D2">
        <w:rPr>
          <w:lang w:eastAsia="en-GB"/>
        </w:rPr>
        <w:t xml:space="preserve"> a rise in their antibody concentrations between their 5 month sample and 7 months of age due to natural exposure.</w:t>
      </w:r>
      <w:r w:rsidR="00634A07" w:rsidRPr="006F62D2">
        <w:rPr>
          <w:lang w:eastAsia="en-GB"/>
        </w:rPr>
        <w:fldChar w:fldCharType="begin" w:fldLock="1"/>
      </w:r>
      <w:r w:rsidR="006B7E33">
        <w:rPr>
          <w:lang w:eastAsia="en-GB"/>
        </w:rPr>
        <w:instrText>ADDIN CSL_CITATION { "citationItems" : [ { "id" : "ITEM-1", "itemData" : { "DOI" : "10.1016/j.vaccine.2014.03.017", "ISSN" : "1873-2518", "PMID" : "24657717", "abstract" : "BACKGROUND/AIMS: In April 2010 the 7-valent pneumococcal conjugate vaccine (PCV7) was replaced by the 13-valent PCV. We investigated pneumococcal carriage in children eligible for PCV7 or PCV13 and their household contacts.\n\nMETHODS: Eligible families in Hertfordshire and Gloucester were identified and a nasopharyngeal swab obtained from consenting household members between July 2012 and March 2013. Samples were cultured for Streptococcus pneumoniae and serotyped by standard methods. For each serotype the ratio of its prevalence in invasive pneumococcal disease (IPD) to its carriage prevalence (case:carrier ratio, CCR) was calculated. Results were compared with previous carriage studies in 2001/2002 and 2008/2009, before and after PCV7 introduction.\n\nRESULTS: 217 households were included. Among &lt;5-year olds 47.7% (95% confidence interval 41.8-53.5) were carrying a pneumococcus compared with 51.0% (95% CI: 44.0-58.0) in 2008/2009 and 48.4% (95% CI: 44.1-52.7) in 2001/2002. The odds of carrying a PCV7 serotype was significantly reduced in 2008/2009 (0.07, 95% CI: 0.03-0.16) and 2012/2013 (0.01 95% CI: 0.00-0.07) relative to 2001/2002, while the odds of carrying any of the extra six PCV13 serotypes increased after PCV7 introduction (1.38, 95%CI: 0.73-2.59) but declined significantly after PCV13 introduction (0.05, 95%CI: 0.01-0.37). The CCRs for the frequently carried serotypes were relatively low, with the highest CCR observed for serotypes 7F, 19A, 3, 8, and 33F. Across the three carriage studies, CCR estimates were stable for nearly all serotypes.\n\nCONCLUSION: Carriage of additional PCV13 serotypes has rapidly reduced post-PCV13 introduction in both vaccinated and unvaccinated individuals with a continued decline in transmission of PCV7 serotypes. Carriage rates in children remain unchanged, but the low CCRs of replacing serotypes would be expected to further reduce overall IPD across all age groups.", "author" : [ { "dropping-particle" : "", "family" : "Hoek", "given" : "Albert Jan", "non-dropping-particle" : "van", "parse-names" : false, "suffix" : "" }, { "dropping-particle" : "", "family" : "Sheppard", "given" : "Carmen L", "non-dropping-particle" : "", "parse-names" : false, "suffix" : "" }, { "dropping-particle" : "", "family" : "Andrews", "given" : "Nick J", "non-dropping-particle" : "", "parse-names" : false, "suffix" : "" }, { "dropping-particle" : "", "family" : "Waight", "given" : "Pauline a", "non-dropping-particle" : "", "parse-names" : false, "suffix" : "" }, { "dropping-particle" : "", "family" : "Slack", "given" : "Mary P E", "non-dropping-particle" : "", "parse-names" : false, "suffix" : "" }, { "dropping-particle" : "", "family" : "Harrison", "given" : "Timothy G", "non-dropping-particle" : "", "parse-names" : false, "suffix" : "" }, { "dropping-particle" : "", "family" : "Ladhani", "given" : "Shamez N", "non-dropping-particle" : "", "parse-names" : false, "suffix" : "" }, { "dropping-particle" : "", "family" : "Miller", "given" : "Elizabeth", "non-dropping-particle" : "", "parse-names" : false, "suffix" : "" } ], "container-title" : "Vaccine", "id" : "ITEM-1", "issue" : "34", "issued" : { "date-parts" : [ [ "2014", "7", "23" ] ] }, "page" : "4349-55", "publisher" : "Elsevier Ltd", "title" : "Pneumococcal carriage in children and adults two years after introduction of the thirteen valent pneumococcal conjugate vaccine in England.", "type" : "article-journal", "volume" : "32" }, "uris" : [ "http://www.mendeley.com/documents/?uuid=aad669aa-90a5-4aee-9b78-d66985d7c80c" ] } ], "mendeley" : { "formattedCitation" : "[40]", "plainTextFormattedCitation" : "[40]", "previouslyFormattedCitation" : "[38]" }, "properties" : { "noteIndex" : 0 }, "schema" : "https://github.com/citation-style-language/schema/raw/master/csl-citation.json" }</w:instrText>
      </w:r>
      <w:r w:rsidR="00634A07" w:rsidRPr="006F62D2">
        <w:rPr>
          <w:lang w:eastAsia="en-GB"/>
        </w:rPr>
        <w:fldChar w:fldCharType="separate"/>
      </w:r>
      <w:r w:rsidR="006B7E33" w:rsidRPr="006B7E33">
        <w:rPr>
          <w:noProof/>
          <w:lang w:eastAsia="en-GB"/>
        </w:rPr>
        <w:t>[40]</w:t>
      </w:r>
      <w:r w:rsidR="00634A07" w:rsidRPr="006F62D2">
        <w:rPr>
          <w:lang w:eastAsia="en-GB"/>
        </w:rPr>
        <w:fldChar w:fldCharType="end"/>
      </w:r>
      <w:r w:rsidRPr="006F62D2">
        <w:rPr>
          <w:lang w:eastAsia="en-GB"/>
        </w:rPr>
        <w:t xml:space="preserve">  </w:t>
      </w:r>
      <w:r>
        <w:rPr>
          <w:lang w:eastAsia="en-GB"/>
        </w:rPr>
        <w:t>However, a</w:t>
      </w:r>
      <w:r w:rsidRPr="006F62D2">
        <w:rPr>
          <w:lang w:eastAsia="en-GB"/>
        </w:rPr>
        <w:t xml:space="preserve"> recent study comparing schedules in term infants which sampled some infants at both 5 and 8 months did not find a rise in antibodies between these ages.</w:t>
      </w:r>
      <w:r w:rsidR="00634A07" w:rsidRPr="006F62D2">
        <w:rPr>
          <w:lang w:eastAsia="en-GB"/>
        </w:rPr>
        <w:fldChar w:fldCharType="begin" w:fldLock="1"/>
      </w:r>
      <w:r w:rsidR="006B7E33">
        <w:rPr>
          <w:lang w:eastAsia="en-GB"/>
        </w:rPr>
        <w:instrText>ADDIN CSL_CITATION { "citationItems" : [ { "id" : "ITEM-1", "itemData" : { "DOI" : "10.1001/jama.2013.228052", "ISSN" : "1538-3598", "PMID" : "24002279", "abstract" : "IMPORTANCE: Immunization schedules with pneumococcal conjugate vaccine (PCV) differ among countries regarding the number of doses, age at vaccinations, and interval between doses.\n\nOBJECTIVE: To assess the optimal primary vaccination schedule by comparing immunogenicity of 13-valent PCV (PCV13) in 4 different immunization schedules.\n\nDESIGN, SETTING, AND PARTICIPANTS: An open-label, parallel-group, randomized clinical trial of healthy term infants in a general community in The Netherlands conducted between June 30, 2010, and January 25, 2011, with 99% follow-up until age 12 months.\n\nINTERVENTIONS: Infants (N\u2009=\u2009400) were randomly assigned (1:1:1:1) to receive PCV13 either at ages 2, 4, and 6 months (2-4-6); at ages 3 and 5 months (3-5); at ages 2, 3, and 4 months (2-3-4); or at ages 2 and 4 months (2-4), with a booster dose at age 11.5 months.\n\nMAIN OUTCOMES AND MEASURES: Primary outcome measure was antibody geometric mean concentrations (GMCs) against PCV13-included serotypes 1 month after the booster dose measured by multiplex immunoassay. Secondary outcomes included GMCs measured 1 month after the primary series, at 8 months of age, and before the booster.\n\nRESULTS: The primary outcome, GMCs at 1 month after the booster dose, was not significantly different between schedules for 70 of 78 comparisons. The 2-4-6 schedule was superior to the 2-3-4 schedule for serotypes 18C (10.2 \u00b5g/mL [95% CI, 8.2-12.7] vs 6.5 \u00b5g/mL [95% CI, 5.4-7.8]) and 23F (10.9 \u00b5g/mL [95% CI, 9.0-13.3] vs 7.3 \u00b5g/mL [95% CI, 5.8-9.2]) and superior to the 2-4 schedule for serotypes 6B (8.5 \u00b5g/mL [95% CI, 7.1-10.2] vs 5.1 \u00b5g/mL [95% CI 3.8-6.7]), 18C (6.6 \u00b5g/mL [95% CI, 5.7-7.7]), and 23F (7.2 \u00b5g/mL [95% CI, 5.9-8.8]). For serotype 1, the 3-5 schedule (11.7 \u00b5g/mL [95% CI, 9.6-14.3]) was superior to the other schedules. Geometric mean concentrations for all 13 serotypes ranged between 1.6 and 19.9 \u00b5g/mL. Secondary outcomes demonstrated differences 1 month after the primary series. The 2-4-6 schedule was superior compared with the 3-5, 2-3-4, and 2-4 schedules for 3, 9, and 11 serotypes, respectively. Differences between schedules persisted until the booster dose.\n\nCONCLUSIONS AND RELEVANCE: The use of 4 different PCV13 immunization schedules in healthy term infants resulted in no statistically significant differences in antibody levels after the booster dose for almost all serotypes. The choice of PCV schedule will require a balance between the need for early protection and maintaining \u2026", "author" : [ { "dropping-particle" : "", "family" : "Spijkerman", "given" : "Judith", "non-dropping-particle" : "", "parse-names" : false, "suffix" : "" }, { "dropping-particle" : "", "family" : "Veenhoven", "given" : "Reinier H", "non-dropping-particle" : "", "parse-names" : false, "suffix" : "" }, { "dropping-particle" : "", "family" : "Wijmenga-Monsuur", "given" : "Alienke J", "non-dropping-particle" : "", "parse-names" : false, "suffix" : "" }, { "dropping-particle" : "", "family" : "Elberse", "given" : "Karin E M", "non-dropping-particle" : "", "parse-names" : false, "suffix" : "" }, { "dropping-particle" : "", "family" : "Gageldonk", "given" : "Pieter G M", "non-dropping-particle" : "van", "parse-names" : false, "suffix" : "" }, { "dropping-particle" : "", "family" : "Knol", "given" : "Mirjam J", "non-dropping-particle" : "", "parse-names" : false, "suffix" : "" }, { "dropping-particle" : "", "family" : "Melker", "given" : "Hester E", "non-dropping-particle" : "de", "parse-names" : false, "suffix" : "" }, { "dropping-particle" : "", "family" : "Sanders", "given" : "Elisabeth a M", "non-dropping-particle" : "", "parse-names" : false, "suffix" : "" }, { "dropping-particle" : "", "family" : "Schouls", "given" : "Leo M", "non-dropping-particle" : "", "parse-names" : false, "suffix" : "" }, { "dropping-particle" : "", "family" : "Berbers", "given" : "Guy a M", "non-dropping-particle" : "", "parse-names" : false, "suffix" : "" } ], "container-title" : "JAMA : the journal of the American Medical Association", "id" : "ITEM-1", "issue" : "9", "issued" : { "date-parts" : [ [ "2013", "9", "4" ] ] }, "page" : "930-7", "title" : "Immunogenicity of 13-valent pneumococcal conjugate vaccine administered according to 4 different primary immunization schedules in infants: a randomized clinical trial.", "type" : "article-journal", "volume" : "310" }, "uris" : [ "http://www.mendeley.com/documents/?uuid=449d9965-73f0-4715-ab65-0dacc7d25f57" ] } ], "mendeley" : { "formattedCitation" : "[27]", "plainTextFormattedCitation" : "[27]", "previouslyFormattedCitation" : "[25]" }, "properties" : { "noteIndex" : 0 }, "schema" : "https://github.com/citation-style-language/schema/raw/master/csl-citation.json" }</w:instrText>
      </w:r>
      <w:r w:rsidR="00634A07" w:rsidRPr="006F62D2">
        <w:rPr>
          <w:lang w:eastAsia="en-GB"/>
        </w:rPr>
        <w:fldChar w:fldCharType="separate"/>
      </w:r>
      <w:r w:rsidR="006B7E33" w:rsidRPr="006B7E33">
        <w:rPr>
          <w:noProof/>
          <w:lang w:eastAsia="en-GB"/>
        </w:rPr>
        <w:t>[27]</w:t>
      </w:r>
      <w:r w:rsidR="00634A07" w:rsidRPr="006F62D2">
        <w:rPr>
          <w:lang w:eastAsia="en-GB"/>
        </w:rPr>
        <w:fldChar w:fldCharType="end"/>
      </w:r>
      <w:r w:rsidR="0007465A">
        <w:rPr>
          <w:lang w:eastAsia="en-GB"/>
        </w:rPr>
        <w:t xml:space="preserve">  We also did not measure antibody concentrations beyond 13 months of age.</w:t>
      </w:r>
      <w:r w:rsidRPr="00E13D21">
        <w:rPr>
          <w:lang w:eastAsia="en-GB"/>
        </w:rPr>
        <w:t xml:space="preserve"> </w:t>
      </w:r>
    </w:p>
    <w:p w14:paraId="78F69007" w14:textId="3CA44167" w:rsidR="00256DEE" w:rsidRPr="00E13D21" w:rsidRDefault="00256DEE" w:rsidP="00256DEE">
      <w:pPr>
        <w:pStyle w:val="MediumGrid21"/>
        <w:rPr>
          <w:lang w:eastAsia="en-GB"/>
        </w:rPr>
      </w:pPr>
      <w:r>
        <w:rPr>
          <w:lang w:eastAsia="en-GB"/>
        </w:rPr>
        <w:t>A</w:t>
      </w:r>
      <w:r w:rsidRPr="00E13D21">
        <w:rPr>
          <w:lang w:eastAsia="en-GB"/>
        </w:rPr>
        <w:t xml:space="preserve">s the objectives of this study were to look at schedule differences </w:t>
      </w:r>
      <w:r>
        <w:rPr>
          <w:lang w:eastAsia="en-GB"/>
        </w:rPr>
        <w:t>with</w:t>
      </w:r>
      <w:r w:rsidRPr="00E13D21">
        <w:rPr>
          <w:lang w:eastAsia="en-GB"/>
        </w:rPr>
        <w:t>in the premature population we</w:t>
      </w:r>
      <w:r>
        <w:rPr>
          <w:lang w:eastAsia="en-GB"/>
        </w:rPr>
        <w:t xml:space="preserve"> </w:t>
      </w:r>
      <w:r w:rsidRPr="00E13D21">
        <w:rPr>
          <w:lang w:eastAsia="en-GB"/>
        </w:rPr>
        <w:t>did not include a term comparator group</w:t>
      </w:r>
      <w:r>
        <w:rPr>
          <w:lang w:eastAsia="en-GB"/>
        </w:rPr>
        <w:t>, however lower antibody concentrations wer</w:t>
      </w:r>
      <w:r w:rsidR="002F5B3F">
        <w:rPr>
          <w:lang w:eastAsia="en-GB"/>
        </w:rPr>
        <w:t>e seen in our cohort when compared with</w:t>
      </w:r>
      <w:r>
        <w:rPr>
          <w:lang w:eastAsia="en-GB"/>
        </w:rPr>
        <w:t xml:space="preserve"> a recent cohort of term infants in the UK who received a reduced dose schedule, which was </w:t>
      </w:r>
      <w:r w:rsidR="00E017E7" w:rsidRPr="00E017E7">
        <w:rPr>
          <w:lang w:val="en-US" w:eastAsia="en-GB"/>
        </w:rPr>
        <w:t>analyzed</w:t>
      </w:r>
      <w:r>
        <w:rPr>
          <w:lang w:eastAsia="en-GB"/>
        </w:rPr>
        <w:t xml:space="preserve"> in the same laboratory</w:t>
      </w:r>
      <w:r w:rsidRPr="00E13D21">
        <w:rPr>
          <w:lang w:eastAsia="en-GB"/>
        </w:rPr>
        <w:t>.</w:t>
      </w:r>
      <w:r w:rsidR="00634A07">
        <w:rPr>
          <w:lang w:eastAsia="en-GB"/>
        </w:rPr>
        <w:fldChar w:fldCharType="begin" w:fldLock="1"/>
      </w:r>
      <w:r w:rsidR="006B7E33">
        <w:rPr>
          <w:lang w:eastAsia="en-GB"/>
        </w:rPr>
        <w:instrText>ADDIN CSL_CITATION { "citationItems" : [ { "id" : "ITEM-1", "itemData" : { "DOI" : "10.1016/j.vaccine.2014.12.018", "ISSN" : "1873-2518", "PMID" : "25510388", "abstract" : "An open, non-randomised study was undertaken in England during 2011-12 to evaluate vaccine antibody responses in infants after completion of the routine primary infant immunisation schedule, which included two doses of meningococcal group C (MenC) conjugate (MCC) vaccine at 3 and 4 months. Any of the three licensed MCC vaccines could be used for either dose, depending on local availability. Healthy term infants registered at participating general practices (GPs) in Hertfordshire and Gloucestershire, UK, were recruited prospectively to provide a single blood sample four weeks after primary immunisation, which was administered by the GP surgery. Vaccination history was obtained at blood sampling. MenC serum bactericidal antibody (SBA) and IgG antibodies against Haemophilus influenzae b (Hib), pertussis toxin (PT), diphtheria toxoid (DT), tetanus toxoid (TT) and thirteen pneumococcal serotypes were analysed according to MCC vaccines received. MenC SBA responses differed significantly (P&lt;0.001) according to MCC vaccine schedule as follows: MenC SBA geometric mean titres (GMTs) were significantly lower in infants receiving a diphtheria cross-reacting material-conjugated MCC (MCC-CRM) vaccine followed by TT-conjugated MCC (MCC-TT) vaccine (82.0; 95% CI, 39-173; n=14) compared to those receiving two MCC-CRM (418; 95% CI, 325-537; n=82), two MCC-TT (277; 95% CI, 223-344; n=79) or MCC-TT followed by MCC-CRM (553; 95% CI, 322-949; n=18). The same group also had the lowest Hib geometric mean concentrations (0.60 \u03bcg/mL, 0.27-1.34) compared to 1.85 \u03bcg/mL (1.23-2.78), 2.86 \u03bcg/mL (2.02-4.05) and 4.26 \u03bcg/mL (1.94-9.36), respectively. Our results indicate that MCC vaccines with different carrier proteins are not interchangeable. When several MCC vaccines are available, children requiring more than one dose should receive MCC vaccines with the same carrier protein or, alternatively, receive MCC-TT first wherever possible.", "author" : [ { "dropping-particle" : "", "family" : "Ladhani", "given" : "Shamez N", "non-dropping-particle" : "", "parse-names" : false, "suffix" : "" }, { "dropping-particle" : "", "family" : "Andrews", "given" : "Nick J", "non-dropping-particle" : "", "parse-names" : false, "suffix" : "" }, { "dropping-particle" : "", "family" : "Waight", "given" : "Pauline", "non-dropping-particle" : "", "parse-names" : false, "suffix" : "" }, { "dropping-particle" : "", "family" : "Hallis", "given" : "Bassam", "non-dropping-particle" : "", "parse-names" : false, "suffix" : "" }, { "dropping-particle" : "", "family" : "Matheson", "given" : "Mary", "non-dropping-particle" : "", "parse-names" : false, "suffix" : "" }, { "dropping-particle" : "", "family" : "England", "given" : "Anna", "non-dropping-particle" : "", "parse-names" : false, "suffix" : "" }, { "dropping-particle" : "", "family" : "Findlow", "given" : "Helen", "non-dropping-particle" : "", "parse-names" : false, "suffix" : "" }, { "dropping-particle" : "", "family" : "Bai", "given" : "Xilian", "non-dropping-particle" : "", "parse-names" : false, "suffix" : "" }, { "dropping-particle" : "", "family" : "Borrow", "given" : "Ray", "non-dropping-particle" : "", "parse-names" : false, "suffix" : "" }, { "dropping-particle" : "", "family" : "Burbidge", "given" : "Polly", "non-dropping-particle" : "", "parse-names" : false, "suffix" : "" }, { "dropping-particle" : "", "family" : "Pearce", "given" : "Emma", "non-dropping-particle" : "", "parse-names" : false, "suffix" : "" }, { "dropping-particle" : "", "family" : "Goldblatt", "given" : "David", "non-dropping-particle" : "", "parse-names" : false, "suffix" : "" }, { "dropping-particle" : "", "family" : "Miller", "given" : "Elizabeth", "non-dropping-particle" : "", "parse-names" : false, "suffix" : "" } ], "container-title" : "Vaccine", "id" : "ITEM-1", "issue" : "5", "issued" : { "date-parts" : [ [ "2015", "1", "29" ] ] }, "page" : "648-55", "publisher" : "Elsevier Ltd", "title" : "Interchangeability of meningococcal group C conjugate vaccines with different carrier proteins in the United Kingdom infant immunisation schedule.", "type" : "article-journal", "volume" : "33" }, "uris" : [ "http://www.mendeley.com/documents/?uuid=54ce44f8-ee3b-44db-acfd-63fd5eab00c8" ] } ], "mendeley" : { "formattedCitation" : "[22]", "plainTextFormattedCitation" : "[22]", "previouslyFormattedCitation" : "[20]" }, "properties" : { "noteIndex" : 0 }, "schema" : "https://github.com/citation-style-language/schema/raw/master/csl-citation.json" }</w:instrText>
      </w:r>
      <w:r w:rsidR="00634A07">
        <w:rPr>
          <w:lang w:eastAsia="en-GB"/>
        </w:rPr>
        <w:fldChar w:fldCharType="separate"/>
      </w:r>
      <w:r w:rsidR="006B7E33" w:rsidRPr="006B7E33">
        <w:rPr>
          <w:noProof/>
          <w:lang w:eastAsia="en-GB"/>
        </w:rPr>
        <w:t>[22]</w:t>
      </w:r>
      <w:r w:rsidR="00634A07">
        <w:rPr>
          <w:lang w:eastAsia="en-GB"/>
        </w:rPr>
        <w:fldChar w:fldCharType="end"/>
      </w:r>
      <w:r w:rsidRPr="00E13D21">
        <w:rPr>
          <w:lang w:eastAsia="en-GB"/>
        </w:rPr>
        <w:t xml:space="preserve"> </w:t>
      </w:r>
    </w:p>
    <w:p w14:paraId="2600593A" w14:textId="4C7E4056" w:rsidR="00256DEE" w:rsidRDefault="00256DEE" w:rsidP="00256DEE">
      <w:pPr>
        <w:pStyle w:val="MediumGrid21"/>
      </w:pPr>
      <w:r>
        <w:t xml:space="preserve">Additionally, we did not include any assessment of functional activity of the antibodies detected. </w:t>
      </w:r>
      <w:r w:rsidR="004E4BC0">
        <w:t xml:space="preserve"> Opsonophagocytic antibody</w:t>
      </w:r>
      <w:r>
        <w:t xml:space="preserve"> titres may have allowed us to assess the potential clinical impact of schedule differences in more detail</w:t>
      </w:r>
      <w:r w:rsidR="00992AB4">
        <w:t xml:space="preserve"> and should be considered in future studies</w:t>
      </w:r>
      <w:r>
        <w:t xml:space="preserve">.  A previous meta-analysis of primary PCV schedules in term infants has shown a good relationship between ELISA measured IgG concentrations and </w:t>
      </w:r>
      <w:r>
        <w:lastRenderedPageBreak/>
        <w:t>opsonophagocytic antibody titres</w:t>
      </w:r>
      <w:r w:rsidR="00992AB4">
        <w:t>, however an analysis of serotype-specific OPA values did not find a consistent protective OPA titre across all vaccine serotypes</w:t>
      </w:r>
      <w:r>
        <w:t>.</w:t>
      </w:r>
      <w:r w:rsidR="00634A07">
        <w:fldChar w:fldCharType="begin" w:fldLock="1"/>
      </w:r>
      <w:r w:rsidR="006B7E33">
        <w:instrText>ADDIN CSL_CITATION { "citationItems" : [ { "id" : "ITEM-1", "itemData" : { "DOI" : "10.1016/j.vaccine.2011.07.042", "ISSN" : "1873-2518", "PMID" : "21821080", "abstract" : "BACKGROUND: Pneumococcal conjugate vaccines (PCV) were first licensed for use with 3 primary doses in infancy and a booster dose. The evidence for the effects of different schedules was examined in this systematic review and meta-analysis.\n\nMETHODS: We searched 12 databases and trial registers up to March 2010. We selected randomised controlled trials (RCTs), cohort and case-control studies making direct comparisons between PCV schedules with (2p) or (3p) primary doses, with (+1) or without (+0) a booster dose. We extracted data on clinical, nasopharyngeal carriage and immunological outcomes and used meta-analysis to combine results where appropriate.\n\nRESULTS: Seropositivity levels (antibody concentration \u22650.35 \u03bcg/ml) following 3p and 2p PCV schedules were high for most serotypes (5 RCTs). Differences between schedules were generally small and tended to favour 3p schedules, particularly for serotypes 6B and 23F; between-study heterogeneity was high. Seropositivity levels following 3p+1 and 2p+1 schedules were similar but small differences favouring 3p+1 schedules were seen for serotypes 6B and 23F. We did not identify any RCTs reporting clinical outcomes for these comparisons. In 2 RCTs there was weak evidence of a reduction in carriage of S. pneumoniae serotypes included in the vaccine when 3p+0 schedules were compared to 2p+0 at 6 months of age.\n\nCONCLUSIONS: Most data about the relative effects of different PCV schedules relate to immunological outcomes. Both 3p and 2p schedules result in high levels of seropositivity. The clinical relevance of differences in immunological outcomes between schedules is not known. There is an absence of clinical outcome data from RCTs with direct comparisons of any 2p with any 3p PCV schedule.", "author" : [ { "dropping-particle" : "", "family" : "Scott", "given" : "Pippa", "non-dropping-particle" : "", "parse-names" : false, "suffix" : "" }, { "dropping-particle" : "", "family" : "Rutjes", "given" : "Anne W S", "non-dropping-particle" : "", "parse-names" : false, "suffix" : "" }, { "dropping-particle" : "", "family" : "Bermetz", "given" : "Lilian", "non-dropping-particle" : "", "parse-names" : false, "suffix" : "" }, { "dropping-particle" : "", "family" : "Robert", "given" : "Nad\u00e8ge", "non-dropping-particle" : "", "parse-names" : false, "suffix" : "" }, { "dropping-particle" : "", "family" : "Scott", "given" : "Susana", "non-dropping-particle" : "", "parse-names" : false, "suffix" : "" }, { "dropping-particle" : "", "family" : "Louren\u00e7o", "given" : "Tania", "non-dropping-particle" : "", "parse-names" : false, "suffix" : "" }, { "dropping-particle" : "", "family" : "Egger", "given" : "Matthias", "non-dropping-particle" : "", "parse-names" : false, "suffix" : "" }, { "dropping-particle" : "", "family" : "Low", "given" : "Nicola", "non-dropping-particle" : "", "parse-names" : false, "suffix" : "" } ], "container-title" : "Vaccine", "id" : "ITEM-1", "issue" : "52", "issued" : { "date-parts" : [ [ "2011", "12", "6" ] ] }, "page" : "9711-21", "title" : "Comparing pneumococcal conjugate vaccine schedules based on 3 and 2 primary doses: systematic review and meta-analysis.", "type" : "article-journal", "volume" : "29" }, "uris" : [ "http://www.mendeley.com/documents/?uuid=f7d576ed-329f-4a41-ac59-40f5514b6535" ] }, { "id" : "ITEM-2", "itemData" : { "DOI" : "10.1016/S1473-3099(14)70822-9", "ISSN" : "14733099", "author" : [ { "dropping-particle" : "", "family" : "Andrews", "given" : "Nick J", "non-dropping-particle" : "", "parse-names" : false, "suffix" : "" }, { "dropping-particle" : "", "family" : "Waight", "given" : "Pauline A", "non-dropping-particle" : "", "parse-names" : false, "suffix" : "" }, { "dropping-particle" : "", "family" : "Burbidge", "given" : "Polly", "non-dropping-particle" : "", "parse-names" : false, "suffix" : "" }, { "dropping-particle" : "", "family" : "Pearce", "given" : "Emma", "non-dropping-particle" : "", "parse-names" : false, "suffix" : "" }, { "dropping-particle" : "", "family" : "Roalfe", "given" : "Lucy", "non-dropping-particle" : "", "parse-names" : false, "suffix" : "" }, { "dropping-particle" : "", "family" : "Zancolli", "given" : "Marta", "non-dropping-particle" : "", "parse-names" : false, "suffix" : "" }, { "dropping-particle" : "", "family" : "Slack", "given" : "Mary", "non-dropping-particle" : "", "parse-names" : false, "suffix" : "" }, { "dropping-particle" : "", "family" : "Ladhani", "given" : "Shamez N", "non-dropping-particle" : "", "parse-names" : false, "suffix" : "" }, { "dropping-particle" : "", "family" : "Miller", "given" : "Elizabeth", "non-dropping-particle" : "", "parse-names" : false, "suffix" : "" }, { "dropping-particle" : "", "family" : "Goldblatt", "given" : "David", "non-dropping-particle" : "", "parse-names" : false, "suffix" : "" } ], "container-title" : "The Lancet Infectious Diseases", "id" : "ITEM-2", "issue" : "14", "issued" : { "date-parts" : [ [ "2014", "7" ] ] }, "page" : "1-8", "publisher" : "Elsevier Ltd", "title" : "Serotype-specific effectiveness and correlates of protection for the 13-valent pneumococcal conjugate vaccine: a postlicensure indirect cohort study", "type" : "article-journal", "volume" : "3099" }, "uris" : [ "http://www.mendeley.com/documents/?uuid=333120a0-f007-4877-a5c0-1ed6ee858ccc" ] } ], "mendeley" : { "formattedCitation" : "[24,41]", "plainTextFormattedCitation" : "[24,41]", "previouslyFormattedCitation" : "[22,39]" }, "properties" : { "noteIndex" : 0 }, "schema" : "https://github.com/citation-style-language/schema/raw/master/csl-citation.json" }</w:instrText>
      </w:r>
      <w:r w:rsidR="00634A07">
        <w:fldChar w:fldCharType="separate"/>
      </w:r>
      <w:r w:rsidR="006B7E33" w:rsidRPr="006B7E33">
        <w:rPr>
          <w:noProof/>
        </w:rPr>
        <w:t>[24,41]</w:t>
      </w:r>
      <w:r w:rsidR="00634A07">
        <w:fldChar w:fldCharType="end"/>
      </w:r>
      <w:r w:rsidR="00992AB4">
        <w:t xml:space="preserve">  </w:t>
      </w:r>
      <w:r>
        <w:t xml:space="preserve"> </w:t>
      </w:r>
    </w:p>
    <w:p w14:paraId="766BC322" w14:textId="77777777" w:rsidR="00256DEE" w:rsidRDefault="00256DEE" w:rsidP="00256DEE">
      <w:pPr>
        <w:pStyle w:val="MediumGrid21"/>
      </w:pPr>
    </w:p>
    <w:p w14:paraId="1F29F0FB" w14:textId="77777777" w:rsidR="00256DEE" w:rsidRPr="00852521" w:rsidRDefault="00256DEE" w:rsidP="00DE39EF">
      <w:pPr>
        <w:pStyle w:val="MediumGrid21"/>
        <w:outlineLvl w:val="0"/>
        <w:rPr>
          <w:b/>
        </w:rPr>
      </w:pPr>
      <w:r w:rsidRPr="00852521">
        <w:rPr>
          <w:b/>
        </w:rPr>
        <w:t>Conclusion</w:t>
      </w:r>
    </w:p>
    <w:p w14:paraId="68C609A2" w14:textId="4B57138B" w:rsidR="00C562AC" w:rsidRPr="002D6EA3" w:rsidRDefault="00256DEE" w:rsidP="002D6EA3">
      <w:pPr>
        <w:pStyle w:val="pagecontents"/>
        <w:spacing w:before="0" w:beforeAutospacing="0" w:after="0" w:afterAutospacing="0" w:line="480" w:lineRule="auto"/>
        <w:rPr>
          <w:rFonts w:ascii="Times New Roman" w:hAnsi="Times New Roman"/>
          <w:sz w:val="24"/>
          <w:szCs w:val="24"/>
        </w:rPr>
      </w:pPr>
      <w:r w:rsidRPr="002D6EA3">
        <w:rPr>
          <w:rFonts w:ascii="Times New Roman" w:hAnsi="Times New Roman"/>
          <w:sz w:val="24"/>
          <w:szCs w:val="24"/>
        </w:rPr>
        <w:t>PCV13 is well tolerated in premature infants</w:t>
      </w:r>
      <w:r w:rsidR="004B7A30">
        <w:rPr>
          <w:rFonts w:ascii="Times New Roman" w:hAnsi="Times New Roman"/>
          <w:sz w:val="24"/>
          <w:szCs w:val="24"/>
        </w:rPr>
        <w:t>. D</w:t>
      </w:r>
      <w:r w:rsidR="00C562AC" w:rsidRPr="002D6EA3">
        <w:rPr>
          <w:rFonts w:ascii="Times New Roman" w:hAnsi="Times New Roman"/>
          <w:sz w:val="24"/>
          <w:szCs w:val="24"/>
        </w:rPr>
        <w:t>ifferent priming schedules result in higher IgG concentrations at different times during the first 13 months of life. We believe that such data will be of benefit to those planning or providing pneumococcal vaccines to preterm infants and will enable them to consider this in the context of their own immunization programme</w:t>
      </w:r>
      <w:r w:rsidR="00DF5C86" w:rsidRPr="002D6EA3">
        <w:rPr>
          <w:rFonts w:ascii="Times New Roman" w:hAnsi="Times New Roman"/>
          <w:sz w:val="24"/>
          <w:szCs w:val="24"/>
        </w:rPr>
        <w:t>s</w:t>
      </w:r>
      <w:r w:rsidR="00C562AC" w:rsidRPr="002D6EA3">
        <w:rPr>
          <w:rFonts w:ascii="Times New Roman" w:hAnsi="Times New Roman"/>
          <w:sz w:val="24"/>
          <w:szCs w:val="24"/>
        </w:rPr>
        <w:t xml:space="preserve"> and epidemiological situation</w:t>
      </w:r>
      <w:r w:rsidR="00DF5C86" w:rsidRPr="002D6EA3">
        <w:rPr>
          <w:rFonts w:ascii="Times New Roman" w:hAnsi="Times New Roman"/>
          <w:sz w:val="24"/>
          <w:szCs w:val="24"/>
        </w:rPr>
        <w:t>s</w:t>
      </w:r>
      <w:r w:rsidR="00C562AC" w:rsidRPr="002D6EA3">
        <w:rPr>
          <w:rFonts w:ascii="Times New Roman" w:hAnsi="Times New Roman"/>
          <w:sz w:val="24"/>
          <w:szCs w:val="24"/>
        </w:rPr>
        <w:t xml:space="preserve">. </w:t>
      </w:r>
    </w:p>
    <w:p w14:paraId="73CF1507" w14:textId="168BBE90" w:rsidR="00167D88" w:rsidRDefault="00167D88">
      <w:pPr>
        <w:spacing w:line="240" w:lineRule="auto"/>
      </w:pPr>
      <w:r>
        <w:br w:type="page"/>
      </w:r>
    </w:p>
    <w:p w14:paraId="1412315E" w14:textId="1AEFE162" w:rsidR="003D3C43" w:rsidRDefault="00320123" w:rsidP="00320123">
      <w:pPr>
        <w:spacing w:line="240" w:lineRule="auto"/>
      </w:pPr>
      <w:r w:rsidRPr="00531AA7">
        <w:rPr>
          <w:b/>
        </w:rPr>
        <w:lastRenderedPageBreak/>
        <w:t>Funding</w:t>
      </w:r>
    </w:p>
    <w:p w14:paraId="03B2F1AE" w14:textId="06AC45E2" w:rsidR="00320123" w:rsidRDefault="00320123" w:rsidP="003D3C43">
      <w:pPr>
        <w:spacing w:line="240" w:lineRule="auto"/>
      </w:pPr>
      <w:r>
        <w:t xml:space="preserve">This </w:t>
      </w:r>
      <w:r w:rsidR="003D3C43">
        <w:t>work was supported by Pfizer Ltd as an investigator-led study</w:t>
      </w:r>
      <w:r>
        <w:t xml:space="preserve">.  The funder had no input into the conduct of the </w:t>
      </w:r>
      <w:r w:rsidR="003D3C43">
        <w:t>trial</w:t>
      </w:r>
      <w:r>
        <w:t>, analysis of data, interpretation of results or the preparation of this manuscript.</w:t>
      </w:r>
    </w:p>
    <w:p w14:paraId="1A01A73A" w14:textId="77777777" w:rsidR="003D3C43" w:rsidRDefault="003D3C43" w:rsidP="003D3C43">
      <w:pPr>
        <w:spacing w:line="240" w:lineRule="auto"/>
      </w:pPr>
    </w:p>
    <w:p w14:paraId="4C79116B" w14:textId="77777777" w:rsidR="003D3C43" w:rsidRDefault="003D3C43" w:rsidP="003D3C43">
      <w:pPr>
        <w:spacing w:line="240" w:lineRule="auto"/>
        <w:rPr>
          <w:b/>
        </w:rPr>
      </w:pPr>
    </w:p>
    <w:p w14:paraId="3BEAA311" w14:textId="77777777" w:rsidR="003D3C43" w:rsidRDefault="003D3C43">
      <w:pPr>
        <w:spacing w:line="240" w:lineRule="auto"/>
        <w:rPr>
          <w:b/>
        </w:rPr>
      </w:pPr>
      <w:r>
        <w:rPr>
          <w:b/>
        </w:rPr>
        <w:br w:type="page"/>
      </w:r>
    </w:p>
    <w:p w14:paraId="6A66A101" w14:textId="5CB8E308" w:rsidR="00256DEE" w:rsidRDefault="00256DEE" w:rsidP="00DE39EF">
      <w:pPr>
        <w:pStyle w:val="MediumGrid21"/>
        <w:outlineLvl w:val="0"/>
        <w:rPr>
          <w:b/>
        </w:rPr>
      </w:pPr>
      <w:r w:rsidRPr="00C20F54">
        <w:rPr>
          <w:b/>
        </w:rPr>
        <w:lastRenderedPageBreak/>
        <w:t>Acknowledgements</w:t>
      </w:r>
      <w:r w:rsidR="00167D88">
        <w:rPr>
          <w:b/>
        </w:rPr>
        <w:t xml:space="preserve"> section</w:t>
      </w:r>
    </w:p>
    <w:p w14:paraId="31B08751" w14:textId="39DB406B" w:rsidR="00167D88" w:rsidRDefault="00167D88" w:rsidP="00DE39EF">
      <w:pPr>
        <w:pStyle w:val="MediumGrid21"/>
        <w:outlineLvl w:val="0"/>
        <w:rPr>
          <w:b/>
        </w:rPr>
      </w:pPr>
      <w:r>
        <w:rPr>
          <w:b/>
        </w:rPr>
        <w:t>Acknowledgements</w:t>
      </w:r>
    </w:p>
    <w:p w14:paraId="17BB36EA" w14:textId="0F7FE154" w:rsidR="00E176B6" w:rsidRDefault="00E176B6" w:rsidP="00E176B6">
      <w:r>
        <w:t xml:space="preserve">We would like to thank all children who took part in the study as well as their parents/guardians, </w:t>
      </w:r>
      <w:r w:rsidR="00C47B48">
        <w:t xml:space="preserve">Dr Nicola Pritchard and </w:t>
      </w:r>
      <w:r>
        <w:t>the study staff at all the research centres, Pauline Kaye, Deborah Cohen, Teresa Gibbs and all other members of the team at Public Health England</w:t>
      </w:r>
      <w:r w:rsidR="00E63D1F">
        <w:t xml:space="preserve"> and NIHR CRN</w:t>
      </w:r>
      <w:r>
        <w:t xml:space="preserve"> for their invaluable help and support and Pfizer for financially supporting this investigator-led study.</w:t>
      </w:r>
    </w:p>
    <w:p w14:paraId="4A1B9806" w14:textId="77777777" w:rsidR="009D1CEA" w:rsidRDefault="009D1CEA" w:rsidP="00E176B6"/>
    <w:p w14:paraId="725FF31D" w14:textId="77777777" w:rsidR="009D1CEA" w:rsidRPr="009D1CEA" w:rsidRDefault="009D1CEA" w:rsidP="009D1CEA">
      <w:pPr>
        <w:spacing w:line="240" w:lineRule="auto"/>
        <w:rPr>
          <w:b/>
        </w:rPr>
      </w:pPr>
      <w:r w:rsidRPr="009D1CEA">
        <w:rPr>
          <w:b/>
        </w:rPr>
        <w:t>PUNS study group</w:t>
      </w:r>
    </w:p>
    <w:p w14:paraId="65FE88E2" w14:textId="2D4C95FE" w:rsidR="009D1CEA" w:rsidRDefault="00DA74F0" w:rsidP="009D1CEA">
      <w:pPr>
        <w:spacing w:line="240" w:lineRule="auto"/>
      </w:pPr>
      <w:r>
        <w:t>Ager, Gill</w:t>
      </w:r>
      <w:r w:rsidR="009D1CEA">
        <w:t xml:space="preserve"> (1)</w:t>
      </w:r>
    </w:p>
    <w:p w14:paraId="70D62EC6" w14:textId="01F76CA7" w:rsidR="009D1CEA" w:rsidRDefault="009D1CEA" w:rsidP="009D1CEA">
      <w:pPr>
        <w:spacing w:line="240" w:lineRule="auto"/>
      </w:pPr>
      <w:r>
        <w:t>Snape, Matthew D (2)</w:t>
      </w:r>
    </w:p>
    <w:p w14:paraId="63CD589D" w14:textId="5840BF32" w:rsidR="009D1CEA" w:rsidRDefault="009D1CEA" w:rsidP="009D1CEA">
      <w:pPr>
        <w:spacing w:line="240" w:lineRule="auto"/>
      </w:pPr>
      <w:r>
        <w:t>Few, Karen (3)</w:t>
      </w:r>
    </w:p>
    <w:p w14:paraId="57CD7472" w14:textId="128FA60A" w:rsidR="009D1CEA" w:rsidRDefault="009D1CEA" w:rsidP="009D1CEA">
      <w:pPr>
        <w:spacing w:line="240" w:lineRule="auto"/>
      </w:pPr>
      <w:r>
        <w:t>Varghese, Anu S (4)</w:t>
      </w:r>
    </w:p>
    <w:p w14:paraId="00F4753D" w14:textId="1B482EA7" w:rsidR="009D1CEA" w:rsidRDefault="002461B8" w:rsidP="009D1CEA">
      <w:pPr>
        <w:spacing w:line="240" w:lineRule="auto"/>
      </w:pPr>
      <w:r>
        <w:t>Reynolds, S</w:t>
      </w:r>
      <w:r w:rsidR="00634A07">
        <w:t>arah</w:t>
      </w:r>
      <w:r w:rsidR="009D1CEA">
        <w:t xml:space="preserve"> (</w:t>
      </w:r>
      <w:r w:rsidR="00E017E7">
        <w:t>5</w:t>
      </w:r>
      <w:r w:rsidR="009D1CEA">
        <w:t>)</w:t>
      </w:r>
    </w:p>
    <w:p w14:paraId="3D4253D7" w14:textId="3B328FC4" w:rsidR="009D1CEA" w:rsidRDefault="00634A07" w:rsidP="009D1CEA">
      <w:pPr>
        <w:spacing w:line="240" w:lineRule="auto"/>
      </w:pPr>
      <w:r>
        <w:t>Bromage, Barbara</w:t>
      </w:r>
      <w:r w:rsidR="009D1CEA">
        <w:t xml:space="preserve"> (</w:t>
      </w:r>
      <w:r w:rsidR="00E017E7">
        <w:t>6</w:t>
      </w:r>
      <w:r w:rsidR="009D1CEA">
        <w:t>)</w:t>
      </w:r>
    </w:p>
    <w:p w14:paraId="295F0E51" w14:textId="6D22D884" w:rsidR="009D1CEA" w:rsidRDefault="002461B8" w:rsidP="009D1CEA">
      <w:pPr>
        <w:spacing w:line="240" w:lineRule="auto"/>
      </w:pPr>
      <w:r>
        <w:t>Blake, Elizabeth</w:t>
      </w:r>
      <w:r w:rsidR="009D1CEA">
        <w:t xml:space="preserve"> (</w:t>
      </w:r>
      <w:r w:rsidR="00E017E7">
        <w:t>7</w:t>
      </w:r>
      <w:r w:rsidR="009D1CEA">
        <w:t>)</w:t>
      </w:r>
    </w:p>
    <w:p w14:paraId="3EB50E05" w14:textId="63A7A57C" w:rsidR="009D1CEA" w:rsidRDefault="009D1CEA" w:rsidP="009D1CEA">
      <w:pPr>
        <w:spacing w:line="240" w:lineRule="auto"/>
      </w:pPr>
      <w:r>
        <w:t>Burbridge, Polly (</w:t>
      </w:r>
      <w:r w:rsidR="00E017E7">
        <w:t>8</w:t>
      </w:r>
      <w:r>
        <w:t>)</w:t>
      </w:r>
    </w:p>
    <w:p w14:paraId="24EEBC53" w14:textId="42E8A4E4" w:rsidR="0021483A" w:rsidRDefault="0021483A" w:rsidP="009D1CEA">
      <w:pPr>
        <w:spacing w:line="240" w:lineRule="auto"/>
      </w:pPr>
      <w:r>
        <w:t>Thalasselis, Vasili (</w:t>
      </w:r>
      <w:r w:rsidR="00E017E7">
        <w:t>8</w:t>
      </w:r>
      <w:r>
        <w:t>)</w:t>
      </w:r>
    </w:p>
    <w:p w14:paraId="4DB4ECEB" w14:textId="015713F8" w:rsidR="009D1CEA" w:rsidRDefault="0021483A" w:rsidP="009D1CEA">
      <w:pPr>
        <w:spacing w:line="240" w:lineRule="auto"/>
      </w:pPr>
      <w:r>
        <w:t>England, Anna</w:t>
      </w:r>
      <w:r w:rsidR="00167D88">
        <w:t xml:space="preserve"> (</w:t>
      </w:r>
      <w:r w:rsidR="00E017E7">
        <w:t>9</w:t>
      </w:r>
      <w:r w:rsidR="009D1CEA">
        <w:t>)</w:t>
      </w:r>
    </w:p>
    <w:p w14:paraId="30F1CDBC" w14:textId="6547F429" w:rsidR="009D1CEA" w:rsidRDefault="009D1CEA" w:rsidP="009D1CEA">
      <w:pPr>
        <w:spacing w:line="240" w:lineRule="auto"/>
      </w:pPr>
      <w:r>
        <w:t>Mary Matheson (</w:t>
      </w:r>
      <w:r w:rsidR="00E017E7">
        <w:t>9</w:t>
      </w:r>
      <w:r>
        <w:t>)</w:t>
      </w:r>
    </w:p>
    <w:p w14:paraId="476E8162" w14:textId="760A9B8A" w:rsidR="009D1CEA" w:rsidRDefault="009D1CEA" w:rsidP="009D1CEA">
      <w:pPr>
        <w:spacing w:line="240" w:lineRule="auto"/>
      </w:pPr>
      <w:r>
        <w:t>Pauline Waight (1</w:t>
      </w:r>
      <w:r w:rsidR="00E017E7">
        <w:t>0</w:t>
      </w:r>
      <w:r>
        <w:t>)</w:t>
      </w:r>
    </w:p>
    <w:p w14:paraId="1FA404FC" w14:textId="77777777" w:rsidR="009D1CEA" w:rsidRDefault="009D1CEA" w:rsidP="00E176B6"/>
    <w:p w14:paraId="7841E063" w14:textId="77777777" w:rsidR="009D1CEA" w:rsidRDefault="009D1CEA" w:rsidP="009D1CEA">
      <w:pPr>
        <w:pStyle w:val="ColorfulList-Accent11"/>
        <w:numPr>
          <w:ilvl w:val="0"/>
          <w:numId w:val="8"/>
        </w:numPr>
        <w:spacing w:line="240" w:lineRule="auto"/>
      </w:pPr>
      <w:r>
        <w:t>Neonatal Unit, Queen Alexandra Hospital, Portsmouth, UK</w:t>
      </w:r>
    </w:p>
    <w:p w14:paraId="124A3280" w14:textId="77777777" w:rsidR="009D1CEA" w:rsidRPr="00E1516C" w:rsidRDefault="009D1CEA" w:rsidP="009D1CEA">
      <w:pPr>
        <w:pStyle w:val="ColorfulList-Accent11"/>
        <w:numPr>
          <w:ilvl w:val="0"/>
          <w:numId w:val="8"/>
        </w:numPr>
        <w:spacing w:line="240" w:lineRule="auto"/>
      </w:pPr>
      <w:r w:rsidRPr="00E1516C">
        <w:t xml:space="preserve">Oxford Vaccine Group, University of Oxford, and the NIHR Oxford Biomedical Research Centre, Oxford UK </w:t>
      </w:r>
    </w:p>
    <w:p w14:paraId="438007A1" w14:textId="77777777" w:rsidR="009D1CEA" w:rsidRDefault="009D1CEA" w:rsidP="009D1CEA">
      <w:pPr>
        <w:pStyle w:val="ColorfulList-Accent11"/>
        <w:numPr>
          <w:ilvl w:val="0"/>
          <w:numId w:val="8"/>
        </w:numPr>
        <w:spacing w:line="240" w:lineRule="auto"/>
      </w:pPr>
      <w:r>
        <w:t>Neonatal Unit, Norfolk and Norwich University Hospitals NHS Foundation Trust, Norwich, UK</w:t>
      </w:r>
    </w:p>
    <w:p w14:paraId="21B18EFF" w14:textId="77777777" w:rsidR="009D1CEA" w:rsidRDefault="009D1CEA" w:rsidP="009D1CEA">
      <w:pPr>
        <w:pStyle w:val="ColorfulList-Accent11"/>
        <w:numPr>
          <w:ilvl w:val="0"/>
          <w:numId w:val="8"/>
        </w:numPr>
        <w:spacing w:line="240" w:lineRule="auto"/>
      </w:pPr>
      <w:r>
        <w:t>Department of Immunology, Royal Manchester Children’s Hospital, Manchester, UK</w:t>
      </w:r>
    </w:p>
    <w:p w14:paraId="1A1585B4" w14:textId="77777777" w:rsidR="002461B8" w:rsidRDefault="002461B8" w:rsidP="009D1CEA">
      <w:pPr>
        <w:pStyle w:val="ColorfulList-Accent11"/>
        <w:numPr>
          <w:ilvl w:val="0"/>
          <w:numId w:val="8"/>
        </w:numPr>
        <w:spacing w:line="240" w:lineRule="auto"/>
      </w:pPr>
      <w:r>
        <w:t xml:space="preserve">Neonatal Unit, University Hospital Coventry and Warwickshire NHS Trust, Coventry, UK </w:t>
      </w:r>
    </w:p>
    <w:p w14:paraId="5B3DCAB3" w14:textId="46B70DE7" w:rsidR="009D1CEA" w:rsidRDefault="009D1CEA" w:rsidP="009D1CEA">
      <w:pPr>
        <w:pStyle w:val="ColorfulList-Accent11"/>
        <w:numPr>
          <w:ilvl w:val="0"/>
          <w:numId w:val="8"/>
        </w:numPr>
        <w:spacing w:line="240" w:lineRule="auto"/>
      </w:pPr>
      <w:r>
        <w:t>Neonatal Unit, Royal Cornwall Hospital, Truro, UK</w:t>
      </w:r>
    </w:p>
    <w:p w14:paraId="568B2C60" w14:textId="23F48C88" w:rsidR="009D1CEA" w:rsidRDefault="002461B8" w:rsidP="009D1CEA">
      <w:pPr>
        <w:pStyle w:val="ColorfulList-Accent11"/>
        <w:numPr>
          <w:ilvl w:val="0"/>
          <w:numId w:val="8"/>
        </w:numPr>
        <w:spacing w:line="240" w:lineRule="auto"/>
      </w:pPr>
      <w:r>
        <w:t>University of Southampton and University Hospital Southampton NHS Foundation Trust</w:t>
      </w:r>
    </w:p>
    <w:p w14:paraId="34324A40" w14:textId="77777777" w:rsidR="009D1CEA" w:rsidRDefault="009D1CEA" w:rsidP="009D1CEA">
      <w:pPr>
        <w:pStyle w:val="ColorfulList-Accent11"/>
        <w:numPr>
          <w:ilvl w:val="0"/>
          <w:numId w:val="8"/>
        </w:numPr>
        <w:spacing w:line="240" w:lineRule="auto"/>
      </w:pPr>
      <w:r>
        <w:t>Institute of Child Health, UCL, London, UK</w:t>
      </w:r>
    </w:p>
    <w:p w14:paraId="496041C6" w14:textId="1F624D2E" w:rsidR="00167D88" w:rsidRDefault="00E017E7" w:rsidP="009D1CEA">
      <w:pPr>
        <w:pStyle w:val="ColorfulList-Accent11"/>
        <w:numPr>
          <w:ilvl w:val="0"/>
          <w:numId w:val="8"/>
        </w:numPr>
        <w:spacing w:line="240" w:lineRule="auto"/>
      </w:pPr>
      <w:r>
        <w:t xml:space="preserve">Immunoassay Laboratory, Public Health England, </w:t>
      </w:r>
      <w:r w:rsidR="00167D88">
        <w:t>Porton Down</w:t>
      </w:r>
      <w:r>
        <w:t>, UK</w:t>
      </w:r>
    </w:p>
    <w:p w14:paraId="438AE83A" w14:textId="211BDA96" w:rsidR="009D1CEA" w:rsidRDefault="00670EA5" w:rsidP="009D1CEA">
      <w:pPr>
        <w:pStyle w:val="ColorfulList-Accent11"/>
        <w:numPr>
          <w:ilvl w:val="0"/>
          <w:numId w:val="8"/>
        </w:numPr>
        <w:spacing w:line="240" w:lineRule="auto"/>
      </w:pPr>
      <w:r>
        <w:t>Immunization</w:t>
      </w:r>
      <w:r w:rsidR="009D1CEA">
        <w:t>, Hepatitis and Blood Safety Department, Public Health England, Colindale, London, UK</w:t>
      </w:r>
    </w:p>
    <w:p w14:paraId="2F712D52" w14:textId="77777777" w:rsidR="00F83E18" w:rsidRDefault="00F83E18" w:rsidP="009D1CEA">
      <w:pPr>
        <w:pStyle w:val="ColorfulList-Accent11"/>
        <w:spacing w:line="240" w:lineRule="auto"/>
        <w:ind w:left="360"/>
      </w:pPr>
    </w:p>
    <w:p w14:paraId="75C0E2C7" w14:textId="77777777" w:rsidR="004247F6" w:rsidRDefault="004247F6" w:rsidP="004247F6">
      <w:pPr>
        <w:spacing w:line="240" w:lineRule="auto"/>
      </w:pPr>
    </w:p>
    <w:p w14:paraId="1B4A1E5C" w14:textId="6BB50BA5" w:rsidR="004247F6" w:rsidRDefault="004247F6" w:rsidP="00545D33">
      <w:pPr>
        <w:rPr>
          <w:b/>
        </w:rPr>
      </w:pPr>
      <w:r>
        <w:rPr>
          <w:b/>
        </w:rPr>
        <w:t>Previously presented in part:</w:t>
      </w:r>
    </w:p>
    <w:p w14:paraId="50947E10" w14:textId="77777777" w:rsidR="004247F6" w:rsidRDefault="004247F6" w:rsidP="004247F6"/>
    <w:p w14:paraId="1B8C9EFF" w14:textId="3CFB001A" w:rsidR="004247F6" w:rsidRDefault="004247F6" w:rsidP="004247F6">
      <w:r>
        <w:t xml:space="preserve">Abstract </w:t>
      </w:r>
      <w:r w:rsidR="00FA6A14">
        <w:t>460</w:t>
      </w:r>
      <w:r>
        <w:t>:</w:t>
      </w:r>
      <w:r w:rsidR="002461B8">
        <w:t xml:space="preserve"> May 2014, </w:t>
      </w:r>
      <w:r>
        <w:t xml:space="preserve">ESPID </w:t>
      </w:r>
      <w:r w:rsidR="002461B8">
        <w:t>annual meeting, Dublin, Ireland</w:t>
      </w:r>
    </w:p>
    <w:p w14:paraId="01573DBC" w14:textId="3928E7A8" w:rsidR="004247F6" w:rsidRDefault="00FA6A14" w:rsidP="004247F6">
      <w:pPr>
        <w:sectPr w:rsidR="004247F6" w:rsidSect="00923FC9">
          <w:pgSz w:w="11906" w:h="16838"/>
          <w:pgMar w:top="1440" w:right="1440" w:bottom="1440" w:left="1440" w:header="708" w:footer="113" w:gutter="0"/>
          <w:cols w:space="708"/>
          <w:docGrid w:linePitch="360"/>
        </w:sectPr>
      </w:pPr>
      <w:r>
        <w:t>Abstract 240</w:t>
      </w:r>
      <w:r w:rsidR="002461B8">
        <w:t>: May 2015, ESPID annual meeting, Leipzig, Germany</w:t>
      </w:r>
    </w:p>
    <w:p w14:paraId="2F46C6EB" w14:textId="77777777" w:rsidR="009E73AA" w:rsidRDefault="009E73AA" w:rsidP="00D0186F">
      <w:pPr>
        <w:spacing w:line="240" w:lineRule="auto"/>
        <w:divId w:val="325478028"/>
        <w:rPr>
          <w:b/>
        </w:rPr>
      </w:pPr>
      <w:r>
        <w:rPr>
          <w:b/>
        </w:rPr>
        <w:lastRenderedPageBreak/>
        <w:t>REFERENCES</w:t>
      </w:r>
    </w:p>
    <w:p w14:paraId="3DA4D499" w14:textId="1AFFB925" w:rsidR="006B7E33" w:rsidRPr="006B7E33" w:rsidRDefault="00DA4BFF">
      <w:pPr>
        <w:pStyle w:val="NormalWeb"/>
        <w:ind w:left="640" w:hanging="640"/>
        <w:divId w:val="578177251"/>
        <w:rPr>
          <w:rFonts w:eastAsiaTheme="minorEastAsia"/>
          <w:noProof/>
        </w:rPr>
      </w:pPr>
      <w:r>
        <w:rPr>
          <w:b/>
        </w:rPr>
        <w:fldChar w:fldCharType="begin" w:fldLock="1"/>
      </w:r>
      <w:r w:rsidR="00301077">
        <w:rPr>
          <w:b/>
        </w:rPr>
        <w:instrText xml:space="preserve">ADDIN Mendeley Bibliography CSL_BIBLIOGRAPHY </w:instrText>
      </w:r>
      <w:r>
        <w:rPr>
          <w:b/>
        </w:rPr>
        <w:fldChar w:fldCharType="separate"/>
      </w:r>
      <w:r w:rsidR="006B7E33" w:rsidRPr="006B7E33">
        <w:rPr>
          <w:noProof/>
        </w:rPr>
        <w:t xml:space="preserve">1. </w:t>
      </w:r>
      <w:r w:rsidR="006B7E33" w:rsidRPr="006B7E33">
        <w:rPr>
          <w:noProof/>
        </w:rPr>
        <w:tab/>
        <w:t xml:space="preserve">Rückinger S, van der Linden M, von Kries R. Effect of heptavalent pneumococcal conjugate vaccination on invasive pneumococcal disease in preterm born infants. BMC Infect. Dis. </w:t>
      </w:r>
      <w:r w:rsidR="006B7E33" w:rsidRPr="006B7E33">
        <w:rPr>
          <w:b/>
          <w:bCs/>
          <w:noProof/>
        </w:rPr>
        <w:t>2010</w:t>
      </w:r>
      <w:r w:rsidR="006B7E33" w:rsidRPr="006B7E33">
        <w:rPr>
          <w:noProof/>
        </w:rPr>
        <w:t xml:space="preserve">; 10:12. </w:t>
      </w:r>
    </w:p>
    <w:p w14:paraId="777CB9F6" w14:textId="77777777" w:rsidR="006B7E33" w:rsidRPr="006B7E33" w:rsidRDefault="006B7E33">
      <w:pPr>
        <w:pStyle w:val="NormalWeb"/>
        <w:ind w:left="640" w:hanging="640"/>
        <w:divId w:val="578177251"/>
        <w:rPr>
          <w:noProof/>
        </w:rPr>
      </w:pPr>
      <w:r w:rsidRPr="006B7E33">
        <w:rPr>
          <w:noProof/>
        </w:rPr>
        <w:t xml:space="preserve">2. </w:t>
      </w:r>
      <w:r w:rsidRPr="006B7E33">
        <w:rPr>
          <w:noProof/>
        </w:rPr>
        <w:tab/>
        <w:t xml:space="preserve">Hjuler T, Wohlfahrt J, Simonsen J, et al. Perinatal and crowding-related risk factors for invasive pneumococcal disease in infants and young children: a population-based case-control study. Clin. Infect. Dis. </w:t>
      </w:r>
      <w:r w:rsidRPr="006B7E33">
        <w:rPr>
          <w:b/>
          <w:bCs/>
          <w:noProof/>
        </w:rPr>
        <w:t>2007</w:t>
      </w:r>
      <w:r w:rsidRPr="006B7E33">
        <w:rPr>
          <w:noProof/>
        </w:rPr>
        <w:t xml:space="preserve">; 44:1051–6. </w:t>
      </w:r>
    </w:p>
    <w:p w14:paraId="06F6FE0B" w14:textId="77777777" w:rsidR="006B7E33" w:rsidRPr="006B7E33" w:rsidRDefault="006B7E33">
      <w:pPr>
        <w:pStyle w:val="NormalWeb"/>
        <w:ind w:left="640" w:hanging="640"/>
        <w:divId w:val="578177251"/>
        <w:rPr>
          <w:noProof/>
        </w:rPr>
      </w:pPr>
      <w:r w:rsidRPr="006B7E33">
        <w:rPr>
          <w:noProof/>
        </w:rPr>
        <w:t xml:space="preserve">3. </w:t>
      </w:r>
      <w:r w:rsidRPr="006B7E33">
        <w:rPr>
          <w:noProof/>
        </w:rPr>
        <w:tab/>
        <w:t xml:space="preserve">Shinefield H, Black S, Ray P, Fireman B, Schwalbe J, Lewis E. Efficacy, immunogenicity and safety of heptavalent pneumococcal conjugate vaccine in low birth weight and preterm infants. Pediatr. Infect. Dis. J. </w:t>
      </w:r>
      <w:r w:rsidRPr="006B7E33">
        <w:rPr>
          <w:b/>
          <w:bCs/>
          <w:noProof/>
        </w:rPr>
        <w:t>2002</w:t>
      </w:r>
      <w:r w:rsidRPr="006B7E33">
        <w:rPr>
          <w:noProof/>
        </w:rPr>
        <w:t xml:space="preserve">; 21:182–6. </w:t>
      </w:r>
    </w:p>
    <w:p w14:paraId="4C7CA038" w14:textId="77777777" w:rsidR="006B7E33" w:rsidRPr="006B7E33" w:rsidRDefault="006B7E33">
      <w:pPr>
        <w:pStyle w:val="NormalWeb"/>
        <w:ind w:left="640" w:hanging="640"/>
        <w:divId w:val="578177251"/>
        <w:rPr>
          <w:noProof/>
        </w:rPr>
      </w:pPr>
      <w:r w:rsidRPr="006B7E33">
        <w:rPr>
          <w:noProof/>
        </w:rPr>
        <w:t xml:space="preserve">4. </w:t>
      </w:r>
      <w:r w:rsidRPr="006B7E33">
        <w:rPr>
          <w:noProof/>
        </w:rPr>
        <w:tab/>
        <w:t xml:space="preserve">Snape MD, Klinger CL, Daniels ED, et al. Immunogenicity and Reactogenicity of a 13-Valent-pneumococcal Conjugate Vaccine Administered at 2, 4, and 12 Months of Age. Pediatr. Infect. Dis. J. </w:t>
      </w:r>
      <w:r w:rsidRPr="006B7E33">
        <w:rPr>
          <w:b/>
          <w:bCs/>
          <w:noProof/>
        </w:rPr>
        <w:t>2010</w:t>
      </w:r>
      <w:r w:rsidRPr="006B7E33">
        <w:rPr>
          <w:noProof/>
        </w:rPr>
        <w:t xml:space="preserve">; 29:e80–e90. </w:t>
      </w:r>
    </w:p>
    <w:p w14:paraId="641B7555" w14:textId="77777777" w:rsidR="006B7E33" w:rsidRPr="006B7E33" w:rsidRDefault="006B7E33">
      <w:pPr>
        <w:pStyle w:val="NormalWeb"/>
        <w:ind w:left="640" w:hanging="640"/>
        <w:divId w:val="578177251"/>
        <w:rPr>
          <w:noProof/>
        </w:rPr>
      </w:pPr>
      <w:r w:rsidRPr="006B7E33">
        <w:rPr>
          <w:noProof/>
        </w:rPr>
        <w:t xml:space="preserve">5. </w:t>
      </w:r>
      <w:r w:rsidRPr="006B7E33">
        <w:rPr>
          <w:noProof/>
        </w:rPr>
        <w:tab/>
        <w:t xml:space="preserve">Grant LR, O’Brien SE, Burbidge P, et al. Comparative immunogenicity of 7 and 13-valent pneumococcal conjugate vaccines and the development of functional antibodies to cross-reactive serotypes. PLoS One </w:t>
      </w:r>
      <w:r w:rsidRPr="006B7E33">
        <w:rPr>
          <w:b/>
          <w:bCs/>
          <w:noProof/>
        </w:rPr>
        <w:t>2013</w:t>
      </w:r>
      <w:r w:rsidRPr="006B7E33">
        <w:rPr>
          <w:noProof/>
        </w:rPr>
        <w:t xml:space="preserve">; 8:e74906. </w:t>
      </w:r>
    </w:p>
    <w:p w14:paraId="0C713ACA" w14:textId="77777777" w:rsidR="006B7E33" w:rsidRPr="006B7E33" w:rsidRDefault="006B7E33">
      <w:pPr>
        <w:pStyle w:val="NormalWeb"/>
        <w:ind w:left="640" w:hanging="640"/>
        <w:divId w:val="578177251"/>
        <w:rPr>
          <w:noProof/>
        </w:rPr>
      </w:pPr>
      <w:r w:rsidRPr="006B7E33">
        <w:rPr>
          <w:noProof/>
        </w:rPr>
        <w:t xml:space="preserve">6. </w:t>
      </w:r>
      <w:r w:rsidRPr="006B7E33">
        <w:rPr>
          <w:noProof/>
        </w:rPr>
        <w:tab/>
        <w:t xml:space="preserve">Miller E, Andrews NJ, Waight PA, Slack MPE, George RC. Effectiveness of the new serotypes in the 13-valent pneumococcal conjugate vaccine. Vaccine </w:t>
      </w:r>
      <w:r w:rsidRPr="006B7E33">
        <w:rPr>
          <w:b/>
          <w:bCs/>
          <w:noProof/>
        </w:rPr>
        <w:t>2011</w:t>
      </w:r>
      <w:r w:rsidRPr="006B7E33">
        <w:rPr>
          <w:noProof/>
        </w:rPr>
        <w:t xml:space="preserve">; 29:9127–31. </w:t>
      </w:r>
    </w:p>
    <w:p w14:paraId="6EE902FD" w14:textId="77777777" w:rsidR="006B7E33" w:rsidRPr="006B7E33" w:rsidRDefault="006B7E33">
      <w:pPr>
        <w:pStyle w:val="NormalWeb"/>
        <w:ind w:left="640" w:hanging="640"/>
        <w:divId w:val="578177251"/>
        <w:rPr>
          <w:noProof/>
        </w:rPr>
      </w:pPr>
      <w:r w:rsidRPr="006B7E33">
        <w:rPr>
          <w:noProof/>
        </w:rPr>
        <w:t xml:space="preserve">7. </w:t>
      </w:r>
      <w:r w:rsidRPr="006B7E33">
        <w:rPr>
          <w:noProof/>
        </w:rPr>
        <w:tab/>
        <w:t xml:space="preserve">Martinón-Torres F, Czajka H, Wysocki J. 13-Valent Pneumococcal Conjugate Vaccine ( PCV13 ) in Preterm Versus Term Infants. Pediatrics </w:t>
      </w:r>
      <w:r w:rsidRPr="006B7E33">
        <w:rPr>
          <w:b/>
          <w:bCs/>
          <w:noProof/>
        </w:rPr>
        <w:t>2015</w:t>
      </w:r>
      <w:r w:rsidRPr="006B7E33">
        <w:rPr>
          <w:noProof/>
        </w:rPr>
        <w:t xml:space="preserve">; 135. </w:t>
      </w:r>
    </w:p>
    <w:p w14:paraId="7C24992B" w14:textId="77777777" w:rsidR="006B7E33" w:rsidRPr="006B7E33" w:rsidRDefault="006B7E33">
      <w:pPr>
        <w:pStyle w:val="NormalWeb"/>
        <w:ind w:left="640" w:hanging="640"/>
        <w:divId w:val="578177251"/>
        <w:rPr>
          <w:noProof/>
        </w:rPr>
      </w:pPr>
      <w:r w:rsidRPr="006B7E33">
        <w:rPr>
          <w:noProof/>
        </w:rPr>
        <w:t xml:space="preserve">8. </w:t>
      </w:r>
      <w:r w:rsidRPr="006B7E33">
        <w:rPr>
          <w:noProof/>
        </w:rPr>
        <w:tab/>
        <w:t xml:space="preserve">Ruggeberg JU, Collins C, Clarke P, et al. Immunogenicity and induction of immunological memory of the heptavalent pneumococcal conjugate vaccine in preterm UK infants. Vaccine </w:t>
      </w:r>
      <w:r w:rsidRPr="006B7E33">
        <w:rPr>
          <w:b/>
          <w:bCs/>
          <w:noProof/>
        </w:rPr>
        <w:t>2007</w:t>
      </w:r>
      <w:r w:rsidRPr="006B7E33">
        <w:rPr>
          <w:noProof/>
        </w:rPr>
        <w:t xml:space="preserve">; 25:264–71. </w:t>
      </w:r>
    </w:p>
    <w:p w14:paraId="2315112A" w14:textId="77777777" w:rsidR="006B7E33" w:rsidRPr="006B7E33" w:rsidRDefault="006B7E33">
      <w:pPr>
        <w:pStyle w:val="NormalWeb"/>
        <w:ind w:left="640" w:hanging="640"/>
        <w:divId w:val="578177251"/>
        <w:rPr>
          <w:noProof/>
        </w:rPr>
      </w:pPr>
      <w:r w:rsidRPr="006B7E33">
        <w:rPr>
          <w:noProof/>
        </w:rPr>
        <w:t xml:space="preserve">9. </w:t>
      </w:r>
      <w:r w:rsidRPr="006B7E33">
        <w:rPr>
          <w:noProof/>
        </w:rPr>
        <w:tab/>
        <w:t xml:space="preserve">Moss SJ, Fenton AC, Toomey JA, Grainger AJ, Smith J, Gennery AR. Responses to a conjugate pneumococcal vaccine in preterm infants immunized at 2, 3, and 4 months of age. Clin. Vaccine Immunol. </w:t>
      </w:r>
      <w:r w:rsidRPr="006B7E33">
        <w:rPr>
          <w:b/>
          <w:bCs/>
          <w:noProof/>
        </w:rPr>
        <w:t>2010</w:t>
      </w:r>
      <w:r w:rsidRPr="006B7E33">
        <w:rPr>
          <w:noProof/>
        </w:rPr>
        <w:t xml:space="preserve">; 17:1810–6. </w:t>
      </w:r>
    </w:p>
    <w:p w14:paraId="7A404C8D" w14:textId="77777777" w:rsidR="006B7E33" w:rsidRPr="006B7E33" w:rsidRDefault="006B7E33">
      <w:pPr>
        <w:pStyle w:val="NormalWeb"/>
        <w:ind w:left="640" w:hanging="640"/>
        <w:divId w:val="578177251"/>
        <w:rPr>
          <w:noProof/>
        </w:rPr>
      </w:pPr>
      <w:r w:rsidRPr="006B7E33">
        <w:rPr>
          <w:noProof/>
        </w:rPr>
        <w:t xml:space="preserve">10. </w:t>
      </w:r>
      <w:r w:rsidRPr="006B7E33">
        <w:rPr>
          <w:noProof/>
        </w:rPr>
        <w:tab/>
        <w:t xml:space="preserve">Bonhoeffer J, Siegrist C, Heath PT. Immunisation of premature infants. Arch. Dis. Child. </w:t>
      </w:r>
      <w:r w:rsidRPr="006B7E33">
        <w:rPr>
          <w:b/>
          <w:bCs/>
          <w:noProof/>
        </w:rPr>
        <w:t>2006</w:t>
      </w:r>
      <w:r w:rsidRPr="006B7E33">
        <w:rPr>
          <w:noProof/>
        </w:rPr>
        <w:t xml:space="preserve">; 91:929–35. </w:t>
      </w:r>
    </w:p>
    <w:p w14:paraId="0FC5A454" w14:textId="77777777" w:rsidR="006B7E33" w:rsidRPr="006B7E33" w:rsidRDefault="006B7E33">
      <w:pPr>
        <w:pStyle w:val="NormalWeb"/>
        <w:ind w:left="640" w:hanging="640"/>
        <w:divId w:val="578177251"/>
        <w:rPr>
          <w:noProof/>
        </w:rPr>
      </w:pPr>
      <w:r w:rsidRPr="006B7E33">
        <w:rPr>
          <w:noProof/>
        </w:rPr>
        <w:t xml:space="preserve">11. </w:t>
      </w:r>
      <w:r w:rsidRPr="006B7E33">
        <w:rPr>
          <w:noProof/>
        </w:rPr>
        <w:tab/>
        <w:t xml:space="preserve">Flasche S, Hoek AJ Van, Goldblatt D, et al. The Potential for Reducing the Number of Pneumococcal Conjugate Vaccine Doses While Sustaining Herd Immunity in High- Income Countries. PloS Med. </w:t>
      </w:r>
      <w:r w:rsidRPr="006B7E33">
        <w:rPr>
          <w:b/>
          <w:bCs/>
          <w:noProof/>
        </w:rPr>
        <w:t>2015</w:t>
      </w:r>
      <w:r w:rsidRPr="006B7E33">
        <w:rPr>
          <w:noProof/>
        </w:rPr>
        <w:t xml:space="preserve">; 12:e1001839. </w:t>
      </w:r>
    </w:p>
    <w:p w14:paraId="2C3DDB98" w14:textId="77777777" w:rsidR="006B7E33" w:rsidRPr="006B7E33" w:rsidRDefault="006B7E33">
      <w:pPr>
        <w:pStyle w:val="NormalWeb"/>
        <w:ind w:left="640" w:hanging="640"/>
        <w:divId w:val="578177251"/>
        <w:rPr>
          <w:noProof/>
        </w:rPr>
      </w:pPr>
      <w:r w:rsidRPr="006B7E33">
        <w:rPr>
          <w:noProof/>
        </w:rPr>
        <w:t xml:space="preserve">12. </w:t>
      </w:r>
      <w:r w:rsidRPr="006B7E33">
        <w:rPr>
          <w:noProof/>
        </w:rPr>
        <w:tab/>
        <w:t xml:space="preserve">Findlow H, Borrow R. Is a single infant priming dose of meningococcal serogroup C conjugate vaccine in the United Kingdom sufficient? Hum. Vaccin. Immunother. </w:t>
      </w:r>
      <w:r w:rsidRPr="006B7E33">
        <w:rPr>
          <w:b/>
          <w:bCs/>
          <w:noProof/>
        </w:rPr>
        <w:t>2015</w:t>
      </w:r>
      <w:r w:rsidRPr="006B7E33">
        <w:rPr>
          <w:noProof/>
        </w:rPr>
        <w:t xml:space="preserve">; 11:1501–6. </w:t>
      </w:r>
    </w:p>
    <w:p w14:paraId="5C1E2F15" w14:textId="77777777" w:rsidR="006B7E33" w:rsidRPr="006B7E33" w:rsidRDefault="006B7E33">
      <w:pPr>
        <w:pStyle w:val="NormalWeb"/>
        <w:ind w:left="640" w:hanging="640"/>
        <w:divId w:val="578177251"/>
        <w:rPr>
          <w:noProof/>
        </w:rPr>
      </w:pPr>
      <w:r w:rsidRPr="006B7E33">
        <w:rPr>
          <w:noProof/>
        </w:rPr>
        <w:t xml:space="preserve">13. </w:t>
      </w:r>
      <w:r w:rsidRPr="006B7E33">
        <w:rPr>
          <w:noProof/>
        </w:rPr>
        <w:tab/>
        <w:t xml:space="preserve">Russell FM, Licciardi P V, Balloch A, et al. Safety and immunogenicity of the 23-valent pneumococcal polysaccharide vaccine at 12 months of age, following one, two, or three doses of the 7-valent pneumococcal conjugate vaccine in infancy. Vaccine </w:t>
      </w:r>
      <w:r w:rsidRPr="006B7E33">
        <w:rPr>
          <w:b/>
          <w:bCs/>
          <w:noProof/>
        </w:rPr>
        <w:t>2010</w:t>
      </w:r>
      <w:r w:rsidRPr="006B7E33">
        <w:rPr>
          <w:noProof/>
        </w:rPr>
        <w:t xml:space="preserve">; 28:3086–94. </w:t>
      </w:r>
    </w:p>
    <w:p w14:paraId="0D0122CE" w14:textId="77777777" w:rsidR="006B7E33" w:rsidRPr="006B7E33" w:rsidRDefault="006B7E33">
      <w:pPr>
        <w:pStyle w:val="NormalWeb"/>
        <w:ind w:left="640" w:hanging="640"/>
        <w:divId w:val="578177251"/>
        <w:rPr>
          <w:noProof/>
        </w:rPr>
      </w:pPr>
      <w:r w:rsidRPr="006B7E33">
        <w:rPr>
          <w:noProof/>
        </w:rPr>
        <w:lastRenderedPageBreak/>
        <w:t xml:space="preserve">14. </w:t>
      </w:r>
      <w:r w:rsidRPr="006B7E33">
        <w:rPr>
          <w:noProof/>
        </w:rPr>
        <w:tab/>
        <w:t xml:space="preserve">Richmond P, Borrow R, Miller E, et al. Meningococcal Serogroup C Conjugate Vaccine Is Immunogenic in Infancy and Primes for Memory. J. Infect. Dis. </w:t>
      </w:r>
      <w:r w:rsidRPr="006B7E33">
        <w:rPr>
          <w:b/>
          <w:bCs/>
          <w:noProof/>
        </w:rPr>
        <w:t>1999</w:t>
      </w:r>
      <w:r w:rsidRPr="006B7E33">
        <w:rPr>
          <w:noProof/>
        </w:rPr>
        <w:t xml:space="preserve">; 179:1569–1572. </w:t>
      </w:r>
    </w:p>
    <w:p w14:paraId="7FA0FB12" w14:textId="77777777" w:rsidR="006B7E33" w:rsidRPr="006B7E33" w:rsidRDefault="006B7E33">
      <w:pPr>
        <w:pStyle w:val="NormalWeb"/>
        <w:ind w:left="640" w:hanging="640"/>
        <w:divId w:val="578177251"/>
        <w:rPr>
          <w:noProof/>
        </w:rPr>
      </w:pPr>
      <w:r w:rsidRPr="006B7E33">
        <w:rPr>
          <w:noProof/>
        </w:rPr>
        <w:t xml:space="preserve">15. </w:t>
      </w:r>
      <w:r w:rsidRPr="006B7E33">
        <w:rPr>
          <w:noProof/>
        </w:rPr>
        <w:tab/>
        <w:t xml:space="preserve">Borrow R, Goldblatt D, Finn A, et al. Immunogenicity of, and Immunologic Memory to, a Reduced Primary Schedule of Meningococcal C-Tetanus Toxoid Conjugate Vaccine in Infants in the United Kingdom. Infect. Immun. </w:t>
      </w:r>
      <w:r w:rsidRPr="006B7E33">
        <w:rPr>
          <w:b/>
          <w:bCs/>
          <w:noProof/>
        </w:rPr>
        <w:t>2003</w:t>
      </w:r>
      <w:r w:rsidRPr="006B7E33">
        <w:rPr>
          <w:noProof/>
        </w:rPr>
        <w:t xml:space="preserve">; 71:5549–5555. </w:t>
      </w:r>
    </w:p>
    <w:p w14:paraId="5DCCD141" w14:textId="77777777" w:rsidR="006B7E33" w:rsidRPr="006B7E33" w:rsidRDefault="006B7E33">
      <w:pPr>
        <w:pStyle w:val="NormalWeb"/>
        <w:ind w:left="640" w:hanging="640"/>
        <w:divId w:val="578177251"/>
        <w:rPr>
          <w:noProof/>
        </w:rPr>
      </w:pPr>
      <w:r w:rsidRPr="006B7E33">
        <w:rPr>
          <w:noProof/>
        </w:rPr>
        <w:t xml:space="preserve">16. </w:t>
      </w:r>
      <w:r w:rsidRPr="006B7E33">
        <w:rPr>
          <w:noProof/>
        </w:rPr>
        <w:tab/>
        <w:t xml:space="preserve">Pace D, Khatami A, McKenna J, et al. Immunogenicity of reduced dose priming schedules of serogroup C meningococcal conjugate vaccine followed by a booster at 12 months in infants: an open label randomised controlled trial. Br. Med. J. (Clin. Res. Ed). </w:t>
      </w:r>
      <w:r w:rsidRPr="006B7E33">
        <w:rPr>
          <w:b/>
          <w:bCs/>
          <w:noProof/>
        </w:rPr>
        <w:t>2015</w:t>
      </w:r>
      <w:r w:rsidRPr="006B7E33">
        <w:rPr>
          <w:noProof/>
        </w:rPr>
        <w:t xml:space="preserve">; 350:h1554. </w:t>
      </w:r>
    </w:p>
    <w:p w14:paraId="1584A43A" w14:textId="77777777" w:rsidR="006B7E33" w:rsidRPr="006B7E33" w:rsidRDefault="006B7E33">
      <w:pPr>
        <w:pStyle w:val="NormalWeb"/>
        <w:ind w:left="640" w:hanging="640"/>
        <w:divId w:val="578177251"/>
        <w:rPr>
          <w:noProof/>
        </w:rPr>
      </w:pPr>
      <w:r w:rsidRPr="006B7E33">
        <w:rPr>
          <w:noProof/>
        </w:rPr>
        <w:t xml:space="preserve">17. </w:t>
      </w:r>
      <w:r w:rsidRPr="006B7E33">
        <w:rPr>
          <w:noProof/>
        </w:rPr>
        <w:tab/>
        <w:t>Department of Health. Contraindications and special considerations (Chapter 6). Immunisation against Infectious Disease: The Green Book. London, UK: The Stationary Office, 2006. Available at: https://www.gov.uk/government/collections/immunisation-against-infectious-disease-the-green-book.</w:t>
      </w:r>
    </w:p>
    <w:p w14:paraId="1C9CF0FB" w14:textId="77777777" w:rsidR="006B7E33" w:rsidRPr="006B7E33" w:rsidRDefault="006B7E33">
      <w:pPr>
        <w:pStyle w:val="NormalWeb"/>
        <w:ind w:left="640" w:hanging="640"/>
        <w:divId w:val="578177251"/>
        <w:rPr>
          <w:noProof/>
        </w:rPr>
      </w:pPr>
      <w:r w:rsidRPr="006B7E33">
        <w:rPr>
          <w:noProof/>
        </w:rPr>
        <w:t xml:space="preserve">18. </w:t>
      </w:r>
      <w:r w:rsidRPr="006B7E33">
        <w:rPr>
          <w:noProof/>
        </w:rPr>
        <w:tab/>
        <w:t xml:space="preserve">Concepcion NF, Frasch CE. Pneumococcal Type 22F Polysaccharide Absorption Improves the Specificity of a Enzyme-Linked Immunosorbent Assay. Clin. Vaccine Immunol. </w:t>
      </w:r>
      <w:r w:rsidRPr="006B7E33">
        <w:rPr>
          <w:b/>
          <w:bCs/>
          <w:noProof/>
        </w:rPr>
        <w:t>2001</w:t>
      </w:r>
      <w:r w:rsidRPr="006B7E33">
        <w:rPr>
          <w:noProof/>
        </w:rPr>
        <w:t xml:space="preserve">; 8:266–272. </w:t>
      </w:r>
    </w:p>
    <w:p w14:paraId="4BD59198" w14:textId="77777777" w:rsidR="006B7E33" w:rsidRPr="006B7E33" w:rsidRDefault="006B7E33">
      <w:pPr>
        <w:pStyle w:val="NormalWeb"/>
        <w:ind w:left="640" w:hanging="640"/>
        <w:divId w:val="578177251"/>
        <w:rPr>
          <w:noProof/>
        </w:rPr>
      </w:pPr>
      <w:r w:rsidRPr="006B7E33">
        <w:rPr>
          <w:noProof/>
        </w:rPr>
        <w:t xml:space="preserve">19. </w:t>
      </w:r>
      <w:r w:rsidRPr="006B7E33">
        <w:rPr>
          <w:noProof/>
        </w:rPr>
        <w:tab/>
        <w:t xml:space="preserve">Jódar L, Butler J, Carlone G, et al. Serological criteria for evaluation and licensure of new pneumococcal conjugate vaccine formulations for use in infants. Vaccine </w:t>
      </w:r>
      <w:r w:rsidRPr="006B7E33">
        <w:rPr>
          <w:b/>
          <w:bCs/>
          <w:noProof/>
        </w:rPr>
        <w:t>2003</w:t>
      </w:r>
      <w:r w:rsidRPr="006B7E33">
        <w:rPr>
          <w:noProof/>
        </w:rPr>
        <w:t xml:space="preserve">; 21:3265–3272. </w:t>
      </w:r>
    </w:p>
    <w:p w14:paraId="5B3F47D6" w14:textId="77777777" w:rsidR="006B7E33" w:rsidRPr="006B7E33" w:rsidRDefault="006B7E33">
      <w:pPr>
        <w:pStyle w:val="NormalWeb"/>
        <w:ind w:left="640" w:hanging="640"/>
        <w:divId w:val="578177251"/>
        <w:rPr>
          <w:noProof/>
        </w:rPr>
      </w:pPr>
      <w:r w:rsidRPr="006B7E33">
        <w:rPr>
          <w:noProof/>
        </w:rPr>
        <w:t xml:space="preserve">20. </w:t>
      </w:r>
      <w:r w:rsidRPr="006B7E33">
        <w:rPr>
          <w:noProof/>
        </w:rPr>
        <w:tab/>
        <w:t xml:space="preserve">Goldblatt D, Southern J, Ashton L, et al. Immunogenicity of a reduced schedule of pneumococcal conjugate vaccine in healthy infants and correlates of protection for serotype 6B in the United Kingdom. Pediatr. Infect. Dis. J. </w:t>
      </w:r>
      <w:r w:rsidRPr="006B7E33">
        <w:rPr>
          <w:b/>
          <w:bCs/>
          <w:noProof/>
        </w:rPr>
        <w:t>2010</w:t>
      </w:r>
      <w:r w:rsidRPr="006B7E33">
        <w:rPr>
          <w:noProof/>
        </w:rPr>
        <w:t xml:space="preserve">; 29:401–5. </w:t>
      </w:r>
    </w:p>
    <w:p w14:paraId="25B3D1DB" w14:textId="77777777" w:rsidR="006B7E33" w:rsidRPr="006B7E33" w:rsidRDefault="006B7E33">
      <w:pPr>
        <w:pStyle w:val="NormalWeb"/>
        <w:ind w:left="640" w:hanging="640"/>
        <w:divId w:val="578177251"/>
        <w:rPr>
          <w:noProof/>
        </w:rPr>
      </w:pPr>
      <w:r w:rsidRPr="006B7E33">
        <w:rPr>
          <w:noProof/>
        </w:rPr>
        <w:t xml:space="preserve">21. </w:t>
      </w:r>
      <w:r w:rsidRPr="006B7E33">
        <w:rPr>
          <w:noProof/>
        </w:rPr>
        <w:tab/>
        <w:t xml:space="preserve">Goldblatt D, Southern J, Ashton L, et al. Immunogenicity and boosting after a reduced number of doses of a pneumococcal conjugate vaccine in infants and toddlers. Pediatr. Infect. Dis. J. </w:t>
      </w:r>
      <w:r w:rsidRPr="006B7E33">
        <w:rPr>
          <w:b/>
          <w:bCs/>
          <w:noProof/>
        </w:rPr>
        <w:t>2006</w:t>
      </w:r>
      <w:r w:rsidRPr="006B7E33">
        <w:rPr>
          <w:noProof/>
        </w:rPr>
        <w:t xml:space="preserve">; 25:312–9. </w:t>
      </w:r>
    </w:p>
    <w:p w14:paraId="7E8694B9" w14:textId="77777777" w:rsidR="006B7E33" w:rsidRPr="006B7E33" w:rsidRDefault="006B7E33">
      <w:pPr>
        <w:pStyle w:val="NormalWeb"/>
        <w:ind w:left="640" w:hanging="640"/>
        <w:divId w:val="578177251"/>
        <w:rPr>
          <w:noProof/>
        </w:rPr>
      </w:pPr>
      <w:r w:rsidRPr="006B7E33">
        <w:rPr>
          <w:noProof/>
        </w:rPr>
        <w:t xml:space="preserve">22. </w:t>
      </w:r>
      <w:r w:rsidRPr="006B7E33">
        <w:rPr>
          <w:noProof/>
        </w:rPr>
        <w:tab/>
        <w:t xml:space="preserve">Ladhani SN, Andrews NJ, Waight P, et al. Interchangeability of meningococcal group C conjugate vaccines with different carrier proteins in the United Kingdom infant immunisation schedule. Vaccine </w:t>
      </w:r>
      <w:r w:rsidRPr="006B7E33">
        <w:rPr>
          <w:b/>
          <w:bCs/>
          <w:noProof/>
        </w:rPr>
        <w:t>2015</w:t>
      </w:r>
      <w:r w:rsidRPr="006B7E33">
        <w:rPr>
          <w:noProof/>
        </w:rPr>
        <w:t xml:space="preserve">; 33:648–55. </w:t>
      </w:r>
    </w:p>
    <w:p w14:paraId="0C047911" w14:textId="77777777" w:rsidR="006B7E33" w:rsidRPr="006B7E33" w:rsidRDefault="006B7E33">
      <w:pPr>
        <w:pStyle w:val="NormalWeb"/>
        <w:ind w:left="640" w:hanging="640"/>
        <w:divId w:val="578177251"/>
        <w:rPr>
          <w:noProof/>
        </w:rPr>
      </w:pPr>
      <w:r w:rsidRPr="006B7E33">
        <w:rPr>
          <w:noProof/>
        </w:rPr>
        <w:t xml:space="preserve">23. </w:t>
      </w:r>
      <w:r w:rsidRPr="006B7E33">
        <w:rPr>
          <w:noProof/>
        </w:rPr>
        <w:tab/>
        <w:t xml:space="preserve">Knoll MD, Park DE, Johnson TS, et al. Systematic review of the effect of pneumococcal conjugate vaccine dosing schedules on immunogenicity. Pediatr. Infect. Dis. J. </w:t>
      </w:r>
      <w:r w:rsidRPr="006B7E33">
        <w:rPr>
          <w:b/>
          <w:bCs/>
          <w:noProof/>
        </w:rPr>
        <w:t>2014</w:t>
      </w:r>
      <w:r w:rsidRPr="006B7E33">
        <w:rPr>
          <w:noProof/>
        </w:rPr>
        <w:t xml:space="preserve">; 33 Suppl 2:S119–29. </w:t>
      </w:r>
    </w:p>
    <w:p w14:paraId="22A53E65" w14:textId="77777777" w:rsidR="006B7E33" w:rsidRPr="006B7E33" w:rsidRDefault="006B7E33">
      <w:pPr>
        <w:pStyle w:val="NormalWeb"/>
        <w:ind w:left="640" w:hanging="640"/>
        <w:divId w:val="578177251"/>
        <w:rPr>
          <w:noProof/>
        </w:rPr>
      </w:pPr>
      <w:r w:rsidRPr="006B7E33">
        <w:rPr>
          <w:noProof/>
        </w:rPr>
        <w:t xml:space="preserve">24. </w:t>
      </w:r>
      <w:r w:rsidRPr="006B7E33">
        <w:rPr>
          <w:noProof/>
        </w:rPr>
        <w:tab/>
        <w:t xml:space="preserve">Scott P, Rutjes AWS, Bermetz L, et al. Comparing pneumococcal conjugate vaccine schedules based on 3 and 2 primary doses: systematic review and meta-analysis. Vaccine </w:t>
      </w:r>
      <w:r w:rsidRPr="006B7E33">
        <w:rPr>
          <w:b/>
          <w:bCs/>
          <w:noProof/>
        </w:rPr>
        <w:t>2011</w:t>
      </w:r>
      <w:r w:rsidRPr="006B7E33">
        <w:rPr>
          <w:noProof/>
        </w:rPr>
        <w:t xml:space="preserve">; 29:9711–21. </w:t>
      </w:r>
    </w:p>
    <w:p w14:paraId="38576B87" w14:textId="77777777" w:rsidR="006B7E33" w:rsidRPr="006B7E33" w:rsidRDefault="006B7E33">
      <w:pPr>
        <w:pStyle w:val="NormalWeb"/>
        <w:ind w:left="640" w:hanging="640"/>
        <w:divId w:val="578177251"/>
        <w:rPr>
          <w:noProof/>
        </w:rPr>
      </w:pPr>
      <w:r w:rsidRPr="006B7E33">
        <w:rPr>
          <w:noProof/>
        </w:rPr>
        <w:t xml:space="preserve">25. </w:t>
      </w:r>
      <w:r w:rsidRPr="006B7E33">
        <w:rPr>
          <w:noProof/>
        </w:rPr>
        <w:tab/>
        <w:t xml:space="preserve">Prabhudas M, Adkins B, Gans H, et al. Challenges in infant immunity : implications for responses to infection and vaccines. Nat. Immunol. </w:t>
      </w:r>
      <w:r w:rsidRPr="006B7E33">
        <w:rPr>
          <w:b/>
          <w:bCs/>
          <w:noProof/>
        </w:rPr>
        <w:t>2011</w:t>
      </w:r>
      <w:r w:rsidRPr="006B7E33">
        <w:rPr>
          <w:noProof/>
        </w:rPr>
        <w:t xml:space="preserve">; 12:189 – 194. </w:t>
      </w:r>
    </w:p>
    <w:p w14:paraId="0CC4F4C9" w14:textId="77777777" w:rsidR="006B7E33" w:rsidRPr="006B7E33" w:rsidRDefault="006B7E33">
      <w:pPr>
        <w:pStyle w:val="NormalWeb"/>
        <w:ind w:left="640" w:hanging="640"/>
        <w:divId w:val="578177251"/>
        <w:rPr>
          <w:noProof/>
        </w:rPr>
      </w:pPr>
      <w:r w:rsidRPr="006B7E33">
        <w:rPr>
          <w:noProof/>
        </w:rPr>
        <w:t xml:space="preserve">26. </w:t>
      </w:r>
      <w:r w:rsidRPr="006B7E33">
        <w:rPr>
          <w:noProof/>
        </w:rPr>
        <w:tab/>
        <w:t xml:space="preserve">Siegrist C-A, Aspinall R. B-cell responses to vaccination at the extremes of age. Nat. Rev. Immunol. </w:t>
      </w:r>
      <w:r w:rsidRPr="006B7E33">
        <w:rPr>
          <w:b/>
          <w:bCs/>
          <w:noProof/>
        </w:rPr>
        <w:t>2009</w:t>
      </w:r>
      <w:r w:rsidRPr="006B7E33">
        <w:rPr>
          <w:noProof/>
        </w:rPr>
        <w:t xml:space="preserve">; 9:185–94. </w:t>
      </w:r>
    </w:p>
    <w:p w14:paraId="7AEF7538" w14:textId="77777777" w:rsidR="006B7E33" w:rsidRPr="006B7E33" w:rsidRDefault="006B7E33">
      <w:pPr>
        <w:pStyle w:val="NormalWeb"/>
        <w:ind w:left="640" w:hanging="640"/>
        <w:divId w:val="578177251"/>
        <w:rPr>
          <w:noProof/>
        </w:rPr>
      </w:pPr>
      <w:r w:rsidRPr="006B7E33">
        <w:rPr>
          <w:noProof/>
        </w:rPr>
        <w:t xml:space="preserve">27. </w:t>
      </w:r>
      <w:r w:rsidRPr="006B7E33">
        <w:rPr>
          <w:noProof/>
        </w:rPr>
        <w:tab/>
        <w:t xml:space="preserve">Spijkerman J, Veenhoven RH, Wijmenga-Monsuur AJ, et al. Immunogenicity of 13-valent pneumococcal conjugate vaccine administered according to 4 different primary immunization schedules in infants: a randomized clinical trial. JAMA </w:t>
      </w:r>
      <w:r w:rsidRPr="006B7E33">
        <w:rPr>
          <w:b/>
          <w:bCs/>
          <w:noProof/>
        </w:rPr>
        <w:t>2013</w:t>
      </w:r>
      <w:r w:rsidRPr="006B7E33">
        <w:rPr>
          <w:noProof/>
        </w:rPr>
        <w:t xml:space="preserve">; 310:930–7. </w:t>
      </w:r>
    </w:p>
    <w:p w14:paraId="4F70DA02" w14:textId="77777777" w:rsidR="006B7E33" w:rsidRPr="006B7E33" w:rsidRDefault="006B7E33">
      <w:pPr>
        <w:pStyle w:val="NormalWeb"/>
        <w:ind w:left="640" w:hanging="640"/>
        <w:divId w:val="578177251"/>
        <w:rPr>
          <w:noProof/>
        </w:rPr>
      </w:pPr>
      <w:r w:rsidRPr="006B7E33">
        <w:rPr>
          <w:noProof/>
        </w:rPr>
        <w:lastRenderedPageBreak/>
        <w:t xml:space="preserve">28. </w:t>
      </w:r>
      <w:r w:rsidRPr="006B7E33">
        <w:rPr>
          <w:noProof/>
        </w:rPr>
        <w:tab/>
        <w:t xml:space="preserve">Åhman H, Käyhty H, Vuorela A, Leroy O, Eskola J. Dose dependency of antibody response in infants and children to pneumococcal polysaccharides conjugated to tetanus toxoid. Vaccine </w:t>
      </w:r>
      <w:r w:rsidRPr="006B7E33">
        <w:rPr>
          <w:b/>
          <w:bCs/>
          <w:noProof/>
        </w:rPr>
        <w:t>1999</w:t>
      </w:r>
      <w:r w:rsidRPr="006B7E33">
        <w:rPr>
          <w:noProof/>
        </w:rPr>
        <w:t xml:space="preserve">; 17:2726–2732. </w:t>
      </w:r>
    </w:p>
    <w:p w14:paraId="37685186" w14:textId="77777777" w:rsidR="006B7E33" w:rsidRPr="006B7E33" w:rsidRDefault="006B7E33">
      <w:pPr>
        <w:pStyle w:val="NormalWeb"/>
        <w:ind w:left="640" w:hanging="640"/>
        <w:divId w:val="578177251"/>
        <w:rPr>
          <w:noProof/>
        </w:rPr>
      </w:pPr>
      <w:r w:rsidRPr="006B7E33">
        <w:rPr>
          <w:noProof/>
        </w:rPr>
        <w:t xml:space="preserve">29. </w:t>
      </w:r>
      <w:r w:rsidRPr="006B7E33">
        <w:rPr>
          <w:noProof/>
        </w:rPr>
        <w:tab/>
        <w:t xml:space="preserve">Danilova E, Shiryayev A, Kristoffersen EK, Sjursen H. Attenuated immune response to tetanus toxoid in young healthy men protected against tetanus. Vaccine </w:t>
      </w:r>
      <w:r w:rsidRPr="006B7E33">
        <w:rPr>
          <w:b/>
          <w:bCs/>
          <w:noProof/>
        </w:rPr>
        <w:t>2005</w:t>
      </w:r>
      <w:r w:rsidRPr="006B7E33">
        <w:rPr>
          <w:noProof/>
        </w:rPr>
        <w:t xml:space="preserve">; 23:4980–3. </w:t>
      </w:r>
    </w:p>
    <w:p w14:paraId="380C5081" w14:textId="77777777" w:rsidR="006B7E33" w:rsidRPr="006B7E33" w:rsidRDefault="006B7E33">
      <w:pPr>
        <w:pStyle w:val="NormalWeb"/>
        <w:ind w:left="640" w:hanging="640"/>
        <w:divId w:val="578177251"/>
        <w:rPr>
          <w:noProof/>
        </w:rPr>
      </w:pPr>
      <w:r w:rsidRPr="006B7E33">
        <w:rPr>
          <w:noProof/>
        </w:rPr>
        <w:t xml:space="preserve">30. </w:t>
      </w:r>
      <w:r w:rsidRPr="006B7E33">
        <w:rPr>
          <w:noProof/>
        </w:rPr>
        <w:tab/>
        <w:t xml:space="preserve">Danilova E, Shiryayev A, Skogen V, Kristoffersen EK, Sjursen H. Short-term booster effect of diphtheria toxoid in initially long-term protected individuals. Vaccine </w:t>
      </w:r>
      <w:r w:rsidRPr="006B7E33">
        <w:rPr>
          <w:b/>
          <w:bCs/>
          <w:noProof/>
        </w:rPr>
        <w:t>2005</w:t>
      </w:r>
      <w:r w:rsidRPr="006B7E33">
        <w:rPr>
          <w:noProof/>
        </w:rPr>
        <w:t xml:space="preserve">; 23:1446–50. </w:t>
      </w:r>
    </w:p>
    <w:p w14:paraId="4B794200" w14:textId="77777777" w:rsidR="006B7E33" w:rsidRPr="006B7E33" w:rsidRDefault="006B7E33">
      <w:pPr>
        <w:pStyle w:val="NormalWeb"/>
        <w:ind w:left="640" w:hanging="640"/>
        <w:divId w:val="578177251"/>
        <w:rPr>
          <w:noProof/>
        </w:rPr>
      </w:pPr>
      <w:r w:rsidRPr="006B7E33">
        <w:rPr>
          <w:noProof/>
        </w:rPr>
        <w:t xml:space="preserve">31. </w:t>
      </w:r>
      <w:r w:rsidRPr="006B7E33">
        <w:rPr>
          <w:noProof/>
        </w:rPr>
        <w:tab/>
        <w:t xml:space="preserve">Rohner GB, Snape MD, Kelly DF, et al. The Magnitude of the Antibody and Memory B Cell Responses during Priming with a Protein-Polysaccharide Conjugate Vaccine in Human Infants Is Associated with the Persistence of Antibody and the Intensity of Booster Response. J. Immunol. </w:t>
      </w:r>
      <w:r w:rsidRPr="006B7E33">
        <w:rPr>
          <w:b/>
          <w:bCs/>
          <w:noProof/>
        </w:rPr>
        <w:t>2008</w:t>
      </w:r>
      <w:r w:rsidRPr="006B7E33">
        <w:rPr>
          <w:noProof/>
        </w:rPr>
        <w:t xml:space="preserve">; 180:2165–2173. </w:t>
      </w:r>
    </w:p>
    <w:p w14:paraId="05E5CB60" w14:textId="77777777" w:rsidR="006B7E33" w:rsidRPr="006B7E33" w:rsidRDefault="006B7E33">
      <w:pPr>
        <w:pStyle w:val="NormalWeb"/>
        <w:ind w:left="640" w:hanging="640"/>
        <w:divId w:val="578177251"/>
        <w:rPr>
          <w:noProof/>
        </w:rPr>
      </w:pPr>
      <w:r w:rsidRPr="006B7E33">
        <w:rPr>
          <w:noProof/>
        </w:rPr>
        <w:t xml:space="preserve">32. </w:t>
      </w:r>
      <w:r w:rsidRPr="006B7E33">
        <w:rPr>
          <w:noProof/>
        </w:rPr>
        <w:tab/>
        <w:t xml:space="preserve">Andrews NJ, Walker WT, Finn A, et al. Predictors of immune response and reactogenicity to AS03B-adjuvanted split virion and non-adjuvanted whole virion H1N1 (2009) pandemic influenza vaccines. Vaccine </w:t>
      </w:r>
      <w:r w:rsidRPr="006B7E33">
        <w:rPr>
          <w:b/>
          <w:bCs/>
          <w:noProof/>
        </w:rPr>
        <w:t>2011</w:t>
      </w:r>
      <w:r w:rsidRPr="006B7E33">
        <w:rPr>
          <w:noProof/>
        </w:rPr>
        <w:t xml:space="preserve">; 29:7913–9. </w:t>
      </w:r>
    </w:p>
    <w:p w14:paraId="5BB7DF64" w14:textId="77777777" w:rsidR="006B7E33" w:rsidRPr="006B7E33" w:rsidRDefault="006B7E33">
      <w:pPr>
        <w:pStyle w:val="NormalWeb"/>
        <w:ind w:left="640" w:hanging="640"/>
        <w:divId w:val="578177251"/>
        <w:rPr>
          <w:noProof/>
        </w:rPr>
      </w:pPr>
      <w:r w:rsidRPr="006B7E33">
        <w:rPr>
          <w:noProof/>
        </w:rPr>
        <w:t xml:space="preserve">33. </w:t>
      </w:r>
      <w:r w:rsidRPr="006B7E33">
        <w:rPr>
          <w:noProof/>
        </w:rPr>
        <w:tab/>
        <w:t xml:space="preserve">Knuf M, Schmitt H-J, Wolter J, et al. Neonatal vaccination with an acellular pertussis vaccine accelerates the acquisition of pertussis antibodies in infants. J. Pediatr. </w:t>
      </w:r>
      <w:r w:rsidRPr="006B7E33">
        <w:rPr>
          <w:b/>
          <w:bCs/>
          <w:noProof/>
        </w:rPr>
        <w:t>2008</w:t>
      </w:r>
      <w:r w:rsidRPr="006B7E33">
        <w:rPr>
          <w:noProof/>
        </w:rPr>
        <w:t xml:space="preserve">; 152:655–60, 660.e1. </w:t>
      </w:r>
    </w:p>
    <w:p w14:paraId="3801DE0A" w14:textId="77777777" w:rsidR="006B7E33" w:rsidRPr="006B7E33" w:rsidRDefault="006B7E33">
      <w:pPr>
        <w:pStyle w:val="NormalWeb"/>
        <w:ind w:left="640" w:hanging="640"/>
        <w:divId w:val="578177251"/>
        <w:rPr>
          <w:noProof/>
        </w:rPr>
      </w:pPr>
      <w:r w:rsidRPr="006B7E33">
        <w:rPr>
          <w:noProof/>
        </w:rPr>
        <w:t xml:space="preserve">34. </w:t>
      </w:r>
      <w:r w:rsidRPr="006B7E33">
        <w:rPr>
          <w:noProof/>
        </w:rPr>
        <w:tab/>
        <w:t xml:space="preserve">Sharma AA, Jen R, Butler A, Lavoie PM. The developing human preterm neonatal immune system: a case for more research in this area. Clin. Immunol. </w:t>
      </w:r>
      <w:r w:rsidRPr="006B7E33">
        <w:rPr>
          <w:b/>
          <w:bCs/>
          <w:noProof/>
        </w:rPr>
        <w:t>2012</w:t>
      </w:r>
      <w:r w:rsidRPr="006B7E33">
        <w:rPr>
          <w:noProof/>
        </w:rPr>
        <w:t xml:space="preserve">; 145:61–8. </w:t>
      </w:r>
    </w:p>
    <w:p w14:paraId="3AAFEFE3" w14:textId="77777777" w:rsidR="006B7E33" w:rsidRPr="006B7E33" w:rsidRDefault="006B7E33">
      <w:pPr>
        <w:pStyle w:val="NormalWeb"/>
        <w:ind w:left="640" w:hanging="640"/>
        <w:divId w:val="578177251"/>
        <w:rPr>
          <w:noProof/>
        </w:rPr>
      </w:pPr>
      <w:r w:rsidRPr="006B7E33">
        <w:rPr>
          <w:noProof/>
        </w:rPr>
        <w:t xml:space="preserve">35. </w:t>
      </w:r>
      <w:r w:rsidRPr="006B7E33">
        <w:rPr>
          <w:noProof/>
        </w:rPr>
        <w:tab/>
        <w:t xml:space="preserve">Lavoie PM, Huang Q, Jolette E, et al. Profound lack of interleukin (IL)-12/IL-23p40 in neonates born early in gestation is associated with an increased risk of sepsis. J. Infect. Dis. </w:t>
      </w:r>
      <w:r w:rsidRPr="006B7E33">
        <w:rPr>
          <w:b/>
          <w:bCs/>
          <w:noProof/>
        </w:rPr>
        <w:t>2010</w:t>
      </w:r>
      <w:r w:rsidRPr="006B7E33">
        <w:rPr>
          <w:noProof/>
        </w:rPr>
        <w:t xml:space="preserve">; 202:1754–63. </w:t>
      </w:r>
    </w:p>
    <w:p w14:paraId="0A92B188" w14:textId="77777777" w:rsidR="006B7E33" w:rsidRPr="006B7E33" w:rsidRDefault="006B7E33">
      <w:pPr>
        <w:pStyle w:val="NormalWeb"/>
        <w:ind w:left="640" w:hanging="640"/>
        <w:divId w:val="578177251"/>
        <w:rPr>
          <w:noProof/>
        </w:rPr>
      </w:pPr>
      <w:r w:rsidRPr="006B7E33">
        <w:rPr>
          <w:noProof/>
        </w:rPr>
        <w:t xml:space="preserve">36. </w:t>
      </w:r>
      <w:r w:rsidRPr="006B7E33">
        <w:rPr>
          <w:noProof/>
        </w:rPr>
        <w:tab/>
        <w:t xml:space="preserve">Zhao Y, Dai Z-P, Lv P, Gao X-M. Phenotypic and functional analysis of human T lymphocytes in early second- and third-trimester fetuses. Clin. Exp. Immunol. </w:t>
      </w:r>
      <w:r w:rsidRPr="006B7E33">
        <w:rPr>
          <w:b/>
          <w:bCs/>
          <w:noProof/>
        </w:rPr>
        <w:t>2002</w:t>
      </w:r>
      <w:r w:rsidRPr="006B7E33">
        <w:rPr>
          <w:noProof/>
        </w:rPr>
        <w:t xml:space="preserve">; 129:302–8. </w:t>
      </w:r>
    </w:p>
    <w:p w14:paraId="38B16E9F" w14:textId="77777777" w:rsidR="006B7E33" w:rsidRPr="006B7E33" w:rsidRDefault="006B7E33">
      <w:pPr>
        <w:pStyle w:val="NormalWeb"/>
        <w:ind w:left="640" w:hanging="640"/>
        <w:divId w:val="578177251"/>
        <w:rPr>
          <w:noProof/>
        </w:rPr>
      </w:pPr>
      <w:r w:rsidRPr="006B7E33">
        <w:rPr>
          <w:noProof/>
        </w:rPr>
        <w:t xml:space="preserve">37. </w:t>
      </w:r>
      <w:r w:rsidRPr="006B7E33">
        <w:rPr>
          <w:noProof/>
        </w:rPr>
        <w:tab/>
        <w:t xml:space="preserve">Berrington JE, Barge D, Fenton AC, Cant AJ, Spickett GP. Lymphocyte subsets in term and significantly preterm UK infants in the first year of life analysed by single platform flow cytometry. Clin. Exp. Immunol. </w:t>
      </w:r>
      <w:r w:rsidRPr="006B7E33">
        <w:rPr>
          <w:b/>
          <w:bCs/>
          <w:noProof/>
        </w:rPr>
        <w:t>2005</w:t>
      </w:r>
      <w:r w:rsidRPr="006B7E33">
        <w:rPr>
          <w:noProof/>
        </w:rPr>
        <w:t xml:space="preserve">; 140:289–92. </w:t>
      </w:r>
    </w:p>
    <w:p w14:paraId="09ED96CB" w14:textId="77777777" w:rsidR="006B7E33" w:rsidRPr="006B7E33" w:rsidRDefault="006B7E33">
      <w:pPr>
        <w:pStyle w:val="NormalWeb"/>
        <w:ind w:left="640" w:hanging="640"/>
        <w:divId w:val="578177251"/>
        <w:rPr>
          <w:noProof/>
        </w:rPr>
      </w:pPr>
      <w:r w:rsidRPr="006B7E33">
        <w:rPr>
          <w:noProof/>
        </w:rPr>
        <w:t xml:space="preserve">38. </w:t>
      </w:r>
      <w:r w:rsidRPr="006B7E33">
        <w:rPr>
          <w:noProof/>
        </w:rPr>
        <w:tab/>
        <w:t xml:space="preserve">McGreal EP, Hearne K, Spiller OB. Off to a slow start: under-development of the complement system in term newborns is more substantial following premature birth. Immunobiology </w:t>
      </w:r>
      <w:r w:rsidRPr="006B7E33">
        <w:rPr>
          <w:b/>
          <w:bCs/>
          <w:noProof/>
        </w:rPr>
        <w:t>2012</w:t>
      </w:r>
      <w:r w:rsidRPr="006B7E33">
        <w:rPr>
          <w:noProof/>
        </w:rPr>
        <w:t xml:space="preserve">; 217:176–86. </w:t>
      </w:r>
    </w:p>
    <w:p w14:paraId="7ABE92BB" w14:textId="77777777" w:rsidR="006B7E33" w:rsidRPr="006B7E33" w:rsidRDefault="006B7E33">
      <w:pPr>
        <w:pStyle w:val="NormalWeb"/>
        <w:ind w:left="640" w:hanging="640"/>
        <w:divId w:val="578177251"/>
        <w:rPr>
          <w:noProof/>
        </w:rPr>
      </w:pPr>
      <w:r w:rsidRPr="006B7E33">
        <w:rPr>
          <w:noProof/>
        </w:rPr>
        <w:t xml:space="preserve">39. </w:t>
      </w:r>
      <w:r w:rsidRPr="006B7E33">
        <w:rPr>
          <w:noProof/>
        </w:rPr>
        <w:tab/>
        <w:t xml:space="preserve">Slack MH, Schapira D, Thwaites RJ, et al. Acellular pertussis vaccine given by accelerated schedule: response of preterm infants. Arch. Dis. Child. Fetal Neonatal Ed. </w:t>
      </w:r>
      <w:r w:rsidRPr="006B7E33">
        <w:rPr>
          <w:b/>
          <w:bCs/>
          <w:noProof/>
        </w:rPr>
        <w:t>2004</w:t>
      </w:r>
      <w:r w:rsidRPr="006B7E33">
        <w:rPr>
          <w:noProof/>
        </w:rPr>
        <w:t xml:space="preserve">; 89:F57–60. </w:t>
      </w:r>
    </w:p>
    <w:p w14:paraId="7C0FF77B" w14:textId="77777777" w:rsidR="006B7E33" w:rsidRPr="006B7E33" w:rsidRDefault="006B7E33">
      <w:pPr>
        <w:pStyle w:val="NormalWeb"/>
        <w:ind w:left="640" w:hanging="640"/>
        <w:divId w:val="578177251"/>
        <w:rPr>
          <w:noProof/>
        </w:rPr>
      </w:pPr>
      <w:r w:rsidRPr="006B7E33">
        <w:rPr>
          <w:noProof/>
        </w:rPr>
        <w:t xml:space="preserve">40. </w:t>
      </w:r>
      <w:r w:rsidRPr="006B7E33">
        <w:rPr>
          <w:noProof/>
        </w:rPr>
        <w:tab/>
        <w:t xml:space="preserve">Van Hoek AJ, Sheppard CL, Andrews NJ, et al. Pneumococcal carriage in children and adults two years after introduction of the thirteen valent pneumococcal conjugate vaccine in England. Vaccine </w:t>
      </w:r>
      <w:r w:rsidRPr="006B7E33">
        <w:rPr>
          <w:b/>
          <w:bCs/>
          <w:noProof/>
        </w:rPr>
        <w:t>2014</w:t>
      </w:r>
      <w:r w:rsidRPr="006B7E33">
        <w:rPr>
          <w:noProof/>
        </w:rPr>
        <w:t xml:space="preserve">; 32:4349–55. </w:t>
      </w:r>
    </w:p>
    <w:p w14:paraId="0B962B17" w14:textId="77777777" w:rsidR="006B7E33" w:rsidRPr="006B7E33" w:rsidRDefault="006B7E33">
      <w:pPr>
        <w:pStyle w:val="NormalWeb"/>
        <w:ind w:left="640" w:hanging="640"/>
        <w:divId w:val="578177251"/>
        <w:rPr>
          <w:noProof/>
        </w:rPr>
      </w:pPr>
      <w:r w:rsidRPr="006B7E33">
        <w:rPr>
          <w:noProof/>
        </w:rPr>
        <w:t xml:space="preserve">41. </w:t>
      </w:r>
      <w:r w:rsidRPr="006B7E33">
        <w:rPr>
          <w:noProof/>
        </w:rPr>
        <w:tab/>
        <w:t xml:space="preserve">Andrews NJ, Waight PA, Burbidge P, et al. Serotype-specific effectiveness and correlates of protection for the 13-valent pneumococcal conjugate vaccine: a postlicensure indirect cohort study. Lancet Infect. Dis. </w:t>
      </w:r>
      <w:r w:rsidRPr="006B7E33">
        <w:rPr>
          <w:b/>
          <w:bCs/>
          <w:noProof/>
        </w:rPr>
        <w:t>2014</w:t>
      </w:r>
      <w:r w:rsidRPr="006B7E33">
        <w:rPr>
          <w:noProof/>
        </w:rPr>
        <w:t xml:space="preserve">; 3099:1–8. </w:t>
      </w:r>
    </w:p>
    <w:p w14:paraId="33EB4DD6" w14:textId="77777777" w:rsidR="003F0B75" w:rsidRDefault="00DA4BFF" w:rsidP="00D0186F">
      <w:pPr>
        <w:pStyle w:val="NormalWeb"/>
        <w:tabs>
          <w:tab w:val="left" w:pos="772"/>
        </w:tabs>
        <w:ind w:left="641" w:hanging="641"/>
        <w:divId w:val="1973050669"/>
        <w:rPr>
          <w:b/>
        </w:rPr>
      </w:pPr>
      <w:r>
        <w:rPr>
          <w:b/>
        </w:rPr>
        <w:lastRenderedPageBreak/>
        <w:fldChar w:fldCharType="end"/>
      </w:r>
      <w:r w:rsidR="003F0B75">
        <w:rPr>
          <w:b/>
        </w:rPr>
        <w:tab/>
      </w:r>
      <w:r w:rsidR="003F0B75">
        <w:rPr>
          <w:b/>
        </w:rPr>
        <w:br w:type="page"/>
      </w:r>
    </w:p>
    <w:p w14:paraId="2AFC97F6" w14:textId="36E3A3EB" w:rsidR="00545D33" w:rsidRDefault="00545D33" w:rsidP="006B2AE6">
      <w:pPr>
        <w:outlineLvl w:val="0"/>
        <w:sectPr w:rsidR="00545D33" w:rsidSect="00D60CF2">
          <w:headerReference w:type="default" r:id="rId9"/>
          <w:pgSz w:w="11906" w:h="16838"/>
          <w:pgMar w:top="1440" w:right="1440" w:bottom="1440" w:left="1440" w:header="708" w:footer="113" w:gutter="0"/>
          <w:cols w:space="708"/>
          <w:docGrid w:linePitch="360"/>
        </w:sectPr>
      </w:pPr>
      <w:bookmarkStart w:id="1" w:name="_Ref402457640"/>
    </w:p>
    <w:p w14:paraId="50DF8662" w14:textId="77777777" w:rsidR="00634A07" w:rsidRDefault="00A614A1" w:rsidP="00D0186F">
      <w:pPr>
        <w:spacing w:line="240" w:lineRule="auto"/>
      </w:pPr>
      <w:bookmarkStart w:id="2" w:name="_Ref396118708"/>
      <w:bookmarkStart w:id="3" w:name="_Ref396118703"/>
      <w:bookmarkStart w:id="4" w:name="_Toc401153880"/>
      <w:r w:rsidRPr="002E779F">
        <w:lastRenderedPageBreak/>
        <w:t>T</w:t>
      </w:r>
      <w:r w:rsidRPr="00C44562">
        <w:t xml:space="preserve">able </w:t>
      </w:r>
      <w:fldSimple w:instr=" SEQ Table \* ARABIC ">
        <w:r w:rsidR="00BD15D0" w:rsidRPr="00C44562">
          <w:rPr>
            <w:noProof/>
          </w:rPr>
          <w:t>1</w:t>
        </w:r>
      </w:fldSimple>
      <w:bookmarkEnd w:id="2"/>
      <w:r w:rsidR="00694DE4" w:rsidRPr="00C44562">
        <w:t xml:space="preserve">: </w:t>
      </w:r>
      <w:r w:rsidRPr="00C44562">
        <w:t xml:space="preserve"> </w:t>
      </w:r>
      <w:r w:rsidR="001004F2" w:rsidRPr="00C44562">
        <w:t>Participant</w:t>
      </w:r>
      <w:r w:rsidR="00694DE4" w:rsidRPr="00C44562">
        <w:t xml:space="preserve"> </w:t>
      </w:r>
      <w:r w:rsidRPr="00C44562">
        <w:t>characteristics by grou</w:t>
      </w:r>
      <w:bookmarkEnd w:id="3"/>
      <w:bookmarkEnd w:id="4"/>
      <w:r w:rsidR="003E06DD" w:rsidRPr="00C44562">
        <w:t>p</w:t>
      </w:r>
      <w:r w:rsidRPr="00C44562">
        <w:t xml:space="preserve">. </w:t>
      </w:r>
    </w:p>
    <w:p w14:paraId="375E7D87" w14:textId="2A3350EB" w:rsidR="00545D33" w:rsidRPr="00C44562" w:rsidRDefault="00A614A1" w:rsidP="00D0186F">
      <w:pPr>
        <w:spacing w:line="240" w:lineRule="auto"/>
        <w:rPr>
          <w:color w:val="000000" w:themeColor="text1"/>
          <w:lang w:eastAsia="en-GB"/>
        </w:rPr>
      </w:pPr>
      <w:r w:rsidRPr="00C44562">
        <w:rPr>
          <w:lang w:eastAsia="en-GB"/>
        </w:rPr>
        <w:t>Median (range) or n (%).</w:t>
      </w:r>
      <w:r w:rsidR="00DD41D9" w:rsidRPr="00C44562">
        <w:rPr>
          <w:lang w:eastAsia="en-GB"/>
        </w:rPr>
        <w:t xml:space="preserve">  CLD: Chronic lung disease.  BCG: Bacillus Calmette</w:t>
      </w:r>
      <w:r w:rsidR="00DD41D9" w:rsidRPr="00C44562">
        <w:rPr>
          <w:color w:val="000000" w:themeColor="text1"/>
          <w:lang w:eastAsia="en-GB"/>
        </w:rPr>
        <w:t>-</w:t>
      </w:r>
      <w:r w:rsidR="00DD41D9" w:rsidRPr="00091F38">
        <w:rPr>
          <w:color w:val="000000" w:themeColor="text1"/>
          <w:szCs w:val="24"/>
          <w:lang w:eastAsia="en-GB"/>
        </w:rPr>
        <w:t>Gu</w:t>
      </w:r>
      <w:r w:rsidR="00DD41D9" w:rsidRPr="00091F38">
        <w:rPr>
          <w:rStyle w:val="Emphasis"/>
          <w:bCs/>
          <w:i w:val="0"/>
          <w:iCs w:val="0"/>
          <w:color w:val="000000" w:themeColor="text1"/>
          <w:szCs w:val="24"/>
          <w:shd w:val="clear" w:color="auto" w:fill="FFFFFF"/>
        </w:rPr>
        <w:t>érin vaccination</w:t>
      </w:r>
      <w:r w:rsidR="00DD41D9" w:rsidRPr="00C44562">
        <w:rPr>
          <w:rStyle w:val="Emphasis"/>
          <w:bCs/>
          <w:i w:val="0"/>
          <w:iCs w:val="0"/>
          <w:color w:val="000000" w:themeColor="text1"/>
          <w:sz w:val="20"/>
          <w:szCs w:val="20"/>
          <w:shd w:val="clear" w:color="auto" w:fill="FFFFFF"/>
        </w:rPr>
        <w:t>.</w:t>
      </w:r>
    </w:p>
    <w:p w14:paraId="3F02709F" w14:textId="77777777" w:rsidR="00A614A1" w:rsidRPr="00C44562" w:rsidRDefault="00A614A1" w:rsidP="00C44562">
      <w:pPr>
        <w:rPr>
          <w:lang w:eastAsia="en-GB"/>
        </w:rPr>
      </w:pPr>
    </w:p>
    <w:p w14:paraId="5A0E19E4" w14:textId="77777777" w:rsidR="00A614A1" w:rsidRPr="00A614A1" w:rsidRDefault="00A614A1" w:rsidP="00545D33">
      <w:pPr>
        <w:rPr>
          <w:sz w:val="20"/>
          <w:szCs w:val="20"/>
        </w:rPr>
      </w:pPr>
    </w:p>
    <w:p w14:paraId="6A0434CA" w14:textId="77777777" w:rsidR="00A614A1" w:rsidRDefault="00A614A1" w:rsidP="00DE39EF">
      <w:pPr>
        <w:outlineLvl w:val="0"/>
      </w:pPr>
      <w:r>
        <w:t>Table 1</w:t>
      </w: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803"/>
        <w:gridCol w:w="1915"/>
        <w:gridCol w:w="1803"/>
      </w:tblGrid>
      <w:tr w:rsidR="00545D33" w:rsidRPr="00272E0F" w14:paraId="5A793214" w14:textId="77777777" w:rsidTr="003E06DD">
        <w:trPr>
          <w:trHeight w:val="300"/>
        </w:trPr>
        <w:tc>
          <w:tcPr>
            <w:tcW w:w="2114" w:type="dxa"/>
            <w:shd w:val="clear" w:color="auto" w:fill="auto"/>
            <w:noWrap/>
            <w:vAlign w:val="center"/>
            <w:hideMark/>
          </w:tcPr>
          <w:p w14:paraId="3E6A17FA" w14:textId="77777777" w:rsidR="00545D33" w:rsidRPr="00272E0F" w:rsidRDefault="00545D33" w:rsidP="00AD7F05">
            <w:pPr>
              <w:pStyle w:val="Table"/>
              <w:rPr>
                <w:rFonts w:ascii="Times New Roman" w:hAnsi="Times New Roman"/>
                <w:sz w:val="16"/>
                <w:szCs w:val="16"/>
                <w:lang w:eastAsia="en-GB"/>
              </w:rPr>
            </w:pPr>
          </w:p>
        </w:tc>
        <w:tc>
          <w:tcPr>
            <w:tcW w:w="1803" w:type="dxa"/>
            <w:shd w:val="clear" w:color="auto" w:fill="auto"/>
            <w:noWrap/>
            <w:hideMark/>
          </w:tcPr>
          <w:p w14:paraId="0726AF8F" w14:textId="77777777" w:rsidR="00545D33" w:rsidRPr="00272E0F" w:rsidRDefault="00545D33" w:rsidP="00AD7F05">
            <w:pPr>
              <w:pStyle w:val="Table"/>
              <w:jc w:val="center"/>
              <w:rPr>
                <w:rFonts w:ascii="Times New Roman" w:hAnsi="Times New Roman"/>
                <w:sz w:val="16"/>
                <w:szCs w:val="16"/>
              </w:rPr>
            </w:pPr>
            <w:r w:rsidRPr="00272E0F">
              <w:rPr>
                <w:rFonts w:ascii="Times New Roman" w:hAnsi="Times New Roman"/>
                <w:sz w:val="16"/>
                <w:szCs w:val="16"/>
              </w:rPr>
              <w:t>Reduced dose</w:t>
            </w:r>
          </w:p>
          <w:p w14:paraId="7229BD57" w14:textId="77777777" w:rsidR="00545D33" w:rsidRDefault="00545D33" w:rsidP="00AD7F05">
            <w:pPr>
              <w:pStyle w:val="Table"/>
              <w:jc w:val="center"/>
              <w:rPr>
                <w:rFonts w:ascii="Times New Roman" w:hAnsi="Times New Roman"/>
                <w:sz w:val="16"/>
                <w:szCs w:val="16"/>
              </w:rPr>
            </w:pPr>
            <w:r w:rsidRPr="00272E0F">
              <w:rPr>
                <w:rFonts w:ascii="Times New Roman" w:hAnsi="Times New Roman"/>
                <w:sz w:val="16"/>
                <w:szCs w:val="16"/>
              </w:rPr>
              <w:t>(Group 1)</w:t>
            </w:r>
          </w:p>
          <w:p w14:paraId="46519BE1" w14:textId="4136237C" w:rsidR="006838BA" w:rsidRPr="00272E0F" w:rsidRDefault="006838BA" w:rsidP="00AD7F05">
            <w:pPr>
              <w:pStyle w:val="Table"/>
              <w:jc w:val="center"/>
              <w:rPr>
                <w:rFonts w:ascii="Times New Roman" w:hAnsi="Times New Roman"/>
                <w:sz w:val="16"/>
                <w:szCs w:val="16"/>
              </w:rPr>
            </w:pPr>
            <w:r>
              <w:rPr>
                <w:rFonts w:ascii="Times New Roman" w:hAnsi="Times New Roman"/>
                <w:sz w:val="16"/>
                <w:szCs w:val="16"/>
              </w:rPr>
              <w:t>n = 6</w:t>
            </w:r>
            <w:r w:rsidR="003E06DD">
              <w:rPr>
                <w:rFonts w:ascii="Times New Roman" w:hAnsi="Times New Roman"/>
                <w:sz w:val="16"/>
                <w:szCs w:val="16"/>
              </w:rPr>
              <w:t>8</w:t>
            </w:r>
          </w:p>
        </w:tc>
        <w:tc>
          <w:tcPr>
            <w:tcW w:w="1915" w:type="dxa"/>
            <w:shd w:val="clear" w:color="auto" w:fill="auto"/>
            <w:noWrap/>
            <w:hideMark/>
          </w:tcPr>
          <w:p w14:paraId="43D5E885" w14:textId="77777777" w:rsidR="00545D33" w:rsidRPr="00272E0F" w:rsidRDefault="00545D33" w:rsidP="00AD7F05">
            <w:pPr>
              <w:pStyle w:val="Table"/>
              <w:jc w:val="center"/>
              <w:rPr>
                <w:rFonts w:ascii="Times New Roman" w:hAnsi="Times New Roman"/>
                <w:sz w:val="16"/>
                <w:szCs w:val="16"/>
              </w:rPr>
            </w:pPr>
            <w:r w:rsidRPr="00272E0F">
              <w:rPr>
                <w:rFonts w:ascii="Times New Roman" w:hAnsi="Times New Roman"/>
                <w:sz w:val="16"/>
                <w:szCs w:val="16"/>
              </w:rPr>
              <w:t>Accelerated</w:t>
            </w:r>
          </w:p>
          <w:p w14:paraId="004611BC" w14:textId="77777777" w:rsidR="00545D33" w:rsidRDefault="00545D33" w:rsidP="00AD7F05">
            <w:pPr>
              <w:pStyle w:val="Table"/>
              <w:jc w:val="center"/>
              <w:rPr>
                <w:rFonts w:ascii="Times New Roman" w:hAnsi="Times New Roman"/>
                <w:sz w:val="16"/>
                <w:szCs w:val="16"/>
              </w:rPr>
            </w:pPr>
            <w:r w:rsidRPr="00272E0F">
              <w:rPr>
                <w:rFonts w:ascii="Times New Roman" w:hAnsi="Times New Roman"/>
                <w:sz w:val="16"/>
                <w:szCs w:val="16"/>
              </w:rPr>
              <w:t>(Group 2)</w:t>
            </w:r>
          </w:p>
          <w:p w14:paraId="1B22FD7D" w14:textId="698838A6" w:rsidR="006838BA" w:rsidRPr="00272E0F" w:rsidRDefault="003E06DD" w:rsidP="00AD7F05">
            <w:pPr>
              <w:pStyle w:val="Table"/>
              <w:jc w:val="center"/>
              <w:rPr>
                <w:rFonts w:ascii="Times New Roman" w:hAnsi="Times New Roman"/>
                <w:sz w:val="16"/>
                <w:szCs w:val="16"/>
              </w:rPr>
            </w:pPr>
            <w:r>
              <w:rPr>
                <w:rFonts w:ascii="Times New Roman" w:hAnsi="Times New Roman"/>
                <w:sz w:val="16"/>
                <w:szCs w:val="16"/>
              </w:rPr>
              <w:t>n = 67</w:t>
            </w:r>
          </w:p>
        </w:tc>
        <w:tc>
          <w:tcPr>
            <w:tcW w:w="1803" w:type="dxa"/>
            <w:shd w:val="clear" w:color="auto" w:fill="auto"/>
            <w:noWrap/>
            <w:hideMark/>
          </w:tcPr>
          <w:p w14:paraId="286373FD" w14:textId="77777777" w:rsidR="00545D33" w:rsidRPr="00272E0F" w:rsidRDefault="00545D33" w:rsidP="00AD7F05">
            <w:pPr>
              <w:pStyle w:val="Table"/>
              <w:jc w:val="center"/>
              <w:rPr>
                <w:rFonts w:ascii="Times New Roman" w:hAnsi="Times New Roman"/>
                <w:sz w:val="16"/>
                <w:szCs w:val="16"/>
              </w:rPr>
            </w:pPr>
            <w:r w:rsidRPr="00272E0F">
              <w:rPr>
                <w:rFonts w:ascii="Times New Roman" w:hAnsi="Times New Roman"/>
                <w:sz w:val="16"/>
                <w:szCs w:val="16"/>
              </w:rPr>
              <w:t>Extended</w:t>
            </w:r>
          </w:p>
          <w:p w14:paraId="0A656F08" w14:textId="77777777" w:rsidR="00545D33" w:rsidRDefault="00545D33" w:rsidP="00AD7F05">
            <w:pPr>
              <w:pStyle w:val="Table"/>
              <w:jc w:val="center"/>
              <w:rPr>
                <w:rFonts w:ascii="Times New Roman" w:hAnsi="Times New Roman"/>
                <w:sz w:val="16"/>
                <w:szCs w:val="16"/>
              </w:rPr>
            </w:pPr>
            <w:r w:rsidRPr="00272E0F">
              <w:rPr>
                <w:rFonts w:ascii="Times New Roman" w:hAnsi="Times New Roman"/>
                <w:sz w:val="16"/>
                <w:szCs w:val="16"/>
              </w:rPr>
              <w:t>(Group 3)</w:t>
            </w:r>
          </w:p>
          <w:p w14:paraId="70612945" w14:textId="51ABCB59" w:rsidR="006838BA" w:rsidRPr="00272E0F" w:rsidRDefault="006838BA" w:rsidP="003E06DD">
            <w:pPr>
              <w:pStyle w:val="Table"/>
              <w:jc w:val="center"/>
              <w:rPr>
                <w:rFonts w:ascii="Times New Roman" w:hAnsi="Times New Roman"/>
                <w:sz w:val="16"/>
                <w:szCs w:val="16"/>
              </w:rPr>
            </w:pPr>
            <w:r>
              <w:rPr>
                <w:sz w:val="16"/>
                <w:szCs w:val="16"/>
              </w:rPr>
              <w:t xml:space="preserve">n = </w:t>
            </w:r>
            <w:r w:rsidR="003E06DD">
              <w:rPr>
                <w:sz w:val="16"/>
                <w:szCs w:val="16"/>
              </w:rPr>
              <w:t>71</w:t>
            </w:r>
          </w:p>
        </w:tc>
      </w:tr>
      <w:tr w:rsidR="00545D33" w:rsidRPr="00272E0F" w14:paraId="109B8CC3" w14:textId="77777777" w:rsidTr="003E06DD">
        <w:trPr>
          <w:trHeight w:val="142"/>
        </w:trPr>
        <w:tc>
          <w:tcPr>
            <w:tcW w:w="2114" w:type="dxa"/>
            <w:shd w:val="clear" w:color="auto" w:fill="auto"/>
            <w:noWrap/>
            <w:vAlign w:val="center"/>
            <w:hideMark/>
          </w:tcPr>
          <w:p w14:paraId="76830666"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Gestation (weeks)</w:t>
            </w:r>
          </w:p>
        </w:tc>
        <w:tc>
          <w:tcPr>
            <w:tcW w:w="1803" w:type="dxa"/>
            <w:shd w:val="clear" w:color="auto" w:fill="auto"/>
            <w:noWrap/>
            <w:vAlign w:val="center"/>
            <w:hideMark/>
          </w:tcPr>
          <w:p w14:paraId="1B996ECB"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29.6 (24.9-34.9)</w:t>
            </w:r>
          </w:p>
        </w:tc>
        <w:tc>
          <w:tcPr>
            <w:tcW w:w="1915" w:type="dxa"/>
            <w:shd w:val="clear" w:color="auto" w:fill="auto"/>
            <w:noWrap/>
            <w:vAlign w:val="center"/>
            <w:hideMark/>
          </w:tcPr>
          <w:p w14:paraId="683C1F69"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30 (23.6-34.9)</w:t>
            </w:r>
          </w:p>
        </w:tc>
        <w:tc>
          <w:tcPr>
            <w:tcW w:w="1803" w:type="dxa"/>
            <w:shd w:val="clear" w:color="auto" w:fill="auto"/>
            <w:noWrap/>
            <w:vAlign w:val="center"/>
            <w:hideMark/>
          </w:tcPr>
          <w:p w14:paraId="658DEBCA"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30 (23.3-34.9)</w:t>
            </w:r>
          </w:p>
        </w:tc>
      </w:tr>
      <w:tr w:rsidR="00545D33" w:rsidRPr="00272E0F" w14:paraId="0F3E5FA1" w14:textId="77777777" w:rsidTr="003E06DD">
        <w:trPr>
          <w:trHeight w:val="142"/>
        </w:trPr>
        <w:tc>
          <w:tcPr>
            <w:tcW w:w="2114" w:type="dxa"/>
            <w:shd w:val="clear" w:color="auto" w:fill="auto"/>
            <w:noWrap/>
            <w:vAlign w:val="center"/>
            <w:hideMark/>
          </w:tcPr>
          <w:p w14:paraId="3A73C94A"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Birth weight (g)</w:t>
            </w:r>
          </w:p>
        </w:tc>
        <w:tc>
          <w:tcPr>
            <w:tcW w:w="1803" w:type="dxa"/>
            <w:shd w:val="clear" w:color="auto" w:fill="auto"/>
            <w:noWrap/>
            <w:vAlign w:val="center"/>
            <w:hideMark/>
          </w:tcPr>
          <w:p w14:paraId="06FDFB6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1410 (576-2600)</w:t>
            </w:r>
          </w:p>
        </w:tc>
        <w:tc>
          <w:tcPr>
            <w:tcW w:w="1915" w:type="dxa"/>
            <w:shd w:val="clear" w:color="auto" w:fill="auto"/>
            <w:noWrap/>
            <w:vAlign w:val="center"/>
            <w:hideMark/>
          </w:tcPr>
          <w:p w14:paraId="58A3020D"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1360 (510-3390)</w:t>
            </w:r>
          </w:p>
        </w:tc>
        <w:tc>
          <w:tcPr>
            <w:tcW w:w="1803" w:type="dxa"/>
            <w:shd w:val="clear" w:color="auto" w:fill="auto"/>
            <w:noWrap/>
            <w:vAlign w:val="center"/>
            <w:hideMark/>
          </w:tcPr>
          <w:p w14:paraId="00927FD3"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1390 (450-2680)</w:t>
            </w:r>
          </w:p>
        </w:tc>
      </w:tr>
      <w:tr w:rsidR="00545D33" w:rsidRPr="00272E0F" w14:paraId="2E1A8096" w14:textId="77777777" w:rsidTr="003E06DD">
        <w:trPr>
          <w:trHeight w:val="142"/>
        </w:trPr>
        <w:tc>
          <w:tcPr>
            <w:tcW w:w="2114" w:type="dxa"/>
            <w:shd w:val="clear" w:color="auto" w:fill="auto"/>
            <w:noWrap/>
            <w:vAlign w:val="center"/>
          </w:tcPr>
          <w:p w14:paraId="66E749C7" w14:textId="43E11315" w:rsidR="00545D33" w:rsidRPr="00272E0F" w:rsidRDefault="00C04293" w:rsidP="00C04293">
            <w:pPr>
              <w:pStyle w:val="Table"/>
              <w:rPr>
                <w:rFonts w:ascii="Times New Roman" w:hAnsi="Times New Roman"/>
                <w:sz w:val="16"/>
                <w:szCs w:val="16"/>
                <w:lang w:eastAsia="en-GB"/>
              </w:rPr>
            </w:pPr>
            <w:r>
              <w:rPr>
                <w:rFonts w:ascii="Times New Roman" w:hAnsi="Times New Roman"/>
                <w:sz w:val="16"/>
                <w:szCs w:val="16"/>
                <w:lang w:eastAsia="en-GB"/>
              </w:rPr>
              <w:t>Weight at 1</w:t>
            </w:r>
            <w:r w:rsidRPr="00C04293">
              <w:rPr>
                <w:rFonts w:ascii="Times New Roman" w:hAnsi="Times New Roman"/>
                <w:sz w:val="16"/>
                <w:szCs w:val="16"/>
                <w:vertAlign w:val="superscript"/>
                <w:lang w:eastAsia="en-GB"/>
              </w:rPr>
              <w:t>st</w:t>
            </w:r>
            <w:r>
              <w:rPr>
                <w:rFonts w:ascii="Times New Roman" w:hAnsi="Times New Roman"/>
                <w:sz w:val="16"/>
                <w:szCs w:val="16"/>
                <w:lang w:eastAsia="en-GB"/>
              </w:rPr>
              <w:t xml:space="preserve"> vaccination</w:t>
            </w:r>
            <w:r w:rsidR="00545D33" w:rsidRPr="00272E0F">
              <w:rPr>
                <w:rFonts w:ascii="Times New Roman" w:hAnsi="Times New Roman"/>
                <w:sz w:val="16"/>
                <w:szCs w:val="16"/>
                <w:lang w:eastAsia="en-GB"/>
              </w:rPr>
              <w:t xml:space="preserve"> (g)</w:t>
            </w:r>
          </w:p>
        </w:tc>
        <w:tc>
          <w:tcPr>
            <w:tcW w:w="1803" w:type="dxa"/>
            <w:shd w:val="clear" w:color="auto" w:fill="auto"/>
            <w:noWrap/>
            <w:vAlign w:val="center"/>
          </w:tcPr>
          <w:p w14:paraId="520635AA"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2442 (845-4660)</w:t>
            </w:r>
          </w:p>
        </w:tc>
        <w:tc>
          <w:tcPr>
            <w:tcW w:w="1915" w:type="dxa"/>
            <w:shd w:val="clear" w:color="auto" w:fill="auto"/>
            <w:noWrap/>
            <w:vAlign w:val="center"/>
          </w:tcPr>
          <w:p w14:paraId="53459F29"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2350 (1260-5070)</w:t>
            </w:r>
          </w:p>
        </w:tc>
        <w:tc>
          <w:tcPr>
            <w:tcW w:w="1803" w:type="dxa"/>
            <w:shd w:val="clear" w:color="auto" w:fill="auto"/>
            <w:noWrap/>
            <w:vAlign w:val="center"/>
          </w:tcPr>
          <w:p w14:paraId="30F7D105"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2497 (920-4560)</w:t>
            </w:r>
          </w:p>
        </w:tc>
      </w:tr>
      <w:tr w:rsidR="00545D33" w:rsidRPr="00272E0F" w14:paraId="4CA5B2FC" w14:textId="77777777" w:rsidTr="003E06DD">
        <w:trPr>
          <w:trHeight w:val="142"/>
        </w:trPr>
        <w:tc>
          <w:tcPr>
            <w:tcW w:w="2114" w:type="dxa"/>
            <w:shd w:val="clear" w:color="auto" w:fill="auto"/>
            <w:noWrap/>
            <w:vAlign w:val="center"/>
            <w:hideMark/>
          </w:tcPr>
          <w:p w14:paraId="49C3D72E"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Sex (male)</w:t>
            </w:r>
          </w:p>
        </w:tc>
        <w:tc>
          <w:tcPr>
            <w:tcW w:w="1803" w:type="dxa"/>
            <w:shd w:val="clear" w:color="auto" w:fill="auto"/>
            <w:noWrap/>
            <w:vAlign w:val="center"/>
            <w:hideMark/>
          </w:tcPr>
          <w:p w14:paraId="7922CDA2"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37 (54)</w:t>
            </w:r>
          </w:p>
        </w:tc>
        <w:tc>
          <w:tcPr>
            <w:tcW w:w="1915" w:type="dxa"/>
            <w:shd w:val="clear" w:color="auto" w:fill="auto"/>
            <w:noWrap/>
            <w:vAlign w:val="center"/>
            <w:hideMark/>
          </w:tcPr>
          <w:p w14:paraId="4737BC75"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32 (48)</w:t>
            </w:r>
          </w:p>
        </w:tc>
        <w:tc>
          <w:tcPr>
            <w:tcW w:w="1803" w:type="dxa"/>
            <w:shd w:val="clear" w:color="auto" w:fill="auto"/>
            <w:noWrap/>
            <w:vAlign w:val="center"/>
            <w:hideMark/>
          </w:tcPr>
          <w:p w14:paraId="4045B10A"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38 (54)</w:t>
            </w:r>
          </w:p>
        </w:tc>
      </w:tr>
      <w:tr w:rsidR="00545D33" w:rsidRPr="00272E0F" w14:paraId="12EB9467" w14:textId="77777777" w:rsidTr="003E06DD">
        <w:trPr>
          <w:trHeight w:val="142"/>
        </w:trPr>
        <w:tc>
          <w:tcPr>
            <w:tcW w:w="2114" w:type="dxa"/>
            <w:shd w:val="clear" w:color="auto" w:fill="auto"/>
            <w:noWrap/>
            <w:vAlign w:val="center"/>
            <w:hideMark/>
          </w:tcPr>
          <w:p w14:paraId="0BD04C09"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Ethnicity (white)</w:t>
            </w:r>
          </w:p>
        </w:tc>
        <w:tc>
          <w:tcPr>
            <w:tcW w:w="1803" w:type="dxa"/>
            <w:shd w:val="clear" w:color="auto" w:fill="auto"/>
            <w:noWrap/>
            <w:vAlign w:val="center"/>
            <w:hideMark/>
          </w:tcPr>
          <w:p w14:paraId="5101AA9E"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57 (84)</w:t>
            </w:r>
          </w:p>
        </w:tc>
        <w:tc>
          <w:tcPr>
            <w:tcW w:w="1915" w:type="dxa"/>
            <w:shd w:val="clear" w:color="auto" w:fill="auto"/>
            <w:noWrap/>
            <w:vAlign w:val="center"/>
            <w:hideMark/>
          </w:tcPr>
          <w:p w14:paraId="47FB55D3"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54(81)</w:t>
            </w:r>
          </w:p>
        </w:tc>
        <w:tc>
          <w:tcPr>
            <w:tcW w:w="1803" w:type="dxa"/>
            <w:shd w:val="clear" w:color="auto" w:fill="auto"/>
            <w:noWrap/>
            <w:vAlign w:val="center"/>
            <w:hideMark/>
          </w:tcPr>
          <w:p w14:paraId="1018651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60 (85)</w:t>
            </w:r>
          </w:p>
        </w:tc>
      </w:tr>
      <w:tr w:rsidR="00545D33" w:rsidRPr="00272E0F" w14:paraId="6136E761" w14:textId="77777777" w:rsidTr="003E06DD">
        <w:trPr>
          <w:trHeight w:val="142"/>
        </w:trPr>
        <w:tc>
          <w:tcPr>
            <w:tcW w:w="2114" w:type="dxa"/>
            <w:shd w:val="clear" w:color="auto" w:fill="auto"/>
            <w:noWrap/>
            <w:vAlign w:val="center"/>
            <w:hideMark/>
          </w:tcPr>
          <w:p w14:paraId="72A8F3DB"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CLD</w:t>
            </w:r>
          </w:p>
        </w:tc>
        <w:tc>
          <w:tcPr>
            <w:tcW w:w="1803" w:type="dxa"/>
            <w:shd w:val="clear" w:color="auto" w:fill="auto"/>
            <w:noWrap/>
            <w:vAlign w:val="center"/>
            <w:hideMark/>
          </w:tcPr>
          <w:p w14:paraId="569FFA7D"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23 (34)</w:t>
            </w:r>
          </w:p>
        </w:tc>
        <w:tc>
          <w:tcPr>
            <w:tcW w:w="1915" w:type="dxa"/>
            <w:shd w:val="clear" w:color="auto" w:fill="auto"/>
            <w:noWrap/>
            <w:vAlign w:val="center"/>
            <w:hideMark/>
          </w:tcPr>
          <w:p w14:paraId="525976D5"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22 (33)</w:t>
            </w:r>
          </w:p>
        </w:tc>
        <w:tc>
          <w:tcPr>
            <w:tcW w:w="1803" w:type="dxa"/>
            <w:shd w:val="clear" w:color="auto" w:fill="auto"/>
            <w:noWrap/>
            <w:vAlign w:val="center"/>
            <w:hideMark/>
          </w:tcPr>
          <w:p w14:paraId="4D30B906"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27 (38)</w:t>
            </w:r>
          </w:p>
        </w:tc>
      </w:tr>
      <w:tr w:rsidR="00545D33" w:rsidRPr="00272E0F" w14:paraId="0EDEE5AB" w14:textId="77777777" w:rsidTr="003E06DD">
        <w:trPr>
          <w:trHeight w:val="142"/>
        </w:trPr>
        <w:tc>
          <w:tcPr>
            <w:tcW w:w="2114" w:type="dxa"/>
            <w:shd w:val="clear" w:color="auto" w:fill="auto"/>
            <w:noWrap/>
            <w:vAlign w:val="center"/>
            <w:hideMark/>
          </w:tcPr>
          <w:p w14:paraId="12576A07"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Antenatal steroids</w:t>
            </w:r>
          </w:p>
        </w:tc>
        <w:tc>
          <w:tcPr>
            <w:tcW w:w="1803" w:type="dxa"/>
            <w:shd w:val="clear" w:color="auto" w:fill="auto"/>
            <w:noWrap/>
            <w:vAlign w:val="center"/>
            <w:hideMark/>
          </w:tcPr>
          <w:p w14:paraId="3E8B56B3"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59 (87)</w:t>
            </w:r>
          </w:p>
        </w:tc>
        <w:tc>
          <w:tcPr>
            <w:tcW w:w="1915" w:type="dxa"/>
            <w:shd w:val="clear" w:color="auto" w:fill="auto"/>
            <w:noWrap/>
            <w:vAlign w:val="center"/>
            <w:hideMark/>
          </w:tcPr>
          <w:p w14:paraId="0289E7C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56 (84)</w:t>
            </w:r>
          </w:p>
        </w:tc>
        <w:tc>
          <w:tcPr>
            <w:tcW w:w="1803" w:type="dxa"/>
            <w:shd w:val="clear" w:color="auto" w:fill="auto"/>
            <w:noWrap/>
            <w:vAlign w:val="center"/>
            <w:hideMark/>
          </w:tcPr>
          <w:p w14:paraId="7F8E3D9E"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62 (87)</w:t>
            </w:r>
          </w:p>
        </w:tc>
      </w:tr>
      <w:tr w:rsidR="00545D33" w:rsidRPr="00272E0F" w14:paraId="0FBB5F6C" w14:textId="77777777" w:rsidTr="003E06DD">
        <w:trPr>
          <w:trHeight w:val="142"/>
        </w:trPr>
        <w:tc>
          <w:tcPr>
            <w:tcW w:w="2114" w:type="dxa"/>
            <w:shd w:val="clear" w:color="auto" w:fill="auto"/>
            <w:noWrap/>
            <w:vAlign w:val="center"/>
            <w:hideMark/>
          </w:tcPr>
          <w:p w14:paraId="181D80B4"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Postnatal steroids</w:t>
            </w:r>
          </w:p>
        </w:tc>
        <w:tc>
          <w:tcPr>
            <w:tcW w:w="1803" w:type="dxa"/>
            <w:shd w:val="clear" w:color="auto" w:fill="auto"/>
            <w:noWrap/>
            <w:vAlign w:val="center"/>
            <w:hideMark/>
          </w:tcPr>
          <w:p w14:paraId="3EDF39FB"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4 (6)</w:t>
            </w:r>
          </w:p>
        </w:tc>
        <w:tc>
          <w:tcPr>
            <w:tcW w:w="1915" w:type="dxa"/>
            <w:shd w:val="clear" w:color="auto" w:fill="auto"/>
            <w:noWrap/>
            <w:vAlign w:val="center"/>
            <w:hideMark/>
          </w:tcPr>
          <w:p w14:paraId="14C01BB1"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4 (6)</w:t>
            </w:r>
          </w:p>
        </w:tc>
        <w:tc>
          <w:tcPr>
            <w:tcW w:w="1803" w:type="dxa"/>
            <w:shd w:val="clear" w:color="auto" w:fill="auto"/>
            <w:noWrap/>
            <w:vAlign w:val="center"/>
            <w:hideMark/>
          </w:tcPr>
          <w:p w14:paraId="28F3100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6 (8)</w:t>
            </w:r>
          </w:p>
        </w:tc>
      </w:tr>
      <w:tr w:rsidR="00545D33" w:rsidRPr="00272E0F" w14:paraId="68F062BC" w14:textId="77777777" w:rsidTr="003E06DD">
        <w:trPr>
          <w:trHeight w:val="142"/>
        </w:trPr>
        <w:tc>
          <w:tcPr>
            <w:tcW w:w="2114" w:type="dxa"/>
            <w:shd w:val="clear" w:color="auto" w:fill="auto"/>
            <w:noWrap/>
            <w:vAlign w:val="center"/>
            <w:hideMark/>
          </w:tcPr>
          <w:p w14:paraId="22487B84"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Blood transfusion</w:t>
            </w:r>
          </w:p>
        </w:tc>
        <w:tc>
          <w:tcPr>
            <w:tcW w:w="1803" w:type="dxa"/>
            <w:shd w:val="clear" w:color="auto" w:fill="auto"/>
            <w:noWrap/>
            <w:vAlign w:val="center"/>
            <w:hideMark/>
          </w:tcPr>
          <w:p w14:paraId="51B74328"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28 (41)</w:t>
            </w:r>
          </w:p>
        </w:tc>
        <w:tc>
          <w:tcPr>
            <w:tcW w:w="1915" w:type="dxa"/>
            <w:shd w:val="clear" w:color="auto" w:fill="auto"/>
            <w:noWrap/>
            <w:vAlign w:val="center"/>
            <w:hideMark/>
          </w:tcPr>
          <w:p w14:paraId="7E9824F4"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30 (45)</w:t>
            </w:r>
          </w:p>
        </w:tc>
        <w:tc>
          <w:tcPr>
            <w:tcW w:w="1803" w:type="dxa"/>
            <w:shd w:val="clear" w:color="auto" w:fill="auto"/>
            <w:noWrap/>
            <w:vAlign w:val="center"/>
            <w:hideMark/>
          </w:tcPr>
          <w:p w14:paraId="2DCE9329"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29 (41)</w:t>
            </w:r>
          </w:p>
        </w:tc>
      </w:tr>
      <w:tr w:rsidR="00545D33" w:rsidRPr="00272E0F" w14:paraId="206DBFCC" w14:textId="77777777" w:rsidTr="003E06DD">
        <w:trPr>
          <w:trHeight w:val="142"/>
        </w:trPr>
        <w:tc>
          <w:tcPr>
            <w:tcW w:w="2114" w:type="dxa"/>
            <w:shd w:val="clear" w:color="auto" w:fill="auto"/>
            <w:noWrap/>
            <w:vAlign w:val="center"/>
            <w:hideMark/>
          </w:tcPr>
          <w:p w14:paraId="6908B424"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BCG</w:t>
            </w:r>
          </w:p>
        </w:tc>
        <w:tc>
          <w:tcPr>
            <w:tcW w:w="1803" w:type="dxa"/>
            <w:shd w:val="clear" w:color="auto" w:fill="auto"/>
            <w:noWrap/>
            <w:vAlign w:val="center"/>
            <w:hideMark/>
          </w:tcPr>
          <w:p w14:paraId="0DF3ADD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 (7)</w:t>
            </w:r>
          </w:p>
        </w:tc>
        <w:tc>
          <w:tcPr>
            <w:tcW w:w="1915" w:type="dxa"/>
            <w:shd w:val="clear" w:color="auto" w:fill="auto"/>
            <w:noWrap/>
            <w:vAlign w:val="center"/>
            <w:hideMark/>
          </w:tcPr>
          <w:p w14:paraId="58619029"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5 (7)</w:t>
            </w:r>
          </w:p>
        </w:tc>
        <w:tc>
          <w:tcPr>
            <w:tcW w:w="1803" w:type="dxa"/>
            <w:shd w:val="clear" w:color="auto" w:fill="auto"/>
            <w:noWrap/>
            <w:vAlign w:val="center"/>
            <w:hideMark/>
          </w:tcPr>
          <w:p w14:paraId="31E45A6C" w14:textId="77777777" w:rsidR="00545D33" w:rsidRPr="00272E0F" w:rsidRDefault="00545D33" w:rsidP="00AD7F05">
            <w:pPr>
              <w:pStyle w:val="Table"/>
              <w:rPr>
                <w:rFonts w:ascii="Times New Roman" w:hAnsi="Times New Roman"/>
                <w:sz w:val="16"/>
                <w:szCs w:val="16"/>
                <w:lang w:eastAsia="en-GB"/>
              </w:rPr>
            </w:pPr>
            <w:r w:rsidRPr="00272E0F">
              <w:rPr>
                <w:rFonts w:ascii="Times New Roman" w:hAnsi="Times New Roman"/>
                <w:sz w:val="16"/>
                <w:szCs w:val="16"/>
                <w:lang w:eastAsia="en-GB"/>
              </w:rPr>
              <w:t>7 (10)</w:t>
            </w:r>
          </w:p>
        </w:tc>
      </w:tr>
      <w:tr w:rsidR="003E06DD" w:rsidRPr="00272E0F" w14:paraId="3255B1CB" w14:textId="77777777" w:rsidTr="003E06DD">
        <w:trPr>
          <w:trHeight w:val="142"/>
        </w:trPr>
        <w:tc>
          <w:tcPr>
            <w:tcW w:w="2114" w:type="dxa"/>
            <w:shd w:val="clear" w:color="auto" w:fill="auto"/>
            <w:noWrap/>
            <w:vAlign w:val="center"/>
          </w:tcPr>
          <w:p w14:paraId="2C89AD14" w14:textId="2CA5E798" w:rsidR="003E06DD" w:rsidRPr="00272E0F"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1 (days)</w:t>
            </w:r>
          </w:p>
        </w:tc>
        <w:tc>
          <w:tcPr>
            <w:tcW w:w="1803" w:type="dxa"/>
            <w:shd w:val="clear" w:color="auto" w:fill="auto"/>
            <w:noWrap/>
            <w:vAlign w:val="center"/>
          </w:tcPr>
          <w:p w14:paraId="38C1909D" w14:textId="7D400A53"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61 (49-86)</w:t>
            </w:r>
          </w:p>
        </w:tc>
        <w:tc>
          <w:tcPr>
            <w:tcW w:w="1915" w:type="dxa"/>
            <w:shd w:val="clear" w:color="auto" w:fill="auto"/>
            <w:noWrap/>
            <w:vAlign w:val="center"/>
          </w:tcPr>
          <w:p w14:paraId="74D5ACCA" w14:textId="4CDEB32F"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61 (49-83)</w:t>
            </w:r>
          </w:p>
        </w:tc>
        <w:tc>
          <w:tcPr>
            <w:tcW w:w="1803" w:type="dxa"/>
            <w:shd w:val="clear" w:color="auto" w:fill="auto"/>
            <w:noWrap/>
            <w:vAlign w:val="center"/>
          </w:tcPr>
          <w:p w14:paraId="4452AA22" w14:textId="168CF43C"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61 (46-88)</w:t>
            </w:r>
          </w:p>
        </w:tc>
      </w:tr>
      <w:tr w:rsidR="003E06DD" w:rsidRPr="00272E0F" w14:paraId="4D7114D5" w14:textId="77777777" w:rsidTr="003E06DD">
        <w:trPr>
          <w:trHeight w:val="142"/>
        </w:trPr>
        <w:tc>
          <w:tcPr>
            <w:tcW w:w="2114" w:type="dxa"/>
            <w:shd w:val="clear" w:color="auto" w:fill="auto"/>
            <w:noWrap/>
            <w:vAlign w:val="center"/>
          </w:tcPr>
          <w:p w14:paraId="63C05DB1" w14:textId="494EB4ED"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2 (days)</w:t>
            </w:r>
          </w:p>
        </w:tc>
        <w:tc>
          <w:tcPr>
            <w:tcW w:w="1803" w:type="dxa"/>
            <w:shd w:val="clear" w:color="auto" w:fill="auto"/>
            <w:noWrap/>
            <w:vAlign w:val="center"/>
          </w:tcPr>
          <w:p w14:paraId="65D74C48" w14:textId="40E93263"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 xml:space="preserve">93 </w:t>
            </w:r>
            <w:r w:rsidRPr="003E06DD">
              <w:rPr>
                <w:rFonts w:ascii="Times New Roman" w:eastAsia="Times New Roman" w:hAnsi="Times New Roman"/>
                <w:sz w:val="16"/>
                <w:szCs w:val="16"/>
                <w:lang w:eastAsia="en-GB"/>
              </w:rPr>
              <w:t>(78</w:t>
            </w:r>
            <w:r w:rsidRPr="003E06DD">
              <w:rPr>
                <w:rFonts w:ascii="Times New Roman" w:eastAsia="Times New Roman" w:hAnsi="Times New Roman"/>
                <w:color w:val="000000"/>
                <w:sz w:val="16"/>
                <w:szCs w:val="16"/>
                <w:lang w:eastAsia="en-GB"/>
              </w:rPr>
              <w:t>-136)</w:t>
            </w:r>
          </w:p>
        </w:tc>
        <w:tc>
          <w:tcPr>
            <w:tcW w:w="1915" w:type="dxa"/>
            <w:shd w:val="clear" w:color="auto" w:fill="auto"/>
            <w:noWrap/>
            <w:vAlign w:val="center"/>
          </w:tcPr>
          <w:p w14:paraId="0F96561A" w14:textId="4D3EDF20"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93 (82-119)</w:t>
            </w:r>
          </w:p>
        </w:tc>
        <w:tc>
          <w:tcPr>
            <w:tcW w:w="1803" w:type="dxa"/>
            <w:shd w:val="clear" w:color="auto" w:fill="auto"/>
            <w:noWrap/>
            <w:vAlign w:val="center"/>
          </w:tcPr>
          <w:p w14:paraId="1571E529" w14:textId="00029C54"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95 (79-132)</w:t>
            </w:r>
          </w:p>
        </w:tc>
      </w:tr>
      <w:tr w:rsidR="003E06DD" w:rsidRPr="00272E0F" w14:paraId="1C7CFB26" w14:textId="77777777" w:rsidTr="003E06DD">
        <w:trPr>
          <w:trHeight w:val="142"/>
        </w:trPr>
        <w:tc>
          <w:tcPr>
            <w:tcW w:w="2114" w:type="dxa"/>
            <w:shd w:val="clear" w:color="auto" w:fill="auto"/>
            <w:noWrap/>
            <w:vAlign w:val="center"/>
          </w:tcPr>
          <w:p w14:paraId="4005D480" w14:textId="20EC3298"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3 (days)</w:t>
            </w:r>
          </w:p>
        </w:tc>
        <w:tc>
          <w:tcPr>
            <w:tcW w:w="1803" w:type="dxa"/>
            <w:shd w:val="clear" w:color="auto" w:fill="auto"/>
            <w:noWrap/>
            <w:vAlign w:val="center"/>
          </w:tcPr>
          <w:p w14:paraId="3AB61BC6" w14:textId="4DEFD623"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126 (111-178)</w:t>
            </w:r>
          </w:p>
        </w:tc>
        <w:tc>
          <w:tcPr>
            <w:tcW w:w="1915" w:type="dxa"/>
            <w:shd w:val="clear" w:color="auto" w:fill="auto"/>
            <w:noWrap/>
            <w:vAlign w:val="center"/>
          </w:tcPr>
          <w:p w14:paraId="77545CA2" w14:textId="04F6EA57"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126 (114-160)</w:t>
            </w:r>
          </w:p>
        </w:tc>
        <w:tc>
          <w:tcPr>
            <w:tcW w:w="1803" w:type="dxa"/>
            <w:shd w:val="clear" w:color="auto" w:fill="auto"/>
            <w:noWrap/>
            <w:vAlign w:val="center"/>
          </w:tcPr>
          <w:p w14:paraId="7A72ADA8" w14:textId="0F88B51E"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126 (106-160)</w:t>
            </w:r>
          </w:p>
        </w:tc>
      </w:tr>
      <w:tr w:rsidR="003E06DD" w:rsidRPr="00272E0F" w14:paraId="505EEBB0" w14:textId="77777777" w:rsidTr="003E06DD">
        <w:trPr>
          <w:trHeight w:val="142"/>
        </w:trPr>
        <w:tc>
          <w:tcPr>
            <w:tcW w:w="2114" w:type="dxa"/>
            <w:shd w:val="clear" w:color="auto" w:fill="auto"/>
            <w:noWrap/>
            <w:vAlign w:val="center"/>
          </w:tcPr>
          <w:p w14:paraId="356B6C11" w14:textId="436D135F"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4 (days)</w:t>
            </w:r>
          </w:p>
        </w:tc>
        <w:tc>
          <w:tcPr>
            <w:tcW w:w="1803" w:type="dxa"/>
            <w:shd w:val="clear" w:color="auto" w:fill="auto"/>
            <w:noWrap/>
            <w:vAlign w:val="center"/>
          </w:tcPr>
          <w:p w14:paraId="751D8C95" w14:textId="643FF1A8"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158 (132-199)</w:t>
            </w:r>
          </w:p>
        </w:tc>
        <w:tc>
          <w:tcPr>
            <w:tcW w:w="1915" w:type="dxa"/>
            <w:shd w:val="clear" w:color="auto" w:fill="auto"/>
            <w:noWrap/>
            <w:vAlign w:val="center"/>
          </w:tcPr>
          <w:p w14:paraId="09A72A1E" w14:textId="5C254895"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158 (135-187)</w:t>
            </w:r>
          </w:p>
        </w:tc>
        <w:tc>
          <w:tcPr>
            <w:tcW w:w="1803" w:type="dxa"/>
            <w:shd w:val="clear" w:color="auto" w:fill="auto"/>
            <w:noWrap/>
            <w:vAlign w:val="center"/>
          </w:tcPr>
          <w:p w14:paraId="6D076948" w14:textId="467C839F"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w:t>
            </w:r>
          </w:p>
        </w:tc>
      </w:tr>
      <w:tr w:rsidR="003E06DD" w:rsidRPr="00272E0F" w14:paraId="1F9284CD" w14:textId="77777777" w:rsidTr="003E06DD">
        <w:trPr>
          <w:trHeight w:val="142"/>
        </w:trPr>
        <w:tc>
          <w:tcPr>
            <w:tcW w:w="2114" w:type="dxa"/>
            <w:shd w:val="clear" w:color="auto" w:fill="auto"/>
            <w:noWrap/>
            <w:vAlign w:val="center"/>
          </w:tcPr>
          <w:p w14:paraId="549362A3" w14:textId="1D000175"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5 (days)</w:t>
            </w:r>
          </w:p>
        </w:tc>
        <w:tc>
          <w:tcPr>
            <w:tcW w:w="1803" w:type="dxa"/>
            <w:shd w:val="clear" w:color="auto" w:fill="auto"/>
            <w:noWrap/>
            <w:vAlign w:val="center"/>
          </w:tcPr>
          <w:p w14:paraId="353BFA28" w14:textId="38FC62A8"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w:t>
            </w:r>
          </w:p>
        </w:tc>
        <w:tc>
          <w:tcPr>
            <w:tcW w:w="1915" w:type="dxa"/>
            <w:shd w:val="clear" w:color="auto" w:fill="auto"/>
            <w:noWrap/>
            <w:vAlign w:val="center"/>
          </w:tcPr>
          <w:p w14:paraId="58F89C6F" w14:textId="4561A73D"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w:t>
            </w:r>
          </w:p>
        </w:tc>
        <w:tc>
          <w:tcPr>
            <w:tcW w:w="1803" w:type="dxa"/>
            <w:shd w:val="clear" w:color="auto" w:fill="auto"/>
            <w:noWrap/>
            <w:vAlign w:val="center"/>
          </w:tcPr>
          <w:p w14:paraId="5496283D" w14:textId="4E59B1B1"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181 (156-258)</w:t>
            </w:r>
          </w:p>
        </w:tc>
      </w:tr>
      <w:tr w:rsidR="003E06DD" w:rsidRPr="00272E0F" w14:paraId="65C59E8C" w14:textId="77777777" w:rsidTr="003E06DD">
        <w:trPr>
          <w:trHeight w:val="142"/>
        </w:trPr>
        <w:tc>
          <w:tcPr>
            <w:tcW w:w="2114" w:type="dxa"/>
            <w:shd w:val="clear" w:color="auto" w:fill="auto"/>
            <w:noWrap/>
            <w:vAlign w:val="center"/>
          </w:tcPr>
          <w:p w14:paraId="58E339EE" w14:textId="0C45A805"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6 (days)</w:t>
            </w:r>
          </w:p>
        </w:tc>
        <w:tc>
          <w:tcPr>
            <w:tcW w:w="1803" w:type="dxa"/>
            <w:shd w:val="clear" w:color="auto" w:fill="auto"/>
            <w:noWrap/>
            <w:vAlign w:val="center"/>
          </w:tcPr>
          <w:p w14:paraId="2032558D" w14:textId="1AE73931" w:rsidR="003E06DD" w:rsidRPr="003E06DD" w:rsidRDefault="003E06DD" w:rsidP="003E06DD">
            <w:pPr>
              <w:pStyle w:val="Table"/>
              <w:rPr>
                <w:rFonts w:ascii="Times New Roman" w:hAnsi="Times New Roman"/>
                <w:sz w:val="16"/>
                <w:szCs w:val="16"/>
                <w:lang w:eastAsia="en-GB"/>
              </w:rPr>
            </w:pPr>
            <w:r w:rsidRPr="003E06DD">
              <w:rPr>
                <w:rFonts w:ascii="Times New Roman" w:hAnsi="Times New Roman"/>
                <w:sz w:val="16"/>
                <w:szCs w:val="16"/>
                <w:lang w:eastAsia="en-GB"/>
              </w:rPr>
              <w:t>-</w:t>
            </w:r>
          </w:p>
        </w:tc>
        <w:tc>
          <w:tcPr>
            <w:tcW w:w="1915" w:type="dxa"/>
            <w:shd w:val="clear" w:color="auto" w:fill="auto"/>
            <w:noWrap/>
            <w:vAlign w:val="center"/>
          </w:tcPr>
          <w:p w14:paraId="4608BFE3" w14:textId="3389E01F" w:rsidR="003E06DD" w:rsidRPr="003E06DD" w:rsidRDefault="003E06DD" w:rsidP="003E06DD">
            <w:pPr>
              <w:pStyle w:val="Table"/>
              <w:rPr>
                <w:rFonts w:ascii="Times New Roman" w:hAnsi="Times New Roman"/>
                <w:sz w:val="16"/>
                <w:szCs w:val="16"/>
                <w:lang w:eastAsia="en-GB"/>
              </w:rPr>
            </w:pPr>
            <w:r w:rsidRPr="003E06DD">
              <w:rPr>
                <w:rFonts w:ascii="Times New Roman" w:hAnsi="Times New Roman"/>
                <w:sz w:val="16"/>
                <w:szCs w:val="16"/>
                <w:lang w:eastAsia="en-GB"/>
              </w:rPr>
              <w:t>-</w:t>
            </w:r>
          </w:p>
        </w:tc>
        <w:tc>
          <w:tcPr>
            <w:tcW w:w="1803" w:type="dxa"/>
            <w:shd w:val="clear" w:color="auto" w:fill="auto"/>
            <w:noWrap/>
            <w:vAlign w:val="center"/>
          </w:tcPr>
          <w:p w14:paraId="58B6541C" w14:textId="4B67DE80"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209 (177-298)</w:t>
            </w:r>
          </w:p>
        </w:tc>
      </w:tr>
      <w:tr w:rsidR="003E06DD" w:rsidRPr="00272E0F" w14:paraId="2EAB97C1" w14:textId="77777777" w:rsidTr="003E06DD">
        <w:trPr>
          <w:trHeight w:val="142"/>
        </w:trPr>
        <w:tc>
          <w:tcPr>
            <w:tcW w:w="2114" w:type="dxa"/>
            <w:shd w:val="clear" w:color="auto" w:fill="auto"/>
            <w:noWrap/>
            <w:vAlign w:val="center"/>
          </w:tcPr>
          <w:p w14:paraId="2D8D2FA3" w14:textId="5CD3D08A"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7 (days)</w:t>
            </w:r>
          </w:p>
        </w:tc>
        <w:tc>
          <w:tcPr>
            <w:tcW w:w="1803" w:type="dxa"/>
            <w:shd w:val="clear" w:color="auto" w:fill="auto"/>
            <w:noWrap/>
            <w:vAlign w:val="center"/>
          </w:tcPr>
          <w:p w14:paraId="1C693D81" w14:textId="4A9FBB5E"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368 (353-410)</w:t>
            </w:r>
          </w:p>
        </w:tc>
        <w:tc>
          <w:tcPr>
            <w:tcW w:w="1915" w:type="dxa"/>
            <w:shd w:val="clear" w:color="auto" w:fill="auto"/>
            <w:noWrap/>
            <w:vAlign w:val="center"/>
          </w:tcPr>
          <w:p w14:paraId="0C694007" w14:textId="6CE3E8A7"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367 (351-404)</w:t>
            </w:r>
          </w:p>
        </w:tc>
        <w:tc>
          <w:tcPr>
            <w:tcW w:w="1803" w:type="dxa"/>
            <w:shd w:val="clear" w:color="auto" w:fill="auto"/>
            <w:noWrap/>
            <w:vAlign w:val="center"/>
          </w:tcPr>
          <w:p w14:paraId="3CCA0EEE" w14:textId="7E6147E6" w:rsidR="003E06DD" w:rsidRPr="003E06DD" w:rsidRDefault="003E06DD" w:rsidP="003E06DD">
            <w:pPr>
              <w:pStyle w:val="Table"/>
              <w:rPr>
                <w:rFonts w:ascii="Times New Roman" w:hAnsi="Times New Roman"/>
                <w:sz w:val="16"/>
                <w:szCs w:val="16"/>
                <w:lang w:eastAsia="en-GB"/>
              </w:rPr>
            </w:pPr>
            <w:r w:rsidRPr="003E06DD">
              <w:rPr>
                <w:rFonts w:ascii="Times New Roman" w:eastAsia="Times New Roman" w:hAnsi="Times New Roman"/>
                <w:color w:val="000000"/>
                <w:sz w:val="16"/>
                <w:szCs w:val="16"/>
                <w:lang w:eastAsia="en-GB"/>
              </w:rPr>
              <w:t>368 (351-429)</w:t>
            </w:r>
          </w:p>
        </w:tc>
      </w:tr>
      <w:tr w:rsidR="003E06DD" w:rsidRPr="00272E0F" w14:paraId="5991DEC2" w14:textId="77777777" w:rsidTr="003E06DD">
        <w:trPr>
          <w:trHeight w:val="142"/>
        </w:trPr>
        <w:tc>
          <w:tcPr>
            <w:tcW w:w="2114" w:type="dxa"/>
            <w:shd w:val="clear" w:color="auto" w:fill="auto"/>
            <w:noWrap/>
            <w:vAlign w:val="center"/>
          </w:tcPr>
          <w:p w14:paraId="3F9DD823" w14:textId="6631FC4F" w:rsidR="003E06DD" w:rsidRDefault="003E06DD" w:rsidP="003E06DD">
            <w:pPr>
              <w:pStyle w:val="Table"/>
              <w:rPr>
                <w:rFonts w:ascii="Times New Roman" w:hAnsi="Times New Roman"/>
                <w:sz w:val="16"/>
                <w:szCs w:val="16"/>
                <w:lang w:eastAsia="en-GB"/>
              </w:rPr>
            </w:pPr>
            <w:r>
              <w:rPr>
                <w:rFonts w:ascii="Times New Roman" w:hAnsi="Times New Roman"/>
                <w:sz w:val="16"/>
                <w:szCs w:val="16"/>
                <w:lang w:eastAsia="en-GB"/>
              </w:rPr>
              <w:t>Age at visit 8 (days)</w:t>
            </w:r>
          </w:p>
        </w:tc>
        <w:tc>
          <w:tcPr>
            <w:tcW w:w="1803" w:type="dxa"/>
            <w:shd w:val="clear" w:color="auto" w:fill="auto"/>
            <w:noWrap/>
            <w:vAlign w:val="center"/>
          </w:tcPr>
          <w:p w14:paraId="25798AC9" w14:textId="2623866C" w:rsidR="003E06DD" w:rsidRPr="003E06DD" w:rsidRDefault="003E06DD" w:rsidP="003E06DD">
            <w:pPr>
              <w:pStyle w:val="Table"/>
              <w:rPr>
                <w:rFonts w:ascii="Times New Roman" w:eastAsia="Times New Roman" w:hAnsi="Times New Roman"/>
                <w:color w:val="000000"/>
                <w:sz w:val="16"/>
                <w:szCs w:val="16"/>
                <w:lang w:eastAsia="en-GB"/>
              </w:rPr>
            </w:pPr>
            <w:r w:rsidRPr="003E06DD">
              <w:rPr>
                <w:rFonts w:ascii="Times New Roman" w:eastAsia="Times New Roman" w:hAnsi="Times New Roman"/>
                <w:color w:val="000000"/>
                <w:sz w:val="16"/>
                <w:szCs w:val="16"/>
                <w:lang w:eastAsia="en-GB"/>
              </w:rPr>
              <w:t>400 (367-443)</w:t>
            </w:r>
          </w:p>
        </w:tc>
        <w:tc>
          <w:tcPr>
            <w:tcW w:w="1915" w:type="dxa"/>
            <w:shd w:val="clear" w:color="auto" w:fill="auto"/>
            <w:noWrap/>
            <w:vAlign w:val="center"/>
          </w:tcPr>
          <w:p w14:paraId="42CE1337" w14:textId="3BE8A41E" w:rsidR="003E06DD" w:rsidRPr="003E06DD" w:rsidRDefault="003E06DD" w:rsidP="003E06DD">
            <w:pPr>
              <w:pStyle w:val="Table"/>
              <w:rPr>
                <w:rFonts w:ascii="Times New Roman" w:eastAsia="Times New Roman" w:hAnsi="Times New Roman"/>
                <w:color w:val="000000"/>
                <w:sz w:val="16"/>
                <w:szCs w:val="16"/>
                <w:lang w:eastAsia="en-GB"/>
              </w:rPr>
            </w:pPr>
            <w:r w:rsidRPr="003E06DD">
              <w:rPr>
                <w:rFonts w:ascii="Times New Roman" w:eastAsia="Times New Roman" w:hAnsi="Times New Roman"/>
                <w:color w:val="000000"/>
                <w:sz w:val="16"/>
                <w:szCs w:val="16"/>
                <w:lang w:eastAsia="en-GB"/>
              </w:rPr>
              <w:t>400 (376-492)</w:t>
            </w:r>
          </w:p>
        </w:tc>
        <w:tc>
          <w:tcPr>
            <w:tcW w:w="1803" w:type="dxa"/>
            <w:shd w:val="clear" w:color="auto" w:fill="auto"/>
            <w:noWrap/>
            <w:vAlign w:val="center"/>
          </w:tcPr>
          <w:p w14:paraId="76C408C8" w14:textId="66ECE64B" w:rsidR="003E06DD" w:rsidRPr="003E06DD" w:rsidRDefault="003E06DD" w:rsidP="003E06DD">
            <w:pPr>
              <w:pStyle w:val="Table"/>
              <w:rPr>
                <w:rFonts w:ascii="Times New Roman" w:eastAsia="Times New Roman" w:hAnsi="Times New Roman"/>
                <w:color w:val="000000"/>
                <w:sz w:val="16"/>
                <w:szCs w:val="16"/>
                <w:lang w:eastAsia="en-GB"/>
              </w:rPr>
            </w:pPr>
            <w:r w:rsidRPr="003E06DD">
              <w:rPr>
                <w:rFonts w:ascii="Times New Roman" w:eastAsia="Times New Roman" w:hAnsi="Times New Roman"/>
                <w:color w:val="000000"/>
                <w:sz w:val="16"/>
                <w:szCs w:val="16"/>
                <w:lang w:eastAsia="en-GB"/>
              </w:rPr>
              <w:t>397 (375-</w:t>
            </w:r>
            <w:r w:rsidRPr="003E06DD">
              <w:rPr>
                <w:rFonts w:ascii="Times New Roman" w:eastAsia="Times New Roman" w:hAnsi="Times New Roman"/>
                <w:sz w:val="16"/>
                <w:szCs w:val="16"/>
                <w:lang w:eastAsia="en-GB"/>
              </w:rPr>
              <w:t>606)</w:t>
            </w:r>
          </w:p>
        </w:tc>
      </w:tr>
    </w:tbl>
    <w:p w14:paraId="1D8406D6" w14:textId="77777777" w:rsidR="00545D33" w:rsidRDefault="00545D33" w:rsidP="00545D33"/>
    <w:p w14:paraId="3E806193" w14:textId="77777777" w:rsidR="003D3C43" w:rsidRDefault="003D3C43">
      <w:pPr>
        <w:spacing w:line="240" w:lineRule="auto"/>
      </w:pPr>
      <w:r>
        <w:br w:type="page"/>
      </w:r>
    </w:p>
    <w:p w14:paraId="5E2C1F4A" w14:textId="77777777" w:rsidR="003D3C43" w:rsidRDefault="003D3C43" w:rsidP="00D0186F">
      <w:pPr>
        <w:spacing w:line="240" w:lineRule="auto"/>
      </w:pPr>
      <w:bookmarkStart w:id="5" w:name="_Ref402469748"/>
      <w:r w:rsidRPr="00C44562">
        <w:lastRenderedPageBreak/>
        <w:t xml:space="preserve">Table </w:t>
      </w:r>
      <w:fldSimple w:instr=" SEQ Table \* ARABIC ">
        <w:r w:rsidRPr="00C44562">
          <w:rPr>
            <w:noProof/>
          </w:rPr>
          <w:t>2</w:t>
        </w:r>
      </w:fldSimple>
      <w:bookmarkEnd w:id="5"/>
      <w:r w:rsidRPr="00C44562">
        <w:t>: Proportion of infants with protective antibody concentrations (IgG</w:t>
      </w:r>
      <w:r>
        <w:t xml:space="preserve"> </w:t>
      </w:r>
      <w:r w:rsidRPr="00C44562">
        <w:t>≥0.3</w:t>
      </w:r>
      <w:r>
        <w:t>5 µg</w:t>
      </w:r>
      <w:r w:rsidRPr="00C44562">
        <w:t xml:space="preserve">/mL) for the 13 PCV13 serotypes at baseline and 1 month after final primary vaccination. </w:t>
      </w:r>
    </w:p>
    <w:p w14:paraId="5DB94062" w14:textId="77777777" w:rsidR="003D3C43" w:rsidRPr="00C44562" w:rsidRDefault="003D3C43" w:rsidP="00D0186F">
      <w:pPr>
        <w:spacing w:line="240" w:lineRule="auto"/>
      </w:pPr>
      <w:r w:rsidRPr="00C44562">
        <w:t>Proportion (95% CI). a b c: p&lt;0.05 comparing reduced and accelerated, accelerated and extended, and reduced and extended schedules respectively;  *p&lt;0.001</w:t>
      </w:r>
    </w:p>
    <w:p w14:paraId="26E7DC06" w14:textId="77777777" w:rsidR="003D3C43" w:rsidRPr="00C44562" w:rsidRDefault="003D3C43" w:rsidP="003D3C43"/>
    <w:p w14:paraId="6D06F11E" w14:textId="4F20F5BE" w:rsidR="00545D33" w:rsidRDefault="00A614A1" w:rsidP="00DE39EF">
      <w:pPr>
        <w:outlineLvl w:val="0"/>
      </w:pPr>
      <w:r>
        <w:t>Table 2</w:t>
      </w:r>
    </w:p>
    <w:tbl>
      <w:tblP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27"/>
        <w:gridCol w:w="1516"/>
        <w:gridCol w:w="1489"/>
        <w:gridCol w:w="1577"/>
      </w:tblGrid>
      <w:tr w:rsidR="009C3AE9" w:rsidRPr="00272E0F" w14:paraId="0AE18EE1" w14:textId="77777777" w:rsidTr="009C3AE9">
        <w:tc>
          <w:tcPr>
            <w:tcW w:w="901" w:type="dxa"/>
            <w:vMerge w:val="restart"/>
            <w:shd w:val="clear" w:color="auto" w:fill="auto"/>
            <w:vAlign w:val="center"/>
          </w:tcPr>
          <w:p w14:paraId="10EE470F" w14:textId="209037D0" w:rsidR="009C3AE9" w:rsidRPr="00272E0F" w:rsidRDefault="009C3AE9" w:rsidP="00AD7F05">
            <w:pPr>
              <w:pStyle w:val="Table"/>
              <w:rPr>
                <w:rFonts w:ascii="Times New Roman" w:hAnsi="Times New Roman"/>
                <w:sz w:val="16"/>
                <w:szCs w:val="16"/>
              </w:rPr>
            </w:pPr>
            <w:r>
              <w:rPr>
                <w:rFonts w:ascii="Times New Roman" w:hAnsi="Times New Roman"/>
                <w:sz w:val="16"/>
                <w:szCs w:val="16"/>
              </w:rPr>
              <w:t>Serotype</w:t>
            </w:r>
          </w:p>
        </w:tc>
        <w:tc>
          <w:tcPr>
            <w:tcW w:w="1327" w:type="dxa"/>
            <w:shd w:val="clear" w:color="auto" w:fill="auto"/>
          </w:tcPr>
          <w:p w14:paraId="2028B5C3" w14:textId="77777777" w:rsidR="009C3AE9" w:rsidRPr="00272E0F" w:rsidRDefault="009C3AE9" w:rsidP="00272E0F">
            <w:pPr>
              <w:pStyle w:val="Table"/>
              <w:jc w:val="center"/>
              <w:rPr>
                <w:rFonts w:ascii="Times New Roman" w:hAnsi="Times New Roman"/>
                <w:sz w:val="16"/>
                <w:szCs w:val="16"/>
              </w:rPr>
            </w:pPr>
            <w:r w:rsidRPr="00272E0F">
              <w:rPr>
                <w:rFonts w:ascii="Times New Roman" w:hAnsi="Times New Roman"/>
                <w:sz w:val="16"/>
                <w:szCs w:val="16"/>
              </w:rPr>
              <w:t>Baseline</w:t>
            </w:r>
          </w:p>
        </w:tc>
        <w:tc>
          <w:tcPr>
            <w:tcW w:w="4582" w:type="dxa"/>
            <w:gridSpan w:val="3"/>
            <w:shd w:val="clear" w:color="auto" w:fill="auto"/>
          </w:tcPr>
          <w:p w14:paraId="54D1ACDD" w14:textId="59B7FC08" w:rsidR="009C3AE9" w:rsidRPr="00272E0F" w:rsidRDefault="009C3AE9" w:rsidP="00272E0F">
            <w:pPr>
              <w:pStyle w:val="Table"/>
              <w:jc w:val="center"/>
              <w:rPr>
                <w:rFonts w:ascii="Times New Roman" w:hAnsi="Times New Roman"/>
                <w:sz w:val="16"/>
                <w:szCs w:val="16"/>
              </w:rPr>
            </w:pPr>
            <w:r w:rsidRPr="00272E0F">
              <w:rPr>
                <w:rFonts w:ascii="Times New Roman" w:hAnsi="Times New Roman"/>
                <w:sz w:val="16"/>
                <w:szCs w:val="16"/>
              </w:rPr>
              <w:t xml:space="preserve">Post primary </w:t>
            </w:r>
            <w:r w:rsidR="00670EA5">
              <w:rPr>
                <w:rFonts w:ascii="Times New Roman" w:hAnsi="Times New Roman"/>
                <w:sz w:val="16"/>
                <w:szCs w:val="16"/>
              </w:rPr>
              <w:t>immunization</w:t>
            </w:r>
          </w:p>
        </w:tc>
      </w:tr>
      <w:tr w:rsidR="009C3AE9" w:rsidRPr="00272E0F" w14:paraId="08990CF6" w14:textId="77777777" w:rsidTr="00DD41D9">
        <w:trPr>
          <w:trHeight w:val="625"/>
        </w:trPr>
        <w:tc>
          <w:tcPr>
            <w:tcW w:w="901" w:type="dxa"/>
            <w:vMerge/>
            <w:tcBorders>
              <w:bottom w:val="single" w:sz="4" w:space="0" w:color="auto"/>
            </w:tcBorders>
            <w:shd w:val="clear" w:color="auto" w:fill="auto"/>
          </w:tcPr>
          <w:p w14:paraId="0A32F322" w14:textId="77777777" w:rsidR="009C3AE9" w:rsidRPr="00272E0F" w:rsidRDefault="009C3AE9" w:rsidP="00AD7F05">
            <w:pPr>
              <w:pStyle w:val="Table"/>
              <w:rPr>
                <w:rFonts w:ascii="Times New Roman" w:hAnsi="Times New Roman"/>
                <w:sz w:val="16"/>
                <w:szCs w:val="16"/>
              </w:rPr>
            </w:pPr>
          </w:p>
        </w:tc>
        <w:tc>
          <w:tcPr>
            <w:tcW w:w="1327" w:type="dxa"/>
            <w:tcBorders>
              <w:bottom w:val="single" w:sz="4" w:space="0" w:color="auto"/>
            </w:tcBorders>
            <w:shd w:val="clear" w:color="auto" w:fill="auto"/>
            <w:vAlign w:val="center"/>
          </w:tcPr>
          <w:p w14:paraId="7F19589C" w14:textId="701D48EB" w:rsidR="009C3AE9" w:rsidRDefault="009C3AE9" w:rsidP="00DD41D9">
            <w:pPr>
              <w:pStyle w:val="Table"/>
              <w:jc w:val="center"/>
              <w:rPr>
                <w:rFonts w:ascii="Times New Roman" w:hAnsi="Times New Roman"/>
                <w:sz w:val="16"/>
                <w:szCs w:val="16"/>
              </w:rPr>
            </w:pPr>
            <w:r w:rsidRPr="00272E0F">
              <w:rPr>
                <w:rFonts w:ascii="Times New Roman" w:hAnsi="Times New Roman"/>
                <w:sz w:val="16"/>
                <w:szCs w:val="16"/>
              </w:rPr>
              <w:t>All</w:t>
            </w:r>
          </w:p>
          <w:p w14:paraId="05B7443C" w14:textId="015817C2" w:rsidR="009C3AE9" w:rsidRPr="00272E0F" w:rsidRDefault="00DD41D9" w:rsidP="00DD41D9">
            <w:pPr>
              <w:pStyle w:val="Table"/>
              <w:jc w:val="center"/>
              <w:rPr>
                <w:rFonts w:ascii="Times New Roman" w:hAnsi="Times New Roman"/>
                <w:sz w:val="16"/>
                <w:szCs w:val="16"/>
              </w:rPr>
            </w:pPr>
            <w:r>
              <w:rPr>
                <w:rFonts w:ascii="Times New Roman" w:hAnsi="Times New Roman"/>
                <w:sz w:val="16"/>
                <w:szCs w:val="16"/>
              </w:rPr>
              <w:t>N</w:t>
            </w:r>
            <w:r w:rsidR="009C3AE9">
              <w:rPr>
                <w:rFonts w:ascii="Times New Roman" w:hAnsi="Times New Roman"/>
                <w:sz w:val="16"/>
                <w:szCs w:val="16"/>
              </w:rPr>
              <w:t xml:space="preserve"> </w:t>
            </w:r>
            <w:r>
              <w:rPr>
                <w:rFonts w:ascii="Times New Roman" w:hAnsi="Times New Roman"/>
                <w:sz w:val="16"/>
                <w:szCs w:val="16"/>
              </w:rPr>
              <w:t>=</w:t>
            </w:r>
            <w:r w:rsidR="009C3AE9">
              <w:rPr>
                <w:rFonts w:ascii="Times New Roman" w:hAnsi="Times New Roman"/>
                <w:sz w:val="16"/>
                <w:szCs w:val="16"/>
              </w:rPr>
              <w:t xml:space="preserve"> 197</w:t>
            </w:r>
          </w:p>
        </w:tc>
        <w:tc>
          <w:tcPr>
            <w:tcW w:w="1516" w:type="dxa"/>
            <w:tcBorders>
              <w:bottom w:val="single" w:sz="4" w:space="0" w:color="auto"/>
            </w:tcBorders>
            <w:shd w:val="clear" w:color="auto" w:fill="auto"/>
          </w:tcPr>
          <w:p w14:paraId="62C15683" w14:textId="77777777" w:rsidR="009C3AE9" w:rsidRPr="00272E0F" w:rsidRDefault="009C3AE9" w:rsidP="00272E0F">
            <w:pPr>
              <w:pStyle w:val="Table"/>
              <w:jc w:val="center"/>
              <w:rPr>
                <w:rFonts w:ascii="Times New Roman" w:hAnsi="Times New Roman"/>
                <w:sz w:val="16"/>
                <w:szCs w:val="16"/>
              </w:rPr>
            </w:pPr>
            <w:r w:rsidRPr="00272E0F">
              <w:rPr>
                <w:rFonts w:ascii="Times New Roman" w:hAnsi="Times New Roman"/>
                <w:sz w:val="16"/>
                <w:szCs w:val="16"/>
              </w:rPr>
              <w:t>Reduced dose</w:t>
            </w:r>
          </w:p>
          <w:p w14:paraId="2E20B995" w14:textId="77777777" w:rsidR="009C3AE9" w:rsidRDefault="009C3AE9" w:rsidP="00272E0F">
            <w:pPr>
              <w:pStyle w:val="Table"/>
              <w:jc w:val="center"/>
              <w:rPr>
                <w:rFonts w:ascii="Times New Roman" w:hAnsi="Times New Roman"/>
                <w:sz w:val="16"/>
                <w:szCs w:val="16"/>
              </w:rPr>
            </w:pPr>
            <w:r w:rsidRPr="00272E0F">
              <w:rPr>
                <w:rFonts w:ascii="Times New Roman" w:hAnsi="Times New Roman"/>
                <w:sz w:val="16"/>
                <w:szCs w:val="16"/>
              </w:rPr>
              <w:t>(Group 1)</w:t>
            </w:r>
          </w:p>
          <w:p w14:paraId="120B2E07" w14:textId="69FB0241" w:rsidR="009C3AE9" w:rsidRPr="00272E0F" w:rsidRDefault="00DD41D9" w:rsidP="006069DE">
            <w:pPr>
              <w:pStyle w:val="Table"/>
              <w:jc w:val="center"/>
              <w:rPr>
                <w:rFonts w:ascii="Times New Roman" w:hAnsi="Times New Roman"/>
                <w:sz w:val="16"/>
                <w:szCs w:val="16"/>
              </w:rPr>
            </w:pPr>
            <w:r>
              <w:rPr>
                <w:rFonts w:ascii="Times New Roman" w:hAnsi="Times New Roman"/>
                <w:sz w:val="16"/>
                <w:szCs w:val="16"/>
              </w:rPr>
              <w:t>N</w:t>
            </w:r>
            <w:r w:rsidR="009C3AE9">
              <w:rPr>
                <w:rFonts w:ascii="Times New Roman" w:hAnsi="Times New Roman"/>
                <w:sz w:val="16"/>
                <w:szCs w:val="16"/>
              </w:rPr>
              <w:t xml:space="preserve"> = 66</w:t>
            </w:r>
          </w:p>
        </w:tc>
        <w:tc>
          <w:tcPr>
            <w:tcW w:w="1489" w:type="dxa"/>
            <w:tcBorders>
              <w:bottom w:val="single" w:sz="4" w:space="0" w:color="auto"/>
            </w:tcBorders>
            <w:shd w:val="clear" w:color="auto" w:fill="auto"/>
          </w:tcPr>
          <w:p w14:paraId="51F16B27" w14:textId="77777777" w:rsidR="009C3AE9" w:rsidRPr="00272E0F" w:rsidRDefault="009C3AE9" w:rsidP="00272E0F">
            <w:pPr>
              <w:pStyle w:val="Table"/>
              <w:jc w:val="center"/>
              <w:rPr>
                <w:rFonts w:ascii="Times New Roman" w:hAnsi="Times New Roman"/>
                <w:sz w:val="16"/>
                <w:szCs w:val="16"/>
              </w:rPr>
            </w:pPr>
            <w:r w:rsidRPr="00272E0F">
              <w:rPr>
                <w:rFonts w:ascii="Times New Roman" w:hAnsi="Times New Roman"/>
                <w:sz w:val="16"/>
                <w:szCs w:val="16"/>
              </w:rPr>
              <w:t>Accelerated</w:t>
            </w:r>
          </w:p>
          <w:p w14:paraId="35A8A23E" w14:textId="77777777" w:rsidR="009C3AE9" w:rsidRDefault="009C3AE9" w:rsidP="00272E0F">
            <w:pPr>
              <w:pStyle w:val="Table"/>
              <w:jc w:val="center"/>
              <w:rPr>
                <w:rFonts w:ascii="Times New Roman" w:hAnsi="Times New Roman"/>
                <w:sz w:val="16"/>
                <w:szCs w:val="16"/>
              </w:rPr>
            </w:pPr>
            <w:r w:rsidRPr="00272E0F">
              <w:rPr>
                <w:rFonts w:ascii="Times New Roman" w:hAnsi="Times New Roman"/>
                <w:sz w:val="16"/>
                <w:szCs w:val="16"/>
              </w:rPr>
              <w:t>(Group 2)</w:t>
            </w:r>
          </w:p>
          <w:p w14:paraId="37FE044C" w14:textId="56045A64" w:rsidR="009C3AE9" w:rsidRPr="00272E0F" w:rsidRDefault="00DD41D9" w:rsidP="006069DE">
            <w:pPr>
              <w:pStyle w:val="Table"/>
              <w:jc w:val="center"/>
              <w:rPr>
                <w:rFonts w:ascii="Times New Roman" w:hAnsi="Times New Roman"/>
                <w:sz w:val="16"/>
                <w:szCs w:val="16"/>
              </w:rPr>
            </w:pPr>
            <w:r>
              <w:rPr>
                <w:sz w:val="16"/>
                <w:szCs w:val="16"/>
              </w:rPr>
              <w:t>N</w:t>
            </w:r>
            <w:r w:rsidR="009C3AE9">
              <w:rPr>
                <w:sz w:val="16"/>
                <w:szCs w:val="16"/>
              </w:rPr>
              <w:t xml:space="preserve"> = 60</w:t>
            </w:r>
          </w:p>
        </w:tc>
        <w:tc>
          <w:tcPr>
            <w:tcW w:w="1577" w:type="dxa"/>
            <w:tcBorders>
              <w:bottom w:val="single" w:sz="4" w:space="0" w:color="auto"/>
            </w:tcBorders>
            <w:shd w:val="clear" w:color="auto" w:fill="auto"/>
          </w:tcPr>
          <w:p w14:paraId="26F7AF47" w14:textId="77777777" w:rsidR="009C3AE9" w:rsidRPr="00272E0F" w:rsidRDefault="009C3AE9" w:rsidP="00272E0F">
            <w:pPr>
              <w:pStyle w:val="Table"/>
              <w:jc w:val="center"/>
              <w:rPr>
                <w:rFonts w:ascii="Times New Roman" w:hAnsi="Times New Roman"/>
                <w:sz w:val="16"/>
                <w:szCs w:val="16"/>
              </w:rPr>
            </w:pPr>
            <w:r w:rsidRPr="00272E0F">
              <w:rPr>
                <w:rFonts w:ascii="Times New Roman" w:hAnsi="Times New Roman"/>
                <w:sz w:val="16"/>
                <w:szCs w:val="16"/>
              </w:rPr>
              <w:t>Extended</w:t>
            </w:r>
          </w:p>
          <w:p w14:paraId="070BFE34" w14:textId="77777777" w:rsidR="009C3AE9" w:rsidRDefault="009C3AE9" w:rsidP="00272E0F">
            <w:pPr>
              <w:pStyle w:val="Table"/>
              <w:jc w:val="center"/>
              <w:rPr>
                <w:rFonts w:ascii="Times New Roman" w:hAnsi="Times New Roman"/>
                <w:sz w:val="16"/>
                <w:szCs w:val="16"/>
              </w:rPr>
            </w:pPr>
            <w:r w:rsidRPr="00272E0F">
              <w:rPr>
                <w:rFonts w:ascii="Times New Roman" w:hAnsi="Times New Roman"/>
                <w:sz w:val="16"/>
                <w:szCs w:val="16"/>
              </w:rPr>
              <w:t>(Group 3)</w:t>
            </w:r>
          </w:p>
          <w:p w14:paraId="61C974F7" w14:textId="7FFDFB2E" w:rsidR="009C3AE9" w:rsidRPr="00272E0F" w:rsidRDefault="00DD41D9" w:rsidP="006069DE">
            <w:pPr>
              <w:pStyle w:val="Table"/>
              <w:jc w:val="center"/>
              <w:rPr>
                <w:rFonts w:ascii="Times New Roman" w:hAnsi="Times New Roman"/>
                <w:sz w:val="16"/>
                <w:szCs w:val="16"/>
              </w:rPr>
            </w:pPr>
            <w:r>
              <w:rPr>
                <w:sz w:val="16"/>
                <w:szCs w:val="16"/>
              </w:rPr>
              <w:t>N</w:t>
            </w:r>
            <w:r w:rsidR="009C3AE9">
              <w:rPr>
                <w:sz w:val="16"/>
                <w:szCs w:val="16"/>
              </w:rPr>
              <w:t xml:space="preserve"> = 69</w:t>
            </w:r>
          </w:p>
        </w:tc>
      </w:tr>
      <w:tr w:rsidR="00CB1FC8" w:rsidRPr="00272E0F" w14:paraId="14833730" w14:textId="77777777" w:rsidTr="009C3AE9">
        <w:tc>
          <w:tcPr>
            <w:tcW w:w="901" w:type="dxa"/>
            <w:shd w:val="clear" w:color="auto" w:fill="auto"/>
          </w:tcPr>
          <w:p w14:paraId="7292FC0D"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1</w:t>
            </w:r>
          </w:p>
        </w:tc>
        <w:tc>
          <w:tcPr>
            <w:tcW w:w="1327" w:type="dxa"/>
            <w:shd w:val="clear" w:color="auto" w:fill="auto"/>
          </w:tcPr>
          <w:p w14:paraId="0BDC71E4"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0.03 (0.01-0.07)</w:t>
            </w:r>
          </w:p>
        </w:tc>
        <w:tc>
          <w:tcPr>
            <w:tcW w:w="1516" w:type="dxa"/>
            <w:shd w:val="clear" w:color="auto" w:fill="auto"/>
          </w:tcPr>
          <w:p w14:paraId="2309F259"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0.85 (0.74-0.92)</w:t>
            </w:r>
          </w:p>
        </w:tc>
        <w:tc>
          <w:tcPr>
            <w:tcW w:w="1489" w:type="dxa"/>
            <w:shd w:val="clear" w:color="auto" w:fill="auto"/>
            <w:vAlign w:val="center"/>
          </w:tcPr>
          <w:p w14:paraId="4FA314DA"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0.80 (0.68-0.89)</w:t>
            </w:r>
            <w:r w:rsidRPr="00272E0F">
              <w:rPr>
                <w:rFonts w:ascii="Times New Roman" w:hAnsi="Times New Roman"/>
                <w:i/>
                <w:vertAlign w:val="superscript"/>
                <w:lang w:eastAsia="en-GB"/>
              </w:rPr>
              <w:t>b</w:t>
            </w:r>
          </w:p>
        </w:tc>
        <w:tc>
          <w:tcPr>
            <w:tcW w:w="1577" w:type="dxa"/>
            <w:shd w:val="clear" w:color="auto" w:fill="auto"/>
            <w:vAlign w:val="center"/>
          </w:tcPr>
          <w:p w14:paraId="3E63C4D7"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0.94 (0.86-0.98)</w:t>
            </w:r>
          </w:p>
        </w:tc>
      </w:tr>
      <w:tr w:rsidR="00CB1FC8" w:rsidRPr="00272E0F" w14:paraId="4D3B9E86" w14:textId="77777777" w:rsidTr="009C3AE9">
        <w:tc>
          <w:tcPr>
            <w:tcW w:w="901" w:type="dxa"/>
            <w:shd w:val="clear" w:color="auto" w:fill="auto"/>
          </w:tcPr>
          <w:p w14:paraId="08E8E011"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3</w:t>
            </w:r>
          </w:p>
        </w:tc>
        <w:tc>
          <w:tcPr>
            <w:tcW w:w="1327" w:type="dxa"/>
            <w:shd w:val="clear" w:color="auto" w:fill="auto"/>
            <w:vAlign w:val="center"/>
          </w:tcPr>
          <w:p w14:paraId="68E8A56B"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0.01 (0.00-0.03)</w:t>
            </w:r>
          </w:p>
        </w:tc>
        <w:tc>
          <w:tcPr>
            <w:tcW w:w="1516" w:type="dxa"/>
            <w:shd w:val="clear" w:color="auto" w:fill="auto"/>
            <w:vAlign w:val="center"/>
          </w:tcPr>
          <w:p w14:paraId="401EF162"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0.61 (0.48-0.73)</w:t>
            </w:r>
          </w:p>
        </w:tc>
        <w:tc>
          <w:tcPr>
            <w:tcW w:w="1489" w:type="dxa"/>
            <w:shd w:val="clear" w:color="auto" w:fill="auto"/>
            <w:vAlign w:val="center"/>
          </w:tcPr>
          <w:p w14:paraId="7E1F0B93"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0.66 (0.53-0.78)</w:t>
            </w:r>
          </w:p>
        </w:tc>
        <w:tc>
          <w:tcPr>
            <w:tcW w:w="1577" w:type="dxa"/>
            <w:shd w:val="clear" w:color="auto" w:fill="auto"/>
            <w:vAlign w:val="center"/>
          </w:tcPr>
          <w:p w14:paraId="080BF17B"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0.80 (0.68-0.88)</w:t>
            </w:r>
            <w:r w:rsidRPr="00272E0F">
              <w:rPr>
                <w:rFonts w:ascii="Times New Roman" w:hAnsi="Times New Roman"/>
                <w:vertAlign w:val="superscript"/>
                <w:lang w:eastAsia="en-GB"/>
              </w:rPr>
              <w:t>c</w:t>
            </w:r>
          </w:p>
        </w:tc>
      </w:tr>
      <w:tr w:rsidR="00CB1FC8" w:rsidRPr="00272E0F" w14:paraId="63B7CD64" w14:textId="77777777" w:rsidTr="009C3AE9">
        <w:tc>
          <w:tcPr>
            <w:tcW w:w="901" w:type="dxa"/>
            <w:shd w:val="clear" w:color="auto" w:fill="auto"/>
          </w:tcPr>
          <w:p w14:paraId="033D6648"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4</w:t>
            </w:r>
          </w:p>
        </w:tc>
        <w:tc>
          <w:tcPr>
            <w:tcW w:w="1327" w:type="dxa"/>
            <w:shd w:val="clear" w:color="auto" w:fill="auto"/>
            <w:vAlign w:val="center"/>
          </w:tcPr>
          <w:p w14:paraId="65898556"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0.02 (0.01-0.05)</w:t>
            </w:r>
          </w:p>
        </w:tc>
        <w:tc>
          <w:tcPr>
            <w:tcW w:w="1516" w:type="dxa"/>
            <w:shd w:val="clear" w:color="auto" w:fill="auto"/>
            <w:vAlign w:val="center"/>
          </w:tcPr>
          <w:p w14:paraId="67CD2263"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0.92 (0.83-0.97)</w:t>
            </w:r>
          </w:p>
        </w:tc>
        <w:tc>
          <w:tcPr>
            <w:tcW w:w="1489" w:type="dxa"/>
            <w:shd w:val="clear" w:color="auto" w:fill="auto"/>
            <w:vAlign w:val="center"/>
          </w:tcPr>
          <w:p w14:paraId="43AD2142"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0.88 (0.77-0.95)</w:t>
            </w:r>
          </w:p>
        </w:tc>
        <w:tc>
          <w:tcPr>
            <w:tcW w:w="1577" w:type="dxa"/>
            <w:shd w:val="clear" w:color="auto" w:fill="auto"/>
            <w:vAlign w:val="center"/>
          </w:tcPr>
          <w:p w14:paraId="63E1AD07"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0.94 (0.86-0.98)</w:t>
            </w:r>
          </w:p>
        </w:tc>
      </w:tr>
      <w:tr w:rsidR="00CB1FC8" w:rsidRPr="00272E0F" w14:paraId="2256B5B4" w14:textId="77777777" w:rsidTr="009C3AE9">
        <w:tc>
          <w:tcPr>
            <w:tcW w:w="901" w:type="dxa"/>
            <w:shd w:val="clear" w:color="auto" w:fill="auto"/>
          </w:tcPr>
          <w:p w14:paraId="1D4F6C18"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5</w:t>
            </w:r>
          </w:p>
        </w:tc>
        <w:tc>
          <w:tcPr>
            <w:tcW w:w="1327" w:type="dxa"/>
            <w:shd w:val="clear" w:color="auto" w:fill="auto"/>
            <w:vAlign w:val="center"/>
          </w:tcPr>
          <w:p w14:paraId="0AF28460"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0.02 (0.01-0.05)</w:t>
            </w:r>
          </w:p>
        </w:tc>
        <w:tc>
          <w:tcPr>
            <w:tcW w:w="1516" w:type="dxa"/>
            <w:shd w:val="clear" w:color="auto" w:fill="auto"/>
            <w:vAlign w:val="center"/>
          </w:tcPr>
          <w:p w14:paraId="14CD1E6F"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0.36 (0.25-0.49)</w:t>
            </w:r>
          </w:p>
        </w:tc>
        <w:tc>
          <w:tcPr>
            <w:tcW w:w="1489" w:type="dxa"/>
            <w:shd w:val="clear" w:color="auto" w:fill="auto"/>
            <w:vAlign w:val="center"/>
          </w:tcPr>
          <w:p w14:paraId="1C154DB6"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0.47 (0.34-0.60)</w:t>
            </w:r>
            <w:r w:rsidRPr="00272E0F">
              <w:rPr>
                <w:rFonts w:ascii="Times New Roman" w:hAnsi="Times New Roman"/>
                <w:i/>
                <w:vertAlign w:val="superscript"/>
                <w:lang w:eastAsia="en-GB"/>
              </w:rPr>
              <w:t xml:space="preserve"> b</w:t>
            </w:r>
          </w:p>
        </w:tc>
        <w:tc>
          <w:tcPr>
            <w:tcW w:w="1577" w:type="dxa"/>
            <w:shd w:val="clear" w:color="auto" w:fill="auto"/>
            <w:vAlign w:val="center"/>
          </w:tcPr>
          <w:p w14:paraId="7852FA3C"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0.74 (0.62-0.84)</w:t>
            </w:r>
            <w:r w:rsidRPr="00272E0F">
              <w:rPr>
                <w:rFonts w:ascii="Times New Roman" w:hAnsi="Times New Roman"/>
                <w:i/>
                <w:vertAlign w:val="superscript"/>
                <w:lang w:eastAsia="en-GB"/>
              </w:rPr>
              <w:t>c*</w:t>
            </w:r>
          </w:p>
        </w:tc>
      </w:tr>
      <w:tr w:rsidR="00CB1FC8" w:rsidRPr="00272E0F" w14:paraId="64728270" w14:textId="77777777" w:rsidTr="009C3AE9">
        <w:tc>
          <w:tcPr>
            <w:tcW w:w="901" w:type="dxa"/>
            <w:shd w:val="clear" w:color="auto" w:fill="auto"/>
          </w:tcPr>
          <w:p w14:paraId="73856F10"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6A</w:t>
            </w:r>
          </w:p>
        </w:tc>
        <w:tc>
          <w:tcPr>
            <w:tcW w:w="1327" w:type="dxa"/>
            <w:shd w:val="clear" w:color="auto" w:fill="auto"/>
            <w:vAlign w:val="center"/>
          </w:tcPr>
          <w:p w14:paraId="6102AD40"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0.13 (0.09-0.19)</w:t>
            </w:r>
          </w:p>
        </w:tc>
        <w:tc>
          <w:tcPr>
            <w:tcW w:w="1516" w:type="dxa"/>
            <w:shd w:val="clear" w:color="auto" w:fill="auto"/>
          </w:tcPr>
          <w:p w14:paraId="3EBD5494"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0.58 (0.45-0.70)</w:t>
            </w:r>
          </w:p>
        </w:tc>
        <w:tc>
          <w:tcPr>
            <w:tcW w:w="1489" w:type="dxa"/>
            <w:shd w:val="clear" w:color="auto" w:fill="auto"/>
            <w:vAlign w:val="center"/>
          </w:tcPr>
          <w:p w14:paraId="006293ED"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0.72 (0.59-0.83)</w:t>
            </w:r>
            <w:r w:rsidRPr="00272E0F">
              <w:rPr>
                <w:rFonts w:ascii="Times New Roman" w:hAnsi="Times New Roman"/>
                <w:i/>
                <w:vertAlign w:val="superscript"/>
                <w:lang w:eastAsia="en-GB"/>
              </w:rPr>
              <w:t>b*</w:t>
            </w:r>
          </w:p>
        </w:tc>
        <w:tc>
          <w:tcPr>
            <w:tcW w:w="1577" w:type="dxa"/>
            <w:shd w:val="clear" w:color="auto" w:fill="auto"/>
            <w:vAlign w:val="center"/>
          </w:tcPr>
          <w:p w14:paraId="60D19CA0"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0.94 (0.86-0.98)</w:t>
            </w:r>
            <w:r w:rsidRPr="00272E0F">
              <w:rPr>
                <w:rFonts w:ascii="Times New Roman" w:hAnsi="Times New Roman"/>
                <w:i/>
                <w:vertAlign w:val="superscript"/>
                <w:lang w:eastAsia="en-GB"/>
              </w:rPr>
              <w:t xml:space="preserve"> c*</w:t>
            </w:r>
          </w:p>
        </w:tc>
      </w:tr>
      <w:tr w:rsidR="00CB1FC8" w:rsidRPr="00272E0F" w14:paraId="7CAC2A7F" w14:textId="77777777" w:rsidTr="009C3AE9">
        <w:tc>
          <w:tcPr>
            <w:tcW w:w="901" w:type="dxa"/>
            <w:shd w:val="clear" w:color="auto" w:fill="auto"/>
          </w:tcPr>
          <w:p w14:paraId="1802E286"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6B</w:t>
            </w:r>
          </w:p>
        </w:tc>
        <w:tc>
          <w:tcPr>
            <w:tcW w:w="1327" w:type="dxa"/>
            <w:shd w:val="clear" w:color="auto" w:fill="auto"/>
            <w:vAlign w:val="center"/>
          </w:tcPr>
          <w:p w14:paraId="41B8EE5E"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0.07 (0.04-0.11)</w:t>
            </w:r>
          </w:p>
        </w:tc>
        <w:tc>
          <w:tcPr>
            <w:tcW w:w="1516" w:type="dxa"/>
            <w:shd w:val="clear" w:color="auto" w:fill="auto"/>
            <w:vAlign w:val="center"/>
          </w:tcPr>
          <w:p w14:paraId="6E9D751F"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0.20 (0.11-0.31)</w:t>
            </w:r>
            <w:r w:rsidRPr="00272E0F">
              <w:rPr>
                <w:rFonts w:ascii="Times New Roman" w:hAnsi="Times New Roman"/>
                <w:i/>
                <w:vertAlign w:val="superscript"/>
                <w:lang w:eastAsia="en-GB"/>
              </w:rPr>
              <w:t>a*</w:t>
            </w:r>
          </w:p>
        </w:tc>
        <w:tc>
          <w:tcPr>
            <w:tcW w:w="1489" w:type="dxa"/>
            <w:shd w:val="clear" w:color="auto" w:fill="auto"/>
            <w:vAlign w:val="center"/>
          </w:tcPr>
          <w:p w14:paraId="29A31276"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0.52 (0.38-0.65)</w:t>
            </w:r>
            <w:r w:rsidRPr="00272E0F">
              <w:rPr>
                <w:rFonts w:ascii="Times New Roman" w:hAnsi="Times New Roman"/>
                <w:i/>
                <w:vertAlign w:val="superscript"/>
                <w:lang w:eastAsia="en-GB"/>
              </w:rPr>
              <w:t xml:space="preserve"> b</w:t>
            </w:r>
          </w:p>
        </w:tc>
        <w:tc>
          <w:tcPr>
            <w:tcW w:w="1577" w:type="dxa"/>
            <w:shd w:val="clear" w:color="auto" w:fill="auto"/>
          </w:tcPr>
          <w:p w14:paraId="7007F76E"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0.78 (0.66-0.87)</w:t>
            </w:r>
            <w:r w:rsidRPr="00272E0F">
              <w:rPr>
                <w:rFonts w:ascii="Times New Roman" w:hAnsi="Times New Roman"/>
                <w:i/>
                <w:vertAlign w:val="superscript"/>
                <w:lang w:eastAsia="en-GB"/>
              </w:rPr>
              <w:t xml:space="preserve"> </w:t>
            </w:r>
            <w:r w:rsidRPr="00272E0F">
              <w:rPr>
                <w:rFonts w:ascii="Times New Roman" w:hAnsi="Times New Roman"/>
                <w:i/>
                <w:sz w:val="16"/>
                <w:szCs w:val="16"/>
                <w:vertAlign w:val="superscript"/>
                <w:lang w:eastAsia="en-GB"/>
              </w:rPr>
              <w:t>c*</w:t>
            </w:r>
          </w:p>
        </w:tc>
      </w:tr>
      <w:tr w:rsidR="00CB1FC8" w:rsidRPr="00272E0F" w14:paraId="40551E5F" w14:textId="77777777" w:rsidTr="009C3AE9">
        <w:tc>
          <w:tcPr>
            <w:tcW w:w="901" w:type="dxa"/>
            <w:shd w:val="clear" w:color="auto" w:fill="auto"/>
          </w:tcPr>
          <w:p w14:paraId="73E74DEF"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7F</w:t>
            </w:r>
          </w:p>
        </w:tc>
        <w:tc>
          <w:tcPr>
            <w:tcW w:w="1327" w:type="dxa"/>
            <w:shd w:val="clear" w:color="auto" w:fill="auto"/>
            <w:vAlign w:val="center"/>
          </w:tcPr>
          <w:p w14:paraId="0BA5B726"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0.05 (0.02-0.09)</w:t>
            </w:r>
          </w:p>
        </w:tc>
        <w:tc>
          <w:tcPr>
            <w:tcW w:w="1516" w:type="dxa"/>
            <w:shd w:val="clear" w:color="auto" w:fill="auto"/>
            <w:vAlign w:val="center"/>
          </w:tcPr>
          <w:p w14:paraId="6F6FE0E1"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0.91 (0.81-0.97)</w:t>
            </w:r>
          </w:p>
        </w:tc>
        <w:tc>
          <w:tcPr>
            <w:tcW w:w="1489" w:type="dxa"/>
            <w:shd w:val="clear" w:color="auto" w:fill="auto"/>
          </w:tcPr>
          <w:p w14:paraId="3212FACB"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0.97 (0.88-1.00)</w:t>
            </w:r>
          </w:p>
        </w:tc>
        <w:tc>
          <w:tcPr>
            <w:tcW w:w="1577" w:type="dxa"/>
            <w:shd w:val="clear" w:color="auto" w:fill="auto"/>
          </w:tcPr>
          <w:p w14:paraId="1D2C1CAF"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1.00 (0.95-1.00)</w:t>
            </w:r>
            <w:r w:rsidRPr="00272E0F">
              <w:rPr>
                <w:rFonts w:ascii="Times New Roman" w:hAnsi="Times New Roman"/>
                <w:i/>
                <w:sz w:val="16"/>
                <w:szCs w:val="16"/>
                <w:vertAlign w:val="superscript"/>
                <w:lang w:eastAsia="en-GB"/>
              </w:rPr>
              <w:t xml:space="preserve"> c*</w:t>
            </w:r>
          </w:p>
        </w:tc>
      </w:tr>
      <w:tr w:rsidR="00CB1FC8" w:rsidRPr="00272E0F" w14:paraId="1AFF557C" w14:textId="77777777" w:rsidTr="009C3AE9">
        <w:tc>
          <w:tcPr>
            <w:tcW w:w="901" w:type="dxa"/>
            <w:shd w:val="clear" w:color="auto" w:fill="auto"/>
          </w:tcPr>
          <w:p w14:paraId="1C7AF037"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9V</w:t>
            </w:r>
          </w:p>
        </w:tc>
        <w:tc>
          <w:tcPr>
            <w:tcW w:w="1327" w:type="dxa"/>
            <w:shd w:val="clear" w:color="auto" w:fill="auto"/>
            <w:vAlign w:val="center"/>
          </w:tcPr>
          <w:p w14:paraId="335E2F52"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0.06 (0.03-0.10)</w:t>
            </w:r>
          </w:p>
        </w:tc>
        <w:tc>
          <w:tcPr>
            <w:tcW w:w="1516" w:type="dxa"/>
            <w:shd w:val="clear" w:color="auto" w:fill="auto"/>
            <w:vAlign w:val="center"/>
          </w:tcPr>
          <w:p w14:paraId="3F4A1F40"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0.59 (0.46-0.71)</w:t>
            </w:r>
            <w:r w:rsidRPr="00272E0F">
              <w:rPr>
                <w:rFonts w:ascii="Times New Roman" w:hAnsi="Times New Roman"/>
                <w:i/>
                <w:vertAlign w:val="superscript"/>
                <w:lang w:eastAsia="en-GB"/>
              </w:rPr>
              <w:t>a</w:t>
            </w:r>
          </w:p>
        </w:tc>
        <w:tc>
          <w:tcPr>
            <w:tcW w:w="1489" w:type="dxa"/>
            <w:shd w:val="clear" w:color="auto" w:fill="auto"/>
            <w:vAlign w:val="center"/>
          </w:tcPr>
          <w:p w14:paraId="199DB883"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0.85 (0.73-0.93)</w:t>
            </w:r>
          </w:p>
        </w:tc>
        <w:tc>
          <w:tcPr>
            <w:tcW w:w="1577" w:type="dxa"/>
            <w:shd w:val="clear" w:color="auto" w:fill="auto"/>
          </w:tcPr>
          <w:p w14:paraId="52BC4065"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0.93 (0.84-0.98)</w:t>
            </w:r>
            <w:r w:rsidRPr="00272E0F">
              <w:rPr>
                <w:rFonts w:ascii="Times New Roman" w:hAnsi="Times New Roman"/>
                <w:i/>
                <w:sz w:val="16"/>
                <w:szCs w:val="16"/>
                <w:vertAlign w:val="superscript"/>
                <w:lang w:eastAsia="en-GB"/>
              </w:rPr>
              <w:t xml:space="preserve"> c*</w:t>
            </w:r>
          </w:p>
        </w:tc>
      </w:tr>
      <w:tr w:rsidR="00CB1FC8" w:rsidRPr="00272E0F" w14:paraId="1C9464F7" w14:textId="77777777" w:rsidTr="009C3AE9">
        <w:tc>
          <w:tcPr>
            <w:tcW w:w="901" w:type="dxa"/>
            <w:shd w:val="clear" w:color="auto" w:fill="auto"/>
          </w:tcPr>
          <w:p w14:paraId="507F3403"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14</w:t>
            </w:r>
          </w:p>
        </w:tc>
        <w:tc>
          <w:tcPr>
            <w:tcW w:w="1327" w:type="dxa"/>
            <w:shd w:val="clear" w:color="auto" w:fill="auto"/>
            <w:vAlign w:val="center"/>
          </w:tcPr>
          <w:p w14:paraId="3AFB393F"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0.38 (0.31-0.45)</w:t>
            </w:r>
          </w:p>
        </w:tc>
        <w:tc>
          <w:tcPr>
            <w:tcW w:w="1516" w:type="dxa"/>
            <w:shd w:val="clear" w:color="auto" w:fill="auto"/>
            <w:vAlign w:val="center"/>
          </w:tcPr>
          <w:p w14:paraId="52CFFDC7"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0.94 (0.85-0.98)</w:t>
            </w:r>
          </w:p>
        </w:tc>
        <w:tc>
          <w:tcPr>
            <w:tcW w:w="1489" w:type="dxa"/>
            <w:shd w:val="clear" w:color="auto" w:fill="auto"/>
          </w:tcPr>
          <w:p w14:paraId="1047979C"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0.98 (0.91-1.00)</w:t>
            </w:r>
          </w:p>
        </w:tc>
        <w:tc>
          <w:tcPr>
            <w:tcW w:w="1577" w:type="dxa"/>
            <w:shd w:val="clear" w:color="auto" w:fill="auto"/>
            <w:vAlign w:val="center"/>
          </w:tcPr>
          <w:p w14:paraId="258FE6C2"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0.99 (0.92-1.00)</w:t>
            </w:r>
          </w:p>
        </w:tc>
      </w:tr>
      <w:tr w:rsidR="00CB1FC8" w:rsidRPr="00272E0F" w14:paraId="19F64807" w14:textId="77777777" w:rsidTr="009C3AE9">
        <w:tc>
          <w:tcPr>
            <w:tcW w:w="901" w:type="dxa"/>
            <w:shd w:val="clear" w:color="auto" w:fill="auto"/>
          </w:tcPr>
          <w:p w14:paraId="03F20BF6"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18C</w:t>
            </w:r>
          </w:p>
        </w:tc>
        <w:tc>
          <w:tcPr>
            <w:tcW w:w="1327" w:type="dxa"/>
            <w:shd w:val="clear" w:color="auto" w:fill="auto"/>
            <w:vAlign w:val="center"/>
          </w:tcPr>
          <w:p w14:paraId="77C180A1"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0.05 (0.02-0.08)</w:t>
            </w:r>
          </w:p>
        </w:tc>
        <w:tc>
          <w:tcPr>
            <w:tcW w:w="1516" w:type="dxa"/>
            <w:shd w:val="clear" w:color="auto" w:fill="auto"/>
            <w:vAlign w:val="center"/>
          </w:tcPr>
          <w:p w14:paraId="55709D65"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0.88 (0.78-0.95)</w:t>
            </w:r>
          </w:p>
        </w:tc>
        <w:tc>
          <w:tcPr>
            <w:tcW w:w="1489" w:type="dxa"/>
            <w:shd w:val="clear" w:color="auto" w:fill="auto"/>
          </w:tcPr>
          <w:p w14:paraId="5C52FDBD"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0.87 (0.75-0.94)</w:t>
            </w:r>
          </w:p>
        </w:tc>
        <w:tc>
          <w:tcPr>
            <w:tcW w:w="1577" w:type="dxa"/>
            <w:shd w:val="clear" w:color="auto" w:fill="auto"/>
          </w:tcPr>
          <w:p w14:paraId="76DD1186"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lang w:eastAsia="en-GB"/>
              </w:rPr>
              <w:t>0.96 (0.88-0.99)</w:t>
            </w:r>
          </w:p>
        </w:tc>
      </w:tr>
      <w:tr w:rsidR="00CB1FC8" w:rsidRPr="00272E0F" w14:paraId="402350C7" w14:textId="77777777" w:rsidTr="009C3AE9">
        <w:tc>
          <w:tcPr>
            <w:tcW w:w="901" w:type="dxa"/>
            <w:shd w:val="clear" w:color="auto" w:fill="auto"/>
          </w:tcPr>
          <w:p w14:paraId="1836023F"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19A</w:t>
            </w:r>
          </w:p>
        </w:tc>
        <w:tc>
          <w:tcPr>
            <w:tcW w:w="1327" w:type="dxa"/>
            <w:shd w:val="clear" w:color="auto" w:fill="auto"/>
            <w:vAlign w:val="center"/>
          </w:tcPr>
          <w:p w14:paraId="6B00EC39"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0.24 (0.18-0.30)</w:t>
            </w:r>
          </w:p>
        </w:tc>
        <w:tc>
          <w:tcPr>
            <w:tcW w:w="1516" w:type="dxa"/>
            <w:shd w:val="clear" w:color="auto" w:fill="auto"/>
            <w:vAlign w:val="center"/>
          </w:tcPr>
          <w:p w14:paraId="1D732F89"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0.83 (0.72-0.91)</w:t>
            </w:r>
            <w:r w:rsidRPr="00272E0F">
              <w:rPr>
                <w:rFonts w:ascii="Times New Roman" w:hAnsi="Times New Roman"/>
                <w:i/>
                <w:vertAlign w:val="superscript"/>
                <w:lang w:eastAsia="en-GB"/>
              </w:rPr>
              <w:t>a</w:t>
            </w:r>
          </w:p>
        </w:tc>
        <w:tc>
          <w:tcPr>
            <w:tcW w:w="1489" w:type="dxa"/>
            <w:shd w:val="clear" w:color="auto" w:fill="auto"/>
            <w:vAlign w:val="center"/>
          </w:tcPr>
          <w:p w14:paraId="66F352BD"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0.95 (0.86-0.99)</w:t>
            </w:r>
          </w:p>
        </w:tc>
        <w:tc>
          <w:tcPr>
            <w:tcW w:w="1577" w:type="dxa"/>
            <w:shd w:val="clear" w:color="auto" w:fill="auto"/>
            <w:vAlign w:val="center"/>
          </w:tcPr>
          <w:p w14:paraId="1FBA10CD"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0.96 (0.88-0.99)</w:t>
            </w:r>
            <w:r w:rsidRPr="00272E0F">
              <w:rPr>
                <w:rFonts w:ascii="Times New Roman" w:hAnsi="Times New Roman"/>
                <w:i/>
                <w:vertAlign w:val="superscript"/>
                <w:lang w:eastAsia="en-GB"/>
              </w:rPr>
              <w:t xml:space="preserve"> c</w:t>
            </w:r>
          </w:p>
        </w:tc>
      </w:tr>
      <w:tr w:rsidR="00CB1FC8" w:rsidRPr="00272E0F" w14:paraId="5E50B191" w14:textId="77777777" w:rsidTr="009C3AE9">
        <w:tc>
          <w:tcPr>
            <w:tcW w:w="901" w:type="dxa"/>
            <w:shd w:val="clear" w:color="auto" w:fill="auto"/>
          </w:tcPr>
          <w:p w14:paraId="25DEC700"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19F</w:t>
            </w:r>
          </w:p>
        </w:tc>
        <w:tc>
          <w:tcPr>
            <w:tcW w:w="1327" w:type="dxa"/>
            <w:shd w:val="clear" w:color="auto" w:fill="auto"/>
            <w:vAlign w:val="center"/>
          </w:tcPr>
          <w:p w14:paraId="6E850345"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0.14 (0.09-0.19)</w:t>
            </w:r>
          </w:p>
        </w:tc>
        <w:tc>
          <w:tcPr>
            <w:tcW w:w="1516" w:type="dxa"/>
            <w:shd w:val="clear" w:color="auto" w:fill="auto"/>
            <w:vAlign w:val="center"/>
          </w:tcPr>
          <w:p w14:paraId="7FDB57B6"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0.97 (0.89-1.00)</w:t>
            </w:r>
          </w:p>
        </w:tc>
        <w:tc>
          <w:tcPr>
            <w:tcW w:w="1489" w:type="dxa"/>
            <w:shd w:val="clear" w:color="auto" w:fill="auto"/>
            <w:vAlign w:val="center"/>
          </w:tcPr>
          <w:p w14:paraId="1CC0E5D1"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1.00 (0.94-1.00)</w:t>
            </w:r>
          </w:p>
        </w:tc>
        <w:tc>
          <w:tcPr>
            <w:tcW w:w="1577" w:type="dxa"/>
            <w:shd w:val="clear" w:color="auto" w:fill="auto"/>
            <w:vAlign w:val="center"/>
          </w:tcPr>
          <w:p w14:paraId="2F3D50C7"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1.00 (0.95-1.00)</w:t>
            </w:r>
          </w:p>
        </w:tc>
      </w:tr>
      <w:tr w:rsidR="00CB1FC8" w:rsidRPr="00272E0F" w14:paraId="05CD31CB" w14:textId="77777777" w:rsidTr="009C3AE9">
        <w:tc>
          <w:tcPr>
            <w:tcW w:w="901" w:type="dxa"/>
            <w:shd w:val="clear" w:color="auto" w:fill="auto"/>
          </w:tcPr>
          <w:p w14:paraId="58B8E842" w14:textId="77777777" w:rsidR="00545D33" w:rsidRPr="00272E0F" w:rsidRDefault="00545D33" w:rsidP="00AD7F05">
            <w:pPr>
              <w:pStyle w:val="Table"/>
              <w:rPr>
                <w:rFonts w:ascii="Times New Roman" w:hAnsi="Times New Roman"/>
                <w:sz w:val="16"/>
                <w:szCs w:val="16"/>
              </w:rPr>
            </w:pPr>
            <w:r w:rsidRPr="00272E0F">
              <w:rPr>
                <w:rFonts w:ascii="Times New Roman" w:hAnsi="Times New Roman"/>
                <w:sz w:val="16"/>
                <w:szCs w:val="16"/>
              </w:rPr>
              <w:t>23F</w:t>
            </w:r>
          </w:p>
        </w:tc>
        <w:tc>
          <w:tcPr>
            <w:tcW w:w="1327" w:type="dxa"/>
            <w:shd w:val="clear" w:color="auto" w:fill="auto"/>
            <w:vAlign w:val="center"/>
          </w:tcPr>
          <w:p w14:paraId="48B30AFC"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0.06 (0.03-0.10)</w:t>
            </w:r>
          </w:p>
        </w:tc>
        <w:tc>
          <w:tcPr>
            <w:tcW w:w="1516" w:type="dxa"/>
            <w:shd w:val="clear" w:color="auto" w:fill="auto"/>
            <w:vAlign w:val="center"/>
          </w:tcPr>
          <w:p w14:paraId="17B94BAD"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0.47 (0.34-0.60)</w:t>
            </w:r>
          </w:p>
        </w:tc>
        <w:tc>
          <w:tcPr>
            <w:tcW w:w="1489" w:type="dxa"/>
            <w:shd w:val="clear" w:color="auto" w:fill="auto"/>
            <w:vAlign w:val="center"/>
          </w:tcPr>
          <w:p w14:paraId="3A98F56E"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0.63 (0.50-0.75)</w:t>
            </w:r>
            <w:r w:rsidRPr="00272E0F">
              <w:rPr>
                <w:rFonts w:ascii="Times New Roman" w:hAnsi="Times New Roman"/>
                <w:i/>
                <w:vertAlign w:val="superscript"/>
                <w:lang w:eastAsia="en-GB"/>
              </w:rPr>
              <w:t xml:space="preserve"> b</w:t>
            </w:r>
          </w:p>
        </w:tc>
        <w:tc>
          <w:tcPr>
            <w:tcW w:w="1577" w:type="dxa"/>
            <w:shd w:val="clear" w:color="auto" w:fill="auto"/>
            <w:vAlign w:val="center"/>
          </w:tcPr>
          <w:p w14:paraId="190C3EAD" w14:textId="77777777" w:rsidR="00545D33" w:rsidRPr="00272E0F" w:rsidRDefault="00545D33" w:rsidP="00AD7F05">
            <w:pPr>
              <w:pStyle w:val="Tablesmall"/>
              <w:rPr>
                <w:rFonts w:ascii="Times New Roman" w:hAnsi="Times New Roman"/>
                <w:lang w:eastAsia="en-GB"/>
              </w:rPr>
            </w:pPr>
            <w:r w:rsidRPr="00272E0F">
              <w:rPr>
                <w:rFonts w:ascii="Times New Roman" w:hAnsi="Times New Roman"/>
                <w:lang w:eastAsia="en-GB"/>
              </w:rPr>
              <w:t>0.83 (0.72-0.91)</w:t>
            </w:r>
            <w:r w:rsidRPr="00272E0F">
              <w:rPr>
                <w:rFonts w:ascii="Times New Roman" w:hAnsi="Times New Roman"/>
                <w:i/>
                <w:vertAlign w:val="superscript"/>
                <w:lang w:eastAsia="en-GB"/>
              </w:rPr>
              <w:t xml:space="preserve"> c*</w:t>
            </w:r>
          </w:p>
        </w:tc>
      </w:tr>
    </w:tbl>
    <w:p w14:paraId="2BFBDC0A" w14:textId="77777777" w:rsidR="00545D33" w:rsidRDefault="00545D33" w:rsidP="00545D33"/>
    <w:p w14:paraId="6F6FDEC0" w14:textId="77777777" w:rsidR="003D3C43" w:rsidRDefault="003D3C43">
      <w:pPr>
        <w:spacing w:line="240" w:lineRule="auto"/>
      </w:pPr>
      <w:bookmarkStart w:id="6" w:name="_Ref402536819"/>
      <w:r>
        <w:br w:type="page"/>
      </w:r>
    </w:p>
    <w:p w14:paraId="58BF3F6A" w14:textId="490F6A5A" w:rsidR="003D3C43" w:rsidRDefault="003D3C43" w:rsidP="00D0186F">
      <w:pPr>
        <w:spacing w:line="240" w:lineRule="auto"/>
      </w:pPr>
      <w:r w:rsidRPr="00C44562">
        <w:lastRenderedPageBreak/>
        <w:t xml:space="preserve">Table </w:t>
      </w:r>
      <w:fldSimple w:instr=" SEQ Table \* ARABIC ">
        <w:r w:rsidRPr="00C44562">
          <w:rPr>
            <w:noProof/>
          </w:rPr>
          <w:t>3</w:t>
        </w:r>
      </w:fldSimple>
      <w:bookmarkEnd w:id="6"/>
      <w:r w:rsidRPr="00C44562">
        <w:t>: Proportion of infants with protective antibody concentrations (IgG</w:t>
      </w:r>
      <w:r>
        <w:t xml:space="preserve"> </w:t>
      </w:r>
      <w:r w:rsidRPr="00C44562">
        <w:t>≥0.3</w:t>
      </w:r>
      <w:r>
        <w:t>5 µg</w:t>
      </w:r>
      <w:r w:rsidRPr="00C44562">
        <w:t xml:space="preserve">/mL) prior to booster vaccination (12 months) and 1 month after booster vaccination. </w:t>
      </w:r>
    </w:p>
    <w:p w14:paraId="3BF0AA96" w14:textId="77777777" w:rsidR="003D3C43" w:rsidRDefault="003D3C43" w:rsidP="00D0186F">
      <w:pPr>
        <w:spacing w:line="240" w:lineRule="auto"/>
      </w:pPr>
      <w:r w:rsidRPr="00C44562">
        <w:t>Proportion (95% CI). a b c: p&lt;0.05 comparing reduced and accelerated, accelerated and extended, and reduced and extended schedules respectively;  *p&lt;0.001</w:t>
      </w:r>
    </w:p>
    <w:p w14:paraId="1ACD179C" w14:textId="77777777" w:rsidR="003D3C43" w:rsidRPr="00C44562" w:rsidRDefault="003D3C43" w:rsidP="003D3C43"/>
    <w:p w14:paraId="7835344F" w14:textId="77777777" w:rsidR="00A614A1" w:rsidRDefault="00A614A1" w:rsidP="00DE39EF">
      <w:pPr>
        <w:outlineLvl w:val="0"/>
      </w:pPr>
      <w:r>
        <w:t>Table 3</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335"/>
        <w:gridCol w:w="1496"/>
        <w:gridCol w:w="1487"/>
        <w:gridCol w:w="1515"/>
        <w:gridCol w:w="1319"/>
        <w:gridCol w:w="1575"/>
      </w:tblGrid>
      <w:tr w:rsidR="00545D33" w:rsidRPr="00272E0F" w14:paraId="76CB77DF" w14:textId="77777777" w:rsidTr="00272E0F">
        <w:tc>
          <w:tcPr>
            <w:tcW w:w="864" w:type="dxa"/>
            <w:vMerge w:val="restart"/>
            <w:shd w:val="clear" w:color="auto" w:fill="auto"/>
            <w:vAlign w:val="center"/>
          </w:tcPr>
          <w:p w14:paraId="2C24C23F"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Serotype</w:t>
            </w:r>
          </w:p>
        </w:tc>
        <w:tc>
          <w:tcPr>
            <w:tcW w:w="4318" w:type="dxa"/>
            <w:gridSpan w:val="3"/>
            <w:shd w:val="clear" w:color="auto" w:fill="auto"/>
          </w:tcPr>
          <w:p w14:paraId="193CB4FE"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Pre-booster vaccination</w:t>
            </w:r>
          </w:p>
        </w:tc>
        <w:tc>
          <w:tcPr>
            <w:tcW w:w="4409" w:type="dxa"/>
            <w:gridSpan w:val="3"/>
            <w:shd w:val="clear" w:color="auto" w:fill="auto"/>
          </w:tcPr>
          <w:p w14:paraId="48F84066"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Post booster vaccination</w:t>
            </w:r>
          </w:p>
        </w:tc>
      </w:tr>
      <w:tr w:rsidR="00CB1FC8" w:rsidRPr="00272E0F" w14:paraId="12BDC99F" w14:textId="77777777" w:rsidTr="00272E0F">
        <w:tc>
          <w:tcPr>
            <w:tcW w:w="864" w:type="dxa"/>
            <w:vMerge/>
            <w:shd w:val="clear" w:color="auto" w:fill="auto"/>
          </w:tcPr>
          <w:p w14:paraId="76C298A6" w14:textId="77777777" w:rsidR="00545D33" w:rsidRPr="00272E0F" w:rsidRDefault="00545D33" w:rsidP="003E06DD">
            <w:pPr>
              <w:pStyle w:val="Table"/>
              <w:keepNext/>
              <w:keepLines/>
              <w:rPr>
                <w:rFonts w:ascii="Times New Roman" w:hAnsi="Times New Roman"/>
                <w:sz w:val="16"/>
                <w:szCs w:val="16"/>
              </w:rPr>
            </w:pPr>
          </w:p>
        </w:tc>
        <w:tc>
          <w:tcPr>
            <w:tcW w:w="1335" w:type="dxa"/>
            <w:shd w:val="clear" w:color="auto" w:fill="auto"/>
          </w:tcPr>
          <w:p w14:paraId="22671536"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Reduced dose</w:t>
            </w:r>
          </w:p>
          <w:p w14:paraId="778669CE"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1)</w:t>
            </w:r>
          </w:p>
          <w:p w14:paraId="67A58AA9" w14:textId="2B231595"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 64</w:t>
            </w:r>
          </w:p>
        </w:tc>
        <w:tc>
          <w:tcPr>
            <w:tcW w:w="1496" w:type="dxa"/>
            <w:shd w:val="clear" w:color="auto" w:fill="auto"/>
          </w:tcPr>
          <w:p w14:paraId="54C571A0"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Accelerated</w:t>
            </w:r>
          </w:p>
          <w:p w14:paraId="13BAD316"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2)</w:t>
            </w:r>
          </w:p>
          <w:p w14:paraId="35A4E71C" w14:textId="4CB626FE"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=57</w:t>
            </w:r>
          </w:p>
        </w:tc>
        <w:tc>
          <w:tcPr>
            <w:tcW w:w="1487" w:type="dxa"/>
            <w:shd w:val="clear" w:color="auto" w:fill="auto"/>
          </w:tcPr>
          <w:p w14:paraId="1242EACD"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Extended</w:t>
            </w:r>
          </w:p>
          <w:p w14:paraId="0302CB8F"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3)</w:t>
            </w:r>
          </w:p>
          <w:p w14:paraId="2C3674D8" w14:textId="6FF714BB"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 69</w:t>
            </w:r>
          </w:p>
        </w:tc>
        <w:tc>
          <w:tcPr>
            <w:tcW w:w="1515" w:type="dxa"/>
            <w:shd w:val="clear" w:color="auto" w:fill="auto"/>
          </w:tcPr>
          <w:p w14:paraId="402D490D"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Reduced dose</w:t>
            </w:r>
          </w:p>
          <w:p w14:paraId="74E33A19"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1)</w:t>
            </w:r>
          </w:p>
          <w:p w14:paraId="2458559C" w14:textId="05B69B67"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 64</w:t>
            </w:r>
          </w:p>
        </w:tc>
        <w:tc>
          <w:tcPr>
            <w:tcW w:w="1319" w:type="dxa"/>
            <w:shd w:val="clear" w:color="auto" w:fill="auto"/>
          </w:tcPr>
          <w:p w14:paraId="6BD90C00"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Accelerated</w:t>
            </w:r>
          </w:p>
          <w:p w14:paraId="49748500"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2)</w:t>
            </w:r>
          </w:p>
          <w:p w14:paraId="00AE3D09" w14:textId="161F2EE3"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 59</w:t>
            </w:r>
          </w:p>
        </w:tc>
        <w:tc>
          <w:tcPr>
            <w:tcW w:w="1575" w:type="dxa"/>
            <w:shd w:val="clear" w:color="auto" w:fill="auto"/>
          </w:tcPr>
          <w:p w14:paraId="37683E70" w14:textId="77777777" w:rsidR="00545D33" w:rsidRPr="00272E0F"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Extended</w:t>
            </w:r>
          </w:p>
          <w:p w14:paraId="455684CB" w14:textId="77777777" w:rsidR="00545D33" w:rsidRDefault="00545D33" w:rsidP="003E06DD">
            <w:pPr>
              <w:pStyle w:val="Table"/>
              <w:keepNext/>
              <w:keepLines/>
              <w:jc w:val="center"/>
              <w:rPr>
                <w:rFonts w:ascii="Times New Roman" w:hAnsi="Times New Roman"/>
                <w:sz w:val="16"/>
                <w:szCs w:val="16"/>
              </w:rPr>
            </w:pPr>
            <w:r w:rsidRPr="00272E0F">
              <w:rPr>
                <w:rFonts w:ascii="Times New Roman" w:hAnsi="Times New Roman"/>
                <w:sz w:val="16"/>
                <w:szCs w:val="16"/>
              </w:rPr>
              <w:t>(Group 3)</w:t>
            </w:r>
          </w:p>
          <w:p w14:paraId="3530230F" w14:textId="233140C8" w:rsidR="00DD41D9" w:rsidRPr="00272E0F" w:rsidRDefault="00DD41D9" w:rsidP="003E06DD">
            <w:pPr>
              <w:pStyle w:val="Table"/>
              <w:keepNext/>
              <w:keepLines/>
              <w:jc w:val="center"/>
              <w:rPr>
                <w:rFonts w:ascii="Times New Roman" w:hAnsi="Times New Roman"/>
                <w:sz w:val="16"/>
                <w:szCs w:val="16"/>
              </w:rPr>
            </w:pPr>
            <w:r>
              <w:rPr>
                <w:rFonts w:ascii="Times New Roman" w:hAnsi="Times New Roman"/>
                <w:sz w:val="16"/>
                <w:szCs w:val="16"/>
              </w:rPr>
              <w:t>N = 68</w:t>
            </w:r>
          </w:p>
        </w:tc>
      </w:tr>
      <w:tr w:rsidR="00CB1FC8" w:rsidRPr="00272E0F" w14:paraId="49D9BA4B" w14:textId="77777777" w:rsidTr="00272E0F">
        <w:tc>
          <w:tcPr>
            <w:tcW w:w="864" w:type="dxa"/>
            <w:shd w:val="clear" w:color="auto" w:fill="auto"/>
          </w:tcPr>
          <w:p w14:paraId="42FE913C"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1</w:t>
            </w:r>
          </w:p>
        </w:tc>
        <w:tc>
          <w:tcPr>
            <w:tcW w:w="1335" w:type="dxa"/>
            <w:shd w:val="clear" w:color="auto" w:fill="auto"/>
            <w:vAlign w:val="bottom"/>
          </w:tcPr>
          <w:p w14:paraId="3B168B74" w14:textId="77777777" w:rsidR="00545D33" w:rsidRPr="00272E0F" w:rsidRDefault="00545D33" w:rsidP="003E06DD">
            <w:pPr>
              <w:keepNext/>
              <w:keepLines/>
              <w:spacing w:line="240" w:lineRule="auto"/>
              <w:rPr>
                <w:color w:val="000000"/>
                <w:sz w:val="16"/>
                <w:szCs w:val="16"/>
              </w:rPr>
            </w:pPr>
            <w:r w:rsidRPr="00272E0F">
              <w:rPr>
                <w:color w:val="000000"/>
                <w:sz w:val="16"/>
                <w:szCs w:val="16"/>
              </w:rPr>
              <w:t>0.23 (0.14-0.36)</w:t>
            </w:r>
          </w:p>
        </w:tc>
        <w:tc>
          <w:tcPr>
            <w:tcW w:w="1496" w:type="dxa"/>
            <w:shd w:val="clear" w:color="auto" w:fill="auto"/>
            <w:vAlign w:val="bottom"/>
          </w:tcPr>
          <w:p w14:paraId="6AF0C71E" w14:textId="77777777" w:rsidR="00545D33" w:rsidRPr="00272E0F" w:rsidRDefault="00545D33" w:rsidP="003E06DD">
            <w:pPr>
              <w:keepNext/>
              <w:keepLines/>
              <w:spacing w:line="240" w:lineRule="auto"/>
              <w:rPr>
                <w:color w:val="000000"/>
                <w:sz w:val="16"/>
                <w:szCs w:val="16"/>
              </w:rPr>
            </w:pPr>
            <w:r w:rsidRPr="00272E0F">
              <w:rPr>
                <w:color w:val="000000"/>
                <w:sz w:val="16"/>
                <w:szCs w:val="16"/>
              </w:rPr>
              <w:t>0.19 (0.10-0.32)</w:t>
            </w:r>
            <w:r w:rsidRPr="00272E0F">
              <w:rPr>
                <w:i/>
                <w:color w:val="000000"/>
                <w:sz w:val="16"/>
                <w:szCs w:val="16"/>
                <w:vertAlign w:val="superscript"/>
              </w:rPr>
              <w:t>b*</w:t>
            </w:r>
          </w:p>
        </w:tc>
        <w:tc>
          <w:tcPr>
            <w:tcW w:w="1487" w:type="dxa"/>
            <w:shd w:val="clear" w:color="auto" w:fill="auto"/>
            <w:vAlign w:val="bottom"/>
          </w:tcPr>
          <w:p w14:paraId="3213ABE8" w14:textId="77777777" w:rsidR="00545D33" w:rsidRPr="00272E0F" w:rsidRDefault="00545D33" w:rsidP="003E06DD">
            <w:pPr>
              <w:keepNext/>
              <w:keepLines/>
              <w:spacing w:line="240" w:lineRule="auto"/>
              <w:rPr>
                <w:color w:val="000000"/>
                <w:sz w:val="16"/>
                <w:szCs w:val="16"/>
              </w:rPr>
            </w:pPr>
            <w:r w:rsidRPr="00272E0F">
              <w:rPr>
                <w:color w:val="000000"/>
                <w:sz w:val="16"/>
                <w:szCs w:val="16"/>
              </w:rPr>
              <w:t>0.49 (0.37-0.62)</w:t>
            </w:r>
            <w:r w:rsidRPr="00272E0F">
              <w:rPr>
                <w:i/>
                <w:color w:val="000000"/>
                <w:sz w:val="16"/>
                <w:szCs w:val="16"/>
                <w:vertAlign w:val="superscript"/>
              </w:rPr>
              <w:t>c</w:t>
            </w:r>
          </w:p>
        </w:tc>
        <w:tc>
          <w:tcPr>
            <w:tcW w:w="1515" w:type="dxa"/>
            <w:shd w:val="clear" w:color="auto" w:fill="auto"/>
            <w:vAlign w:val="bottom"/>
          </w:tcPr>
          <w:p w14:paraId="37B6AD3C"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(0.92-1.00)</w:t>
            </w:r>
          </w:p>
        </w:tc>
        <w:tc>
          <w:tcPr>
            <w:tcW w:w="1319" w:type="dxa"/>
            <w:shd w:val="clear" w:color="auto" w:fill="auto"/>
            <w:vAlign w:val="bottom"/>
          </w:tcPr>
          <w:p w14:paraId="7620BB59"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60C03C64"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3B8A145E" w14:textId="77777777" w:rsidTr="00272E0F">
        <w:tc>
          <w:tcPr>
            <w:tcW w:w="864" w:type="dxa"/>
            <w:shd w:val="clear" w:color="auto" w:fill="auto"/>
          </w:tcPr>
          <w:p w14:paraId="40CCB3A6"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3</w:t>
            </w:r>
          </w:p>
        </w:tc>
        <w:tc>
          <w:tcPr>
            <w:tcW w:w="1335" w:type="dxa"/>
            <w:shd w:val="clear" w:color="auto" w:fill="auto"/>
            <w:vAlign w:val="bottom"/>
          </w:tcPr>
          <w:p w14:paraId="0814D06F" w14:textId="77777777" w:rsidR="00545D33" w:rsidRPr="00272E0F" w:rsidRDefault="00545D33" w:rsidP="003E06DD">
            <w:pPr>
              <w:keepNext/>
              <w:keepLines/>
              <w:spacing w:line="240" w:lineRule="auto"/>
              <w:rPr>
                <w:color w:val="000000"/>
                <w:sz w:val="16"/>
                <w:szCs w:val="16"/>
              </w:rPr>
            </w:pPr>
            <w:r w:rsidRPr="00272E0F">
              <w:rPr>
                <w:color w:val="000000"/>
                <w:sz w:val="16"/>
                <w:szCs w:val="16"/>
              </w:rPr>
              <w:t>0.18 (0.09-0.30)</w:t>
            </w:r>
          </w:p>
        </w:tc>
        <w:tc>
          <w:tcPr>
            <w:tcW w:w="1496" w:type="dxa"/>
            <w:shd w:val="clear" w:color="auto" w:fill="auto"/>
            <w:vAlign w:val="bottom"/>
          </w:tcPr>
          <w:p w14:paraId="218CDFBC" w14:textId="77777777" w:rsidR="00545D33" w:rsidRPr="00272E0F" w:rsidRDefault="00545D33" w:rsidP="003E06DD">
            <w:pPr>
              <w:keepNext/>
              <w:keepLines/>
              <w:spacing w:line="240" w:lineRule="auto"/>
              <w:rPr>
                <w:color w:val="000000"/>
                <w:sz w:val="16"/>
                <w:szCs w:val="16"/>
              </w:rPr>
            </w:pPr>
            <w:r w:rsidRPr="00272E0F">
              <w:rPr>
                <w:color w:val="000000"/>
                <w:sz w:val="16"/>
                <w:szCs w:val="16"/>
              </w:rPr>
              <w:t>0.22 (0.12-0.35)</w:t>
            </w:r>
          </w:p>
        </w:tc>
        <w:tc>
          <w:tcPr>
            <w:tcW w:w="1487" w:type="dxa"/>
            <w:shd w:val="clear" w:color="auto" w:fill="auto"/>
            <w:vAlign w:val="bottom"/>
          </w:tcPr>
          <w:p w14:paraId="346FE59F" w14:textId="77777777" w:rsidR="00545D33" w:rsidRPr="00272E0F" w:rsidRDefault="00545D33" w:rsidP="003E06DD">
            <w:pPr>
              <w:keepNext/>
              <w:keepLines/>
              <w:spacing w:line="240" w:lineRule="auto"/>
              <w:rPr>
                <w:color w:val="000000"/>
                <w:sz w:val="16"/>
                <w:szCs w:val="16"/>
              </w:rPr>
            </w:pPr>
            <w:r w:rsidRPr="00272E0F">
              <w:rPr>
                <w:color w:val="000000"/>
                <w:sz w:val="16"/>
                <w:szCs w:val="16"/>
              </w:rPr>
              <w:t>0.29 (0.18-0.41)</w:t>
            </w:r>
          </w:p>
        </w:tc>
        <w:tc>
          <w:tcPr>
            <w:tcW w:w="1515" w:type="dxa"/>
            <w:shd w:val="clear" w:color="auto" w:fill="auto"/>
            <w:vAlign w:val="bottom"/>
          </w:tcPr>
          <w:p w14:paraId="43C8D2B0" w14:textId="77777777" w:rsidR="00545D33" w:rsidRPr="00272E0F" w:rsidRDefault="00545D33" w:rsidP="003E06DD">
            <w:pPr>
              <w:keepNext/>
              <w:keepLines/>
              <w:spacing w:line="240" w:lineRule="auto"/>
              <w:rPr>
                <w:color w:val="000000"/>
                <w:sz w:val="16"/>
                <w:szCs w:val="16"/>
              </w:rPr>
            </w:pPr>
            <w:r w:rsidRPr="00272E0F">
              <w:rPr>
                <w:color w:val="000000"/>
                <w:sz w:val="16"/>
                <w:szCs w:val="16"/>
              </w:rPr>
              <w:t>0.89 (0.78-0.95)</w:t>
            </w:r>
          </w:p>
        </w:tc>
        <w:tc>
          <w:tcPr>
            <w:tcW w:w="1319" w:type="dxa"/>
            <w:shd w:val="clear" w:color="auto" w:fill="auto"/>
            <w:vAlign w:val="bottom"/>
          </w:tcPr>
          <w:p w14:paraId="0A47802F" w14:textId="77777777" w:rsidR="00545D33" w:rsidRPr="00272E0F" w:rsidRDefault="00545D33" w:rsidP="003E06DD">
            <w:pPr>
              <w:keepNext/>
              <w:keepLines/>
              <w:spacing w:line="240" w:lineRule="auto"/>
              <w:rPr>
                <w:color w:val="000000"/>
                <w:sz w:val="16"/>
                <w:szCs w:val="16"/>
              </w:rPr>
            </w:pPr>
            <w:r w:rsidRPr="00272E0F">
              <w:rPr>
                <w:color w:val="000000"/>
                <w:sz w:val="16"/>
                <w:szCs w:val="16"/>
              </w:rPr>
              <w:t>0.93 (0.83-0.98)</w:t>
            </w:r>
          </w:p>
        </w:tc>
        <w:tc>
          <w:tcPr>
            <w:tcW w:w="1575" w:type="dxa"/>
            <w:shd w:val="clear" w:color="auto" w:fill="auto"/>
            <w:vAlign w:val="bottom"/>
          </w:tcPr>
          <w:p w14:paraId="740D412B" w14:textId="77777777" w:rsidR="00545D33" w:rsidRPr="00272E0F" w:rsidRDefault="00545D33" w:rsidP="003E06DD">
            <w:pPr>
              <w:keepNext/>
              <w:keepLines/>
              <w:spacing w:line="240" w:lineRule="auto"/>
              <w:rPr>
                <w:color w:val="000000"/>
                <w:sz w:val="16"/>
                <w:szCs w:val="16"/>
              </w:rPr>
            </w:pPr>
            <w:r w:rsidRPr="00272E0F">
              <w:rPr>
                <w:color w:val="000000"/>
                <w:sz w:val="16"/>
                <w:szCs w:val="16"/>
              </w:rPr>
              <w:t>0.87 (0.76-0.94)</w:t>
            </w:r>
          </w:p>
        </w:tc>
      </w:tr>
      <w:tr w:rsidR="00CB1FC8" w:rsidRPr="00272E0F" w14:paraId="66A53915" w14:textId="77777777" w:rsidTr="00272E0F">
        <w:tc>
          <w:tcPr>
            <w:tcW w:w="864" w:type="dxa"/>
            <w:shd w:val="clear" w:color="auto" w:fill="auto"/>
          </w:tcPr>
          <w:p w14:paraId="3B3C3CD4"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4</w:t>
            </w:r>
          </w:p>
        </w:tc>
        <w:tc>
          <w:tcPr>
            <w:tcW w:w="1335" w:type="dxa"/>
            <w:shd w:val="clear" w:color="auto" w:fill="auto"/>
            <w:vAlign w:val="bottom"/>
          </w:tcPr>
          <w:p w14:paraId="10F67353" w14:textId="77777777" w:rsidR="00545D33" w:rsidRPr="00272E0F" w:rsidRDefault="00545D33" w:rsidP="003E06DD">
            <w:pPr>
              <w:keepNext/>
              <w:keepLines/>
              <w:spacing w:line="240" w:lineRule="auto"/>
              <w:rPr>
                <w:color w:val="000000"/>
                <w:sz w:val="16"/>
                <w:szCs w:val="16"/>
              </w:rPr>
            </w:pPr>
            <w:r w:rsidRPr="00272E0F">
              <w:rPr>
                <w:color w:val="000000"/>
                <w:sz w:val="16"/>
                <w:szCs w:val="16"/>
              </w:rPr>
              <w:t>0.11 (0.05-0.21)</w:t>
            </w:r>
          </w:p>
        </w:tc>
        <w:tc>
          <w:tcPr>
            <w:tcW w:w="1496" w:type="dxa"/>
            <w:shd w:val="clear" w:color="auto" w:fill="auto"/>
            <w:vAlign w:val="bottom"/>
          </w:tcPr>
          <w:p w14:paraId="59B2F69E" w14:textId="77777777" w:rsidR="00545D33" w:rsidRPr="00272E0F" w:rsidRDefault="00545D33" w:rsidP="003E06DD">
            <w:pPr>
              <w:keepNext/>
              <w:keepLines/>
              <w:spacing w:line="240" w:lineRule="auto"/>
              <w:rPr>
                <w:color w:val="000000"/>
                <w:sz w:val="16"/>
                <w:szCs w:val="16"/>
              </w:rPr>
            </w:pPr>
            <w:r w:rsidRPr="00272E0F">
              <w:rPr>
                <w:color w:val="000000"/>
                <w:sz w:val="16"/>
                <w:szCs w:val="16"/>
              </w:rPr>
              <w:t>0.11 (0.04-0.22)</w:t>
            </w:r>
            <w:r w:rsidRPr="00272E0F">
              <w:rPr>
                <w:i/>
                <w:color w:val="000000"/>
                <w:sz w:val="16"/>
                <w:szCs w:val="16"/>
                <w:vertAlign w:val="superscript"/>
              </w:rPr>
              <w:t>b</w:t>
            </w:r>
          </w:p>
        </w:tc>
        <w:tc>
          <w:tcPr>
            <w:tcW w:w="1487" w:type="dxa"/>
            <w:shd w:val="clear" w:color="auto" w:fill="auto"/>
            <w:vAlign w:val="bottom"/>
          </w:tcPr>
          <w:p w14:paraId="41ABDF78" w14:textId="77777777" w:rsidR="00545D33" w:rsidRPr="00272E0F" w:rsidRDefault="00545D33" w:rsidP="003E06DD">
            <w:pPr>
              <w:keepNext/>
              <w:keepLines/>
              <w:spacing w:line="240" w:lineRule="auto"/>
              <w:rPr>
                <w:color w:val="000000"/>
                <w:sz w:val="16"/>
                <w:szCs w:val="16"/>
              </w:rPr>
            </w:pPr>
            <w:r w:rsidRPr="00272E0F">
              <w:rPr>
                <w:color w:val="000000"/>
                <w:sz w:val="16"/>
                <w:szCs w:val="16"/>
              </w:rPr>
              <w:t>0.35 (0.24-0.47)</w:t>
            </w:r>
            <w:r w:rsidRPr="00272E0F">
              <w:rPr>
                <w:i/>
                <w:color w:val="000000"/>
                <w:sz w:val="16"/>
                <w:szCs w:val="16"/>
                <w:vertAlign w:val="superscript"/>
              </w:rPr>
              <w:t>c*</w:t>
            </w:r>
          </w:p>
        </w:tc>
        <w:tc>
          <w:tcPr>
            <w:tcW w:w="1515" w:type="dxa"/>
            <w:shd w:val="clear" w:color="auto" w:fill="auto"/>
            <w:vAlign w:val="bottom"/>
          </w:tcPr>
          <w:p w14:paraId="79A8D0C9"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319" w:type="dxa"/>
            <w:shd w:val="clear" w:color="auto" w:fill="auto"/>
            <w:vAlign w:val="bottom"/>
          </w:tcPr>
          <w:p w14:paraId="5C5EB930"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(0.91-1.00)</w:t>
            </w:r>
          </w:p>
        </w:tc>
        <w:tc>
          <w:tcPr>
            <w:tcW w:w="1575" w:type="dxa"/>
            <w:shd w:val="clear" w:color="auto" w:fill="auto"/>
            <w:vAlign w:val="bottom"/>
          </w:tcPr>
          <w:p w14:paraId="38F33E2E" w14:textId="77777777" w:rsidR="00545D33" w:rsidRPr="00272E0F" w:rsidRDefault="00545D33" w:rsidP="003E06DD">
            <w:pPr>
              <w:keepNext/>
              <w:keepLines/>
              <w:spacing w:line="240" w:lineRule="auto"/>
              <w:rPr>
                <w:color w:val="000000"/>
                <w:sz w:val="16"/>
                <w:szCs w:val="16"/>
              </w:rPr>
            </w:pPr>
            <w:r w:rsidRPr="00272E0F">
              <w:rPr>
                <w:color w:val="000000"/>
                <w:sz w:val="16"/>
                <w:szCs w:val="16"/>
              </w:rPr>
              <w:t>0.99 (0.92-1.00)</w:t>
            </w:r>
          </w:p>
        </w:tc>
      </w:tr>
      <w:tr w:rsidR="00CB1FC8" w:rsidRPr="00272E0F" w14:paraId="4CF25967" w14:textId="77777777" w:rsidTr="00272E0F">
        <w:tc>
          <w:tcPr>
            <w:tcW w:w="864" w:type="dxa"/>
            <w:shd w:val="clear" w:color="auto" w:fill="auto"/>
          </w:tcPr>
          <w:p w14:paraId="6B8BDAAE"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5</w:t>
            </w:r>
          </w:p>
        </w:tc>
        <w:tc>
          <w:tcPr>
            <w:tcW w:w="1335" w:type="dxa"/>
            <w:shd w:val="clear" w:color="auto" w:fill="auto"/>
            <w:vAlign w:val="bottom"/>
          </w:tcPr>
          <w:p w14:paraId="6F512F4F" w14:textId="77777777" w:rsidR="00545D33" w:rsidRPr="00272E0F" w:rsidRDefault="00545D33" w:rsidP="003E06DD">
            <w:pPr>
              <w:keepNext/>
              <w:keepLines/>
              <w:spacing w:line="240" w:lineRule="auto"/>
              <w:rPr>
                <w:color w:val="000000"/>
                <w:sz w:val="16"/>
                <w:szCs w:val="16"/>
              </w:rPr>
            </w:pPr>
            <w:r w:rsidRPr="00272E0F">
              <w:rPr>
                <w:color w:val="000000"/>
                <w:sz w:val="16"/>
                <w:szCs w:val="16"/>
              </w:rPr>
              <w:t>0.20 (0.11-0.32)</w:t>
            </w:r>
          </w:p>
        </w:tc>
        <w:tc>
          <w:tcPr>
            <w:tcW w:w="1496" w:type="dxa"/>
            <w:shd w:val="clear" w:color="auto" w:fill="auto"/>
            <w:vAlign w:val="bottom"/>
          </w:tcPr>
          <w:p w14:paraId="1890CB55" w14:textId="77777777" w:rsidR="00545D33" w:rsidRPr="00272E0F" w:rsidRDefault="00545D33" w:rsidP="003E06DD">
            <w:pPr>
              <w:keepNext/>
              <w:keepLines/>
              <w:spacing w:line="240" w:lineRule="auto"/>
              <w:rPr>
                <w:color w:val="000000"/>
                <w:sz w:val="16"/>
                <w:szCs w:val="16"/>
              </w:rPr>
            </w:pPr>
            <w:r w:rsidRPr="00272E0F">
              <w:rPr>
                <w:color w:val="000000"/>
                <w:sz w:val="16"/>
                <w:szCs w:val="16"/>
              </w:rPr>
              <w:t>0.14 (0.06-0.26)</w:t>
            </w:r>
            <w:r w:rsidRPr="00272E0F">
              <w:rPr>
                <w:i/>
                <w:color w:val="000000"/>
                <w:sz w:val="16"/>
                <w:szCs w:val="16"/>
                <w:vertAlign w:val="superscript"/>
              </w:rPr>
              <w:t>b</w:t>
            </w:r>
          </w:p>
        </w:tc>
        <w:tc>
          <w:tcPr>
            <w:tcW w:w="1487" w:type="dxa"/>
            <w:shd w:val="clear" w:color="auto" w:fill="auto"/>
            <w:vAlign w:val="bottom"/>
          </w:tcPr>
          <w:p w14:paraId="05D5496F" w14:textId="77777777" w:rsidR="00545D33" w:rsidRPr="00272E0F" w:rsidRDefault="00545D33" w:rsidP="003E06DD">
            <w:pPr>
              <w:keepNext/>
              <w:keepLines/>
              <w:spacing w:line="240" w:lineRule="auto"/>
              <w:rPr>
                <w:color w:val="000000"/>
                <w:sz w:val="16"/>
                <w:szCs w:val="16"/>
              </w:rPr>
            </w:pPr>
            <w:r w:rsidRPr="00272E0F">
              <w:rPr>
                <w:color w:val="000000"/>
                <w:sz w:val="16"/>
                <w:szCs w:val="16"/>
              </w:rPr>
              <w:t>0.32 (0.21-0.44)</w:t>
            </w:r>
            <w:r w:rsidRPr="00272E0F">
              <w:rPr>
                <w:i/>
                <w:color w:val="000000"/>
                <w:sz w:val="16"/>
                <w:szCs w:val="16"/>
                <w:vertAlign w:val="superscript"/>
              </w:rPr>
              <w:t xml:space="preserve"> c*</w:t>
            </w:r>
          </w:p>
        </w:tc>
        <w:tc>
          <w:tcPr>
            <w:tcW w:w="1515" w:type="dxa"/>
            <w:shd w:val="clear" w:color="auto" w:fill="auto"/>
            <w:vAlign w:val="bottom"/>
          </w:tcPr>
          <w:p w14:paraId="626EDAB9"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(0.92-1.00)</w:t>
            </w:r>
          </w:p>
        </w:tc>
        <w:tc>
          <w:tcPr>
            <w:tcW w:w="1319" w:type="dxa"/>
            <w:shd w:val="clear" w:color="auto" w:fill="auto"/>
            <w:vAlign w:val="bottom"/>
          </w:tcPr>
          <w:p w14:paraId="51C9DC46" w14:textId="77777777" w:rsidR="00545D33" w:rsidRPr="00272E0F" w:rsidRDefault="00545D33" w:rsidP="003E06DD">
            <w:pPr>
              <w:keepNext/>
              <w:keepLines/>
              <w:spacing w:line="240" w:lineRule="auto"/>
              <w:rPr>
                <w:color w:val="000000"/>
                <w:sz w:val="16"/>
                <w:szCs w:val="16"/>
              </w:rPr>
            </w:pPr>
            <w:r w:rsidRPr="00272E0F">
              <w:rPr>
                <w:color w:val="000000"/>
                <w:sz w:val="16"/>
                <w:szCs w:val="16"/>
              </w:rPr>
              <w:t>0.97 (0.88-1.00)</w:t>
            </w:r>
          </w:p>
        </w:tc>
        <w:tc>
          <w:tcPr>
            <w:tcW w:w="1575" w:type="dxa"/>
            <w:shd w:val="clear" w:color="auto" w:fill="auto"/>
            <w:vAlign w:val="bottom"/>
          </w:tcPr>
          <w:p w14:paraId="481446F1" w14:textId="77777777" w:rsidR="00545D33" w:rsidRPr="00272E0F" w:rsidRDefault="00545D33" w:rsidP="003E06DD">
            <w:pPr>
              <w:keepNext/>
              <w:keepLines/>
              <w:spacing w:line="240" w:lineRule="auto"/>
              <w:rPr>
                <w:color w:val="000000"/>
                <w:sz w:val="16"/>
                <w:szCs w:val="16"/>
              </w:rPr>
            </w:pPr>
            <w:r w:rsidRPr="00272E0F">
              <w:rPr>
                <w:color w:val="000000"/>
                <w:sz w:val="16"/>
                <w:szCs w:val="16"/>
              </w:rPr>
              <w:t>0.93 (0.84-0.98)</w:t>
            </w:r>
          </w:p>
        </w:tc>
      </w:tr>
      <w:tr w:rsidR="00CB1FC8" w:rsidRPr="00272E0F" w14:paraId="79BD48A9" w14:textId="77777777" w:rsidTr="00272E0F">
        <w:tc>
          <w:tcPr>
            <w:tcW w:w="864" w:type="dxa"/>
            <w:shd w:val="clear" w:color="auto" w:fill="auto"/>
          </w:tcPr>
          <w:p w14:paraId="085C93B2"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6A</w:t>
            </w:r>
          </w:p>
        </w:tc>
        <w:tc>
          <w:tcPr>
            <w:tcW w:w="1335" w:type="dxa"/>
            <w:shd w:val="clear" w:color="auto" w:fill="auto"/>
            <w:vAlign w:val="bottom"/>
          </w:tcPr>
          <w:p w14:paraId="629ACDE2" w14:textId="77777777" w:rsidR="00545D33" w:rsidRPr="00272E0F" w:rsidRDefault="00545D33" w:rsidP="003E06DD">
            <w:pPr>
              <w:keepNext/>
              <w:keepLines/>
              <w:spacing w:line="240" w:lineRule="auto"/>
              <w:rPr>
                <w:color w:val="000000"/>
                <w:sz w:val="16"/>
                <w:szCs w:val="16"/>
              </w:rPr>
            </w:pPr>
            <w:r w:rsidRPr="00272E0F">
              <w:rPr>
                <w:color w:val="000000"/>
                <w:sz w:val="16"/>
                <w:szCs w:val="16"/>
              </w:rPr>
              <w:t>0.39 (0.27-0.52)</w:t>
            </w:r>
          </w:p>
        </w:tc>
        <w:tc>
          <w:tcPr>
            <w:tcW w:w="1496" w:type="dxa"/>
            <w:shd w:val="clear" w:color="auto" w:fill="auto"/>
            <w:vAlign w:val="bottom"/>
          </w:tcPr>
          <w:p w14:paraId="67D9361C" w14:textId="77777777" w:rsidR="00545D33" w:rsidRPr="00272E0F" w:rsidRDefault="00545D33" w:rsidP="003E06DD">
            <w:pPr>
              <w:keepNext/>
              <w:keepLines/>
              <w:spacing w:line="240" w:lineRule="auto"/>
              <w:rPr>
                <w:color w:val="000000"/>
                <w:sz w:val="16"/>
                <w:szCs w:val="16"/>
              </w:rPr>
            </w:pPr>
            <w:r w:rsidRPr="00272E0F">
              <w:rPr>
                <w:color w:val="000000"/>
                <w:sz w:val="16"/>
                <w:szCs w:val="16"/>
              </w:rPr>
              <w:t>0.38 (0.25-0.51)</w:t>
            </w:r>
            <w:r w:rsidRPr="00272E0F">
              <w:rPr>
                <w:i/>
                <w:color w:val="000000"/>
                <w:sz w:val="16"/>
                <w:szCs w:val="16"/>
                <w:vertAlign w:val="superscript"/>
              </w:rPr>
              <w:t>b*</w:t>
            </w:r>
          </w:p>
        </w:tc>
        <w:tc>
          <w:tcPr>
            <w:tcW w:w="1487" w:type="dxa"/>
            <w:shd w:val="clear" w:color="auto" w:fill="auto"/>
            <w:vAlign w:val="bottom"/>
          </w:tcPr>
          <w:p w14:paraId="12FDB64D" w14:textId="77777777" w:rsidR="00545D33" w:rsidRPr="00272E0F" w:rsidRDefault="00545D33" w:rsidP="003E06DD">
            <w:pPr>
              <w:keepNext/>
              <w:keepLines/>
              <w:spacing w:line="240" w:lineRule="auto"/>
              <w:rPr>
                <w:color w:val="000000"/>
                <w:sz w:val="16"/>
                <w:szCs w:val="16"/>
              </w:rPr>
            </w:pPr>
            <w:r w:rsidRPr="00272E0F">
              <w:rPr>
                <w:color w:val="000000"/>
                <w:sz w:val="16"/>
                <w:szCs w:val="16"/>
              </w:rPr>
              <w:t>0.75 (0.63-0.85)</w:t>
            </w:r>
            <w:r w:rsidRPr="00272E0F">
              <w:rPr>
                <w:i/>
                <w:color w:val="000000"/>
                <w:sz w:val="16"/>
                <w:szCs w:val="16"/>
                <w:vertAlign w:val="superscript"/>
              </w:rPr>
              <w:t xml:space="preserve"> c*</w:t>
            </w:r>
          </w:p>
        </w:tc>
        <w:tc>
          <w:tcPr>
            <w:tcW w:w="1515" w:type="dxa"/>
            <w:shd w:val="clear" w:color="auto" w:fill="auto"/>
            <w:vAlign w:val="bottom"/>
          </w:tcPr>
          <w:p w14:paraId="2A47718E"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(0.92-1.00)</w:t>
            </w:r>
          </w:p>
        </w:tc>
        <w:tc>
          <w:tcPr>
            <w:tcW w:w="1319" w:type="dxa"/>
            <w:shd w:val="clear" w:color="auto" w:fill="auto"/>
            <w:vAlign w:val="bottom"/>
          </w:tcPr>
          <w:p w14:paraId="11DC164D"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(0.91-1.00)</w:t>
            </w:r>
          </w:p>
        </w:tc>
        <w:tc>
          <w:tcPr>
            <w:tcW w:w="1575" w:type="dxa"/>
            <w:shd w:val="clear" w:color="auto" w:fill="auto"/>
            <w:vAlign w:val="bottom"/>
          </w:tcPr>
          <w:p w14:paraId="435046EA"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1BB59BC9" w14:textId="77777777" w:rsidTr="00272E0F">
        <w:tc>
          <w:tcPr>
            <w:tcW w:w="864" w:type="dxa"/>
            <w:shd w:val="clear" w:color="auto" w:fill="auto"/>
          </w:tcPr>
          <w:p w14:paraId="6D996A70"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6B</w:t>
            </w:r>
          </w:p>
        </w:tc>
        <w:tc>
          <w:tcPr>
            <w:tcW w:w="1335" w:type="dxa"/>
            <w:shd w:val="clear" w:color="auto" w:fill="auto"/>
            <w:vAlign w:val="bottom"/>
          </w:tcPr>
          <w:p w14:paraId="31952C05" w14:textId="77777777" w:rsidR="00545D33" w:rsidRPr="00272E0F" w:rsidRDefault="00545D33" w:rsidP="003E06DD">
            <w:pPr>
              <w:keepNext/>
              <w:keepLines/>
              <w:spacing w:line="240" w:lineRule="auto"/>
              <w:rPr>
                <w:color w:val="000000"/>
                <w:sz w:val="16"/>
                <w:szCs w:val="16"/>
              </w:rPr>
            </w:pPr>
            <w:r w:rsidRPr="00272E0F">
              <w:rPr>
                <w:color w:val="000000"/>
                <w:sz w:val="16"/>
                <w:szCs w:val="16"/>
              </w:rPr>
              <w:t>0.19 (0.10-0.30)</w:t>
            </w:r>
          </w:p>
        </w:tc>
        <w:tc>
          <w:tcPr>
            <w:tcW w:w="1496" w:type="dxa"/>
            <w:shd w:val="clear" w:color="auto" w:fill="auto"/>
            <w:vAlign w:val="bottom"/>
          </w:tcPr>
          <w:p w14:paraId="42C693DB" w14:textId="77777777" w:rsidR="00545D33" w:rsidRPr="00272E0F" w:rsidRDefault="00545D33" w:rsidP="003E06DD">
            <w:pPr>
              <w:keepNext/>
              <w:keepLines/>
              <w:spacing w:line="240" w:lineRule="auto"/>
              <w:rPr>
                <w:color w:val="000000"/>
                <w:sz w:val="16"/>
                <w:szCs w:val="16"/>
              </w:rPr>
            </w:pPr>
            <w:r w:rsidRPr="00272E0F">
              <w:rPr>
                <w:color w:val="000000"/>
                <w:sz w:val="16"/>
                <w:szCs w:val="16"/>
              </w:rPr>
              <w:t>0.16 (0.08-0.28)</w:t>
            </w:r>
            <w:r w:rsidRPr="00272E0F">
              <w:rPr>
                <w:i/>
                <w:color w:val="000000"/>
                <w:sz w:val="16"/>
                <w:szCs w:val="16"/>
                <w:vertAlign w:val="superscript"/>
              </w:rPr>
              <w:t xml:space="preserve"> b*</w:t>
            </w:r>
          </w:p>
        </w:tc>
        <w:tc>
          <w:tcPr>
            <w:tcW w:w="1487" w:type="dxa"/>
            <w:shd w:val="clear" w:color="auto" w:fill="auto"/>
            <w:vAlign w:val="bottom"/>
          </w:tcPr>
          <w:p w14:paraId="572322CE" w14:textId="77777777" w:rsidR="00545D33" w:rsidRPr="00272E0F" w:rsidRDefault="00545D33" w:rsidP="003E06DD">
            <w:pPr>
              <w:keepNext/>
              <w:keepLines/>
              <w:spacing w:line="240" w:lineRule="auto"/>
              <w:rPr>
                <w:color w:val="000000"/>
                <w:sz w:val="16"/>
                <w:szCs w:val="16"/>
              </w:rPr>
            </w:pPr>
            <w:r w:rsidRPr="00272E0F">
              <w:rPr>
                <w:color w:val="000000"/>
                <w:sz w:val="16"/>
                <w:szCs w:val="16"/>
              </w:rPr>
              <w:t>0.48 (0.36-0.60)</w:t>
            </w:r>
            <w:r w:rsidRPr="00272E0F">
              <w:rPr>
                <w:i/>
                <w:color w:val="000000"/>
                <w:sz w:val="16"/>
                <w:szCs w:val="16"/>
                <w:vertAlign w:val="superscript"/>
              </w:rPr>
              <w:t xml:space="preserve"> c*</w:t>
            </w:r>
          </w:p>
        </w:tc>
        <w:tc>
          <w:tcPr>
            <w:tcW w:w="1515" w:type="dxa"/>
            <w:shd w:val="clear" w:color="auto" w:fill="auto"/>
            <w:vAlign w:val="bottom"/>
          </w:tcPr>
          <w:p w14:paraId="79FB2867"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(0.91-1.00)</w:t>
            </w:r>
          </w:p>
        </w:tc>
        <w:tc>
          <w:tcPr>
            <w:tcW w:w="1319" w:type="dxa"/>
            <w:shd w:val="clear" w:color="auto" w:fill="auto"/>
            <w:vAlign w:val="bottom"/>
          </w:tcPr>
          <w:p w14:paraId="3349E304" w14:textId="77777777" w:rsidR="00545D33" w:rsidRPr="00272E0F" w:rsidRDefault="00545D33" w:rsidP="003E06DD">
            <w:pPr>
              <w:keepNext/>
              <w:keepLines/>
              <w:spacing w:line="240" w:lineRule="auto"/>
              <w:rPr>
                <w:color w:val="000000"/>
                <w:sz w:val="16"/>
                <w:szCs w:val="16"/>
              </w:rPr>
            </w:pPr>
            <w:r w:rsidRPr="00272E0F">
              <w:rPr>
                <w:color w:val="000000"/>
                <w:sz w:val="16"/>
                <w:szCs w:val="16"/>
              </w:rPr>
              <w:t>0.97 (0.88-1.00)</w:t>
            </w:r>
          </w:p>
        </w:tc>
        <w:tc>
          <w:tcPr>
            <w:tcW w:w="1575" w:type="dxa"/>
            <w:shd w:val="clear" w:color="auto" w:fill="auto"/>
            <w:vAlign w:val="bottom"/>
          </w:tcPr>
          <w:p w14:paraId="3496E400" w14:textId="77777777" w:rsidR="00545D33" w:rsidRPr="00272E0F" w:rsidRDefault="00545D33" w:rsidP="003E06DD">
            <w:pPr>
              <w:keepNext/>
              <w:keepLines/>
              <w:spacing w:line="240" w:lineRule="auto"/>
              <w:rPr>
                <w:color w:val="000000"/>
                <w:sz w:val="16"/>
                <w:szCs w:val="16"/>
              </w:rPr>
            </w:pPr>
            <w:r w:rsidRPr="00272E0F">
              <w:rPr>
                <w:color w:val="000000"/>
                <w:sz w:val="16"/>
                <w:szCs w:val="16"/>
              </w:rPr>
              <w:t>0.99 (0.92-1.00)</w:t>
            </w:r>
          </w:p>
        </w:tc>
      </w:tr>
      <w:tr w:rsidR="00CB1FC8" w:rsidRPr="00272E0F" w14:paraId="2F452B5D" w14:textId="77777777" w:rsidTr="00272E0F">
        <w:tc>
          <w:tcPr>
            <w:tcW w:w="864" w:type="dxa"/>
            <w:shd w:val="clear" w:color="auto" w:fill="auto"/>
          </w:tcPr>
          <w:p w14:paraId="212621F2"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7F</w:t>
            </w:r>
          </w:p>
        </w:tc>
        <w:tc>
          <w:tcPr>
            <w:tcW w:w="1335" w:type="dxa"/>
            <w:shd w:val="clear" w:color="auto" w:fill="auto"/>
            <w:vAlign w:val="bottom"/>
          </w:tcPr>
          <w:p w14:paraId="4EF11608" w14:textId="77777777" w:rsidR="00545D33" w:rsidRPr="00272E0F" w:rsidRDefault="00545D33" w:rsidP="003E06DD">
            <w:pPr>
              <w:keepNext/>
              <w:keepLines/>
              <w:spacing w:line="240" w:lineRule="auto"/>
              <w:rPr>
                <w:color w:val="000000"/>
                <w:sz w:val="16"/>
                <w:szCs w:val="16"/>
              </w:rPr>
            </w:pPr>
            <w:r w:rsidRPr="00272E0F">
              <w:rPr>
                <w:color w:val="000000"/>
                <w:sz w:val="16"/>
                <w:szCs w:val="16"/>
              </w:rPr>
              <w:t>0.64 (0.51-0.76)</w:t>
            </w:r>
          </w:p>
        </w:tc>
        <w:tc>
          <w:tcPr>
            <w:tcW w:w="1496" w:type="dxa"/>
            <w:shd w:val="clear" w:color="auto" w:fill="auto"/>
            <w:vAlign w:val="bottom"/>
          </w:tcPr>
          <w:p w14:paraId="11E717F0" w14:textId="77777777" w:rsidR="00545D33" w:rsidRPr="00272E0F" w:rsidRDefault="00545D33" w:rsidP="003E06DD">
            <w:pPr>
              <w:keepNext/>
              <w:keepLines/>
              <w:spacing w:line="240" w:lineRule="auto"/>
              <w:rPr>
                <w:color w:val="000000"/>
                <w:sz w:val="16"/>
                <w:szCs w:val="16"/>
              </w:rPr>
            </w:pPr>
            <w:r w:rsidRPr="00272E0F">
              <w:rPr>
                <w:color w:val="000000"/>
                <w:sz w:val="16"/>
                <w:szCs w:val="16"/>
              </w:rPr>
              <w:t>0.68 (0.54-0.80)</w:t>
            </w:r>
            <w:r w:rsidRPr="00272E0F">
              <w:rPr>
                <w:i/>
                <w:color w:val="000000"/>
                <w:sz w:val="16"/>
                <w:szCs w:val="16"/>
                <w:vertAlign w:val="superscript"/>
              </w:rPr>
              <w:t>b</w:t>
            </w:r>
          </w:p>
        </w:tc>
        <w:tc>
          <w:tcPr>
            <w:tcW w:w="1487" w:type="dxa"/>
            <w:shd w:val="clear" w:color="auto" w:fill="auto"/>
            <w:vAlign w:val="bottom"/>
          </w:tcPr>
          <w:p w14:paraId="698DFC4C" w14:textId="77777777" w:rsidR="00545D33" w:rsidRPr="00272E0F" w:rsidRDefault="00545D33" w:rsidP="003E06DD">
            <w:pPr>
              <w:keepNext/>
              <w:keepLines/>
              <w:spacing w:line="240" w:lineRule="auto"/>
              <w:rPr>
                <w:color w:val="000000"/>
                <w:sz w:val="16"/>
                <w:szCs w:val="16"/>
              </w:rPr>
            </w:pPr>
            <w:r w:rsidRPr="00272E0F">
              <w:rPr>
                <w:color w:val="000000"/>
                <w:sz w:val="16"/>
                <w:szCs w:val="16"/>
              </w:rPr>
              <w:t>0.86 (0.75-0.93)</w:t>
            </w:r>
            <w:r w:rsidRPr="00272E0F">
              <w:rPr>
                <w:i/>
                <w:color w:val="000000"/>
                <w:sz w:val="16"/>
                <w:szCs w:val="16"/>
                <w:vertAlign w:val="superscript"/>
              </w:rPr>
              <w:t xml:space="preserve"> c</w:t>
            </w:r>
          </w:p>
        </w:tc>
        <w:tc>
          <w:tcPr>
            <w:tcW w:w="1515" w:type="dxa"/>
            <w:shd w:val="clear" w:color="auto" w:fill="auto"/>
            <w:vAlign w:val="bottom"/>
          </w:tcPr>
          <w:p w14:paraId="0714CC99"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(0.92-1.00)</w:t>
            </w:r>
          </w:p>
        </w:tc>
        <w:tc>
          <w:tcPr>
            <w:tcW w:w="1319" w:type="dxa"/>
            <w:shd w:val="clear" w:color="auto" w:fill="auto"/>
            <w:vAlign w:val="bottom"/>
          </w:tcPr>
          <w:p w14:paraId="43F9CD05"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613AFE93"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6428214C" w14:textId="77777777" w:rsidTr="00272E0F">
        <w:tc>
          <w:tcPr>
            <w:tcW w:w="864" w:type="dxa"/>
            <w:shd w:val="clear" w:color="auto" w:fill="auto"/>
          </w:tcPr>
          <w:p w14:paraId="0B9D6016"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9V</w:t>
            </w:r>
          </w:p>
        </w:tc>
        <w:tc>
          <w:tcPr>
            <w:tcW w:w="1335" w:type="dxa"/>
            <w:shd w:val="clear" w:color="auto" w:fill="auto"/>
            <w:vAlign w:val="bottom"/>
          </w:tcPr>
          <w:p w14:paraId="2F7BE28B" w14:textId="77777777" w:rsidR="00545D33" w:rsidRPr="00272E0F" w:rsidRDefault="00545D33" w:rsidP="003E06DD">
            <w:pPr>
              <w:keepNext/>
              <w:keepLines/>
              <w:spacing w:line="240" w:lineRule="auto"/>
              <w:rPr>
                <w:color w:val="000000"/>
                <w:sz w:val="16"/>
                <w:szCs w:val="16"/>
              </w:rPr>
            </w:pPr>
            <w:r w:rsidRPr="00272E0F">
              <w:rPr>
                <w:color w:val="000000"/>
                <w:sz w:val="16"/>
                <w:szCs w:val="16"/>
              </w:rPr>
              <w:t>0.06 (0.02-0.15)</w:t>
            </w:r>
          </w:p>
        </w:tc>
        <w:tc>
          <w:tcPr>
            <w:tcW w:w="1496" w:type="dxa"/>
            <w:shd w:val="clear" w:color="auto" w:fill="auto"/>
            <w:vAlign w:val="bottom"/>
          </w:tcPr>
          <w:p w14:paraId="3EAEAAF7" w14:textId="77777777" w:rsidR="00545D33" w:rsidRPr="00272E0F" w:rsidRDefault="00545D33" w:rsidP="003E06DD">
            <w:pPr>
              <w:keepNext/>
              <w:keepLines/>
              <w:spacing w:line="240" w:lineRule="auto"/>
              <w:rPr>
                <w:color w:val="000000"/>
                <w:sz w:val="16"/>
                <w:szCs w:val="16"/>
              </w:rPr>
            </w:pPr>
            <w:r w:rsidRPr="00272E0F">
              <w:rPr>
                <w:color w:val="000000"/>
                <w:sz w:val="16"/>
                <w:szCs w:val="16"/>
              </w:rPr>
              <w:t>0.09 (0.03-0.19)</w:t>
            </w:r>
            <w:r w:rsidRPr="00272E0F">
              <w:rPr>
                <w:i/>
                <w:color w:val="000000"/>
                <w:sz w:val="16"/>
                <w:szCs w:val="16"/>
                <w:vertAlign w:val="superscript"/>
              </w:rPr>
              <w:t xml:space="preserve"> b*</w:t>
            </w:r>
          </w:p>
        </w:tc>
        <w:tc>
          <w:tcPr>
            <w:tcW w:w="1487" w:type="dxa"/>
            <w:shd w:val="clear" w:color="auto" w:fill="auto"/>
            <w:vAlign w:val="bottom"/>
          </w:tcPr>
          <w:p w14:paraId="4DE18F9C" w14:textId="77777777" w:rsidR="00545D33" w:rsidRPr="00272E0F" w:rsidRDefault="00545D33" w:rsidP="003E06DD">
            <w:pPr>
              <w:keepNext/>
              <w:keepLines/>
              <w:spacing w:line="240" w:lineRule="auto"/>
              <w:rPr>
                <w:color w:val="000000"/>
                <w:sz w:val="16"/>
                <w:szCs w:val="16"/>
              </w:rPr>
            </w:pPr>
            <w:r w:rsidRPr="00272E0F">
              <w:rPr>
                <w:color w:val="000000"/>
                <w:sz w:val="16"/>
                <w:szCs w:val="16"/>
              </w:rPr>
              <w:t>0.39 (0.27-0.51)</w:t>
            </w:r>
            <w:r w:rsidRPr="00272E0F">
              <w:rPr>
                <w:i/>
                <w:color w:val="000000"/>
                <w:sz w:val="16"/>
                <w:szCs w:val="16"/>
                <w:vertAlign w:val="superscript"/>
              </w:rPr>
              <w:t xml:space="preserve"> c*</w:t>
            </w:r>
          </w:p>
        </w:tc>
        <w:tc>
          <w:tcPr>
            <w:tcW w:w="1515" w:type="dxa"/>
            <w:shd w:val="clear" w:color="auto" w:fill="auto"/>
            <w:vAlign w:val="bottom"/>
          </w:tcPr>
          <w:p w14:paraId="614F3141"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(0.92-1.00)</w:t>
            </w:r>
          </w:p>
        </w:tc>
        <w:tc>
          <w:tcPr>
            <w:tcW w:w="1319" w:type="dxa"/>
            <w:shd w:val="clear" w:color="auto" w:fill="auto"/>
            <w:vAlign w:val="bottom"/>
          </w:tcPr>
          <w:p w14:paraId="362185CC"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(0.91-1.00)</w:t>
            </w:r>
          </w:p>
        </w:tc>
        <w:tc>
          <w:tcPr>
            <w:tcW w:w="1575" w:type="dxa"/>
            <w:shd w:val="clear" w:color="auto" w:fill="auto"/>
            <w:vAlign w:val="bottom"/>
          </w:tcPr>
          <w:p w14:paraId="3F16AE43" w14:textId="77777777" w:rsidR="00545D33" w:rsidRPr="00272E0F" w:rsidRDefault="00545D33" w:rsidP="003E06DD">
            <w:pPr>
              <w:keepNext/>
              <w:keepLines/>
              <w:spacing w:line="240" w:lineRule="auto"/>
              <w:rPr>
                <w:color w:val="000000"/>
                <w:sz w:val="16"/>
                <w:szCs w:val="16"/>
              </w:rPr>
            </w:pPr>
            <w:r w:rsidRPr="00272E0F">
              <w:rPr>
                <w:color w:val="000000"/>
                <w:sz w:val="16"/>
                <w:szCs w:val="16"/>
              </w:rPr>
              <w:t>0.99 (0.92-1.00)</w:t>
            </w:r>
          </w:p>
        </w:tc>
      </w:tr>
      <w:tr w:rsidR="00CB1FC8" w:rsidRPr="00272E0F" w14:paraId="7E722983" w14:textId="77777777" w:rsidTr="00272E0F">
        <w:tc>
          <w:tcPr>
            <w:tcW w:w="864" w:type="dxa"/>
            <w:shd w:val="clear" w:color="auto" w:fill="auto"/>
          </w:tcPr>
          <w:p w14:paraId="72923C18"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14</w:t>
            </w:r>
          </w:p>
        </w:tc>
        <w:tc>
          <w:tcPr>
            <w:tcW w:w="1335" w:type="dxa"/>
            <w:shd w:val="clear" w:color="auto" w:fill="auto"/>
            <w:vAlign w:val="bottom"/>
          </w:tcPr>
          <w:p w14:paraId="6F185C9A" w14:textId="77777777" w:rsidR="00545D33" w:rsidRPr="00272E0F" w:rsidRDefault="00545D33" w:rsidP="003E06DD">
            <w:pPr>
              <w:keepNext/>
              <w:keepLines/>
              <w:spacing w:line="240" w:lineRule="auto"/>
              <w:rPr>
                <w:color w:val="000000"/>
                <w:sz w:val="16"/>
                <w:szCs w:val="16"/>
              </w:rPr>
            </w:pPr>
            <w:r w:rsidRPr="00272E0F">
              <w:rPr>
                <w:color w:val="000000"/>
                <w:sz w:val="16"/>
                <w:szCs w:val="16"/>
              </w:rPr>
              <w:t>0.86 (0.75-0.93)</w:t>
            </w:r>
          </w:p>
        </w:tc>
        <w:tc>
          <w:tcPr>
            <w:tcW w:w="1496" w:type="dxa"/>
            <w:shd w:val="clear" w:color="auto" w:fill="auto"/>
            <w:vAlign w:val="bottom"/>
          </w:tcPr>
          <w:p w14:paraId="14A571C4" w14:textId="77777777" w:rsidR="00545D33" w:rsidRPr="00272E0F" w:rsidRDefault="00545D33" w:rsidP="003E06DD">
            <w:pPr>
              <w:keepNext/>
              <w:keepLines/>
              <w:spacing w:line="240" w:lineRule="auto"/>
              <w:rPr>
                <w:color w:val="000000"/>
                <w:sz w:val="16"/>
                <w:szCs w:val="16"/>
              </w:rPr>
            </w:pPr>
            <w:r w:rsidRPr="00272E0F">
              <w:rPr>
                <w:color w:val="000000"/>
                <w:sz w:val="16"/>
                <w:szCs w:val="16"/>
              </w:rPr>
              <w:t>0.95 (0.85-0.99)</w:t>
            </w:r>
          </w:p>
        </w:tc>
        <w:tc>
          <w:tcPr>
            <w:tcW w:w="1487" w:type="dxa"/>
            <w:shd w:val="clear" w:color="auto" w:fill="auto"/>
            <w:vAlign w:val="bottom"/>
          </w:tcPr>
          <w:p w14:paraId="2A0A1C62" w14:textId="77777777" w:rsidR="00545D33" w:rsidRPr="00272E0F" w:rsidRDefault="00545D33" w:rsidP="003E06DD">
            <w:pPr>
              <w:keepNext/>
              <w:keepLines/>
              <w:spacing w:line="240" w:lineRule="auto"/>
              <w:rPr>
                <w:color w:val="000000"/>
                <w:sz w:val="16"/>
                <w:szCs w:val="16"/>
              </w:rPr>
            </w:pPr>
            <w:r w:rsidRPr="00272E0F">
              <w:rPr>
                <w:color w:val="000000"/>
                <w:sz w:val="16"/>
                <w:szCs w:val="16"/>
              </w:rPr>
              <w:t>0.99 (0.92-1.00)</w:t>
            </w:r>
            <w:r w:rsidRPr="00272E0F">
              <w:rPr>
                <w:i/>
                <w:color w:val="000000"/>
                <w:sz w:val="16"/>
                <w:szCs w:val="16"/>
                <w:vertAlign w:val="superscript"/>
              </w:rPr>
              <w:t xml:space="preserve"> c</w:t>
            </w:r>
          </w:p>
        </w:tc>
        <w:tc>
          <w:tcPr>
            <w:tcW w:w="1515" w:type="dxa"/>
            <w:shd w:val="clear" w:color="auto" w:fill="auto"/>
            <w:vAlign w:val="bottom"/>
          </w:tcPr>
          <w:p w14:paraId="60EFAD92"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319" w:type="dxa"/>
            <w:shd w:val="clear" w:color="auto" w:fill="auto"/>
            <w:vAlign w:val="bottom"/>
          </w:tcPr>
          <w:p w14:paraId="65E2AF4D"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446C0114"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2E225FF5" w14:textId="77777777" w:rsidTr="00272E0F">
        <w:tc>
          <w:tcPr>
            <w:tcW w:w="864" w:type="dxa"/>
            <w:shd w:val="clear" w:color="auto" w:fill="auto"/>
          </w:tcPr>
          <w:p w14:paraId="7CAF9134"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18C</w:t>
            </w:r>
          </w:p>
        </w:tc>
        <w:tc>
          <w:tcPr>
            <w:tcW w:w="1335" w:type="dxa"/>
            <w:shd w:val="clear" w:color="auto" w:fill="auto"/>
            <w:vAlign w:val="bottom"/>
          </w:tcPr>
          <w:p w14:paraId="76627997" w14:textId="77777777" w:rsidR="00545D33" w:rsidRPr="00272E0F" w:rsidRDefault="00545D33" w:rsidP="003E06DD">
            <w:pPr>
              <w:keepNext/>
              <w:keepLines/>
              <w:spacing w:line="240" w:lineRule="auto"/>
              <w:rPr>
                <w:color w:val="000000"/>
                <w:sz w:val="16"/>
                <w:szCs w:val="16"/>
              </w:rPr>
            </w:pPr>
            <w:r w:rsidRPr="00272E0F">
              <w:rPr>
                <w:color w:val="000000"/>
                <w:sz w:val="16"/>
                <w:szCs w:val="16"/>
              </w:rPr>
              <w:t>0.06 (0.02-0.15)</w:t>
            </w:r>
          </w:p>
        </w:tc>
        <w:tc>
          <w:tcPr>
            <w:tcW w:w="1496" w:type="dxa"/>
            <w:shd w:val="clear" w:color="auto" w:fill="auto"/>
            <w:vAlign w:val="bottom"/>
          </w:tcPr>
          <w:p w14:paraId="3ADF7FE1" w14:textId="77777777" w:rsidR="00545D33" w:rsidRPr="00272E0F" w:rsidRDefault="00545D33" w:rsidP="003E06DD">
            <w:pPr>
              <w:keepNext/>
              <w:keepLines/>
              <w:spacing w:line="240" w:lineRule="auto"/>
              <w:rPr>
                <w:color w:val="000000"/>
                <w:sz w:val="16"/>
                <w:szCs w:val="16"/>
              </w:rPr>
            </w:pPr>
            <w:r w:rsidRPr="00272E0F">
              <w:rPr>
                <w:color w:val="000000"/>
                <w:sz w:val="16"/>
                <w:szCs w:val="16"/>
              </w:rPr>
              <w:t>0.09 (0.03-0.20)</w:t>
            </w:r>
            <w:r w:rsidRPr="00272E0F">
              <w:rPr>
                <w:i/>
                <w:color w:val="000000"/>
                <w:sz w:val="16"/>
                <w:szCs w:val="16"/>
                <w:vertAlign w:val="superscript"/>
              </w:rPr>
              <w:t xml:space="preserve"> b*</w:t>
            </w:r>
          </w:p>
        </w:tc>
        <w:tc>
          <w:tcPr>
            <w:tcW w:w="1487" w:type="dxa"/>
            <w:shd w:val="clear" w:color="auto" w:fill="auto"/>
            <w:vAlign w:val="bottom"/>
          </w:tcPr>
          <w:p w14:paraId="2B39B57A" w14:textId="77777777" w:rsidR="00545D33" w:rsidRPr="00272E0F" w:rsidRDefault="00545D33" w:rsidP="003E06DD">
            <w:pPr>
              <w:keepNext/>
              <w:keepLines/>
              <w:spacing w:line="240" w:lineRule="auto"/>
              <w:rPr>
                <w:color w:val="000000"/>
                <w:sz w:val="16"/>
                <w:szCs w:val="16"/>
              </w:rPr>
            </w:pPr>
            <w:r w:rsidRPr="00272E0F">
              <w:rPr>
                <w:color w:val="000000"/>
                <w:sz w:val="16"/>
                <w:szCs w:val="16"/>
              </w:rPr>
              <w:t>0.35 (0.24-0.47)</w:t>
            </w:r>
            <w:r w:rsidRPr="00272E0F">
              <w:rPr>
                <w:i/>
                <w:color w:val="000000"/>
                <w:sz w:val="16"/>
                <w:szCs w:val="16"/>
                <w:vertAlign w:val="superscript"/>
              </w:rPr>
              <w:t xml:space="preserve"> c*</w:t>
            </w:r>
          </w:p>
        </w:tc>
        <w:tc>
          <w:tcPr>
            <w:tcW w:w="1515" w:type="dxa"/>
            <w:shd w:val="clear" w:color="auto" w:fill="auto"/>
            <w:vAlign w:val="bottom"/>
          </w:tcPr>
          <w:p w14:paraId="5FF3E1E2"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319" w:type="dxa"/>
            <w:shd w:val="clear" w:color="auto" w:fill="auto"/>
            <w:vAlign w:val="bottom"/>
          </w:tcPr>
          <w:p w14:paraId="2A2D8FC4" w14:textId="77777777" w:rsidR="00545D33" w:rsidRPr="00272E0F" w:rsidRDefault="00545D33" w:rsidP="003E06DD">
            <w:pPr>
              <w:keepNext/>
              <w:keepLines/>
              <w:spacing w:line="240" w:lineRule="auto"/>
              <w:rPr>
                <w:color w:val="000000"/>
                <w:sz w:val="16"/>
                <w:szCs w:val="16"/>
              </w:rPr>
            </w:pPr>
            <w:r w:rsidRPr="00272E0F">
              <w:rPr>
                <w:color w:val="000000"/>
                <w:sz w:val="16"/>
                <w:szCs w:val="16"/>
              </w:rPr>
              <w:t>0.97 (0.88-1.00)</w:t>
            </w:r>
          </w:p>
        </w:tc>
        <w:tc>
          <w:tcPr>
            <w:tcW w:w="1575" w:type="dxa"/>
            <w:shd w:val="clear" w:color="auto" w:fill="auto"/>
            <w:vAlign w:val="bottom"/>
          </w:tcPr>
          <w:p w14:paraId="30F124ED" w14:textId="77777777" w:rsidR="00545D33" w:rsidRPr="00272E0F" w:rsidRDefault="00545D33" w:rsidP="003E06DD">
            <w:pPr>
              <w:keepNext/>
              <w:keepLines/>
              <w:spacing w:line="240" w:lineRule="auto"/>
              <w:rPr>
                <w:color w:val="000000"/>
                <w:sz w:val="16"/>
                <w:szCs w:val="16"/>
              </w:rPr>
            </w:pPr>
            <w:r w:rsidRPr="00272E0F">
              <w:rPr>
                <w:color w:val="000000"/>
                <w:sz w:val="16"/>
                <w:szCs w:val="16"/>
              </w:rPr>
              <w:t>0.94 (0.86-0.98)</w:t>
            </w:r>
          </w:p>
        </w:tc>
      </w:tr>
      <w:tr w:rsidR="00CB1FC8" w:rsidRPr="00272E0F" w14:paraId="1F95BFCB" w14:textId="77777777" w:rsidTr="00272E0F">
        <w:tc>
          <w:tcPr>
            <w:tcW w:w="864" w:type="dxa"/>
            <w:shd w:val="clear" w:color="auto" w:fill="auto"/>
          </w:tcPr>
          <w:p w14:paraId="77C7F4E5"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19A</w:t>
            </w:r>
          </w:p>
        </w:tc>
        <w:tc>
          <w:tcPr>
            <w:tcW w:w="1335" w:type="dxa"/>
            <w:shd w:val="clear" w:color="auto" w:fill="auto"/>
            <w:vAlign w:val="bottom"/>
          </w:tcPr>
          <w:p w14:paraId="4D0AEC8D" w14:textId="77777777" w:rsidR="00545D33" w:rsidRPr="00272E0F" w:rsidRDefault="00545D33" w:rsidP="003E06DD">
            <w:pPr>
              <w:keepNext/>
              <w:keepLines/>
              <w:spacing w:line="240" w:lineRule="auto"/>
              <w:rPr>
                <w:color w:val="000000"/>
                <w:sz w:val="16"/>
                <w:szCs w:val="16"/>
              </w:rPr>
            </w:pPr>
            <w:r w:rsidRPr="00272E0F">
              <w:rPr>
                <w:color w:val="000000"/>
                <w:sz w:val="16"/>
                <w:szCs w:val="16"/>
              </w:rPr>
              <w:t>0.39 (0.27-0.53)</w:t>
            </w:r>
          </w:p>
        </w:tc>
        <w:tc>
          <w:tcPr>
            <w:tcW w:w="1496" w:type="dxa"/>
            <w:shd w:val="clear" w:color="auto" w:fill="auto"/>
            <w:vAlign w:val="bottom"/>
          </w:tcPr>
          <w:p w14:paraId="3721C4B3" w14:textId="77777777" w:rsidR="00545D33" w:rsidRPr="00272E0F" w:rsidRDefault="00545D33" w:rsidP="003E06DD">
            <w:pPr>
              <w:keepNext/>
              <w:keepLines/>
              <w:spacing w:line="240" w:lineRule="auto"/>
              <w:rPr>
                <w:color w:val="000000"/>
                <w:sz w:val="16"/>
                <w:szCs w:val="16"/>
              </w:rPr>
            </w:pPr>
            <w:r w:rsidRPr="00272E0F">
              <w:rPr>
                <w:color w:val="000000"/>
                <w:sz w:val="16"/>
                <w:szCs w:val="16"/>
              </w:rPr>
              <w:t>0.57 (0.43-0.70)</w:t>
            </w:r>
          </w:p>
        </w:tc>
        <w:tc>
          <w:tcPr>
            <w:tcW w:w="1487" w:type="dxa"/>
            <w:shd w:val="clear" w:color="auto" w:fill="auto"/>
            <w:vAlign w:val="bottom"/>
          </w:tcPr>
          <w:p w14:paraId="2583DAF3" w14:textId="77777777" w:rsidR="00545D33" w:rsidRPr="00272E0F" w:rsidRDefault="00545D33" w:rsidP="003E06DD">
            <w:pPr>
              <w:keepNext/>
              <w:keepLines/>
              <w:spacing w:line="240" w:lineRule="auto"/>
              <w:rPr>
                <w:color w:val="000000"/>
                <w:sz w:val="16"/>
                <w:szCs w:val="16"/>
              </w:rPr>
            </w:pPr>
            <w:r w:rsidRPr="00272E0F">
              <w:rPr>
                <w:color w:val="000000"/>
                <w:sz w:val="16"/>
                <w:szCs w:val="16"/>
              </w:rPr>
              <w:t>0.64 (0.51-0.75)</w:t>
            </w:r>
            <w:r w:rsidRPr="00272E0F">
              <w:rPr>
                <w:i/>
                <w:color w:val="000000"/>
                <w:sz w:val="16"/>
                <w:szCs w:val="16"/>
                <w:vertAlign w:val="superscript"/>
              </w:rPr>
              <w:t xml:space="preserve"> c</w:t>
            </w:r>
          </w:p>
        </w:tc>
        <w:tc>
          <w:tcPr>
            <w:tcW w:w="1515" w:type="dxa"/>
            <w:shd w:val="clear" w:color="auto" w:fill="auto"/>
            <w:vAlign w:val="bottom"/>
          </w:tcPr>
          <w:p w14:paraId="4E736089"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319" w:type="dxa"/>
            <w:shd w:val="clear" w:color="auto" w:fill="auto"/>
            <w:vAlign w:val="bottom"/>
          </w:tcPr>
          <w:p w14:paraId="3B4B53D1"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53DB4FEB"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4C2B840E" w14:textId="77777777" w:rsidTr="00272E0F">
        <w:tc>
          <w:tcPr>
            <w:tcW w:w="864" w:type="dxa"/>
            <w:shd w:val="clear" w:color="auto" w:fill="auto"/>
          </w:tcPr>
          <w:p w14:paraId="4EEB84EB"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19F</w:t>
            </w:r>
          </w:p>
        </w:tc>
        <w:tc>
          <w:tcPr>
            <w:tcW w:w="1335" w:type="dxa"/>
            <w:shd w:val="clear" w:color="auto" w:fill="auto"/>
            <w:vAlign w:val="bottom"/>
          </w:tcPr>
          <w:p w14:paraId="3C5711B9" w14:textId="77777777" w:rsidR="00545D33" w:rsidRPr="00272E0F" w:rsidRDefault="00545D33" w:rsidP="003E06DD">
            <w:pPr>
              <w:keepNext/>
              <w:keepLines/>
              <w:spacing w:line="240" w:lineRule="auto"/>
              <w:rPr>
                <w:color w:val="000000"/>
                <w:sz w:val="16"/>
                <w:szCs w:val="16"/>
              </w:rPr>
            </w:pPr>
            <w:r w:rsidRPr="00272E0F">
              <w:rPr>
                <w:color w:val="000000"/>
                <w:sz w:val="16"/>
                <w:szCs w:val="16"/>
              </w:rPr>
              <w:t>0.63 (0.50-0.75)</w:t>
            </w:r>
          </w:p>
        </w:tc>
        <w:tc>
          <w:tcPr>
            <w:tcW w:w="1496" w:type="dxa"/>
            <w:shd w:val="clear" w:color="auto" w:fill="auto"/>
            <w:vAlign w:val="bottom"/>
          </w:tcPr>
          <w:p w14:paraId="734FC4B0" w14:textId="77777777" w:rsidR="00545D33" w:rsidRPr="00272E0F" w:rsidRDefault="00545D33" w:rsidP="003E06DD">
            <w:pPr>
              <w:keepNext/>
              <w:keepLines/>
              <w:spacing w:line="240" w:lineRule="auto"/>
              <w:rPr>
                <w:color w:val="000000"/>
                <w:sz w:val="16"/>
                <w:szCs w:val="16"/>
              </w:rPr>
            </w:pPr>
            <w:r w:rsidRPr="00272E0F">
              <w:rPr>
                <w:color w:val="000000"/>
                <w:sz w:val="16"/>
                <w:szCs w:val="16"/>
              </w:rPr>
              <w:t>0.49 (0.35-0.63)</w:t>
            </w:r>
            <w:r w:rsidRPr="00272E0F">
              <w:rPr>
                <w:i/>
                <w:color w:val="000000"/>
                <w:sz w:val="16"/>
                <w:szCs w:val="16"/>
                <w:vertAlign w:val="superscript"/>
              </w:rPr>
              <w:t xml:space="preserve"> b*</w:t>
            </w:r>
          </w:p>
        </w:tc>
        <w:tc>
          <w:tcPr>
            <w:tcW w:w="1487" w:type="dxa"/>
            <w:shd w:val="clear" w:color="auto" w:fill="auto"/>
            <w:vAlign w:val="bottom"/>
          </w:tcPr>
          <w:p w14:paraId="56399603" w14:textId="77777777" w:rsidR="00545D33" w:rsidRPr="00272E0F" w:rsidRDefault="00545D33" w:rsidP="003E06DD">
            <w:pPr>
              <w:keepNext/>
              <w:keepLines/>
              <w:spacing w:line="240" w:lineRule="auto"/>
              <w:rPr>
                <w:color w:val="000000"/>
                <w:sz w:val="16"/>
                <w:szCs w:val="16"/>
              </w:rPr>
            </w:pPr>
            <w:r w:rsidRPr="00272E0F">
              <w:rPr>
                <w:color w:val="000000"/>
                <w:sz w:val="16"/>
                <w:szCs w:val="16"/>
              </w:rPr>
              <w:t>0.78 (0.67-0.87)</w:t>
            </w:r>
          </w:p>
        </w:tc>
        <w:tc>
          <w:tcPr>
            <w:tcW w:w="1515" w:type="dxa"/>
            <w:shd w:val="clear" w:color="auto" w:fill="auto"/>
            <w:vAlign w:val="bottom"/>
          </w:tcPr>
          <w:p w14:paraId="7A3CD783"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319" w:type="dxa"/>
            <w:shd w:val="clear" w:color="auto" w:fill="auto"/>
            <w:vAlign w:val="bottom"/>
          </w:tcPr>
          <w:p w14:paraId="0B24C869"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1D291586"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(0.95-1.00)</w:t>
            </w:r>
          </w:p>
        </w:tc>
      </w:tr>
      <w:tr w:rsidR="00CB1FC8" w:rsidRPr="00272E0F" w14:paraId="073FE814" w14:textId="77777777" w:rsidTr="00272E0F">
        <w:tc>
          <w:tcPr>
            <w:tcW w:w="864" w:type="dxa"/>
            <w:shd w:val="clear" w:color="auto" w:fill="auto"/>
          </w:tcPr>
          <w:p w14:paraId="3C75E6C7" w14:textId="77777777" w:rsidR="00545D33" w:rsidRPr="00272E0F" w:rsidRDefault="00545D33" w:rsidP="003E06DD">
            <w:pPr>
              <w:pStyle w:val="Table"/>
              <w:keepNext/>
              <w:keepLines/>
              <w:rPr>
                <w:rFonts w:ascii="Times New Roman" w:hAnsi="Times New Roman"/>
                <w:sz w:val="16"/>
                <w:szCs w:val="16"/>
              </w:rPr>
            </w:pPr>
            <w:r w:rsidRPr="00272E0F">
              <w:rPr>
                <w:rFonts w:ascii="Times New Roman" w:hAnsi="Times New Roman"/>
                <w:sz w:val="16"/>
                <w:szCs w:val="16"/>
              </w:rPr>
              <w:t>23F</w:t>
            </w:r>
          </w:p>
        </w:tc>
        <w:tc>
          <w:tcPr>
            <w:tcW w:w="1335" w:type="dxa"/>
            <w:shd w:val="clear" w:color="auto" w:fill="auto"/>
            <w:vAlign w:val="bottom"/>
          </w:tcPr>
          <w:p w14:paraId="12232408" w14:textId="77777777" w:rsidR="00545D33" w:rsidRPr="00272E0F" w:rsidRDefault="00545D33" w:rsidP="003E06DD">
            <w:pPr>
              <w:keepNext/>
              <w:keepLines/>
              <w:spacing w:line="240" w:lineRule="auto"/>
              <w:rPr>
                <w:color w:val="000000"/>
                <w:sz w:val="16"/>
                <w:szCs w:val="16"/>
              </w:rPr>
            </w:pPr>
            <w:r w:rsidRPr="00272E0F">
              <w:rPr>
                <w:color w:val="000000"/>
                <w:sz w:val="16"/>
                <w:szCs w:val="16"/>
              </w:rPr>
              <w:t>0.15 (0.07-0.26)</w:t>
            </w:r>
          </w:p>
        </w:tc>
        <w:tc>
          <w:tcPr>
            <w:tcW w:w="1496" w:type="dxa"/>
            <w:shd w:val="clear" w:color="auto" w:fill="auto"/>
            <w:vAlign w:val="bottom"/>
          </w:tcPr>
          <w:p w14:paraId="692A022C" w14:textId="77777777" w:rsidR="00545D33" w:rsidRPr="00272E0F" w:rsidRDefault="00545D33" w:rsidP="003E06DD">
            <w:pPr>
              <w:keepNext/>
              <w:keepLines/>
              <w:spacing w:line="240" w:lineRule="auto"/>
              <w:rPr>
                <w:color w:val="000000"/>
                <w:sz w:val="16"/>
                <w:szCs w:val="16"/>
              </w:rPr>
            </w:pPr>
            <w:r w:rsidRPr="00272E0F">
              <w:rPr>
                <w:color w:val="000000"/>
                <w:sz w:val="16"/>
                <w:szCs w:val="16"/>
              </w:rPr>
              <w:t>0.11 (0.04-0.22)</w:t>
            </w:r>
            <w:r w:rsidRPr="00272E0F">
              <w:rPr>
                <w:i/>
                <w:color w:val="000000"/>
                <w:sz w:val="16"/>
                <w:szCs w:val="16"/>
                <w:vertAlign w:val="superscript"/>
              </w:rPr>
              <w:t xml:space="preserve"> b*</w:t>
            </w:r>
          </w:p>
        </w:tc>
        <w:tc>
          <w:tcPr>
            <w:tcW w:w="1487" w:type="dxa"/>
            <w:shd w:val="clear" w:color="auto" w:fill="auto"/>
            <w:vAlign w:val="bottom"/>
          </w:tcPr>
          <w:p w14:paraId="0BA245D4" w14:textId="77777777" w:rsidR="00545D33" w:rsidRPr="00272E0F" w:rsidRDefault="00545D33" w:rsidP="003E06DD">
            <w:pPr>
              <w:keepNext/>
              <w:keepLines/>
              <w:spacing w:line="240" w:lineRule="auto"/>
              <w:rPr>
                <w:color w:val="000000"/>
                <w:sz w:val="16"/>
                <w:szCs w:val="16"/>
              </w:rPr>
            </w:pPr>
            <w:r w:rsidRPr="00272E0F">
              <w:rPr>
                <w:color w:val="000000"/>
                <w:sz w:val="16"/>
                <w:szCs w:val="16"/>
              </w:rPr>
              <w:t>0.38 (0.27-0.51)</w:t>
            </w:r>
            <w:r w:rsidRPr="00272E0F">
              <w:rPr>
                <w:i/>
                <w:color w:val="000000"/>
                <w:sz w:val="16"/>
                <w:szCs w:val="16"/>
                <w:vertAlign w:val="superscript"/>
              </w:rPr>
              <w:t xml:space="preserve"> c</w:t>
            </w:r>
          </w:p>
        </w:tc>
        <w:tc>
          <w:tcPr>
            <w:tcW w:w="1515" w:type="dxa"/>
            <w:shd w:val="clear" w:color="auto" w:fill="auto"/>
            <w:vAlign w:val="bottom"/>
          </w:tcPr>
          <w:p w14:paraId="6B5D8272" w14:textId="77777777" w:rsidR="00545D33" w:rsidRPr="00272E0F" w:rsidRDefault="00545D33" w:rsidP="003E06DD">
            <w:pPr>
              <w:keepNext/>
              <w:keepLines/>
              <w:spacing w:line="240" w:lineRule="auto"/>
              <w:rPr>
                <w:color w:val="000000"/>
                <w:sz w:val="16"/>
                <w:szCs w:val="16"/>
              </w:rPr>
            </w:pPr>
            <w:r w:rsidRPr="00272E0F">
              <w:rPr>
                <w:color w:val="000000"/>
                <w:sz w:val="16"/>
                <w:szCs w:val="16"/>
              </w:rPr>
              <w:t>0.98 (0.91-1.00)</w:t>
            </w:r>
          </w:p>
        </w:tc>
        <w:tc>
          <w:tcPr>
            <w:tcW w:w="1319" w:type="dxa"/>
            <w:shd w:val="clear" w:color="auto" w:fill="auto"/>
            <w:vAlign w:val="bottom"/>
          </w:tcPr>
          <w:p w14:paraId="7D624499" w14:textId="77777777" w:rsidR="00545D33" w:rsidRPr="00272E0F" w:rsidRDefault="00545D33" w:rsidP="003E06DD">
            <w:pPr>
              <w:keepNext/>
              <w:keepLines/>
              <w:spacing w:line="240" w:lineRule="auto"/>
              <w:rPr>
                <w:color w:val="000000"/>
                <w:sz w:val="16"/>
                <w:szCs w:val="16"/>
              </w:rPr>
            </w:pPr>
            <w:r w:rsidRPr="00272E0F">
              <w:rPr>
                <w:color w:val="000000"/>
                <w:sz w:val="16"/>
                <w:szCs w:val="16"/>
              </w:rPr>
              <w:t>1.00 (0.94-1.00)</w:t>
            </w:r>
          </w:p>
        </w:tc>
        <w:tc>
          <w:tcPr>
            <w:tcW w:w="1575" w:type="dxa"/>
            <w:shd w:val="clear" w:color="auto" w:fill="auto"/>
            <w:vAlign w:val="bottom"/>
          </w:tcPr>
          <w:p w14:paraId="3DEEA515" w14:textId="77777777" w:rsidR="00545D33" w:rsidRPr="00272E0F" w:rsidRDefault="00545D33" w:rsidP="003E06DD">
            <w:pPr>
              <w:keepNext/>
              <w:keepLines/>
              <w:spacing w:line="240" w:lineRule="auto"/>
              <w:rPr>
                <w:color w:val="000000"/>
                <w:sz w:val="16"/>
                <w:szCs w:val="16"/>
              </w:rPr>
            </w:pPr>
            <w:r w:rsidRPr="00272E0F">
              <w:rPr>
                <w:color w:val="000000"/>
                <w:sz w:val="16"/>
                <w:szCs w:val="16"/>
              </w:rPr>
              <w:t>0.97 (0.90-1.00)</w:t>
            </w:r>
          </w:p>
        </w:tc>
      </w:tr>
      <w:bookmarkEnd w:id="1"/>
    </w:tbl>
    <w:p w14:paraId="69E9AF56" w14:textId="77777777" w:rsidR="00E572E7" w:rsidRDefault="00E572E7" w:rsidP="000C004D"/>
    <w:p w14:paraId="1E4B2D3B" w14:textId="383778F2" w:rsidR="003B5496" w:rsidRDefault="003B5496" w:rsidP="00C44562">
      <w:pPr>
        <w:keepNext/>
        <w:outlineLvl w:val="0"/>
      </w:pPr>
    </w:p>
    <w:p w14:paraId="3E5AC62D" w14:textId="77777777" w:rsidR="000D23BE" w:rsidRDefault="000D23BE" w:rsidP="00C44562">
      <w:pPr>
        <w:keepNext/>
        <w:outlineLvl w:val="0"/>
      </w:pPr>
    </w:p>
    <w:p w14:paraId="3B718D01" w14:textId="0E3B4558" w:rsidR="000D23BE" w:rsidRDefault="000D23BE">
      <w:pPr>
        <w:spacing w:line="240" w:lineRule="auto"/>
      </w:pPr>
      <w:r>
        <w:br w:type="page"/>
      </w:r>
    </w:p>
    <w:p w14:paraId="2AA3C618" w14:textId="77777777" w:rsidR="00D0186F" w:rsidRDefault="00D0186F" w:rsidP="00D0186F">
      <w:pPr>
        <w:spacing w:line="240" w:lineRule="auto"/>
      </w:pPr>
    </w:p>
    <w:p w14:paraId="15DA68D3" w14:textId="77777777" w:rsidR="000D23BE" w:rsidRPr="00205F16" w:rsidRDefault="000D23BE" w:rsidP="00D0186F">
      <w:pPr>
        <w:spacing w:line="240" w:lineRule="auto"/>
      </w:pPr>
      <w:r w:rsidRPr="00205F16">
        <w:t xml:space="preserve">Figure </w:t>
      </w:r>
      <w:fldSimple w:instr=" SEQ Figure \* ARABIC ">
        <w:r w:rsidRPr="00205F16">
          <w:rPr>
            <w:noProof/>
          </w:rPr>
          <w:t>1</w:t>
        </w:r>
      </w:fldSimple>
      <w:r w:rsidRPr="00205F16">
        <w:t>: Consort diagram</w:t>
      </w:r>
    </w:p>
    <w:p w14:paraId="310D26C5" w14:textId="77777777" w:rsidR="00F4629F" w:rsidRDefault="00F4629F" w:rsidP="00D0186F">
      <w:pPr>
        <w:spacing w:line="240" w:lineRule="auto"/>
      </w:pPr>
    </w:p>
    <w:p w14:paraId="101F18B2" w14:textId="7B8EE454" w:rsidR="000D23BE" w:rsidRPr="00205F16" w:rsidRDefault="000D23BE" w:rsidP="00D0186F">
      <w:pPr>
        <w:spacing w:line="240" w:lineRule="auto"/>
      </w:pPr>
      <w:r w:rsidRPr="00205F16">
        <w:t xml:space="preserve">Figure </w:t>
      </w:r>
      <w:fldSimple w:instr=" SEQ Figure \* ARABIC ">
        <w:r w:rsidRPr="00205F16">
          <w:rPr>
            <w:noProof/>
          </w:rPr>
          <w:t>2</w:t>
        </w:r>
      </w:fldSimple>
      <w:r w:rsidRPr="00205F16">
        <w:t>: Pneumococcal IgG GMCs following primary vaccination for each serotype and group.  a b c: p&lt;0.05 comparing groups 1 and 2, 2 and 3, and 1 and 3 respectively.  Black capped lines indicate 95% confidence intervals, solid horizontal red line indicates 0.35µg/mL.</w:t>
      </w:r>
    </w:p>
    <w:p w14:paraId="609516ED" w14:textId="77777777" w:rsidR="00F4629F" w:rsidRDefault="00F4629F" w:rsidP="00D0186F">
      <w:pPr>
        <w:spacing w:line="240" w:lineRule="auto"/>
      </w:pPr>
    </w:p>
    <w:p w14:paraId="12DFFC9D" w14:textId="67F35E29" w:rsidR="000D23BE" w:rsidRDefault="000D23BE" w:rsidP="00D0186F">
      <w:pPr>
        <w:spacing w:line="240" w:lineRule="auto"/>
      </w:pPr>
      <w:r w:rsidRPr="00205F16">
        <w:t xml:space="preserve">Figure </w:t>
      </w:r>
      <w:fldSimple w:instr=" SEQ Figure \* ARABIC ">
        <w:r w:rsidRPr="00205F16">
          <w:rPr>
            <w:noProof/>
          </w:rPr>
          <w:t>3</w:t>
        </w:r>
      </w:fldSimple>
      <w:r w:rsidRPr="00205F16">
        <w:t>: Pneumococcal IgG GMCs following booster vaccination for each serotype and group.  a b c: p&lt;0.05 comparing groups 1 and 2, 2 and 3, and 1 and 3 respectively.  Black capped lines indicate 95% confidence intervals, solid horizontal red line indicates 0.35µg/mL.</w:t>
      </w:r>
      <w:r w:rsidRPr="00205F16">
        <w:rPr>
          <w:noProof/>
          <w:sz w:val="28"/>
          <w:szCs w:val="28"/>
          <w:lang w:eastAsia="en-GB"/>
        </w:rPr>
        <w:t xml:space="preserve"> </w:t>
      </w:r>
    </w:p>
    <w:sectPr w:rsidR="000D23BE" w:rsidSect="00531AA7">
      <w:headerReference w:type="default" r:id="rId10"/>
      <w:pgSz w:w="11906" w:h="16838"/>
      <w:pgMar w:top="96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9FE4" w14:textId="77777777" w:rsidR="00684167" w:rsidRDefault="00684167" w:rsidP="00531AA7">
      <w:pPr>
        <w:spacing w:line="240" w:lineRule="auto"/>
      </w:pPr>
      <w:r>
        <w:separator/>
      </w:r>
    </w:p>
  </w:endnote>
  <w:endnote w:type="continuationSeparator" w:id="0">
    <w:p w14:paraId="4A13043D" w14:textId="77777777" w:rsidR="00684167" w:rsidRDefault="00684167" w:rsidP="00531AA7">
      <w:pPr>
        <w:spacing w:line="240" w:lineRule="auto"/>
      </w:pPr>
      <w:r>
        <w:continuationSeparator/>
      </w:r>
    </w:p>
  </w:endnote>
  <w:endnote w:type="continuationNotice" w:id="1">
    <w:p w14:paraId="63332C18" w14:textId="77777777" w:rsidR="00684167" w:rsidRDefault="00684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915E" w14:textId="77777777" w:rsidR="00684167" w:rsidRDefault="00684167" w:rsidP="00531AA7">
      <w:pPr>
        <w:spacing w:line="240" w:lineRule="auto"/>
      </w:pPr>
      <w:r>
        <w:separator/>
      </w:r>
    </w:p>
  </w:footnote>
  <w:footnote w:type="continuationSeparator" w:id="0">
    <w:p w14:paraId="1AD7445A" w14:textId="77777777" w:rsidR="00684167" w:rsidRDefault="00684167" w:rsidP="00531AA7">
      <w:pPr>
        <w:spacing w:line="240" w:lineRule="auto"/>
      </w:pPr>
      <w:r>
        <w:continuationSeparator/>
      </w:r>
    </w:p>
  </w:footnote>
  <w:footnote w:type="continuationNotice" w:id="1">
    <w:p w14:paraId="14ACC99D" w14:textId="77777777" w:rsidR="00684167" w:rsidRDefault="0068416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66B4" w14:textId="2038EB55" w:rsidR="008841C1" w:rsidRDefault="0088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E513" w14:textId="42A8CFCE" w:rsidR="008841C1" w:rsidRDefault="0088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2AA"/>
    <w:multiLevelType w:val="hybridMultilevel"/>
    <w:tmpl w:val="41CA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84E13"/>
    <w:multiLevelType w:val="hybridMultilevel"/>
    <w:tmpl w:val="06B4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A425B"/>
    <w:multiLevelType w:val="hybridMultilevel"/>
    <w:tmpl w:val="41CA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C6B76"/>
    <w:multiLevelType w:val="hybridMultilevel"/>
    <w:tmpl w:val="50CA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739DA"/>
    <w:multiLevelType w:val="hybridMultilevel"/>
    <w:tmpl w:val="41CA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C7FE1"/>
    <w:multiLevelType w:val="hybridMultilevel"/>
    <w:tmpl w:val="DDD6F7C4"/>
    <w:lvl w:ilvl="0" w:tplc="0318EBE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B0ABF"/>
    <w:multiLevelType w:val="singleLevel"/>
    <w:tmpl w:val="9596193A"/>
    <w:lvl w:ilvl="0">
      <w:start w:val="1"/>
      <w:numFmt w:val="decimal"/>
      <w:lvlText w:val="%1."/>
      <w:lvlJc w:val="left"/>
      <w:pPr>
        <w:tabs>
          <w:tab w:val="num" w:pos="360"/>
        </w:tabs>
        <w:ind w:left="283" w:hanging="283"/>
      </w:pPr>
      <w:rPr>
        <w:rFonts w:ascii="Calibri" w:hAnsi="Calibri" w:cs="Calibri" w:hint="default"/>
        <w:b w:val="0"/>
        <w:i w:val="0"/>
        <w:sz w:val="24"/>
      </w:rPr>
    </w:lvl>
  </w:abstractNum>
  <w:abstractNum w:abstractNumId="7" w15:restartNumberingAfterBreak="0">
    <w:nsid w:val="76974E21"/>
    <w:multiLevelType w:val="multilevel"/>
    <w:tmpl w:val="1E121F5E"/>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E2"/>
    <w:rsid w:val="00007167"/>
    <w:rsid w:val="00012195"/>
    <w:rsid w:val="0001480E"/>
    <w:rsid w:val="000165B2"/>
    <w:rsid w:val="00017C3B"/>
    <w:rsid w:val="00020D25"/>
    <w:rsid w:val="00022871"/>
    <w:rsid w:val="0002295A"/>
    <w:rsid w:val="000278FF"/>
    <w:rsid w:val="00030C7B"/>
    <w:rsid w:val="00036C11"/>
    <w:rsid w:val="00042309"/>
    <w:rsid w:val="000433FD"/>
    <w:rsid w:val="00044675"/>
    <w:rsid w:val="00053A55"/>
    <w:rsid w:val="00055CB4"/>
    <w:rsid w:val="000578FD"/>
    <w:rsid w:val="00063480"/>
    <w:rsid w:val="000657FE"/>
    <w:rsid w:val="00065FFA"/>
    <w:rsid w:val="0006648E"/>
    <w:rsid w:val="00066734"/>
    <w:rsid w:val="00067F49"/>
    <w:rsid w:val="00071DE9"/>
    <w:rsid w:val="00072559"/>
    <w:rsid w:val="0007257C"/>
    <w:rsid w:val="0007465A"/>
    <w:rsid w:val="00082682"/>
    <w:rsid w:val="00091F38"/>
    <w:rsid w:val="000A0D6B"/>
    <w:rsid w:val="000B29C0"/>
    <w:rsid w:val="000B47A9"/>
    <w:rsid w:val="000C004D"/>
    <w:rsid w:val="000C5108"/>
    <w:rsid w:val="000C7E77"/>
    <w:rsid w:val="000D23BE"/>
    <w:rsid w:val="000D4E01"/>
    <w:rsid w:val="000E73F9"/>
    <w:rsid w:val="000F4211"/>
    <w:rsid w:val="000F5F37"/>
    <w:rsid w:val="000F75E0"/>
    <w:rsid w:val="001004F2"/>
    <w:rsid w:val="00100E71"/>
    <w:rsid w:val="00102C06"/>
    <w:rsid w:val="00106997"/>
    <w:rsid w:val="00114A34"/>
    <w:rsid w:val="0011645D"/>
    <w:rsid w:val="00120A35"/>
    <w:rsid w:val="0012374A"/>
    <w:rsid w:val="001329BD"/>
    <w:rsid w:val="00132B62"/>
    <w:rsid w:val="0013333B"/>
    <w:rsid w:val="00142824"/>
    <w:rsid w:val="0015105E"/>
    <w:rsid w:val="00156664"/>
    <w:rsid w:val="001631D6"/>
    <w:rsid w:val="00167D88"/>
    <w:rsid w:val="0017039E"/>
    <w:rsid w:val="00170A83"/>
    <w:rsid w:val="00175D5D"/>
    <w:rsid w:val="0018449F"/>
    <w:rsid w:val="00186784"/>
    <w:rsid w:val="00186D99"/>
    <w:rsid w:val="00191932"/>
    <w:rsid w:val="00192433"/>
    <w:rsid w:val="0019254F"/>
    <w:rsid w:val="00195195"/>
    <w:rsid w:val="001A07C4"/>
    <w:rsid w:val="001A4CBD"/>
    <w:rsid w:val="001A60D3"/>
    <w:rsid w:val="001B00B4"/>
    <w:rsid w:val="001B182F"/>
    <w:rsid w:val="001B1F79"/>
    <w:rsid w:val="001B3844"/>
    <w:rsid w:val="001B4188"/>
    <w:rsid w:val="001C6806"/>
    <w:rsid w:val="001D263F"/>
    <w:rsid w:val="001F06BD"/>
    <w:rsid w:val="001F2CCE"/>
    <w:rsid w:val="001F4BF5"/>
    <w:rsid w:val="001F4EE9"/>
    <w:rsid w:val="001F54CB"/>
    <w:rsid w:val="001F5AC8"/>
    <w:rsid w:val="001F5F72"/>
    <w:rsid w:val="001F787B"/>
    <w:rsid w:val="00207E49"/>
    <w:rsid w:val="0021483A"/>
    <w:rsid w:val="00221C12"/>
    <w:rsid w:val="00224C68"/>
    <w:rsid w:val="002306E8"/>
    <w:rsid w:val="00241D24"/>
    <w:rsid w:val="002421E7"/>
    <w:rsid w:val="002437AD"/>
    <w:rsid w:val="002451C0"/>
    <w:rsid w:val="002461B8"/>
    <w:rsid w:val="0025038E"/>
    <w:rsid w:val="00254D1A"/>
    <w:rsid w:val="002558A9"/>
    <w:rsid w:val="00256DEE"/>
    <w:rsid w:val="00260058"/>
    <w:rsid w:val="00263B3A"/>
    <w:rsid w:val="00270AA1"/>
    <w:rsid w:val="002715C0"/>
    <w:rsid w:val="00272E0F"/>
    <w:rsid w:val="00273509"/>
    <w:rsid w:val="002756DB"/>
    <w:rsid w:val="00280E47"/>
    <w:rsid w:val="00285E32"/>
    <w:rsid w:val="00285E4C"/>
    <w:rsid w:val="00293A81"/>
    <w:rsid w:val="002A2EC2"/>
    <w:rsid w:val="002A72C0"/>
    <w:rsid w:val="002B0FA2"/>
    <w:rsid w:val="002B3922"/>
    <w:rsid w:val="002C257D"/>
    <w:rsid w:val="002C4AEC"/>
    <w:rsid w:val="002C6B0C"/>
    <w:rsid w:val="002C6CDF"/>
    <w:rsid w:val="002D5849"/>
    <w:rsid w:val="002D67E8"/>
    <w:rsid w:val="002D6EA3"/>
    <w:rsid w:val="002E3F97"/>
    <w:rsid w:val="002E6FD1"/>
    <w:rsid w:val="002E779F"/>
    <w:rsid w:val="002E7CF9"/>
    <w:rsid w:val="002F2261"/>
    <w:rsid w:val="002F2E1B"/>
    <w:rsid w:val="002F3CA7"/>
    <w:rsid w:val="002F5B3F"/>
    <w:rsid w:val="00301077"/>
    <w:rsid w:val="00312AC3"/>
    <w:rsid w:val="00314C8E"/>
    <w:rsid w:val="00316CD1"/>
    <w:rsid w:val="00317538"/>
    <w:rsid w:val="00320123"/>
    <w:rsid w:val="00321905"/>
    <w:rsid w:val="00321BE9"/>
    <w:rsid w:val="00322950"/>
    <w:rsid w:val="00326BEE"/>
    <w:rsid w:val="00334A81"/>
    <w:rsid w:val="003372DD"/>
    <w:rsid w:val="0034040D"/>
    <w:rsid w:val="003525F6"/>
    <w:rsid w:val="00353952"/>
    <w:rsid w:val="003613D7"/>
    <w:rsid w:val="003613ED"/>
    <w:rsid w:val="003652D3"/>
    <w:rsid w:val="00366544"/>
    <w:rsid w:val="0037403F"/>
    <w:rsid w:val="00382F11"/>
    <w:rsid w:val="00383768"/>
    <w:rsid w:val="003868C7"/>
    <w:rsid w:val="0039430D"/>
    <w:rsid w:val="00395673"/>
    <w:rsid w:val="003A0B46"/>
    <w:rsid w:val="003A0F73"/>
    <w:rsid w:val="003A7FFB"/>
    <w:rsid w:val="003B07E2"/>
    <w:rsid w:val="003B090D"/>
    <w:rsid w:val="003B5496"/>
    <w:rsid w:val="003B5868"/>
    <w:rsid w:val="003C3FB0"/>
    <w:rsid w:val="003C4A7F"/>
    <w:rsid w:val="003D19E8"/>
    <w:rsid w:val="003D36F3"/>
    <w:rsid w:val="003D3C43"/>
    <w:rsid w:val="003E06DD"/>
    <w:rsid w:val="003E483A"/>
    <w:rsid w:val="003F0B75"/>
    <w:rsid w:val="003F291E"/>
    <w:rsid w:val="003F492E"/>
    <w:rsid w:val="00403992"/>
    <w:rsid w:val="00407EC2"/>
    <w:rsid w:val="004108B3"/>
    <w:rsid w:val="00411710"/>
    <w:rsid w:val="00412F18"/>
    <w:rsid w:val="00417CBA"/>
    <w:rsid w:val="004247F6"/>
    <w:rsid w:val="004349A6"/>
    <w:rsid w:val="0043639D"/>
    <w:rsid w:val="0043640D"/>
    <w:rsid w:val="004437BF"/>
    <w:rsid w:val="0044480F"/>
    <w:rsid w:val="004507B7"/>
    <w:rsid w:val="00463752"/>
    <w:rsid w:val="00465B3B"/>
    <w:rsid w:val="00465CAB"/>
    <w:rsid w:val="00467D45"/>
    <w:rsid w:val="00472BAF"/>
    <w:rsid w:val="0047476A"/>
    <w:rsid w:val="0048578D"/>
    <w:rsid w:val="00487593"/>
    <w:rsid w:val="00494130"/>
    <w:rsid w:val="004A1F1B"/>
    <w:rsid w:val="004A6512"/>
    <w:rsid w:val="004B3698"/>
    <w:rsid w:val="004B7A30"/>
    <w:rsid w:val="004D7F80"/>
    <w:rsid w:val="004E4BC0"/>
    <w:rsid w:val="004F4724"/>
    <w:rsid w:val="004F613C"/>
    <w:rsid w:val="004F7865"/>
    <w:rsid w:val="005039F9"/>
    <w:rsid w:val="005117A8"/>
    <w:rsid w:val="00517304"/>
    <w:rsid w:val="00520B55"/>
    <w:rsid w:val="0052390D"/>
    <w:rsid w:val="00525B87"/>
    <w:rsid w:val="00531AA7"/>
    <w:rsid w:val="0053500A"/>
    <w:rsid w:val="00535EAA"/>
    <w:rsid w:val="00545297"/>
    <w:rsid w:val="00545D33"/>
    <w:rsid w:val="005462D0"/>
    <w:rsid w:val="005462FA"/>
    <w:rsid w:val="005601E6"/>
    <w:rsid w:val="0057084C"/>
    <w:rsid w:val="00570951"/>
    <w:rsid w:val="00574C44"/>
    <w:rsid w:val="00575EC8"/>
    <w:rsid w:val="0058158C"/>
    <w:rsid w:val="00581FB8"/>
    <w:rsid w:val="00592643"/>
    <w:rsid w:val="00596514"/>
    <w:rsid w:val="0059797B"/>
    <w:rsid w:val="005A0837"/>
    <w:rsid w:val="005A107E"/>
    <w:rsid w:val="005A1F10"/>
    <w:rsid w:val="005A4630"/>
    <w:rsid w:val="005A5FB9"/>
    <w:rsid w:val="005A782E"/>
    <w:rsid w:val="005B0D17"/>
    <w:rsid w:val="005B4F16"/>
    <w:rsid w:val="005C0DED"/>
    <w:rsid w:val="005C6854"/>
    <w:rsid w:val="005C68C9"/>
    <w:rsid w:val="005D68A1"/>
    <w:rsid w:val="005D7BF4"/>
    <w:rsid w:val="005E073B"/>
    <w:rsid w:val="005E30D2"/>
    <w:rsid w:val="005F198D"/>
    <w:rsid w:val="005F21EA"/>
    <w:rsid w:val="005F2AD0"/>
    <w:rsid w:val="005F640D"/>
    <w:rsid w:val="006069DE"/>
    <w:rsid w:val="00610184"/>
    <w:rsid w:val="00612A37"/>
    <w:rsid w:val="00623447"/>
    <w:rsid w:val="006247A0"/>
    <w:rsid w:val="00624FD7"/>
    <w:rsid w:val="00630900"/>
    <w:rsid w:val="0063441E"/>
    <w:rsid w:val="00634A07"/>
    <w:rsid w:val="0063558E"/>
    <w:rsid w:val="00637B94"/>
    <w:rsid w:val="006403F3"/>
    <w:rsid w:val="00641DCF"/>
    <w:rsid w:val="00641F25"/>
    <w:rsid w:val="00650663"/>
    <w:rsid w:val="00652BA2"/>
    <w:rsid w:val="006534B1"/>
    <w:rsid w:val="006637DC"/>
    <w:rsid w:val="00670EA5"/>
    <w:rsid w:val="00672AE6"/>
    <w:rsid w:val="0067773E"/>
    <w:rsid w:val="006810C2"/>
    <w:rsid w:val="00681F74"/>
    <w:rsid w:val="006838BA"/>
    <w:rsid w:val="00684167"/>
    <w:rsid w:val="00684C5F"/>
    <w:rsid w:val="00684FC4"/>
    <w:rsid w:val="006915B0"/>
    <w:rsid w:val="00694DE4"/>
    <w:rsid w:val="00696BBF"/>
    <w:rsid w:val="006B2AE6"/>
    <w:rsid w:val="006B5356"/>
    <w:rsid w:val="006B60FD"/>
    <w:rsid w:val="006B7E33"/>
    <w:rsid w:val="006C5B97"/>
    <w:rsid w:val="006D38BE"/>
    <w:rsid w:val="006D58AB"/>
    <w:rsid w:val="006D5A3B"/>
    <w:rsid w:val="006D646A"/>
    <w:rsid w:val="006D7025"/>
    <w:rsid w:val="006F4C2F"/>
    <w:rsid w:val="006F62D2"/>
    <w:rsid w:val="007108E1"/>
    <w:rsid w:val="00711BC7"/>
    <w:rsid w:val="0071539F"/>
    <w:rsid w:val="0071796C"/>
    <w:rsid w:val="00722A57"/>
    <w:rsid w:val="00723582"/>
    <w:rsid w:val="00726FC3"/>
    <w:rsid w:val="00727786"/>
    <w:rsid w:val="00737B80"/>
    <w:rsid w:val="007402DF"/>
    <w:rsid w:val="00743AD5"/>
    <w:rsid w:val="00752B87"/>
    <w:rsid w:val="007575F1"/>
    <w:rsid w:val="007711F8"/>
    <w:rsid w:val="007747EB"/>
    <w:rsid w:val="00780511"/>
    <w:rsid w:val="00781888"/>
    <w:rsid w:val="00784FAB"/>
    <w:rsid w:val="007874ED"/>
    <w:rsid w:val="00794EC6"/>
    <w:rsid w:val="007964EF"/>
    <w:rsid w:val="007A006D"/>
    <w:rsid w:val="007A23BA"/>
    <w:rsid w:val="007A25FD"/>
    <w:rsid w:val="007A3897"/>
    <w:rsid w:val="007A3EEF"/>
    <w:rsid w:val="007B2882"/>
    <w:rsid w:val="007C10D9"/>
    <w:rsid w:val="007C78D5"/>
    <w:rsid w:val="007D2BD0"/>
    <w:rsid w:val="007D4A57"/>
    <w:rsid w:val="007E7201"/>
    <w:rsid w:val="00804CE7"/>
    <w:rsid w:val="008056E2"/>
    <w:rsid w:val="00810757"/>
    <w:rsid w:val="00812847"/>
    <w:rsid w:val="00815836"/>
    <w:rsid w:val="008378C9"/>
    <w:rsid w:val="008379BA"/>
    <w:rsid w:val="00852521"/>
    <w:rsid w:val="0085406A"/>
    <w:rsid w:val="00854666"/>
    <w:rsid w:val="008618CE"/>
    <w:rsid w:val="008627BE"/>
    <w:rsid w:val="00863A6F"/>
    <w:rsid w:val="00864387"/>
    <w:rsid w:val="00865354"/>
    <w:rsid w:val="00866C03"/>
    <w:rsid w:val="00873831"/>
    <w:rsid w:val="008756A8"/>
    <w:rsid w:val="00880347"/>
    <w:rsid w:val="00883CFD"/>
    <w:rsid w:val="008841C1"/>
    <w:rsid w:val="008871D7"/>
    <w:rsid w:val="008919EE"/>
    <w:rsid w:val="0089327C"/>
    <w:rsid w:val="00896DD6"/>
    <w:rsid w:val="008974EF"/>
    <w:rsid w:val="008A1FFC"/>
    <w:rsid w:val="008B05DA"/>
    <w:rsid w:val="008B2C58"/>
    <w:rsid w:val="008B5E58"/>
    <w:rsid w:val="008C38AD"/>
    <w:rsid w:val="008C60A4"/>
    <w:rsid w:val="008C734E"/>
    <w:rsid w:val="008D17E4"/>
    <w:rsid w:val="008D6C77"/>
    <w:rsid w:val="008E0682"/>
    <w:rsid w:val="008E1E6D"/>
    <w:rsid w:val="008E49F7"/>
    <w:rsid w:val="008E6158"/>
    <w:rsid w:val="008E6546"/>
    <w:rsid w:val="008E74BD"/>
    <w:rsid w:val="00905097"/>
    <w:rsid w:val="00923FC9"/>
    <w:rsid w:val="00930712"/>
    <w:rsid w:val="0095364C"/>
    <w:rsid w:val="009542F5"/>
    <w:rsid w:val="00955197"/>
    <w:rsid w:val="009554EC"/>
    <w:rsid w:val="00960939"/>
    <w:rsid w:val="00963198"/>
    <w:rsid w:val="009654EA"/>
    <w:rsid w:val="009701A3"/>
    <w:rsid w:val="00973EC9"/>
    <w:rsid w:val="009742BE"/>
    <w:rsid w:val="00975136"/>
    <w:rsid w:val="009804F0"/>
    <w:rsid w:val="0098284A"/>
    <w:rsid w:val="00992AB4"/>
    <w:rsid w:val="00997A00"/>
    <w:rsid w:val="009A1FE0"/>
    <w:rsid w:val="009A304D"/>
    <w:rsid w:val="009A4809"/>
    <w:rsid w:val="009A4A74"/>
    <w:rsid w:val="009A4DEF"/>
    <w:rsid w:val="009A5ECB"/>
    <w:rsid w:val="009A7ED3"/>
    <w:rsid w:val="009B31F4"/>
    <w:rsid w:val="009B409D"/>
    <w:rsid w:val="009C1372"/>
    <w:rsid w:val="009C28AF"/>
    <w:rsid w:val="009C2FBB"/>
    <w:rsid w:val="009C3AE9"/>
    <w:rsid w:val="009C656F"/>
    <w:rsid w:val="009D1CEA"/>
    <w:rsid w:val="009D26F1"/>
    <w:rsid w:val="009D530C"/>
    <w:rsid w:val="009D68C6"/>
    <w:rsid w:val="009D6EE7"/>
    <w:rsid w:val="009E73AA"/>
    <w:rsid w:val="009E7DB0"/>
    <w:rsid w:val="009F1180"/>
    <w:rsid w:val="009F1FEF"/>
    <w:rsid w:val="009F67BA"/>
    <w:rsid w:val="00A01E1F"/>
    <w:rsid w:val="00A0655B"/>
    <w:rsid w:val="00A1108E"/>
    <w:rsid w:val="00A126E2"/>
    <w:rsid w:val="00A14EC3"/>
    <w:rsid w:val="00A165E9"/>
    <w:rsid w:val="00A1773A"/>
    <w:rsid w:val="00A31251"/>
    <w:rsid w:val="00A33499"/>
    <w:rsid w:val="00A40A3C"/>
    <w:rsid w:val="00A506ED"/>
    <w:rsid w:val="00A60280"/>
    <w:rsid w:val="00A614A1"/>
    <w:rsid w:val="00A71232"/>
    <w:rsid w:val="00A7189B"/>
    <w:rsid w:val="00A80498"/>
    <w:rsid w:val="00A87B7B"/>
    <w:rsid w:val="00A90A2A"/>
    <w:rsid w:val="00A90CE5"/>
    <w:rsid w:val="00A9578C"/>
    <w:rsid w:val="00AA319E"/>
    <w:rsid w:val="00AA3F39"/>
    <w:rsid w:val="00AB4D51"/>
    <w:rsid w:val="00AC1604"/>
    <w:rsid w:val="00AC3472"/>
    <w:rsid w:val="00AC3E36"/>
    <w:rsid w:val="00AD0BF8"/>
    <w:rsid w:val="00AD472E"/>
    <w:rsid w:val="00AD7F05"/>
    <w:rsid w:val="00AE63D1"/>
    <w:rsid w:val="00AE70ED"/>
    <w:rsid w:val="00AE7B6A"/>
    <w:rsid w:val="00AF05DA"/>
    <w:rsid w:val="00AF7FE0"/>
    <w:rsid w:val="00B02317"/>
    <w:rsid w:val="00B05BEF"/>
    <w:rsid w:val="00B11608"/>
    <w:rsid w:val="00B122E4"/>
    <w:rsid w:val="00B1236B"/>
    <w:rsid w:val="00B212AA"/>
    <w:rsid w:val="00B2483F"/>
    <w:rsid w:val="00B25336"/>
    <w:rsid w:val="00B25ED9"/>
    <w:rsid w:val="00B32256"/>
    <w:rsid w:val="00B32307"/>
    <w:rsid w:val="00B3470D"/>
    <w:rsid w:val="00B3477B"/>
    <w:rsid w:val="00B34BEA"/>
    <w:rsid w:val="00B368ED"/>
    <w:rsid w:val="00B36E93"/>
    <w:rsid w:val="00B42DA5"/>
    <w:rsid w:val="00B43494"/>
    <w:rsid w:val="00B43ED7"/>
    <w:rsid w:val="00B458CE"/>
    <w:rsid w:val="00B47748"/>
    <w:rsid w:val="00B500D2"/>
    <w:rsid w:val="00B508C2"/>
    <w:rsid w:val="00B57704"/>
    <w:rsid w:val="00B57A45"/>
    <w:rsid w:val="00B646E2"/>
    <w:rsid w:val="00B65D6E"/>
    <w:rsid w:val="00B669CA"/>
    <w:rsid w:val="00B73DC7"/>
    <w:rsid w:val="00B74C24"/>
    <w:rsid w:val="00B91830"/>
    <w:rsid w:val="00B93E87"/>
    <w:rsid w:val="00B97A15"/>
    <w:rsid w:val="00BA4926"/>
    <w:rsid w:val="00BA7AB3"/>
    <w:rsid w:val="00BB69B5"/>
    <w:rsid w:val="00BC25EF"/>
    <w:rsid w:val="00BC266D"/>
    <w:rsid w:val="00BD15D0"/>
    <w:rsid w:val="00BD187D"/>
    <w:rsid w:val="00BD1B4C"/>
    <w:rsid w:val="00BE1085"/>
    <w:rsid w:val="00BE270E"/>
    <w:rsid w:val="00BE75E8"/>
    <w:rsid w:val="00BF19E1"/>
    <w:rsid w:val="00BF2DF9"/>
    <w:rsid w:val="00BF3D2C"/>
    <w:rsid w:val="00BF734D"/>
    <w:rsid w:val="00C02D31"/>
    <w:rsid w:val="00C04293"/>
    <w:rsid w:val="00C04731"/>
    <w:rsid w:val="00C04D6D"/>
    <w:rsid w:val="00C04F93"/>
    <w:rsid w:val="00C12872"/>
    <w:rsid w:val="00C15194"/>
    <w:rsid w:val="00C2003B"/>
    <w:rsid w:val="00C20F54"/>
    <w:rsid w:val="00C2382F"/>
    <w:rsid w:val="00C4002C"/>
    <w:rsid w:val="00C418A4"/>
    <w:rsid w:val="00C44562"/>
    <w:rsid w:val="00C47B48"/>
    <w:rsid w:val="00C50FBE"/>
    <w:rsid w:val="00C52639"/>
    <w:rsid w:val="00C562AC"/>
    <w:rsid w:val="00C57152"/>
    <w:rsid w:val="00C708DA"/>
    <w:rsid w:val="00C71470"/>
    <w:rsid w:val="00C72FD5"/>
    <w:rsid w:val="00C72FEF"/>
    <w:rsid w:val="00C74A1F"/>
    <w:rsid w:val="00C76843"/>
    <w:rsid w:val="00C8377C"/>
    <w:rsid w:val="00C8532A"/>
    <w:rsid w:val="00C92663"/>
    <w:rsid w:val="00C92F31"/>
    <w:rsid w:val="00C93E77"/>
    <w:rsid w:val="00C96A9F"/>
    <w:rsid w:val="00CA0530"/>
    <w:rsid w:val="00CA2DE3"/>
    <w:rsid w:val="00CA4BD6"/>
    <w:rsid w:val="00CB012B"/>
    <w:rsid w:val="00CB1FC8"/>
    <w:rsid w:val="00CB3B0C"/>
    <w:rsid w:val="00CB3BA9"/>
    <w:rsid w:val="00CB5D95"/>
    <w:rsid w:val="00CC52DB"/>
    <w:rsid w:val="00CD77D4"/>
    <w:rsid w:val="00CE0647"/>
    <w:rsid w:val="00CE1153"/>
    <w:rsid w:val="00CE6D4B"/>
    <w:rsid w:val="00CE7A2A"/>
    <w:rsid w:val="00CF27B1"/>
    <w:rsid w:val="00CF6570"/>
    <w:rsid w:val="00D0186F"/>
    <w:rsid w:val="00D05E76"/>
    <w:rsid w:val="00D06A7A"/>
    <w:rsid w:val="00D079BD"/>
    <w:rsid w:val="00D1033F"/>
    <w:rsid w:val="00D10AE9"/>
    <w:rsid w:val="00D10B9E"/>
    <w:rsid w:val="00D11B8E"/>
    <w:rsid w:val="00D154D9"/>
    <w:rsid w:val="00D23E35"/>
    <w:rsid w:val="00D32861"/>
    <w:rsid w:val="00D40493"/>
    <w:rsid w:val="00D42447"/>
    <w:rsid w:val="00D45102"/>
    <w:rsid w:val="00D502A0"/>
    <w:rsid w:val="00D51AB5"/>
    <w:rsid w:val="00D60CF2"/>
    <w:rsid w:val="00D61A1B"/>
    <w:rsid w:val="00D62CB2"/>
    <w:rsid w:val="00D678A3"/>
    <w:rsid w:val="00D835B2"/>
    <w:rsid w:val="00D93437"/>
    <w:rsid w:val="00D93B71"/>
    <w:rsid w:val="00D94A63"/>
    <w:rsid w:val="00DA0686"/>
    <w:rsid w:val="00DA4BFF"/>
    <w:rsid w:val="00DA5842"/>
    <w:rsid w:val="00DA74F0"/>
    <w:rsid w:val="00DB4B93"/>
    <w:rsid w:val="00DB580E"/>
    <w:rsid w:val="00DB6E3A"/>
    <w:rsid w:val="00DC315A"/>
    <w:rsid w:val="00DC54D9"/>
    <w:rsid w:val="00DD076A"/>
    <w:rsid w:val="00DD41D9"/>
    <w:rsid w:val="00DE39EF"/>
    <w:rsid w:val="00DE7FC5"/>
    <w:rsid w:val="00DF03E8"/>
    <w:rsid w:val="00DF5C86"/>
    <w:rsid w:val="00DF70E0"/>
    <w:rsid w:val="00E0134D"/>
    <w:rsid w:val="00E017E7"/>
    <w:rsid w:val="00E03C0F"/>
    <w:rsid w:val="00E05E76"/>
    <w:rsid w:val="00E13D21"/>
    <w:rsid w:val="00E1516C"/>
    <w:rsid w:val="00E15883"/>
    <w:rsid w:val="00E176B6"/>
    <w:rsid w:val="00E20ED9"/>
    <w:rsid w:val="00E242D4"/>
    <w:rsid w:val="00E25CB7"/>
    <w:rsid w:val="00E26322"/>
    <w:rsid w:val="00E268E0"/>
    <w:rsid w:val="00E274BB"/>
    <w:rsid w:val="00E32B82"/>
    <w:rsid w:val="00E419FE"/>
    <w:rsid w:val="00E43CB8"/>
    <w:rsid w:val="00E44160"/>
    <w:rsid w:val="00E441FF"/>
    <w:rsid w:val="00E4697B"/>
    <w:rsid w:val="00E51595"/>
    <w:rsid w:val="00E53437"/>
    <w:rsid w:val="00E572E7"/>
    <w:rsid w:val="00E617CA"/>
    <w:rsid w:val="00E63D1F"/>
    <w:rsid w:val="00E67341"/>
    <w:rsid w:val="00E77F38"/>
    <w:rsid w:val="00E86431"/>
    <w:rsid w:val="00E94A2D"/>
    <w:rsid w:val="00EA3D4A"/>
    <w:rsid w:val="00EB1C73"/>
    <w:rsid w:val="00EB3B66"/>
    <w:rsid w:val="00EC507F"/>
    <w:rsid w:val="00EE0D36"/>
    <w:rsid w:val="00EE1FE4"/>
    <w:rsid w:val="00F00667"/>
    <w:rsid w:val="00F019EF"/>
    <w:rsid w:val="00F03D9E"/>
    <w:rsid w:val="00F07700"/>
    <w:rsid w:val="00F14283"/>
    <w:rsid w:val="00F151E8"/>
    <w:rsid w:val="00F177D7"/>
    <w:rsid w:val="00F2038C"/>
    <w:rsid w:val="00F215D9"/>
    <w:rsid w:val="00F34EB0"/>
    <w:rsid w:val="00F3549E"/>
    <w:rsid w:val="00F35AB7"/>
    <w:rsid w:val="00F42232"/>
    <w:rsid w:val="00F4629F"/>
    <w:rsid w:val="00F51094"/>
    <w:rsid w:val="00F54389"/>
    <w:rsid w:val="00F548C9"/>
    <w:rsid w:val="00F54BB6"/>
    <w:rsid w:val="00F54E2C"/>
    <w:rsid w:val="00F62D2D"/>
    <w:rsid w:val="00F66CEB"/>
    <w:rsid w:val="00F7262E"/>
    <w:rsid w:val="00F744CF"/>
    <w:rsid w:val="00F802E7"/>
    <w:rsid w:val="00F8258F"/>
    <w:rsid w:val="00F82663"/>
    <w:rsid w:val="00F83E18"/>
    <w:rsid w:val="00F93A9C"/>
    <w:rsid w:val="00F95198"/>
    <w:rsid w:val="00F95229"/>
    <w:rsid w:val="00FA4390"/>
    <w:rsid w:val="00FA44DE"/>
    <w:rsid w:val="00FA6A14"/>
    <w:rsid w:val="00FA7622"/>
    <w:rsid w:val="00FB4DCB"/>
    <w:rsid w:val="00FB568C"/>
    <w:rsid w:val="00FC5525"/>
    <w:rsid w:val="00FC6EFD"/>
    <w:rsid w:val="00FC756E"/>
    <w:rsid w:val="00FD05CD"/>
    <w:rsid w:val="00FD0C90"/>
    <w:rsid w:val="00FE0CA8"/>
    <w:rsid w:val="00FE7041"/>
    <w:rsid w:val="00FE7059"/>
    <w:rsid w:val="00FF0F49"/>
    <w:rsid w:val="00FF445D"/>
    <w:rsid w:val="00FF4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A5B57"/>
  <w15:docId w15:val="{8A6D57DC-0EEA-432B-96C0-DA78753B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ped"/>
    <w:qFormat/>
    <w:rsid w:val="00314C8E"/>
    <w:pPr>
      <w:spacing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qFormat/>
    <w:rsid w:val="00A87B7B"/>
    <w:pPr>
      <w:keepNext/>
      <w:keepLines/>
      <w:spacing w:before="20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E7B6A"/>
    <w:rPr>
      <w:sz w:val="16"/>
      <w:szCs w:val="16"/>
    </w:rPr>
  </w:style>
  <w:style w:type="paragraph" w:styleId="CommentText">
    <w:name w:val="annotation text"/>
    <w:basedOn w:val="Normal"/>
    <w:link w:val="CommentTextChar"/>
    <w:uiPriority w:val="99"/>
    <w:unhideWhenUsed/>
    <w:rsid w:val="00AE7B6A"/>
    <w:pPr>
      <w:spacing w:line="240" w:lineRule="auto"/>
    </w:pPr>
    <w:rPr>
      <w:sz w:val="20"/>
      <w:szCs w:val="20"/>
    </w:rPr>
  </w:style>
  <w:style w:type="character" w:customStyle="1" w:styleId="CommentTextChar">
    <w:name w:val="Comment Text Char"/>
    <w:link w:val="CommentText"/>
    <w:uiPriority w:val="99"/>
    <w:rsid w:val="00AE7B6A"/>
    <w:rPr>
      <w:sz w:val="20"/>
      <w:szCs w:val="20"/>
    </w:rPr>
  </w:style>
  <w:style w:type="paragraph" w:styleId="CommentSubject">
    <w:name w:val="annotation subject"/>
    <w:basedOn w:val="CommentText"/>
    <w:next w:val="CommentText"/>
    <w:link w:val="CommentSubjectChar"/>
    <w:uiPriority w:val="99"/>
    <w:semiHidden/>
    <w:unhideWhenUsed/>
    <w:rsid w:val="00AE7B6A"/>
    <w:rPr>
      <w:b/>
      <w:bCs/>
    </w:rPr>
  </w:style>
  <w:style w:type="character" w:customStyle="1" w:styleId="CommentSubjectChar">
    <w:name w:val="Comment Subject Char"/>
    <w:link w:val="CommentSubject"/>
    <w:uiPriority w:val="99"/>
    <w:semiHidden/>
    <w:rsid w:val="00AE7B6A"/>
    <w:rPr>
      <w:b/>
      <w:bCs/>
      <w:sz w:val="20"/>
      <w:szCs w:val="20"/>
    </w:rPr>
  </w:style>
  <w:style w:type="paragraph" w:styleId="BalloonText">
    <w:name w:val="Balloon Text"/>
    <w:basedOn w:val="Normal"/>
    <w:link w:val="BalloonTextChar"/>
    <w:uiPriority w:val="99"/>
    <w:semiHidden/>
    <w:unhideWhenUsed/>
    <w:rsid w:val="00AE7B6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B6A"/>
    <w:rPr>
      <w:rFonts w:ascii="Tahoma" w:hAnsi="Tahoma" w:cs="Tahoma"/>
      <w:sz w:val="16"/>
      <w:szCs w:val="16"/>
    </w:rPr>
  </w:style>
  <w:style w:type="paragraph" w:customStyle="1" w:styleId="ColorfulList-Accent11">
    <w:name w:val="Colorful List - Accent 11"/>
    <w:basedOn w:val="Normal"/>
    <w:uiPriority w:val="34"/>
    <w:qFormat/>
    <w:rsid w:val="00E1516C"/>
    <w:pPr>
      <w:ind w:left="720"/>
      <w:contextualSpacing/>
    </w:pPr>
  </w:style>
  <w:style w:type="paragraph" w:styleId="HTMLPreformatted">
    <w:name w:val="HTML Preformatted"/>
    <w:basedOn w:val="Normal"/>
    <w:link w:val="HTMLPreformattedChar"/>
    <w:uiPriority w:val="99"/>
    <w:semiHidden/>
    <w:unhideWhenUsed/>
    <w:rsid w:val="00E1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1516C"/>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31AA7"/>
    <w:pPr>
      <w:tabs>
        <w:tab w:val="center" w:pos="4513"/>
        <w:tab w:val="right" w:pos="9026"/>
      </w:tabs>
      <w:spacing w:line="240" w:lineRule="auto"/>
    </w:pPr>
  </w:style>
  <w:style w:type="character" w:customStyle="1" w:styleId="HeaderChar">
    <w:name w:val="Header Char"/>
    <w:link w:val="Header"/>
    <w:uiPriority w:val="99"/>
    <w:rsid w:val="00531AA7"/>
    <w:rPr>
      <w:rFonts w:ascii="Times New Roman" w:hAnsi="Times New Roman"/>
      <w:sz w:val="24"/>
    </w:rPr>
  </w:style>
  <w:style w:type="paragraph" w:styleId="Footer">
    <w:name w:val="footer"/>
    <w:basedOn w:val="Normal"/>
    <w:link w:val="FooterChar"/>
    <w:uiPriority w:val="99"/>
    <w:unhideWhenUsed/>
    <w:rsid w:val="00531AA7"/>
    <w:pPr>
      <w:tabs>
        <w:tab w:val="center" w:pos="4513"/>
        <w:tab w:val="right" w:pos="9026"/>
      </w:tabs>
      <w:spacing w:line="240" w:lineRule="auto"/>
    </w:pPr>
  </w:style>
  <w:style w:type="character" w:customStyle="1" w:styleId="FooterChar">
    <w:name w:val="Footer Char"/>
    <w:link w:val="Footer"/>
    <w:uiPriority w:val="99"/>
    <w:rsid w:val="00531AA7"/>
    <w:rPr>
      <w:rFonts w:ascii="Times New Roman" w:hAnsi="Times New Roman"/>
      <w:sz w:val="24"/>
    </w:rPr>
  </w:style>
  <w:style w:type="paragraph" w:customStyle="1" w:styleId="MediumGrid21">
    <w:name w:val="Medium Grid 21"/>
    <w:aliases w:val="doublespace"/>
    <w:uiPriority w:val="1"/>
    <w:qFormat/>
    <w:rsid w:val="00B91830"/>
    <w:pPr>
      <w:spacing w:line="480" w:lineRule="auto"/>
    </w:pPr>
    <w:rPr>
      <w:rFonts w:ascii="Times New Roman" w:hAnsi="Times New Roman"/>
      <w:sz w:val="24"/>
      <w:szCs w:val="22"/>
      <w:lang w:eastAsia="en-US"/>
    </w:rPr>
  </w:style>
  <w:style w:type="paragraph" w:styleId="Caption">
    <w:name w:val="caption"/>
    <w:basedOn w:val="Normal"/>
    <w:next w:val="Normal"/>
    <w:uiPriority w:val="35"/>
    <w:qFormat/>
    <w:rsid w:val="00883CFD"/>
    <w:pPr>
      <w:spacing w:after="200" w:line="240" w:lineRule="auto"/>
    </w:pPr>
    <w:rPr>
      <w:rFonts w:ascii="Calibri" w:hAnsi="Calibri"/>
      <w:b/>
      <w:bCs/>
      <w:color w:val="4F81BD"/>
      <w:sz w:val="18"/>
      <w:szCs w:val="18"/>
    </w:rPr>
  </w:style>
  <w:style w:type="paragraph" w:customStyle="1" w:styleId="Table">
    <w:name w:val="Table"/>
    <w:basedOn w:val="Normal"/>
    <w:link w:val="TableChar"/>
    <w:qFormat/>
    <w:rsid w:val="00883CFD"/>
    <w:pPr>
      <w:spacing w:line="240" w:lineRule="auto"/>
    </w:pPr>
    <w:rPr>
      <w:rFonts w:ascii="Calibri" w:hAnsi="Calibri"/>
      <w:sz w:val="20"/>
    </w:rPr>
  </w:style>
  <w:style w:type="character" w:customStyle="1" w:styleId="TableChar">
    <w:name w:val="Table Char"/>
    <w:link w:val="Table"/>
    <w:rsid w:val="00883CFD"/>
    <w:rPr>
      <w:rFonts w:ascii="Calibri" w:hAnsi="Calibri"/>
      <w:sz w:val="20"/>
    </w:rPr>
  </w:style>
  <w:style w:type="character" w:customStyle="1" w:styleId="Heading2Char">
    <w:name w:val="Heading 2 Char"/>
    <w:link w:val="Heading2"/>
    <w:uiPriority w:val="9"/>
    <w:semiHidden/>
    <w:rsid w:val="00A87B7B"/>
    <w:rPr>
      <w:rFonts w:ascii="Cambria" w:eastAsia="Times New Roman" w:hAnsi="Cambria" w:cs="Times New Roman"/>
      <w:b/>
      <w:bCs/>
      <w:color w:val="4F81BD"/>
      <w:sz w:val="26"/>
      <w:szCs w:val="26"/>
      <w:lang w:val="en-US"/>
    </w:rPr>
  </w:style>
  <w:style w:type="paragraph" w:customStyle="1" w:styleId="Tablesmall">
    <w:name w:val="Table small"/>
    <w:basedOn w:val="Normal"/>
    <w:link w:val="TablesmallChar"/>
    <w:qFormat/>
    <w:rsid w:val="00BB69B5"/>
    <w:pPr>
      <w:spacing w:line="240" w:lineRule="auto"/>
    </w:pPr>
    <w:rPr>
      <w:rFonts w:ascii="Calibri" w:hAnsi="Calibri"/>
      <w:color w:val="000000"/>
      <w:sz w:val="16"/>
      <w:szCs w:val="16"/>
    </w:rPr>
  </w:style>
  <w:style w:type="character" w:customStyle="1" w:styleId="TablesmallChar">
    <w:name w:val="Table small Char"/>
    <w:link w:val="Tablesmall"/>
    <w:rsid w:val="00BB69B5"/>
    <w:rPr>
      <w:rFonts w:ascii="Calibri" w:hAnsi="Calibri"/>
      <w:color w:val="000000"/>
      <w:sz w:val="16"/>
      <w:szCs w:val="16"/>
    </w:rPr>
  </w:style>
  <w:style w:type="table" w:styleId="TableGrid">
    <w:name w:val="Table Grid"/>
    <w:basedOn w:val="TableNormal"/>
    <w:uiPriority w:val="59"/>
    <w:rsid w:val="00BB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9D68C6"/>
    <w:rPr>
      <w:rFonts w:ascii="Times New Roman" w:hAnsi="Times New Roman"/>
      <w:sz w:val="24"/>
      <w:szCs w:val="22"/>
      <w:lang w:eastAsia="en-US"/>
    </w:rPr>
  </w:style>
  <w:style w:type="paragraph" w:styleId="NormalWeb">
    <w:name w:val="Normal (Web)"/>
    <w:basedOn w:val="Normal"/>
    <w:uiPriority w:val="99"/>
    <w:unhideWhenUsed/>
    <w:rsid w:val="00301077"/>
    <w:pPr>
      <w:spacing w:before="100" w:beforeAutospacing="1" w:after="100" w:afterAutospacing="1" w:line="240" w:lineRule="auto"/>
    </w:pPr>
    <w:rPr>
      <w:rFonts w:eastAsia="MS Mincho"/>
      <w:szCs w:val="24"/>
      <w:lang w:eastAsia="en-GB"/>
    </w:rPr>
  </w:style>
  <w:style w:type="character" w:styleId="Emphasis">
    <w:name w:val="Emphasis"/>
    <w:uiPriority w:val="20"/>
    <w:qFormat/>
    <w:rsid w:val="007A23BA"/>
    <w:rPr>
      <w:i/>
      <w:iCs/>
    </w:rPr>
  </w:style>
  <w:style w:type="character" w:customStyle="1" w:styleId="apple-converted-space">
    <w:name w:val="apple-converted-space"/>
    <w:basedOn w:val="DefaultParagraphFont"/>
    <w:rsid w:val="007A23BA"/>
  </w:style>
  <w:style w:type="paragraph" w:styleId="NoSpacing">
    <w:name w:val="No Spacing"/>
    <w:uiPriority w:val="1"/>
    <w:qFormat/>
    <w:pPr>
      <w:spacing w:line="480" w:lineRule="auto"/>
    </w:pPr>
    <w:rPr>
      <w:rFonts w:ascii="Times New Roman" w:eastAsiaTheme="minorHAnsi" w:hAnsi="Times New Roman" w:cstheme="minorBidi"/>
      <w:sz w:val="24"/>
      <w:szCs w:val="22"/>
      <w:lang w:eastAsia="en-US"/>
    </w:rPr>
  </w:style>
  <w:style w:type="character" w:styleId="Hyperlink">
    <w:name w:val="Hyperlink"/>
    <w:basedOn w:val="DefaultParagraphFont"/>
    <w:uiPriority w:val="99"/>
    <w:unhideWhenUsed/>
    <w:rsid w:val="00E176B6"/>
    <w:rPr>
      <w:color w:val="0563C1" w:themeColor="hyperlink"/>
      <w:u w:val="single"/>
    </w:rPr>
  </w:style>
  <w:style w:type="character" w:styleId="LineNumber">
    <w:name w:val="line number"/>
    <w:basedOn w:val="DefaultParagraphFont"/>
    <w:uiPriority w:val="99"/>
    <w:semiHidden/>
    <w:unhideWhenUsed/>
    <w:rsid w:val="00AA319E"/>
  </w:style>
  <w:style w:type="paragraph" w:customStyle="1" w:styleId="pagecontents">
    <w:name w:val="pagecontents"/>
    <w:basedOn w:val="Normal"/>
    <w:rsid w:val="00C562AC"/>
    <w:pPr>
      <w:spacing w:before="100" w:beforeAutospacing="1" w:after="100" w:afterAutospacing="1" w:line="240" w:lineRule="auto"/>
    </w:pPr>
    <w:rPr>
      <w:rFonts w:ascii="Verdana" w:eastAsia="Times New Roman" w:hAnsi="Verdana"/>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172">
      <w:bodyDiv w:val="1"/>
      <w:marLeft w:val="0"/>
      <w:marRight w:val="0"/>
      <w:marTop w:val="0"/>
      <w:marBottom w:val="0"/>
      <w:divBdr>
        <w:top w:val="none" w:sz="0" w:space="0" w:color="auto"/>
        <w:left w:val="none" w:sz="0" w:space="0" w:color="auto"/>
        <w:bottom w:val="none" w:sz="0" w:space="0" w:color="auto"/>
        <w:right w:val="none" w:sz="0" w:space="0" w:color="auto"/>
      </w:divBdr>
    </w:div>
    <w:div w:id="256259672">
      <w:bodyDiv w:val="1"/>
      <w:marLeft w:val="0"/>
      <w:marRight w:val="0"/>
      <w:marTop w:val="0"/>
      <w:marBottom w:val="0"/>
      <w:divBdr>
        <w:top w:val="none" w:sz="0" w:space="0" w:color="auto"/>
        <w:left w:val="none" w:sz="0" w:space="0" w:color="auto"/>
        <w:bottom w:val="none" w:sz="0" w:space="0" w:color="auto"/>
        <w:right w:val="none" w:sz="0" w:space="0" w:color="auto"/>
      </w:divBdr>
    </w:div>
    <w:div w:id="580141368">
      <w:bodyDiv w:val="1"/>
      <w:marLeft w:val="0"/>
      <w:marRight w:val="0"/>
      <w:marTop w:val="0"/>
      <w:marBottom w:val="0"/>
      <w:divBdr>
        <w:top w:val="none" w:sz="0" w:space="0" w:color="auto"/>
        <w:left w:val="none" w:sz="0" w:space="0" w:color="auto"/>
        <w:bottom w:val="none" w:sz="0" w:space="0" w:color="auto"/>
        <w:right w:val="none" w:sz="0" w:space="0" w:color="auto"/>
      </w:divBdr>
    </w:div>
    <w:div w:id="626011487">
      <w:bodyDiv w:val="1"/>
      <w:marLeft w:val="0"/>
      <w:marRight w:val="0"/>
      <w:marTop w:val="0"/>
      <w:marBottom w:val="0"/>
      <w:divBdr>
        <w:top w:val="none" w:sz="0" w:space="0" w:color="auto"/>
        <w:left w:val="none" w:sz="0" w:space="0" w:color="auto"/>
        <w:bottom w:val="none" w:sz="0" w:space="0" w:color="auto"/>
        <w:right w:val="none" w:sz="0" w:space="0" w:color="auto"/>
      </w:divBdr>
      <w:divsChild>
        <w:div w:id="2131892850">
          <w:marLeft w:val="0"/>
          <w:marRight w:val="0"/>
          <w:marTop w:val="0"/>
          <w:marBottom w:val="0"/>
          <w:divBdr>
            <w:top w:val="none" w:sz="0" w:space="0" w:color="auto"/>
            <w:left w:val="none" w:sz="0" w:space="0" w:color="auto"/>
            <w:bottom w:val="none" w:sz="0" w:space="0" w:color="auto"/>
            <w:right w:val="none" w:sz="0" w:space="0" w:color="auto"/>
          </w:divBdr>
        </w:div>
      </w:divsChild>
    </w:div>
    <w:div w:id="674377692">
      <w:bodyDiv w:val="1"/>
      <w:marLeft w:val="0"/>
      <w:marRight w:val="0"/>
      <w:marTop w:val="0"/>
      <w:marBottom w:val="0"/>
      <w:divBdr>
        <w:top w:val="none" w:sz="0" w:space="0" w:color="auto"/>
        <w:left w:val="none" w:sz="0" w:space="0" w:color="auto"/>
        <w:bottom w:val="none" w:sz="0" w:space="0" w:color="auto"/>
        <w:right w:val="none" w:sz="0" w:space="0" w:color="auto"/>
      </w:divBdr>
    </w:div>
    <w:div w:id="721558622">
      <w:bodyDiv w:val="1"/>
      <w:marLeft w:val="0"/>
      <w:marRight w:val="0"/>
      <w:marTop w:val="0"/>
      <w:marBottom w:val="0"/>
      <w:divBdr>
        <w:top w:val="none" w:sz="0" w:space="0" w:color="auto"/>
        <w:left w:val="none" w:sz="0" w:space="0" w:color="auto"/>
        <w:bottom w:val="none" w:sz="0" w:space="0" w:color="auto"/>
        <w:right w:val="none" w:sz="0" w:space="0" w:color="auto"/>
      </w:divBdr>
    </w:div>
    <w:div w:id="742525453">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751704046">
      <w:bodyDiv w:val="1"/>
      <w:marLeft w:val="0"/>
      <w:marRight w:val="0"/>
      <w:marTop w:val="0"/>
      <w:marBottom w:val="0"/>
      <w:divBdr>
        <w:top w:val="none" w:sz="0" w:space="0" w:color="auto"/>
        <w:left w:val="none" w:sz="0" w:space="0" w:color="auto"/>
        <w:bottom w:val="none" w:sz="0" w:space="0" w:color="auto"/>
        <w:right w:val="none" w:sz="0" w:space="0" w:color="auto"/>
      </w:divBdr>
    </w:div>
    <w:div w:id="803079280">
      <w:bodyDiv w:val="1"/>
      <w:marLeft w:val="0"/>
      <w:marRight w:val="0"/>
      <w:marTop w:val="0"/>
      <w:marBottom w:val="0"/>
      <w:divBdr>
        <w:top w:val="none" w:sz="0" w:space="0" w:color="auto"/>
        <w:left w:val="none" w:sz="0" w:space="0" w:color="auto"/>
        <w:bottom w:val="none" w:sz="0" w:space="0" w:color="auto"/>
        <w:right w:val="none" w:sz="0" w:space="0" w:color="auto"/>
      </w:divBdr>
    </w:div>
    <w:div w:id="870142026">
      <w:bodyDiv w:val="1"/>
      <w:marLeft w:val="0"/>
      <w:marRight w:val="0"/>
      <w:marTop w:val="0"/>
      <w:marBottom w:val="0"/>
      <w:divBdr>
        <w:top w:val="none" w:sz="0" w:space="0" w:color="auto"/>
        <w:left w:val="none" w:sz="0" w:space="0" w:color="auto"/>
        <w:bottom w:val="none" w:sz="0" w:space="0" w:color="auto"/>
        <w:right w:val="none" w:sz="0" w:space="0" w:color="auto"/>
      </w:divBdr>
      <w:divsChild>
        <w:div w:id="297615022">
          <w:marLeft w:val="0"/>
          <w:marRight w:val="0"/>
          <w:marTop w:val="0"/>
          <w:marBottom w:val="0"/>
          <w:divBdr>
            <w:top w:val="none" w:sz="0" w:space="0" w:color="auto"/>
            <w:left w:val="none" w:sz="0" w:space="0" w:color="auto"/>
            <w:bottom w:val="none" w:sz="0" w:space="0" w:color="auto"/>
            <w:right w:val="none" w:sz="0" w:space="0" w:color="auto"/>
          </w:divBdr>
          <w:divsChild>
            <w:div w:id="900562122">
              <w:marLeft w:val="0"/>
              <w:marRight w:val="0"/>
              <w:marTop w:val="0"/>
              <w:marBottom w:val="0"/>
              <w:divBdr>
                <w:top w:val="none" w:sz="0" w:space="0" w:color="auto"/>
                <w:left w:val="none" w:sz="0" w:space="0" w:color="auto"/>
                <w:bottom w:val="none" w:sz="0" w:space="0" w:color="auto"/>
                <w:right w:val="none" w:sz="0" w:space="0" w:color="auto"/>
              </w:divBdr>
              <w:divsChild>
                <w:div w:id="2141071604">
                  <w:marLeft w:val="0"/>
                  <w:marRight w:val="0"/>
                  <w:marTop w:val="0"/>
                  <w:marBottom w:val="0"/>
                  <w:divBdr>
                    <w:top w:val="none" w:sz="0" w:space="0" w:color="auto"/>
                    <w:left w:val="none" w:sz="0" w:space="0" w:color="auto"/>
                    <w:bottom w:val="none" w:sz="0" w:space="0" w:color="auto"/>
                    <w:right w:val="none" w:sz="0" w:space="0" w:color="auto"/>
                  </w:divBdr>
                  <w:divsChild>
                    <w:div w:id="2760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0271">
      <w:bodyDiv w:val="1"/>
      <w:marLeft w:val="0"/>
      <w:marRight w:val="0"/>
      <w:marTop w:val="0"/>
      <w:marBottom w:val="0"/>
      <w:divBdr>
        <w:top w:val="none" w:sz="0" w:space="0" w:color="auto"/>
        <w:left w:val="none" w:sz="0" w:space="0" w:color="auto"/>
        <w:bottom w:val="none" w:sz="0" w:space="0" w:color="auto"/>
        <w:right w:val="none" w:sz="0" w:space="0" w:color="auto"/>
      </w:divBdr>
      <w:divsChild>
        <w:div w:id="970330324">
          <w:marLeft w:val="0"/>
          <w:marRight w:val="0"/>
          <w:marTop w:val="0"/>
          <w:marBottom w:val="0"/>
          <w:divBdr>
            <w:top w:val="none" w:sz="0" w:space="0" w:color="auto"/>
            <w:left w:val="none" w:sz="0" w:space="0" w:color="auto"/>
            <w:bottom w:val="none" w:sz="0" w:space="0" w:color="auto"/>
            <w:right w:val="none" w:sz="0" w:space="0" w:color="auto"/>
          </w:divBdr>
          <w:divsChild>
            <w:div w:id="2076076733">
              <w:marLeft w:val="0"/>
              <w:marRight w:val="0"/>
              <w:marTop w:val="0"/>
              <w:marBottom w:val="0"/>
              <w:divBdr>
                <w:top w:val="none" w:sz="0" w:space="0" w:color="auto"/>
                <w:left w:val="none" w:sz="0" w:space="0" w:color="auto"/>
                <w:bottom w:val="none" w:sz="0" w:space="0" w:color="auto"/>
                <w:right w:val="none" w:sz="0" w:space="0" w:color="auto"/>
              </w:divBdr>
              <w:divsChild>
                <w:div w:id="1961497589">
                  <w:marLeft w:val="0"/>
                  <w:marRight w:val="0"/>
                  <w:marTop w:val="0"/>
                  <w:marBottom w:val="0"/>
                  <w:divBdr>
                    <w:top w:val="none" w:sz="0" w:space="0" w:color="auto"/>
                    <w:left w:val="none" w:sz="0" w:space="0" w:color="auto"/>
                    <w:bottom w:val="none" w:sz="0" w:space="0" w:color="auto"/>
                    <w:right w:val="none" w:sz="0" w:space="0" w:color="auto"/>
                  </w:divBdr>
                  <w:divsChild>
                    <w:div w:id="2102603820">
                      <w:marLeft w:val="0"/>
                      <w:marRight w:val="0"/>
                      <w:marTop w:val="0"/>
                      <w:marBottom w:val="0"/>
                      <w:divBdr>
                        <w:top w:val="none" w:sz="0" w:space="0" w:color="auto"/>
                        <w:left w:val="none" w:sz="0" w:space="0" w:color="auto"/>
                        <w:bottom w:val="none" w:sz="0" w:space="0" w:color="auto"/>
                        <w:right w:val="none" w:sz="0" w:space="0" w:color="auto"/>
                      </w:divBdr>
                      <w:divsChild>
                        <w:div w:id="1176462390">
                          <w:marLeft w:val="0"/>
                          <w:marRight w:val="0"/>
                          <w:marTop w:val="0"/>
                          <w:marBottom w:val="0"/>
                          <w:divBdr>
                            <w:top w:val="none" w:sz="0" w:space="0" w:color="auto"/>
                            <w:left w:val="none" w:sz="0" w:space="0" w:color="auto"/>
                            <w:bottom w:val="none" w:sz="0" w:space="0" w:color="auto"/>
                            <w:right w:val="none" w:sz="0" w:space="0" w:color="auto"/>
                          </w:divBdr>
                          <w:divsChild>
                            <w:div w:id="842017751">
                              <w:marLeft w:val="0"/>
                              <w:marRight w:val="0"/>
                              <w:marTop w:val="0"/>
                              <w:marBottom w:val="0"/>
                              <w:divBdr>
                                <w:top w:val="none" w:sz="0" w:space="0" w:color="auto"/>
                                <w:left w:val="none" w:sz="0" w:space="0" w:color="auto"/>
                                <w:bottom w:val="none" w:sz="0" w:space="0" w:color="auto"/>
                                <w:right w:val="none" w:sz="0" w:space="0" w:color="auto"/>
                              </w:divBdr>
                              <w:divsChild>
                                <w:div w:id="1351447262">
                                  <w:marLeft w:val="0"/>
                                  <w:marRight w:val="0"/>
                                  <w:marTop w:val="0"/>
                                  <w:marBottom w:val="0"/>
                                  <w:divBdr>
                                    <w:top w:val="none" w:sz="0" w:space="0" w:color="auto"/>
                                    <w:left w:val="none" w:sz="0" w:space="0" w:color="auto"/>
                                    <w:bottom w:val="none" w:sz="0" w:space="0" w:color="auto"/>
                                    <w:right w:val="none" w:sz="0" w:space="0" w:color="auto"/>
                                  </w:divBdr>
                                  <w:divsChild>
                                    <w:div w:id="206530755">
                                      <w:marLeft w:val="0"/>
                                      <w:marRight w:val="0"/>
                                      <w:marTop w:val="0"/>
                                      <w:marBottom w:val="0"/>
                                      <w:divBdr>
                                        <w:top w:val="none" w:sz="0" w:space="0" w:color="auto"/>
                                        <w:left w:val="none" w:sz="0" w:space="0" w:color="auto"/>
                                        <w:bottom w:val="none" w:sz="0" w:space="0" w:color="auto"/>
                                        <w:right w:val="none" w:sz="0" w:space="0" w:color="auto"/>
                                      </w:divBdr>
                                      <w:divsChild>
                                        <w:div w:id="781609111">
                                          <w:marLeft w:val="0"/>
                                          <w:marRight w:val="0"/>
                                          <w:marTop w:val="0"/>
                                          <w:marBottom w:val="0"/>
                                          <w:divBdr>
                                            <w:top w:val="none" w:sz="0" w:space="0" w:color="auto"/>
                                            <w:left w:val="none" w:sz="0" w:space="0" w:color="auto"/>
                                            <w:bottom w:val="none" w:sz="0" w:space="0" w:color="auto"/>
                                            <w:right w:val="none" w:sz="0" w:space="0" w:color="auto"/>
                                          </w:divBdr>
                                          <w:divsChild>
                                            <w:div w:id="281111491">
                                              <w:marLeft w:val="0"/>
                                              <w:marRight w:val="0"/>
                                              <w:marTop w:val="0"/>
                                              <w:marBottom w:val="0"/>
                                              <w:divBdr>
                                                <w:top w:val="none" w:sz="0" w:space="0" w:color="auto"/>
                                                <w:left w:val="none" w:sz="0" w:space="0" w:color="auto"/>
                                                <w:bottom w:val="none" w:sz="0" w:space="0" w:color="auto"/>
                                                <w:right w:val="none" w:sz="0" w:space="0" w:color="auto"/>
                                              </w:divBdr>
                                              <w:divsChild>
                                                <w:div w:id="983972101">
                                                  <w:marLeft w:val="0"/>
                                                  <w:marRight w:val="0"/>
                                                  <w:marTop w:val="0"/>
                                                  <w:marBottom w:val="0"/>
                                                  <w:divBdr>
                                                    <w:top w:val="none" w:sz="0" w:space="0" w:color="auto"/>
                                                    <w:left w:val="none" w:sz="0" w:space="0" w:color="auto"/>
                                                    <w:bottom w:val="none" w:sz="0" w:space="0" w:color="auto"/>
                                                    <w:right w:val="none" w:sz="0" w:space="0" w:color="auto"/>
                                                  </w:divBdr>
                                                  <w:divsChild>
                                                    <w:div w:id="720059883">
                                                      <w:marLeft w:val="0"/>
                                                      <w:marRight w:val="0"/>
                                                      <w:marTop w:val="0"/>
                                                      <w:marBottom w:val="0"/>
                                                      <w:divBdr>
                                                        <w:top w:val="none" w:sz="0" w:space="0" w:color="auto"/>
                                                        <w:left w:val="none" w:sz="0" w:space="0" w:color="auto"/>
                                                        <w:bottom w:val="none" w:sz="0" w:space="0" w:color="auto"/>
                                                        <w:right w:val="none" w:sz="0" w:space="0" w:color="auto"/>
                                                      </w:divBdr>
                                                      <w:divsChild>
                                                        <w:div w:id="1914730231">
                                                          <w:marLeft w:val="0"/>
                                                          <w:marRight w:val="0"/>
                                                          <w:marTop w:val="0"/>
                                                          <w:marBottom w:val="0"/>
                                                          <w:divBdr>
                                                            <w:top w:val="none" w:sz="0" w:space="0" w:color="auto"/>
                                                            <w:left w:val="none" w:sz="0" w:space="0" w:color="auto"/>
                                                            <w:bottom w:val="none" w:sz="0" w:space="0" w:color="auto"/>
                                                            <w:right w:val="none" w:sz="0" w:space="0" w:color="auto"/>
                                                          </w:divBdr>
                                                          <w:divsChild>
                                                            <w:div w:id="681469988">
                                                              <w:marLeft w:val="0"/>
                                                              <w:marRight w:val="0"/>
                                                              <w:marTop w:val="0"/>
                                                              <w:marBottom w:val="0"/>
                                                              <w:divBdr>
                                                                <w:top w:val="none" w:sz="0" w:space="0" w:color="auto"/>
                                                                <w:left w:val="none" w:sz="0" w:space="0" w:color="auto"/>
                                                                <w:bottom w:val="none" w:sz="0" w:space="0" w:color="auto"/>
                                                                <w:right w:val="none" w:sz="0" w:space="0" w:color="auto"/>
                                                              </w:divBdr>
                                                              <w:divsChild>
                                                                <w:div w:id="395133442">
                                                                  <w:marLeft w:val="0"/>
                                                                  <w:marRight w:val="0"/>
                                                                  <w:marTop w:val="0"/>
                                                                  <w:marBottom w:val="0"/>
                                                                  <w:divBdr>
                                                                    <w:top w:val="none" w:sz="0" w:space="0" w:color="auto"/>
                                                                    <w:left w:val="none" w:sz="0" w:space="0" w:color="auto"/>
                                                                    <w:bottom w:val="none" w:sz="0" w:space="0" w:color="auto"/>
                                                                    <w:right w:val="none" w:sz="0" w:space="0" w:color="auto"/>
                                                                  </w:divBdr>
                                                                  <w:divsChild>
                                                                    <w:div w:id="1962763728">
                                                                      <w:marLeft w:val="0"/>
                                                                      <w:marRight w:val="0"/>
                                                                      <w:marTop w:val="0"/>
                                                                      <w:marBottom w:val="0"/>
                                                                      <w:divBdr>
                                                                        <w:top w:val="none" w:sz="0" w:space="0" w:color="auto"/>
                                                                        <w:left w:val="none" w:sz="0" w:space="0" w:color="auto"/>
                                                                        <w:bottom w:val="none" w:sz="0" w:space="0" w:color="auto"/>
                                                                        <w:right w:val="none" w:sz="0" w:space="0" w:color="auto"/>
                                                                      </w:divBdr>
                                                                      <w:divsChild>
                                                                        <w:div w:id="1636373040">
                                                                          <w:marLeft w:val="0"/>
                                                                          <w:marRight w:val="0"/>
                                                                          <w:marTop w:val="0"/>
                                                                          <w:marBottom w:val="0"/>
                                                                          <w:divBdr>
                                                                            <w:top w:val="none" w:sz="0" w:space="0" w:color="auto"/>
                                                                            <w:left w:val="none" w:sz="0" w:space="0" w:color="auto"/>
                                                                            <w:bottom w:val="none" w:sz="0" w:space="0" w:color="auto"/>
                                                                            <w:right w:val="none" w:sz="0" w:space="0" w:color="auto"/>
                                                                          </w:divBdr>
                                                                          <w:divsChild>
                                                                            <w:div w:id="8066023">
                                                                              <w:marLeft w:val="0"/>
                                                                              <w:marRight w:val="0"/>
                                                                              <w:marTop w:val="0"/>
                                                                              <w:marBottom w:val="0"/>
                                                                              <w:divBdr>
                                                                                <w:top w:val="none" w:sz="0" w:space="0" w:color="auto"/>
                                                                                <w:left w:val="none" w:sz="0" w:space="0" w:color="auto"/>
                                                                                <w:bottom w:val="none" w:sz="0" w:space="0" w:color="auto"/>
                                                                                <w:right w:val="none" w:sz="0" w:space="0" w:color="auto"/>
                                                                              </w:divBdr>
                                                                              <w:divsChild>
                                                                                <w:div w:id="1045982277">
                                                                                  <w:marLeft w:val="0"/>
                                                                                  <w:marRight w:val="0"/>
                                                                                  <w:marTop w:val="0"/>
                                                                                  <w:marBottom w:val="0"/>
                                                                                  <w:divBdr>
                                                                                    <w:top w:val="none" w:sz="0" w:space="0" w:color="auto"/>
                                                                                    <w:left w:val="none" w:sz="0" w:space="0" w:color="auto"/>
                                                                                    <w:bottom w:val="none" w:sz="0" w:space="0" w:color="auto"/>
                                                                                    <w:right w:val="none" w:sz="0" w:space="0" w:color="auto"/>
                                                                                  </w:divBdr>
                                                                                  <w:divsChild>
                                                                                    <w:div w:id="2008776676">
                                                                                      <w:marLeft w:val="0"/>
                                                                                      <w:marRight w:val="0"/>
                                                                                      <w:marTop w:val="0"/>
                                                                                      <w:marBottom w:val="0"/>
                                                                                      <w:divBdr>
                                                                                        <w:top w:val="none" w:sz="0" w:space="0" w:color="auto"/>
                                                                                        <w:left w:val="none" w:sz="0" w:space="0" w:color="auto"/>
                                                                                        <w:bottom w:val="none" w:sz="0" w:space="0" w:color="auto"/>
                                                                                        <w:right w:val="none" w:sz="0" w:space="0" w:color="auto"/>
                                                                                      </w:divBdr>
                                                                                      <w:divsChild>
                                                                                        <w:div w:id="1973050669">
                                                                                          <w:marLeft w:val="0"/>
                                                                                          <w:marRight w:val="0"/>
                                                                                          <w:marTop w:val="0"/>
                                                                                          <w:marBottom w:val="0"/>
                                                                                          <w:divBdr>
                                                                                            <w:top w:val="none" w:sz="0" w:space="0" w:color="auto"/>
                                                                                            <w:left w:val="none" w:sz="0" w:space="0" w:color="auto"/>
                                                                                            <w:bottom w:val="none" w:sz="0" w:space="0" w:color="auto"/>
                                                                                            <w:right w:val="none" w:sz="0" w:space="0" w:color="auto"/>
                                                                                          </w:divBdr>
                                                                                          <w:divsChild>
                                                                                            <w:div w:id="325478028">
                                                                                              <w:marLeft w:val="0"/>
                                                                                              <w:marRight w:val="0"/>
                                                                                              <w:marTop w:val="0"/>
                                                                                              <w:marBottom w:val="0"/>
                                                                                              <w:divBdr>
                                                                                                <w:top w:val="none" w:sz="0" w:space="0" w:color="auto"/>
                                                                                                <w:left w:val="none" w:sz="0" w:space="0" w:color="auto"/>
                                                                                                <w:bottom w:val="none" w:sz="0" w:space="0" w:color="auto"/>
                                                                                                <w:right w:val="none" w:sz="0" w:space="0" w:color="auto"/>
                                                                                              </w:divBdr>
                                                                                              <w:divsChild>
                                                                                                <w:div w:id="710810923">
                                                                                                  <w:marLeft w:val="0"/>
                                                                                                  <w:marRight w:val="0"/>
                                                                                                  <w:marTop w:val="0"/>
                                                                                                  <w:marBottom w:val="0"/>
                                                                                                  <w:divBdr>
                                                                                                    <w:top w:val="none" w:sz="0" w:space="0" w:color="auto"/>
                                                                                                    <w:left w:val="none" w:sz="0" w:space="0" w:color="auto"/>
                                                                                                    <w:bottom w:val="none" w:sz="0" w:space="0" w:color="auto"/>
                                                                                                    <w:right w:val="none" w:sz="0" w:space="0" w:color="auto"/>
                                                                                                  </w:divBdr>
                                                                                                  <w:divsChild>
                                                                                                    <w:div w:id="2092774602">
                                                                                                      <w:marLeft w:val="0"/>
                                                                                                      <w:marRight w:val="0"/>
                                                                                                      <w:marTop w:val="0"/>
                                                                                                      <w:marBottom w:val="0"/>
                                                                                                      <w:divBdr>
                                                                                                        <w:top w:val="none" w:sz="0" w:space="0" w:color="auto"/>
                                                                                                        <w:left w:val="none" w:sz="0" w:space="0" w:color="auto"/>
                                                                                                        <w:bottom w:val="none" w:sz="0" w:space="0" w:color="auto"/>
                                                                                                        <w:right w:val="none" w:sz="0" w:space="0" w:color="auto"/>
                                                                                                      </w:divBdr>
                                                                                                      <w:divsChild>
                                                                                                        <w:div w:id="535119316">
                                                                                                          <w:marLeft w:val="0"/>
                                                                                                          <w:marRight w:val="0"/>
                                                                                                          <w:marTop w:val="0"/>
                                                                                                          <w:marBottom w:val="0"/>
                                                                                                          <w:divBdr>
                                                                                                            <w:top w:val="none" w:sz="0" w:space="0" w:color="auto"/>
                                                                                                            <w:left w:val="none" w:sz="0" w:space="0" w:color="auto"/>
                                                                                                            <w:bottom w:val="none" w:sz="0" w:space="0" w:color="auto"/>
                                                                                                            <w:right w:val="none" w:sz="0" w:space="0" w:color="auto"/>
                                                                                                          </w:divBdr>
                                                                                                          <w:divsChild>
                                                                                                            <w:div w:id="901793310">
                                                                                                              <w:marLeft w:val="0"/>
                                                                                                              <w:marRight w:val="0"/>
                                                                                                              <w:marTop w:val="0"/>
                                                                                                              <w:marBottom w:val="0"/>
                                                                                                              <w:divBdr>
                                                                                                                <w:top w:val="none" w:sz="0" w:space="0" w:color="auto"/>
                                                                                                                <w:left w:val="none" w:sz="0" w:space="0" w:color="auto"/>
                                                                                                                <w:bottom w:val="none" w:sz="0" w:space="0" w:color="auto"/>
                                                                                                                <w:right w:val="none" w:sz="0" w:space="0" w:color="auto"/>
                                                                                                              </w:divBdr>
                                                                                                              <w:divsChild>
                                                                                                                <w:div w:id="824663966">
                                                                                                                  <w:marLeft w:val="0"/>
                                                                                                                  <w:marRight w:val="0"/>
                                                                                                                  <w:marTop w:val="0"/>
                                                                                                                  <w:marBottom w:val="0"/>
                                                                                                                  <w:divBdr>
                                                                                                                    <w:top w:val="none" w:sz="0" w:space="0" w:color="auto"/>
                                                                                                                    <w:left w:val="none" w:sz="0" w:space="0" w:color="auto"/>
                                                                                                                    <w:bottom w:val="none" w:sz="0" w:space="0" w:color="auto"/>
                                                                                                                    <w:right w:val="none" w:sz="0" w:space="0" w:color="auto"/>
                                                                                                                  </w:divBdr>
                                                                                                                  <w:divsChild>
                                                                                                                    <w:div w:id="1259097542">
                                                                                                                      <w:marLeft w:val="0"/>
                                                                                                                      <w:marRight w:val="0"/>
                                                                                                                      <w:marTop w:val="0"/>
                                                                                                                      <w:marBottom w:val="0"/>
                                                                                                                      <w:divBdr>
                                                                                                                        <w:top w:val="none" w:sz="0" w:space="0" w:color="auto"/>
                                                                                                                        <w:left w:val="none" w:sz="0" w:space="0" w:color="auto"/>
                                                                                                                        <w:bottom w:val="none" w:sz="0" w:space="0" w:color="auto"/>
                                                                                                                        <w:right w:val="none" w:sz="0" w:space="0" w:color="auto"/>
                                                                                                                      </w:divBdr>
                                                                                                                      <w:divsChild>
                                                                                                                        <w:div w:id="942878788">
                                                                                                                          <w:marLeft w:val="0"/>
                                                                                                                          <w:marRight w:val="0"/>
                                                                                                                          <w:marTop w:val="0"/>
                                                                                                                          <w:marBottom w:val="0"/>
                                                                                                                          <w:divBdr>
                                                                                                                            <w:top w:val="none" w:sz="0" w:space="0" w:color="auto"/>
                                                                                                                            <w:left w:val="none" w:sz="0" w:space="0" w:color="auto"/>
                                                                                                                            <w:bottom w:val="none" w:sz="0" w:space="0" w:color="auto"/>
                                                                                                                            <w:right w:val="none" w:sz="0" w:space="0" w:color="auto"/>
                                                                                                                          </w:divBdr>
                                                                                                                          <w:divsChild>
                                                                                                                            <w:div w:id="1825005662">
                                                                                                                              <w:marLeft w:val="0"/>
                                                                                                                              <w:marRight w:val="0"/>
                                                                                                                              <w:marTop w:val="0"/>
                                                                                                                              <w:marBottom w:val="0"/>
                                                                                                                              <w:divBdr>
                                                                                                                                <w:top w:val="none" w:sz="0" w:space="0" w:color="auto"/>
                                                                                                                                <w:left w:val="none" w:sz="0" w:space="0" w:color="auto"/>
                                                                                                                                <w:bottom w:val="none" w:sz="0" w:space="0" w:color="auto"/>
                                                                                                                                <w:right w:val="none" w:sz="0" w:space="0" w:color="auto"/>
                                                                                                                              </w:divBdr>
                                                                                                                              <w:divsChild>
                                                                                                                                <w:div w:id="1218199636">
                                                                                                                                  <w:marLeft w:val="0"/>
                                                                                                                                  <w:marRight w:val="0"/>
                                                                                                                                  <w:marTop w:val="0"/>
                                                                                                                                  <w:marBottom w:val="0"/>
                                                                                                                                  <w:divBdr>
                                                                                                                                    <w:top w:val="none" w:sz="0" w:space="0" w:color="auto"/>
                                                                                                                                    <w:left w:val="none" w:sz="0" w:space="0" w:color="auto"/>
                                                                                                                                    <w:bottom w:val="none" w:sz="0" w:space="0" w:color="auto"/>
                                                                                                                                    <w:right w:val="none" w:sz="0" w:space="0" w:color="auto"/>
                                                                                                                                  </w:divBdr>
                                                                                                                                  <w:divsChild>
                                                                                                                                    <w:div w:id="135923037">
                                                                                                                                      <w:marLeft w:val="0"/>
                                                                                                                                      <w:marRight w:val="0"/>
                                                                                                                                      <w:marTop w:val="0"/>
                                                                                                                                      <w:marBottom w:val="0"/>
                                                                                                                                      <w:divBdr>
                                                                                                                                        <w:top w:val="none" w:sz="0" w:space="0" w:color="auto"/>
                                                                                                                                        <w:left w:val="none" w:sz="0" w:space="0" w:color="auto"/>
                                                                                                                                        <w:bottom w:val="none" w:sz="0" w:space="0" w:color="auto"/>
                                                                                                                                        <w:right w:val="none" w:sz="0" w:space="0" w:color="auto"/>
                                                                                                                                      </w:divBdr>
                                                                                                                                      <w:divsChild>
                                                                                                                                        <w:div w:id="1040132904">
                                                                                                                                          <w:marLeft w:val="0"/>
                                                                                                                                          <w:marRight w:val="0"/>
                                                                                                                                          <w:marTop w:val="0"/>
                                                                                                                                          <w:marBottom w:val="0"/>
                                                                                                                                          <w:divBdr>
                                                                                                                                            <w:top w:val="none" w:sz="0" w:space="0" w:color="auto"/>
                                                                                                                                            <w:left w:val="none" w:sz="0" w:space="0" w:color="auto"/>
                                                                                                                                            <w:bottom w:val="none" w:sz="0" w:space="0" w:color="auto"/>
                                                                                                                                            <w:right w:val="none" w:sz="0" w:space="0" w:color="auto"/>
                                                                                                                                          </w:divBdr>
                                                                                                                                          <w:divsChild>
                                                                                                                                            <w:div w:id="1129934439">
                                                                                                                                              <w:marLeft w:val="0"/>
                                                                                                                                              <w:marRight w:val="0"/>
                                                                                                                                              <w:marTop w:val="0"/>
                                                                                                                                              <w:marBottom w:val="0"/>
                                                                                                                                              <w:divBdr>
                                                                                                                                                <w:top w:val="none" w:sz="0" w:space="0" w:color="auto"/>
                                                                                                                                                <w:left w:val="none" w:sz="0" w:space="0" w:color="auto"/>
                                                                                                                                                <w:bottom w:val="none" w:sz="0" w:space="0" w:color="auto"/>
                                                                                                                                                <w:right w:val="none" w:sz="0" w:space="0" w:color="auto"/>
                                                                                                                                              </w:divBdr>
                                                                                                                                              <w:divsChild>
                                                                                                                                                <w:div w:id="1326933533">
                                                                                                                                                  <w:marLeft w:val="0"/>
                                                                                                                                                  <w:marRight w:val="0"/>
                                                                                                                                                  <w:marTop w:val="0"/>
                                                                                                                                                  <w:marBottom w:val="0"/>
                                                                                                                                                  <w:divBdr>
                                                                                                                                                    <w:top w:val="none" w:sz="0" w:space="0" w:color="auto"/>
                                                                                                                                                    <w:left w:val="none" w:sz="0" w:space="0" w:color="auto"/>
                                                                                                                                                    <w:bottom w:val="none" w:sz="0" w:space="0" w:color="auto"/>
                                                                                                                                                    <w:right w:val="none" w:sz="0" w:space="0" w:color="auto"/>
                                                                                                                                                  </w:divBdr>
                                                                                                                                                  <w:divsChild>
                                                                                                                                                    <w:div w:id="1515025140">
                                                                                                                                                      <w:marLeft w:val="0"/>
                                                                                                                                                      <w:marRight w:val="0"/>
                                                                                                                                                      <w:marTop w:val="0"/>
                                                                                                                                                      <w:marBottom w:val="0"/>
                                                                                                                                                      <w:divBdr>
                                                                                                                                                        <w:top w:val="none" w:sz="0" w:space="0" w:color="auto"/>
                                                                                                                                                        <w:left w:val="none" w:sz="0" w:space="0" w:color="auto"/>
                                                                                                                                                        <w:bottom w:val="none" w:sz="0" w:space="0" w:color="auto"/>
                                                                                                                                                        <w:right w:val="none" w:sz="0" w:space="0" w:color="auto"/>
                                                                                                                                                      </w:divBdr>
                                                                                                                                                      <w:divsChild>
                                                                                                                                                        <w:div w:id="2081173411">
                                                                                                                                                          <w:marLeft w:val="0"/>
                                                                                                                                                          <w:marRight w:val="0"/>
                                                                                                                                                          <w:marTop w:val="0"/>
                                                                                                                                                          <w:marBottom w:val="0"/>
                                                                                                                                                          <w:divBdr>
                                                                                                                                                            <w:top w:val="none" w:sz="0" w:space="0" w:color="auto"/>
                                                                                                                                                            <w:left w:val="none" w:sz="0" w:space="0" w:color="auto"/>
                                                                                                                                                            <w:bottom w:val="none" w:sz="0" w:space="0" w:color="auto"/>
                                                                                                                                                            <w:right w:val="none" w:sz="0" w:space="0" w:color="auto"/>
                                                                                                                                                          </w:divBdr>
                                                                                                                                                          <w:divsChild>
                                                                                                                                                            <w:div w:id="578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8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6700">
      <w:bodyDiv w:val="1"/>
      <w:marLeft w:val="0"/>
      <w:marRight w:val="0"/>
      <w:marTop w:val="0"/>
      <w:marBottom w:val="0"/>
      <w:divBdr>
        <w:top w:val="none" w:sz="0" w:space="0" w:color="auto"/>
        <w:left w:val="none" w:sz="0" w:space="0" w:color="auto"/>
        <w:bottom w:val="none" w:sz="0" w:space="0" w:color="auto"/>
        <w:right w:val="none" w:sz="0" w:space="0" w:color="auto"/>
      </w:divBdr>
    </w:div>
    <w:div w:id="1375738443">
      <w:bodyDiv w:val="1"/>
      <w:marLeft w:val="0"/>
      <w:marRight w:val="0"/>
      <w:marTop w:val="0"/>
      <w:marBottom w:val="0"/>
      <w:divBdr>
        <w:top w:val="none" w:sz="0" w:space="0" w:color="auto"/>
        <w:left w:val="none" w:sz="0" w:space="0" w:color="auto"/>
        <w:bottom w:val="none" w:sz="0" w:space="0" w:color="auto"/>
        <w:right w:val="none" w:sz="0" w:space="0" w:color="auto"/>
      </w:divBdr>
    </w:div>
    <w:div w:id="1388844675">
      <w:bodyDiv w:val="1"/>
      <w:marLeft w:val="0"/>
      <w:marRight w:val="0"/>
      <w:marTop w:val="0"/>
      <w:marBottom w:val="0"/>
      <w:divBdr>
        <w:top w:val="none" w:sz="0" w:space="0" w:color="auto"/>
        <w:left w:val="none" w:sz="0" w:space="0" w:color="auto"/>
        <w:bottom w:val="none" w:sz="0" w:space="0" w:color="auto"/>
        <w:right w:val="none" w:sz="0" w:space="0" w:color="auto"/>
      </w:divBdr>
    </w:div>
    <w:div w:id="1395160095">
      <w:bodyDiv w:val="1"/>
      <w:marLeft w:val="0"/>
      <w:marRight w:val="0"/>
      <w:marTop w:val="0"/>
      <w:marBottom w:val="0"/>
      <w:divBdr>
        <w:top w:val="none" w:sz="0" w:space="0" w:color="auto"/>
        <w:left w:val="none" w:sz="0" w:space="0" w:color="auto"/>
        <w:bottom w:val="none" w:sz="0" w:space="0" w:color="auto"/>
        <w:right w:val="none" w:sz="0" w:space="0" w:color="auto"/>
      </w:divBdr>
      <w:divsChild>
        <w:div w:id="464202497">
          <w:marLeft w:val="0"/>
          <w:marRight w:val="0"/>
          <w:marTop w:val="0"/>
          <w:marBottom w:val="0"/>
          <w:divBdr>
            <w:top w:val="none" w:sz="0" w:space="0" w:color="auto"/>
            <w:left w:val="none" w:sz="0" w:space="0" w:color="auto"/>
            <w:bottom w:val="none" w:sz="0" w:space="0" w:color="auto"/>
            <w:right w:val="none" w:sz="0" w:space="0" w:color="auto"/>
          </w:divBdr>
          <w:divsChild>
            <w:div w:id="1372195451">
              <w:marLeft w:val="0"/>
              <w:marRight w:val="0"/>
              <w:marTop w:val="0"/>
              <w:marBottom w:val="0"/>
              <w:divBdr>
                <w:top w:val="none" w:sz="0" w:space="0" w:color="auto"/>
                <w:left w:val="none" w:sz="0" w:space="0" w:color="auto"/>
                <w:bottom w:val="none" w:sz="0" w:space="0" w:color="auto"/>
                <w:right w:val="none" w:sz="0" w:space="0" w:color="auto"/>
              </w:divBdr>
              <w:divsChild>
                <w:div w:id="995692600">
                  <w:marLeft w:val="0"/>
                  <w:marRight w:val="0"/>
                  <w:marTop w:val="0"/>
                  <w:marBottom w:val="0"/>
                  <w:divBdr>
                    <w:top w:val="none" w:sz="0" w:space="0" w:color="auto"/>
                    <w:left w:val="none" w:sz="0" w:space="0" w:color="auto"/>
                    <w:bottom w:val="none" w:sz="0" w:space="0" w:color="auto"/>
                    <w:right w:val="none" w:sz="0" w:space="0" w:color="auto"/>
                  </w:divBdr>
                  <w:divsChild>
                    <w:div w:id="1852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2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FECC-5857-4770-ADED-906893E02CBB}">
  <ds:schemaRefs>
    <ds:schemaRef ds:uri="http://schemas.openxmlformats.org/officeDocument/2006/bibliography"/>
  </ds:schemaRefs>
</ds:datastoreItem>
</file>

<file path=customXml/itemProps2.xml><?xml version="1.0" encoding="utf-8"?>
<ds:datastoreItem xmlns:ds="http://schemas.openxmlformats.org/officeDocument/2006/customXml" ds:itemID="{F8548A5C-1DD9-4A9D-B5F1-C840FFFE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6678</Words>
  <Characters>209991</Characters>
  <Application>Microsoft Office Word</Application>
  <DocSecurity>4</DocSecurity>
  <Lines>1749</Lines>
  <Paragraphs>432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Isabelle Hubbard</cp:lastModifiedBy>
  <cp:revision>2</cp:revision>
  <cp:lastPrinted>2015-04-28T11:15:00Z</cp:lastPrinted>
  <dcterms:created xsi:type="dcterms:W3CDTF">2016-07-20T09:59:00Z</dcterms:created>
  <dcterms:modified xsi:type="dcterms:W3CDTF">2016-07-20T09:59:00Z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dralikent@gmail.com@www.mendeley.com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http://www.zotero.org/styles/archives-of-disease-in-childhood</vt:lpwstr>
  </property>
  <property fmtid="{D5CDD505-2E9C-101B-9397-08002B2CF9AE}" pid="7" name="Mendeley Recent Style Name 1_1">
    <vt:lpwstr>Archives of Disease in Childhood</vt:lpwstr>
  </property>
  <property fmtid="{D5CDD505-2E9C-101B-9397-08002B2CF9AE}" pid="8" name="Mendeley Recent Style Id 2_1">
    <vt:lpwstr>http://www.zotero.org/styles/clinical-infectious-diseases</vt:lpwstr>
  </property>
  <property fmtid="{D5CDD505-2E9C-101B-9397-08002B2CF9AE}" pid="9" name="Mendeley Recent Style Name 2_1">
    <vt:lpwstr>Clinical Infectious Diseases</vt:lpwstr>
  </property>
  <property fmtid="{D5CDD505-2E9C-101B-9397-08002B2CF9AE}" pid="10" name="Mendeley Recent Style Id 3_1">
    <vt:lpwstr>http://csl.mendeley.com/styles/2345671/journal-of-infectious-diseases</vt:lpwstr>
  </property>
  <property fmtid="{D5CDD505-2E9C-101B-9397-08002B2CF9AE}" pid="11" name="Mendeley Recent Style Name 3_1">
    <vt:lpwstr>Journal of Infectious Diseases - alison kent</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http://www.zotero.org/styles/pediatric-infectious-disease</vt:lpwstr>
  </property>
  <property fmtid="{D5CDD505-2E9C-101B-9397-08002B2CF9AE}" pid="15" name="Mendeley Recent Style Name 5_1">
    <vt:lpwstr>Pediatric Infectious Disease</vt:lpwstr>
  </property>
  <property fmtid="{D5CDD505-2E9C-101B-9397-08002B2CF9AE}" pid="16" name="Mendeley Recent Style Id 6_1">
    <vt:lpwstr>http://www.zotero.org/styles/pediatrics</vt:lpwstr>
  </property>
  <property fmtid="{D5CDD505-2E9C-101B-9397-08002B2CF9AE}" pid="17" name="Mendeley Recent Style Name 6_1">
    <vt:lpwstr>Pediatrics</vt:lpwstr>
  </property>
  <property fmtid="{D5CDD505-2E9C-101B-9397-08002B2CF9AE}" pid="18" name="Mendeley Recent Style Id 7_1">
    <vt:lpwstr>http://www.zotero.org/styles/vaccine</vt:lpwstr>
  </property>
  <property fmtid="{D5CDD505-2E9C-101B-9397-08002B2CF9AE}" pid="19" name="Mendeley Recent Style Name 7_1">
    <vt:lpwstr>Vaccine</vt:lpwstr>
  </property>
  <property fmtid="{D5CDD505-2E9C-101B-9397-08002B2CF9AE}" pid="20" name="Mendeley Recent Style Id 8_1">
    <vt:lpwstr>http://csl.mendeley.com/styles/2345671/ADC-2</vt:lpwstr>
  </property>
  <property fmtid="{D5CDD505-2E9C-101B-9397-08002B2CF9AE}" pid="21" name="Mendeley Recent Style Name 8_1">
    <vt:lpwstr>Vancouver - alison kent</vt:lpwstr>
  </property>
  <property fmtid="{D5CDD505-2E9C-101B-9397-08002B2CF9AE}" pid="22" name="Mendeley Recent Style Id 9_1">
    <vt:lpwstr>http://csl.mendeley.com/styles/2345671/vancouver-2</vt:lpwstr>
  </property>
  <property fmtid="{D5CDD505-2E9C-101B-9397-08002B2CF9AE}" pid="23" name="Mendeley Recent Style Name 9_1">
    <vt:lpwstr>Vancouver - alison kent</vt:lpwstr>
  </property>
  <property fmtid="{D5CDD505-2E9C-101B-9397-08002B2CF9AE}" pid="24" name="Mendeley Citation Style_1">
    <vt:lpwstr>http://www.zotero.org/styles/clinical-infectious-diseases</vt:lpwstr>
  </property>
</Properties>
</file>