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381A" w14:textId="00DF9BB8" w:rsidR="005F015E" w:rsidRDefault="000C6DC0" w:rsidP="005F015E">
      <w:bookmarkStart w:id="0" w:name="_GoBack"/>
      <w:bookmarkEnd w:id="0"/>
      <w:r>
        <w:t>Table 3</w:t>
      </w:r>
      <w:r w:rsidR="005F015E">
        <w:t xml:space="preserve"> Linear model of predictors of changes in Pmsf-arm (%).</w:t>
      </w:r>
    </w:p>
    <w:tbl>
      <w:tblPr>
        <w:tblStyle w:val="LightShading"/>
        <w:tblW w:w="5000" w:type="pct"/>
        <w:tblLook w:val="0620" w:firstRow="1" w:lastRow="0" w:firstColumn="0" w:lastColumn="0" w:noHBand="1" w:noVBand="1"/>
      </w:tblPr>
      <w:tblGrid>
        <w:gridCol w:w="3271"/>
        <w:gridCol w:w="1190"/>
        <w:gridCol w:w="2296"/>
        <w:gridCol w:w="1091"/>
        <w:gridCol w:w="1394"/>
      </w:tblGrid>
      <w:tr w:rsidR="005F015E" w:rsidRPr="000C6DC0" w14:paraId="7E40D89B" w14:textId="77777777" w:rsidTr="00092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770" w:type="pct"/>
            <w:noWrap/>
            <w:hideMark/>
          </w:tcPr>
          <w:p w14:paraId="56BB3ACD" w14:textId="77777777" w:rsidR="005F015E" w:rsidRPr="000C6DC0" w:rsidRDefault="005F015E" w:rsidP="000C6DC0">
            <w:pPr>
              <w:pStyle w:val="NoSpacing"/>
              <w:rPr>
                <w:sz w:val="22"/>
                <w:lang w:val="en-US" w:eastAsia="en-US"/>
              </w:rPr>
            </w:pPr>
          </w:p>
        </w:tc>
        <w:tc>
          <w:tcPr>
            <w:tcW w:w="644" w:type="pct"/>
            <w:noWrap/>
            <w:hideMark/>
          </w:tcPr>
          <w:p w14:paraId="67CB9FF7" w14:textId="77777777" w:rsidR="005F015E" w:rsidRPr="000C6DC0" w:rsidRDefault="005F015E" w:rsidP="000C6DC0">
            <w:pPr>
              <w:pStyle w:val="NoSpacing"/>
              <w:rPr>
                <w:sz w:val="22"/>
                <w:lang w:val="en-US" w:eastAsia="en-US"/>
              </w:rPr>
            </w:pPr>
            <w:r w:rsidRPr="000C6DC0">
              <w:rPr>
                <w:sz w:val="22"/>
                <w:lang w:val="en-US" w:eastAsia="en-US"/>
              </w:rPr>
              <w:t xml:space="preserve">B </w:t>
            </w:r>
          </w:p>
        </w:tc>
        <w:tc>
          <w:tcPr>
            <w:tcW w:w="1242" w:type="pct"/>
          </w:tcPr>
          <w:p w14:paraId="09C4AA3D" w14:textId="77777777" w:rsidR="005F015E" w:rsidRPr="000C6DC0" w:rsidRDefault="005F015E" w:rsidP="000C6DC0">
            <w:pPr>
              <w:pStyle w:val="NoSpacing"/>
              <w:rPr>
                <w:sz w:val="22"/>
                <w:lang w:val="en-US" w:eastAsia="en-US"/>
              </w:rPr>
            </w:pPr>
            <w:r w:rsidRPr="000C6DC0">
              <w:rPr>
                <w:sz w:val="22"/>
                <w:lang w:val="en-US" w:eastAsia="en-US"/>
              </w:rPr>
              <w:t>(95% C.I)</w:t>
            </w:r>
          </w:p>
        </w:tc>
        <w:tc>
          <w:tcPr>
            <w:tcW w:w="590" w:type="pct"/>
          </w:tcPr>
          <w:p w14:paraId="58C3A207" w14:textId="77777777" w:rsidR="005F015E" w:rsidRPr="000C6DC0" w:rsidRDefault="005F015E" w:rsidP="000C6DC0">
            <w:pPr>
              <w:pStyle w:val="NoSpacing"/>
              <w:rPr>
                <w:sz w:val="22"/>
                <w:lang w:val="en-US" w:eastAsia="en-US"/>
              </w:rPr>
            </w:pPr>
            <w:r w:rsidRPr="000C6DC0">
              <w:rPr>
                <w:sz w:val="22"/>
                <w:lang w:val="en-US" w:eastAsia="en-US"/>
              </w:rPr>
              <w:t>S. E.</w:t>
            </w:r>
          </w:p>
        </w:tc>
        <w:tc>
          <w:tcPr>
            <w:tcW w:w="754" w:type="pct"/>
            <w:noWrap/>
            <w:hideMark/>
          </w:tcPr>
          <w:p w14:paraId="642BC566" w14:textId="77777777" w:rsidR="005F015E" w:rsidRPr="000C6DC0" w:rsidRDefault="005F015E" w:rsidP="000C6DC0">
            <w:pPr>
              <w:pStyle w:val="NoSpacing"/>
              <w:rPr>
                <w:sz w:val="22"/>
                <w:lang w:val="en-US" w:eastAsia="en-US"/>
              </w:rPr>
            </w:pPr>
            <w:r w:rsidRPr="000C6DC0">
              <w:rPr>
                <w:i/>
                <w:sz w:val="22"/>
                <w:lang w:val="en-US" w:eastAsia="en-US"/>
              </w:rPr>
              <w:t>p</w:t>
            </w:r>
          </w:p>
        </w:tc>
      </w:tr>
      <w:tr w:rsidR="005F015E" w:rsidRPr="000C6DC0" w14:paraId="768C4912" w14:textId="77777777" w:rsidTr="000921D9">
        <w:trPr>
          <w:trHeight w:val="294"/>
        </w:trPr>
        <w:tc>
          <w:tcPr>
            <w:tcW w:w="1770" w:type="pct"/>
            <w:tcBorders>
              <w:top w:val="single" w:sz="8" w:space="0" w:color="000000" w:themeColor="text1"/>
              <w:bottom w:val="single" w:sz="4" w:space="0" w:color="auto"/>
            </w:tcBorders>
            <w:noWrap/>
          </w:tcPr>
          <w:p w14:paraId="18C2AA7F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Step 1</w:t>
            </w:r>
            <w:r w:rsidRPr="000C6DC0">
              <w:rPr>
                <w:i/>
                <w:sz w:val="22"/>
              </w:rPr>
              <w:t xml:space="preserve"> </w:t>
            </w:r>
          </w:p>
        </w:tc>
        <w:tc>
          <w:tcPr>
            <w:tcW w:w="644" w:type="pct"/>
            <w:tcBorders>
              <w:top w:val="single" w:sz="8" w:space="0" w:color="000000" w:themeColor="text1"/>
              <w:bottom w:val="single" w:sz="4" w:space="0" w:color="auto"/>
            </w:tcBorders>
            <w:noWrap/>
          </w:tcPr>
          <w:p w14:paraId="7F138B19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242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14:paraId="2BCC2A6E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14:paraId="52848A9D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754" w:type="pct"/>
            <w:tcBorders>
              <w:top w:val="single" w:sz="8" w:space="0" w:color="000000" w:themeColor="text1"/>
              <w:bottom w:val="single" w:sz="4" w:space="0" w:color="auto"/>
            </w:tcBorders>
            <w:noWrap/>
          </w:tcPr>
          <w:p w14:paraId="41C67BE8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</w:p>
        </w:tc>
      </w:tr>
      <w:tr w:rsidR="005F015E" w:rsidRPr="000C6DC0" w14:paraId="10368823" w14:textId="77777777" w:rsidTr="000921D9">
        <w:trPr>
          <w:trHeight w:val="294"/>
        </w:trPr>
        <w:tc>
          <w:tcPr>
            <w:tcW w:w="1770" w:type="pct"/>
            <w:tcBorders>
              <w:top w:val="single" w:sz="4" w:space="0" w:color="auto"/>
            </w:tcBorders>
            <w:noWrap/>
            <w:hideMark/>
          </w:tcPr>
          <w:p w14:paraId="7EDC36EA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Constant</w:t>
            </w:r>
          </w:p>
        </w:tc>
        <w:tc>
          <w:tcPr>
            <w:tcW w:w="644" w:type="pct"/>
            <w:tcBorders>
              <w:top w:val="single" w:sz="4" w:space="0" w:color="auto"/>
            </w:tcBorders>
            <w:noWrap/>
            <w:hideMark/>
          </w:tcPr>
          <w:p w14:paraId="6133A71E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9.88</w:t>
            </w:r>
          </w:p>
        </w:tc>
        <w:tc>
          <w:tcPr>
            <w:tcW w:w="1242" w:type="pct"/>
            <w:tcBorders>
              <w:top w:val="single" w:sz="4" w:space="0" w:color="auto"/>
            </w:tcBorders>
          </w:tcPr>
          <w:p w14:paraId="159F0A56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(7.43, 12.33)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115C2FF4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1.23</w:t>
            </w:r>
          </w:p>
        </w:tc>
        <w:tc>
          <w:tcPr>
            <w:tcW w:w="754" w:type="pct"/>
            <w:tcBorders>
              <w:top w:val="single" w:sz="4" w:space="0" w:color="auto"/>
            </w:tcBorders>
            <w:noWrap/>
            <w:hideMark/>
          </w:tcPr>
          <w:p w14:paraId="18A86BA6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&lt;0.001</w:t>
            </w:r>
          </w:p>
        </w:tc>
      </w:tr>
      <w:tr w:rsidR="005F015E" w:rsidRPr="000C6DC0" w14:paraId="0668A9CD" w14:textId="77777777" w:rsidTr="000921D9">
        <w:trPr>
          <w:trHeight w:val="294"/>
        </w:trPr>
        <w:tc>
          <w:tcPr>
            <w:tcW w:w="1770" w:type="pct"/>
            <w:tcBorders>
              <w:bottom w:val="single" w:sz="4" w:space="0" w:color="auto"/>
            </w:tcBorders>
            <w:noWrap/>
            <w:hideMark/>
          </w:tcPr>
          <w:p w14:paraId="17116F79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Pmsf-arm Baseline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noWrap/>
            <w:hideMark/>
          </w:tcPr>
          <w:p w14:paraId="12EE36BF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-0.21</w:t>
            </w: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14:paraId="57B7034B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(-0.61, 0.19)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23064025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0.20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noWrap/>
            <w:hideMark/>
          </w:tcPr>
          <w:p w14:paraId="41D7947F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0.296</w:t>
            </w:r>
          </w:p>
        </w:tc>
      </w:tr>
      <w:tr w:rsidR="005F015E" w:rsidRPr="000C6DC0" w14:paraId="4AEAA59D" w14:textId="77777777" w:rsidTr="000921D9">
        <w:trPr>
          <w:trHeight w:val="294"/>
        </w:trPr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46D2E5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 xml:space="preserve">Step2 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158896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14:paraId="6525C3D2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74D64D9E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6C89AD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</w:p>
        </w:tc>
      </w:tr>
      <w:tr w:rsidR="005F015E" w:rsidRPr="000C6DC0" w14:paraId="3AB561E0" w14:textId="77777777" w:rsidTr="000921D9">
        <w:trPr>
          <w:trHeight w:val="294"/>
        </w:trPr>
        <w:tc>
          <w:tcPr>
            <w:tcW w:w="1770" w:type="pct"/>
            <w:tcBorders>
              <w:top w:val="single" w:sz="4" w:space="0" w:color="auto"/>
            </w:tcBorders>
            <w:noWrap/>
            <w:hideMark/>
          </w:tcPr>
          <w:p w14:paraId="26E043DD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Constant</w:t>
            </w:r>
          </w:p>
        </w:tc>
        <w:tc>
          <w:tcPr>
            <w:tcW w:w="644" w:type="pct"/>
            <w:tcBorders>
              <w:top w:val="single" w:sz="4" w:space="0" w:color="auto"/>
            </w:tcBorders>
            <w:noWrap/>
            <w:hideMark/>
          </w:tcPr>
          <w:p w14:paraId="0498483C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9.88</w:t>
            </w:r>
          </w:p>
        </w:tc>
        <w:tc>
          <w:tcPr>
            <w:tcW w:w="1242" w:type="pct"/>
            <w:tcBorders>
              <w:top w:val="single" w:sz="4" w:space="0" w:color="auto"/>
            </w:tcBorders>
          </w:tcPr>
          <w:p w14:paraId="6117DC31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(7.78, 11.98)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6B673F0E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1.06</w:t>
            </w:r>
          </w:p>
        </w:tc>
        <w:tc>
          <w:tcPr>
            <w:tcW w:w="754" w:type="pct"/>
            <w:tcBorders>
              <w:top w:val="single" w:sz="4" w:space="0" w:color="auto"/>
            </w:tcBorders>
            <w:noWrap/>
            <w:hideMark/>
          </w:tcPr>
          <w:p w14:paraId="72EAF491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&lt;0.001</w:t>
            </w:r>
          </w:p>
        </w:tc>
      </w:tr>
      <w:tr w:rsidR="005F015E" w:rsidRPr="000C6DC0" w14:paraId="5F296560" w14:textId="77777777" w:rsidTr="000921D9">
        <w:trPr>
          <w:trHeight w:val="294"/>
        </w:trPr>
        <w:tc>
          <w:tcPr>
            <w:tcW w:w="1770" w:type="pct"/>
            <w:noWrap/>
            <w:hideMark/>
          </w:tcPr>
          <w:p w14:paraId="5B78AA50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Pmsf-arm Baseline</w:t>
            </w:r>
          </w:p>
        </w:tc>
        <w:tc>
          <w:tcPr>
            <w:tcW w:w="644" w:type="pct"/>
            <w:noWrap/>
            <w:hideMark/>
          </w:tcPr>
          <w:p w14:paraId="3F2A9408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-0.40</w:t>
            </w:r>
          </w:p>
        </w:tc>
        <w:tc>
          <w:tcPr>
            <w:tcW w:w="1242" w:type="pct"/>
          </w:tcPr>
          <w:p w14:paraId="5F7DCFFF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(-0.75, -0.05)</w:t>
            </w:r>
          </w:p>
        </w:tc>
        <w:tc>
          <w:tcPr>
            <w:tcW w:w="590" w:type="pct"/>
          </w:tcPr>
          <w:p w14:paraId="78A14259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0.18</w:t>
            </w:r>
          </w:p>
        </w:tc>
        <w:tc>
          <w:tcPr>
            <w:tcW w:w="754" w:type="pct"/>
            <w:noWrap/>
            <w:hideMark/>
          </w:tcPr>
          <w:p w14:paraId="5D7B52EE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0.026</w:t>
            </w:r>
          </w:p>
        </w:tc>
      </w:tr>
      <w:tr w:rsidR="005F015E" w:rsidRPr="000C6DC0" w14:paraId="25726D57" w14:textId="77777777" w:rsidTr="000921D9">
        <w:trPr>
          <w:trHeight w:val="294"/>
        </w:trPr>
        <w:tc>
          <w:tcPr>
            <w:tcW w:w="1770" w:type="pct"/>
            <w:tcBorders>
              <w:bottom w:val="single" w:sz="4" w:space="0" w:color="auto"/>
            </w:tcBorders>
            <w:noWrap/>
            <w:hideMark/>
          </w:tcPr>
          <w:p w14:paraId="522309D0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Volume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noWrap/>
            <w:hideMark/>
          </w:tcPr>
          <w:p w14:paraId="253C46A8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0.05</w:t>
            </w: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14:paraId="146F698F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(0.03, 0.07)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11315437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0.01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noWrap/>
            <w:hideMark/>
          </w:tcPr>
          <w:p w14:paraId="2C787D7A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&lt;0.001</w:t>
            </w:r>
          </w:p>
        </w:tc>
      </w:tr>
      <w:tr w:rsidR="005F015E" w:rsidRPr="000C6DC0" w14:paraId="5FAB058E" w14:textId="77777777" w:rsidTr="000921D9">
        <w:trPr>
          <w:trHeight w:val="294"/>
        </w:trPr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D9690A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 xml:space="preserve">Step 3 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9F7494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14:paraId="0C484AB4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4C669576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80A0F1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</w:p>
        </w:tc>
      </w:tr>
      <w:tr w:rsidR="005F015E" w:rsidRPr="000C6DC0" w14:paraId="7032EC3F" w14:textId="77777777" w:rsidTr="000921D9">
        <w:trPr>
          <w:trHeight w:val="294"/>
        </w:trPr>
        <w:tc>
          <w:tcPr>
            <w:tcW w:w="1770" w:type="pct"/>
            <w:tcBorders>
              <w:top w:val="single" w:sz="4" w:space="0" w:color="auto"/>
            </w:tcBorders>
            <w:noWrap/>
            <w:hideMark/>
          </w:tcPr>
          <w:p w14:paraId="3F0107C8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Constant</w:t>
            </w:r>
          </w:p>
        </w:tc>
        <w:tc>
          <w:tcPr>
            <w:tcW w:w="644" w:type="pct"/>
            <w:tcBorders>
              <w:top w:val="single" w:sz="4" w:space="0" w:color="auto"/>
            </w:tcBorders>
            <w:noWrap/>
            <w:hideMark/>
          </w:tcPr>
          <w:p w14:paraId="25944C6A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10.93</w:t>
            </w:r>
          </w:p>
        </w:tc>
        <w:tc>
          <w:tcPr>
            <w:tcW w:w="1242" w:type="pct"/>
            <w:tcBorders>
              <w:top w:val="single" w:sz="4" w:space="0" w:color="auto"/>
            </w:tcBorders>
          </w:tcPr>
          <w:p w14:paraId="4544404B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(8.34, 13.52)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66636984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1.30</w:t>
            </w:r>
          </w:p>
        </w:tc>
        <w:tc>
          <w:tcPr>
            <w:tcW w:w="754" w:type="pct"/>
            <w:tcBorders>
              <w:top w:val="single" w:sz="4" w:space="0" w:color="auto"/>
            </w:tcBorders>
            <w:noWrap/>
            <w:hideMark/>
          </w:tcPr>
          <w:p w14:paraId="0ED3D8DA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&lt;0.001</w:t>
            </w:r>
          </w:p>
        </w:tc>
      </w:tr>
      <w:tr w:rsidR="005F015E" w:rsidRPr="000C6DC0" w14:paraId="0E7DAA36" w14:textId="77777777" w:rsidTr="000921D9">
        <w:trPr>
          <w:trHeight w:val="294"/>
        </w:trPr>
        <w:tc>
          <w:tcPr>
            <w:tcW w:w="1770" w:type="pct"/>
            <w:noWrap/>
            <w:hideMark/>
          </w:tcPr>
          <w:p w14:paraId="6C9E30E8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Pmsf-arm Baseline</w:t>
            </w:r>
          </w:p>
        </w:tc>
        <w:tc>
          <w:tcPr>
            <w:tcW w:w="644" w:type="pct"/>
            <w:noWrap/>
            <w:hideMark/>
          </w:tcPr>
          <w:p w14:paraId="0BC73696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-0.35</w:t>
            </w:r>
          </w:p>
        </w:tc>
        <w:tc>
          <w:tcPr>
            <w:tcW w:w="1242" w:type="pct"/>
          </w:tcPr>
          <w:p w14:paraId="7485C72B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(-0.70, 0.00)</w:t>
            </w:r>
          </w:p>
        </w:tc>
        <w:tc>
          <w:tcPr>
            <w:tcW w:w="590" w:type="pct"/>
          </w:tcPr>
          <w:p w14:paraId="4B36C30B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0.18</w:t>
            </w:r>
          </w:p>
        </w:tc>
        <w:tc>
          <w:tcPr>
            <w:tcW w:w="754" w:type="pct"/>
            <w:noWrap/>
            <w:hideMark/>
          </w:tcPr>
          <w:p w14:paraId="0EE551BE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0.052</w:t>
            </w:r>
          </w:p>
        </w:tc>
      </w:tr>
      <w:tr w:rsidR="005F015E" w:rsidRPr="000C6DC0" w14:paraId="19626831" w14:textId="77777777" w:rsidTr="000921D9">
        <w:trPr>
          <w:trHeight w:val="294"/>
        </w:trPr>
        <w:tc>
          <w:tcPr>
            <w:tcW w:w="1770" w:type="pct"/>
            <w:noWrap/>
            <w:hideMark/>
          </w:tcPr>
          <w:p w14:paraId="05F79856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Volume</w:t>
            </w:r>
          </w:p>
        </w:tc>
        <w:tc>
          <w:tcPr>
            <w:tcW w:w="644" w:type="pct"/>
            <w:noWrap/>
            <w:hideMark/>
          </w:tcPr>
          <w:p w14:paraId="069BCFFF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0.05</w:t>
            </w:r>
          </w:p>
        </w:tc>
        <w:tc>
          <w:tcPr>
            <w:tcW w:w="1242" w:type="pct"/>
          </w:tcPr>
          <w:p w14:paraId="22871852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(0.03, 0.07)</w:t>
            </w:r>
          </w:p>
        </w:tc>
        <w:tc>
          <w:tcPr>
            <w:tcW w:w="590" w:type="pct"/>
          </w:tcPr>
          <w:p w14:paraId="33BCBB7C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0.01</w:t>
            </w:r>
          </w:p>
        </w:tc>
        <w:tc>
          <w:tcPr>
            <w:tcW w:w="754" w:type="pct"/>
            <w:noWrap/>
            <w:hideMark/>
          </w:tcPr>
          <w:p w14:paraId="6A7158A3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&lt;0.001</w:t>
            </w:r>
          </w:p>
        </w:tc>
      </w:tr>
      <w:tr w:rsidR="005F015E" w:rsidRPr="000C6DC0" w14:paraId="5E0545D0" w14:textId="77777777" w:rsidTr="000921D9">
        <w:trPr>
          <w:trHeight w:val="294"/>
        </w:trPr>
        <w:tc>
          <w:tcPr>
            <w:tcW w:w="1770" w:type="pct"/>
            <w:noWrap/>
            <w:hideMark/>
          </w:tcPr>
          <w:p w14:paraId="6F43E6C1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Vasodilators</w:t>
            </w:r>
          </w:p>
        </w:tc>
        <w:tc>
          <w:tcPr>
            <w:tcW w:w="644" w:type="pct"/>
            <w:noWrap/>
            <w:hideMark/>
          </w:tcPr>
          <w:p w14:paraId="1AF87AD8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-3.12</w:t>
            </w:r>
          </w:p>
        </w:tc>
        <w:tc>
          <w:tcPr>
            <w:tcW w:w="1242" w:type="pct"/>
          </w:tcPr>
          <w:p w14:paraId="498D6658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(-7.63, 1.40)</w:t>
            </w:r>
          </w:p>
        </w:tc>
        <w:tc>
          <w:tcPr>
            <w:tcW w:w="590" w:type="pct"/>
          </w:tcPr>
          <w:p w14:paraId="509C0872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2.27</w:t>
            </w:r>
          </w:p>
        </w:tc>
        <w:tc>
          <w:tcPr>
            <w:tcW w:w="754" w:type="pct"/>
            <w:noWrap/>
            <w:hideMark/>
          </w:tcPr>
          <w:p w14:paraId="0CFCEC63" w14:textId="77777777" w:rsidR="005F015E" w:rsidRPr="000C6DC0" w:rsidRDefault="005F015E" w:rsidP="000C6DC0">
            <w:pPr>
              <w:pStyle w:val="NoSpacing"/>
              <w:rPr>
                <w:color w:val="000000"/>
                <w:sz w:val="22"/>
                <w:lang w:val="en-US" w:eastAsia="en-US"/>
              </w:rPr>
            </w:pPr>
            <w:r w:rsidRPr="000C6DC0">
              <w:rPr>
                <w:color w:val="000000"/>
                <w:sz w:val="22"/>
                <w:lang w:val="en-US" w:eastAsia="en-US"/>
              </w:rPr>
              <w:t>0.174</w:t>
            </w:r>
          </w:p>
        </w:tc>
      </w:tr>
    </w:tbl>
    <w:p w14:paraId="0B543114" w14:textId="33652CA0" w:rsidR="005F015E" w:rsidRPr="002E6C83" w:rsidRDefault="005F015E" w:rsidP="005F015E">
      <w:pPr>
        <w:pStyle w:val="NoSpacing"/>
      </w:pPr>
      <w:r>
        <w:t>CI confidenc</w:t>
      </w:r>
      <w:r w:rsidR="000C6DC0">
        <w:t>e interval; S.E. standard error;</w:t>
      </w:r>
      <w:r>
        <w:t xml:space="preserve"> Volume corresponds to the absolute volume (mL). The constant represents the mean change of Pmsf-arm (%) for the mean Pmsf-arm at baseline (23.58 mmHg) and the mean volume (213.5 mL) and in the non-vasodilators group. The coefficient (B) for Pmsf-arm Baseline represent</w:t>
      </w:r>
      <w:r w:rsidR="000C6DC0">
        <w:t>s</w:t>
      </w:r>
      <w:r>
        <w:t xml:space="preserve"> the estimated change in </w:t>
      </w:r>
      <w:r>
        <w:rPr>
          <w:rFonts w:ascii="Arial" w:hAnsi="Arial" w:cs="Arial"/>
        </w:rPr>
        <w:t>∆</w:t>
      </w:r>
      <w:r>
        <w:t xml:space="preserve">Pmsf-arm (%) per unit of increase of Pmsf-arm at baseline, and similar meaning for the coefficient of Volume. The coefficient of vasodilators represents the estimated change in </w:t>
      </w:r>
      <w:r>
        <w:rPr>
          <w:rFonts w:ascii="Arial" w:hAnsi="Arial" w:cs="Arial"/>
        </w:rPr>
        <w:t>∆</w:t>
      </w:r>
      <w:r>
        <w:t>Pmsf-arm with the concomitant use of vasodilators.</w:t>
      </w:r>
    </w:p>
    <w:p w14:paraId="37EB910D" w14:textId="77777777" w:rsidR="009044AE" w:rsidRDefault="009044AE"/>
    <w:sectPr w:rsidR="00904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5E"/>
    <w:rsid w:val="000C6DC0"/>
    <w:rsid w:val="00213547"/>
    <w:rsid w:val="004C74D3"/>
    <w:rsid w:val="005F015E"/>
    <w:rsid w:val="009044AE"/>
    <w:rsid w:val="00D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6ABCD"/>
  <w15:docId w15:val="{F7CBA3FB-9486-4CE4-B28E-8EE2E1C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5E"/>
    <w:pPr>
      <w:spacing w:before="120" w:after="120" w:line="480" w:lineRule="auto"/>
      <w:ind w:firstLine="357"/>
    </w:pPr>
    <w:rPr>
      <w:rFonts w:ascii="Times" w:eastAsiaTheme="minorEastAsia" w:hAnsi="Times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F015E"/>
    <w:pPr>
      <w:spacing w:after="0" w:line="240" w:lineRule="auto"/>
      <w:ind w:firstLine="0"/>
    </w:pPr>
  </w:style>
  <w:style w:type="table" w:styleId="LightShading">
    <w:name w:val="Light Shading"/>
    <w:basedOn w:val="TableNormal"/>
    <w:uiPriority w:val="60"/>
    <w:rsid w:val="005F015E"/>
    <w:pPr>
      <w:spacing w:after="0" w:line="240" w:lineRule="auto"/>
      <w:ind w:firstLine="360"/>
    </w:pPr>
    <w:rPr>
      <w:rFonts w:eastAsiaTheme="minorEastAsia"/>
      <w:color w:val="000000" w:themeColor="text1" w:themeShade="BF"/>
      <w:lang w:val="es-ES_tradnl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Healthcare NHS Trust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hollma00</dc:creator>
  <cp:keywords/>
  <dc:description/>
  <cp:lastModifiedBy>Jennifer Smith</cp:lastModifiedBy>
  <cp:revision>2</cp:revision>
  <dcterms:created xsi:type="dcterms:W3CDTF">2016-11-03T14:06:00Z</dcterms:created>
  <dcterms:modified xsi:type="dcterms:W3CDTF">2016-11-03T14:06:00Z</dcterms:modified>
</cp:coreProperties>
</file>