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D0C8" w14:textId="4FAFAAA0" w:rsidR="00767386" w:rsidRDefault="003859ED" w:rsidP="003C0EB4">
      <w:pPr>
        <w:pStyle w:val="NoSpacing"/>
      </w:pPr>
      <w:bookmarkStart w:id="0" w:name="_GoBack"/>
      <w:bookmarkEnd w:id="0"/>
      <w:r>
        <w:t>Table 2</w:t>
      </w:r>
      <w:r w:rsidR="003C0EB4" w:rsidRPr="00FC4F26">
        <w:t xml:space="preserve"> </w:t>
      </w:r>
      <w:r w:rsidR="003C0EB4">
        <w:t>Estimated c</w:t>
      </w:r>
      <w:r w:rsidR="003C0EB4" w:rsidRPr="00FC4F26">
        <w:t xml:space="preserve">hanges in </w:t>
      </w:r>
      <w:proofErr w:type="spellStart"/>
      <w:r w:rsidR="003C0EB4" w:rsidRPr="00FC4F26">
        <w:t>haemodynamics</w:t>
      </w:r>
      <w:proofErr w:type="spellEnd"/>
      <w:r w:rsidR="003C0EB4" w:rsidRPr="00FC4F26">
        <w:t xml:space="preserve"> </w:t>
      </w:r>
      <w:r w:rsidR="00FC27B1">
        <w:t>with 95% confidence intervals,</w:t>
      </w:r>
      <w:r w:rsidR="003C0EB4" w:rsidRPr="00FC4F26">
        <w:t xml:space="preserve"> </w:t>
      </w:r>
      <w:r w:rsidR="003C0EB4">
        <w:t xml:space="preserve">by </w:t>
      </w:r>
      <w:r w:rsidR="003C0EB4" w:rsidRPr="00FC4F26">
        <w:t>dose of fluids and the cardiac output response</w:t>
      </w:r>
      <w:r w:rsidR="003C0EB4">
        <w:t xml:space="preserve"> group and</w:t>
      </w:r>
      <w:r w:rsidR="003C0EB4" w:rsidRPr="00DB2C2E">
        <w:t xml:space="preserve"> </w:t>
      </w:r>
      <w:r w:rsidR="003C0EB4" w:rsidRPr="00FC4F26">
        <w:t xml:space="preserve">adjusted by the </w:t>
      </w:r>
      <w:r w:rsidR="003C0EB4">
        <w:t xml:space="preserve">corresponding </w:t>
      </w:r>
      <w:r w:rsidR="003C0EB4" w:rsidRPr="00FC4F26">
        <w:t>baseline</w:t>
      </w:r>
      <w:r w:rsidR="003C0EB4">
        <w:t xml:space="preserve"> variables.</w:t>
      </w:r>
    </w:p>
    <w:tbl>
      <w:tblPr>
        <w:tblStyle w:val="LightShading"/>
        <w:tblW w:w="5000" w:type="pct"/>
        <w:tblLook w:val="0620" w:firstRow="1" w:lastRow="0" w:firstColumn="0" w:lastColumn="0" w:noHBand="1" w:noVBand="1"/>
      </w:tblPr>
      <w:tblGrid>
        <w:gridCol w:w="2131"/>
        <w:gridCol w:w="2129"/>
        <w:gridCol w:w="2129"/>
        <w:gridCol w:w="2127"/>
      </w:tblGrid>
      <w:tr w:rsidR="003C0EB4" w:rsidRPr="00FC4F26" w14:paraId="52B9D9A9" w14:textId="77777777" w:rsidTr="008551B6">
        <w:trPr>
          <w:cnfStyle w:val="100000000000" w:firstRow="1" w:lastRow="0" w:firstColumn="0" w:lastColumn="0" w:oddVBand="0" w:evenVBand="0" w:oddHBand="0" w:evenHBand="0" w:firstRowFirstColumn="0" w:firstRowLastColumn="0" w:lastRowFirstColumn="0" w:lastRowLastColumn="0"/>
        </w:trPr>
        <w:tc>
          <w:tcPr>
            <w:tcW w:w="1251" w:type="pct"/>
            <w:tcBorders>
              <w:bottom w:val="single" w:sz="4" w:space="0" w:color="auto"/>
            </w:tcBorders>
          </w:tcPr>
          <w:p w14:paraId="6E0D89AE" w14:textId="77777777" w:rsidR="003C0EB4" w:rsidRPr="00FC4F26" w:rsidRDefault="003C0EB4" w:rsidP="008551B6">
            <w:pPr>
              <w:pStyle w:val="NoSpacing"/>
              <w:rPr>
                <w:szCs w:val="20"/>
              </w:rPr>
            </w:pPr>
            <w:r>
              <w:rPr>
                <w:szCs w:val="20"/>
              </w:rPr>
              <w:sym w:font="Symbol" w:char="F044"/>
            </w:r>
            <w:r>
              <w:rPr>
                <w:szCs w:val="20"/>
              </w:rPr>
              <w:t xml:space="preserve"> Pmsf-arm</w:t>
            </w:r>
          </w:p>
        </w:tc>
        <w:tc>
          <w:tcPr>
            <w:tcW w:w="1250" w:type="pct"/>
            <w:tcBorders>
              <w:bottom w:val="single" w:sz="4" w:space="0" w:color="auto"/>
            </w:tcBorders>
          </w:tcPr>
          <w:p w14:paraId="1867D053" w14:textId="77777777" w:rsidR="003C0EB4" w:rsidRPr="00FC4F26" w:rsidRDefault="003C0EB4" w:rsidP="008551B6">
            <w:pPr>
              <w:pStyle w:val="NoSpacing"/>
              <w:jc w:val="center"/>
              <w:rPr>
                <w:szCs w:val="20"/>
              </w:rPr>
            </w:pPr>
            <w:r w:rsidRPr="00FC4F26">
              <w:rPr>
                <w:szCs w:val="20"/>
              </w:rPr>
              <w:t>B</w:t>
            </w:r>
          </w:p>
        </w:tc>
        <w:tc>
          <w:tcPr>
            <w:tcW w:w="1250" w:type="pct"/>
            <w:tcBorders>
              <w:bottom w:val="single" w:sz="4" w:space="0" w:color="auto"/>
            </w:tcBorders>
          </w:tcPr>
          <w:p w14:paraId="61AFBA38" w14:textId="77777777" w:rsidR="003C0EB4" w:rsidRPr="00FC4F26" w:rsidRDefault="003C0EB4" w:rsidP="008551B6">
            <w:pPr>
              <w:pStyle w:val="NoSpacing"/>
              <w:jc w:val="center"/>
              <w:rPr>
                <w:szCs w:val="20"/>
              </w:rPr>
            </w:pPr>
            <w:r w:rsidRPr="00FC4F26">
              <w:rPr>
                <w:szCs w:val="20"/>
              </w:rPr>
              <w:t>95% CI.</w:t>
            </w:r>
          </w:p>
        </w:tc>
        <w:tc>
          <w:tcPr>
            <w:tcW w:w="1249" w:type="pct"/>
            <w:tcBorders>
              <w:bottom w:val="single" w:sz="4" w:space="0" w:color="auto"/>
            </w:tcBorders>
          </w:tcPr>
          <w:p w14:paraId="2D87EDC8" w14:textId="77777777" w:rsidR="003C0EB4" w:rsidRPr="00FC4F26" w:rsidRDefault="003C0EB4" w:rsidP="008551B6">
            <w:pPr>
              <w:pStyle w:val="NoSpacing"/>
              <w:jc w:val="center"/>
              <w:rPr>
                <w:i/>
                <w:szCs w:val="20"/>
              </w:rPr>
            </w:pPr>
            <w:r w:rsidRPr="00FC4F26">
              <w:rPr>
                <w:i/>
                <w:szCs w:val="20"/>
              </w:rPr>
              <w:t>p</w:t>
            </w:r>
          </w:p>
        </w:tc>
      </w:tr>
      <w:tr w:rsidR="003C0EB4" w:rsidRPr="00FC4F26" w14:paraId="7CAC09D8" w14:textId="77777777" w:rsidTr="008551B6">
        <w:tc>
          <w:tcPr>
            <w:tcW w:w="1251" w:type="pct"/>
            <w:tcBorders>
              <w:top w:val="single" w:sz="4" w:space="0" w:color="auto"/>
              <w:bottom w:val="nil"/>
            </w:tcBorders>
            <w:vAlign w:val="bottom"/>
          </w:tcPr>
          <w:p w14:paraId="3EE01797" w14:textId="77777777" w:rsidR="003C0EB4" w:rsidRPr="00D807C8" w:rsidRDefault="003C0EB4" w:rsidP="008551B6">
            <w:pPr>
              <w:pStyle w:val="NoSpacing"/>
            </w:pPr>
            <w:r w:rsidRPr="00D807C8">
              <w:t>Constant</w:t>
            </w:r>
          </w:p>
        </w:tc>
        <w:tc>
          <w:tcPr>
            <w:tcW w:w="1250" w:type="pct"/>
            <w:tcBorders>
              <w:top w:val="single" w:sz="4" w:space="0" w:color="auto"/>
              <w:bottom w:val="nil"/>
            </w:tcBorders>
          </w:tcPr>
          <w:p w14:paraId="35F5C49D" w14:textId="77777777" w:rsidR="003C0EB4" w:rsidRPr="00FC4F26" w:rsidRDefault="003C0EB4" w:rsidP="008551B6">
            <w:pPr>
              <w:pStyle w:val="NoSpacing"/>
              <w:jc w:val="center"/>
              <w:rPr>
                <w:szCs w:val="20"/>
              </w:rPr>
            </w:pPr>
            <w:r>
              <w:rPr>
                <w:szCs w:val="20"/>
              </w:rPr>
              <w:t>0.51</w:t>
            </w:r>
          </w:p>
        </w:tc>
        <w:tc>
          <w:tcPr>
            <w:tcW w:w="1250" w:type="pct"/>
            <w:tcBorders>
              <w:top w:val="single" w:sz="4" w:space="0" w:color="auto"/>
              <w:bottom w:val="nil"/>
            </w:tcBorders>
          </w:tcPr>
          <w:p w14:paraId="30847CD3" w14:textId="77777777" w:rsidR="003C0EB4" w:rsidRPr="00FC4F26" w:rsidRDefault="003C0EB4" w:rsidP="008551B6">
            <w:pPr>
              <w:pStyle w:val="NoSpacing"/>
              <w:jc w:val="center"/>
              <w:rPr>
                <w:szCs w:val="20"/>
              </w:rPr>
            </w:pPr>
            <w:r>
              <w:rPr>
                <w:szCs w:val="20"/>
              </w:rPr>
              <w:t>(-0.63, 1.64</w:t>
            </w:r>
            <w:r w:rsidRPr="00FC4F26">
              <w:rPr>
                <w:szCs w:val="20"/>
              </w:rPr>
              <w:t>)</w:t>
            </w:r>
          </w:p>
        </w:tc>
        <w:tc>
          <w:tcPr>
            <w:tcW w:w="1249" w:type="pct"/>
            <w:tcBorders>
              <w:top w:val="single" w:sz="4" w:space="0" w:color="auto"/>
              <w:bottom w:val="nil"/>
            </w:tcBorders>
          </w:tcPr>
          <w:p w14:paraId="65B5708F" w14:textId="77777777" w:rsidR="003C0EB4" w:rsidRPr="00FC4F26" w:rsidRDefault="003C0EB4" w:rsidP="008551B6">
            <w:pPr>
              <w:pStyle w:val="NoSpacing"/>
              <w:jc w:val="center"/>
              <w:rPr>
                <w:szCs w:val="20"/>
              </w:rPr>
            </w:pPr>
            <w:r>
              <w:rPr>
                <w:szCs w:val="20"/>
              </w:rPr>
              <w:t>0.38</w:t>
            </w:r>
          </w:p>
        </w:tc>
      </w:tr>
      <w:tr w:rsidR="003C0EB4" w:rsidRPr="00FC4F26" w14:paraId="61AC69B5" w14:textId="77777777" w:rsidTr="008551B6">
        <w:tc>
          <w:tcPr>
            <w:tcW w:w="1251" w:type="pct"/>
            <w:tcBorders>
              <w:top w:val="nil"/>
              <w:bottom w:val="nil"/>
            </w:tcBorders>
            <w:vAlign w:val="bottom"/>
          </w:tcPr>
          <w:p w14:paraId="6F0292E2" w14:textId="77777777" w:rsidR="003C0EB4" w:rsidRPr="00D807C8" w:rsidRDefault="003C0EB4" w:rsidP="008551B6">
            <w:pPr>
              <w:pStyle w:val="NoSpacing"/>
            </w:pPr>
            <w:r w:rsidRPr="00D807C8">
              <w:t>Pmsf</w:t>
            </w:r>
            <w:r>
              <w:t>-arm baseline</w:t>
            </w:r>
          </w:p>
        </w:tc>
        <w:tc>
          <w:tcPr>
            <w:tcW w:w="1250" w:type="pct"/>
            <w:tcBorders>
              <w:top w:val="nil"/>
              <w:bottom w:val="nil"/>
            </w:tcBorders>
          </w:tcPr>
          <w:p w14:paraId="50C9EC33" w14:textId="77777777" w:rsidR="003C0EB4" w:rsidRPr="00FC4F26" w:rsidRDefault="003C0EB4" w:rsidP="008551B6">
            <w:pPr>
              <w:pStyle w:val="NoSpacing"/>
              <w:jc w:val="center"/>
              <w:rPr>
                <w:szCs w:val="20"/>
              </w:rPr>
            </w:pPr>
            <w:r>
              <w:rPr>
                <w:szCs w:val="20"/>
              </w:rPr>
              <w:t>-0.06</w:t>
            </w:r>
          </w:p>
        </w:tc>
        <w:tc>
          <w:tcPr>
            <w:tcW w:w="1250" w:type="pct"/>
            <w:tcBorders>
              <w:top w:val="nil"/>
              <w:bottom w:val="nil"/>
            </w:tcBorders>
          </w:tcPr>
          <w:p w14:paraId="6D77435B" w14:textId="77777777" w:rsidR="003C0EB4" w:rsidRPr="00FC4F26" w:rsidRDefault="003C0EB4" w:rsidP="008551B6">
            <w:pPr>
              <w:pStyle w:val="NoSpacing"/>
              <w:jc w:val="center"/>
              <w:rPr>
                <w:szCs w:val="20"/>
              </w:rPr>
            </w:pPr>
            <w:r>
              <w:rPr>
                <w:szCs w:val="20"/>
              </w:rPr>
              <w:t>(-0.15, 0.03</w:t>
            </w:r>
            <w:r w:rsidRPr="00FC4F26">
              <w:rPr>
                <w:szCs w:val="20"/>
              </w:rPr>
              <w:t>)</w:t>
            </w:r>
          </w:p>
        </w:tc>
        <w:tc>
          <w:tcPr>
            <w:tcW w:w="1249" w:type="pct"/>
            <w:tcBorders>
              <w:top w:val="nil"/>
              <w:bottom w:val="nil"/>
            </w:tcBorders>
          </w:tcPr>
          <w:p w14:paraId="135FEA4E" w14:textId="77777777" w:rsidR="003C0EB4" w:rsidRPr="00FC4F26" w:rsidRDefault="003C0EB4" w:rsidP="008551B6">
            <w:pPr>
              <w:pStyle w:val="NoSpacing"/>
              <w:jc w:val="center"/>
              <w:rPr>
                <w:szCs w:val="20"/>
              </w:rPr>
            </w:pPr>
            <w:r>
              <w:rPr>
                <w:szCs w:val="20"/>
              </w:rPr>
              <w:t>0.20</w:t>
            </w:r>
          </w:p>
        </w:tc>
      </w:tr>
      <w:tr w:rsidR="003C0EB4" w:rsidRPr="00FC4F26" w14:paraId="1CE08DB4" w14:textId="77777777" w:rsidTr="008551B6">
        <w:tc>
          <w:tcPr>
            <w:tcW w:w="1251" w:type="pct"/>
            <w:tcBorders>
              <w:top w:val="nil"/>
            </w:tcBorders>
            <w:vAlign w:val="bottom"/>
          </w:tcPr>
          <w:p w14:paraId="2E602783" w14:textId="77777777" w:rsidR="003C0EB4" w:rsidRPr="00D807C8" w:rsidRDefault="003C0EB4" w:rsidP="008551B6">
            <w:pPr>
              <w:pStyle w:val="NoSpacing"/>
            </w:pPr>
            <w:r>
              <w:t xml:space="preserve">Dose </w:t>
            </w:r>
            <w:r w:rsidRPr="00D807C8">
              <w:t>2 vs 1</w:t>
            </w:r>
            <w:r>
              <w:t xml:space="preserve"> mL/Kg</w:t>
            </w:r>
          </w:p>
        </w:tc>
        <w:tc>
          <w:tcPr>
            <w:tcW w:w="1250" w:type="pct"/>
            <w:tcBorders>
              <w:top w:val="nil"/>
            </w:tcBorders>
          </w:tcPr>
          <w:p w14:paraId="39D88F80" w14:textId="77777777" w:rsidR="003C0EB4" w:rsidRPr="00FC4F26" w:rsidRDefault="003C0EB4" w:rsidP="008551B6">
            <w:pPr>
              <w:pStyle w:val="NoSpacing"/>
              <w:jc w:val="center"/>
              <w:rPr>
                <w:szCs w:val="20"/>
              </w:rPr>
            </w:pPr>
            <w:r>
              <w:rPr>
                <w:szCs w:val="20"/>
              </w:rPr>
              <w:t>2.21</w:t>
            </w:r>
          </w:p>
        </w:tc>
        <w:tc>
          <w:tcPr>
            <w:tcW w:w="1250" w:type="pct"/>
            <w:tcBorders>
              <w:top w:val="nil"/>
            </w:tcBorders>
          </w:tcPr>
          <w:p w14:paraId="44060335" w14:textId="77777777" w:rsidR="003C0EB4" w:rsidRPr="00FC4F26" w:rsidRDefault="003C0EB4" w:rsidP="008551B6">
            <w:pPr>
              <w:pStyle w:val="NoSpacing"/>
              <w:jc w:val="center"/>
              <w:rPr>
                <w:szCs w:val="20"/>
              </w:rPr>
            </w:pPr>
            <w:r>
              <w:rPr>
                <w:szCs w:val="20"/>
              </w:rPr>
              <w:t>(0.63, 3.79</w:t>
            </w:r>
            <w:r w:rsidRPr="00FC4F26">
              <w:rPr>
                <w:szCs w:val="20"/>
              </w:rPr>
              <w:t>)</w:t>
            </w:r>
          </w:p>
        </w:tc>
        <w:tc>
          <w:tcPr>
            <w:tcW w:w="1249" w:type="pct"/>
            <w:tcBorders>
              <w:top w:val="nil"/>
            </w:tcBorders>
          </w:tcPr>
          <w:p w14:paraId="35B5DCB3" w14:textId="77777777" w:rsidR="003C0EB4" w:rsidRPr="00FC4F26" w:rsidRDefault="003C0EB4" w:rsidP="008551B6">
            <w:pPr>
              <w:pStyle w:val="NoSpacing"/>
              <w:jc w:val="center"/>
              <w:rPr>
                <w:szCs w:val="20"/>
              </w:rPr>
            </w:pPr>
            <w:r>
              <w:rPr>
                <w:szCs w:val="20"/>
              </w:rPr>
              <w:t>0.007</w:t>
            </w:r>
          </w:p>
        </w:tc>
      </w:tr>
      <w:tr w:rsidR="003C0EB4" w:rsidRPr="00FC4F26" w14:paraId="2AEB9178" w14:textId="77777777" w:rsidTr="008551B6">
        <w:tc>
          <w:tcPr>
            <w:tcW w:w="1251" w:type="pct"/>
            <w:vAlign w:val="bottom"/>
          </w:tcPr>
          <w:p w14:paraId="6DA90196" w14:textId="77777777" w:rsidR="003C0EB4" w:rsidRPr="00D807C8" w:rsidRDefault="003C0EB4" w:rsidP="008551B6">
            <w:pPr>
              <w:pStyle w:val="NoSpacing"/>
            </w:pPr>
            <w:r>
              <w:t xml:space="preserve">Dose </w:t>
            </w:r>
            <w:r w:rsidRPr="00D807C8">
              <w:t>3 vs 1</w:t>
            </w:r>
            <w:r>
              <w:t xml:space="preserve"> mL/Kg</w:t>
            </w:r>
          </w:p>
        </w:tc>
        <w:tc>
          <w:tcPr>
            <w:tcW w:w="1250" w:type="pct"/>
          </w:tcPr>
          <w:p w14:paraId="07AED779" w14:textId="77777777" w:rsidR="003C0EB4" w:rsidRPr="00FC4F26" w:rsidRDefault="003C0EB4" w:rsidP="008551B6">
            <w:pPr>
              <w:pStyle w:val="NoSpacing"/>
              <w:jc w:val="center"/>
              <w:rPr>
                <w:szCs w:val="20"/>
              </w:rPr>
            </w:pPr>
            <w:r>
              <w:rPr>
                <w:szCs w:val="20"/>
              </w:rPr>
              <w:t>2.12</w:t>
            </w:r>
          </w:p>
        </w:tc>
        <w:tc>
          <w:tcPr>
            <w:tcW w:w="1250" w:type="pct"/>
          </w:tcPr>
          <w:p w14:paraId="598CF9B9" w14:textId="77777777" w:rsidR="003C0EB4" w:rsidRPr="00FC4F26" w:rsidRDefault="003C0EB4" w:rsidP="008551B6">
            <w:pPr>
              <w:pStyle w:val="NoSpacing"/>
              <w:jc w:val="center"/>
              <w:rPr>
                <w:szCs w:val="20"/>
              </w:rPr>
            </w:pPr>
            <w:r>
              <w:rPr>
                <w:szCs w:val="20"/>
              </w:rPr>
              <w:t>(0.52, 3.71</w:t>
            </w:r>
            <w:r w:rsidRPr="00FC4F26">
              <w:rPr>
                <w:szCs w:val="20"/>
              </w:rPr>
              <w:t>)</w:t>
            </w:r>
          </w:p>
        </w:tc>
        <w:tc>
          <w:tcPr>
            <w:tcW w:w="1249" w:type="pct"/>
          </w:tcPr>
          <w:p w14:paraId="105513F6" w14:textId="77777777" w:rsidR="003C0EB4" w:rsidRPr="00FC4F26" w:rsidRDefault="003C0EB4" w:rsidP="008551B6">
            <w:pPr>
              <w:pStyle w:val="NoSpacing"/>
              <w:jc w:val="center"/>
              <w:rPr>
                <w:szCs w:val="20"/>
              </w:rPr>
            </w:pPr>
            <w:r>
              <w:rPr>
                <w:szCs w:val="20"/>
              </w:rPr>
              <w:t>0.01</w:t>
            </w:r>
          </w:p>
        </w:tc>
      </w:tr>
      <w:tr w:rsidR="003C0EB4" w:rsidRPr="00FC4F26" w14:paraId="0AC9EA0E" w14:textId="77777777" w:rsidTr="008551B6">
        <w:tc>
          <w:tcPr>
            <w:tcW w:w="1251" w:type="pct"/>
            <w:vAlign w:val="bottom"/>
          </w:tcPr>
          <w:p w14:paraId="2A387EEA" w14:textId="77777777" w:rsidR="003C0EB4" w:rsidRPr="00D807C8" w:rsidRDefault="003C0EB4" w:rsidP="008551B6">
            <w:pPr>
              <w:pStyle w:val="NoSpacing"/>
            </w:pPr>
            <w:r>
              <w:t xml:space="preserve">Dose </w:t>
            </w:r>
            <w:r w:rsidRPr="00D807C8">
              <w:t>4 vs 1</w:t>
            </w:r>
            <w:r>
              <w:t xml:space="preserve"> mL/Kg</w:t>
            </w:r>
          </w:p>
        </w:tc>
        <w:tc>
          <w:tcPr>
            <w:tcW w:w="1250" w:type="pct"/>
          </w:tcPr>
          <w:p w14:paraId="54699413" w14:textId="77777777" w:rsidR="003C0EB4" w:rsidRPr="00FC4F26" w:rsidRDefault="003C0EB4" w:rsidP="008551B6">
            <w:pPr>
              <w:pStyle w:val="NoSpacing"/>
              <w:jc w:val="center"/>
              <w:rPr>
                <w:szCs w:val="20"/>
              </w:rPr>
            </w:pPr>
            <w:r>
              <w:rPr>
                <w:szCs w:val="20"/>
              </w:rPr>
              <w:t>2.12</w:t>
            </w:r>
          </w:p>
        </w:tc>
        <w:tc>
          <w:tcPr>
            <w:tcW w:w="1250" w:type="pct"/>
          </w:tcPr>
          <w:p w14:paraId="7162782A" w14:textId="77777777" w:rsidR="003C0EB4" w:rsidRPr="00FC4F26" w:rsidRDefault="003C0EB4" w:rsidP="008551B6">
            <w:pPr>
              <w:pStyle w:val="NoSpacing"/>
              <w:jc w:val="center"/>
              <w:rPr>
                <w:szCs w:val="20"/>
              </w:rPr>
            </w:pPr>
            <w:r>
              <w:rPr>
                <w:szCs w:val="20"/>
              </w:rPr>
              <w:t>(2.15, 5.52</w:t>
            </w:r>
            <w:r w:rsidRPr="00FC4F26">
              <w:rPr>
                <w:szCs w:val="20"/>
              </w:rPr>
              <w:t>)</w:t>
            </w:r>
          </w:p>
        </w:tc>
        <w:tc>
          <w:tcPr>
            <w:tcW w:w="1249" w:type="pct"/>
          </w:tcPr>
          <w:p w14:paraId="69A8C63C" w14:textId="77777777" w:rsidR="003C0EB4" w:rsidRPr="00FC4F26" w:rsidRDefault="003C0EB4" w:rsidP="008551B6">
            <w:pPr>
              <w:pStyle w:val="NoSpacing"/>
              <w:jc w:val="center"/>
              <w:rPr>
                <w:szCs w:val="20"/>
              </w:rPr>
            </w:pPr>
            <w:r w:rsidRPr="00FC4F26">
              <w:rPr>
                <w:szCs w:val="20"/>
              </w:rPr>
              <w:t>&lt;0.0</w:t>
            </w:r>
            <w:r>
              <w:rPr>
                <w:szCs w:val="20"/>
              </w:rPr>
              <w:t>0</w:t>
            </w:r>
            <w:r w:rsidRPr="00FC4F26">
              <w:rPr>
                <w:szCs w:val="20"/>
              </w:rPr>
              <w:t>1</w:t>
            </w:r>
          </w:p>
        </w:tc>
      </w:tr>
      <w:tr w:rsidR="003C0EB4" w:rsidRPr="00FC4F26" w14:paraId="1F7F0F7B" w14:textId="77777777" w:rsidTr="008551B6">
        <w:tc>
          <w:tcPr>
            <w:tcW w:w="1251" w:type="pct"/>
            <w:vAlign w:val="bottom"/>
          </w:tcPr>
          <w:p w14:paraId="7F24D108" w14:textId="1A6B9E10" w:rsidR="003C0EB4" w:rsidRPr="00D807C8" w:rsidRDefault="003C0EB4" w:rsidP="008551B6">
            <w:pPr>
              <w:pStyle w:val="NoSpacing"/>
            </w:pPr>
            <w:r w:rsidRPr="00D807C8">
              <w:t>Respon</w:t>
            </w:r>
            <w:r w:rsidR="00FC27B1">
              <w:t>ders</w:t>
            </w:r>
          </w:p>
        </w:tc>
        <w:tc>
          <w:tcPr>
            <w:tcW w:w="1250" w:type="pct"/>
          </w:tcPr>
          <w:p w14:paraId="427417B7" w14:textId="77777777" w:rsidR="003C0EB4" w:rsidRPr="00FC4F26" w:rsidRDefault="003C0EB4" w:rsidP="008551B6">
            <w:pPr>
              <w:pStyle w:val="NoSpacing"/>
              <w:jc w:val="center"/>
              <w:rPr>
                <w:szCs w:val="20"/>
              </w:rPr>
            </w:pPr>
            <w:r>
              <w:rPr>
                <w:szCs w:val="20"/>
              </w:rPr>
              <w:t>-0.14</w:t>
            </w:r>
          </w:p>
        </w:tc>
        <w:tc>
          <w:tcPr>
            <w:tcW w:w="1250" w:type="pct"/>
          </w:tcPr>
          <w:p w14:paraId="7ABEB266" w14:textId="77777777" w:rsidR="003C0EB4" w:rsidRPr="00FC4F26" w:rsidRDefault="003C0EB4" w:rsidP="008551B6">
            <w:pPr>
              <w:pStyle w:val="NoSpacing"/>
              <w:jc w:val="center"/>
              <w:rPr>
                <w:szCs w:val="20"/>
              </w:rPr>
            </w:pPr>
            <w:r>
              <w:rPr>
                <w:szCs w:val="20"/>
              </w:rPr>
              <w:t>(-1.33, 1.06</w:t>
            </w:r>
            <w:r w:rsidRPr="00FC4F26">
              <w:rPr>
                <w:szCs w:val="20"/>
              </w:rPr>
              <w:t>)</w:t>
            </w:r>
          </w:p>
        </w:tc>
        <w:tc>
          <w:tcPr>
            <w:tcW w:w="1249" w:type="pct"/>
          </w:tcPr>
          <w:p w14:paraId="00CEFAFB" w14:textId="77777777" w:rsidR="003C0EB4" w:rsidRPr="00FC4F26" w:rsidRDefault="003C0EB4" w:rsidP="008551B6">
            <w:pPr>
              <w:pStyle w:val="NoSpacing"/>
              <w:jc w:val="center"/>
              <w:rPr>
                <w:szCs w:val="20"/>
              </w:rPr>
            </w:pPr>
            <w:r>
              <w:rPr>
                <w:szCs w:val="20"/>
              </w:rPr>
              <w:t>0.82</w:t>
            </w:r>
          </w:p>
        </w:tc>
      </w:tr>
      <w:tr w:rsidR="003C0EB4" w:rsidRPr="00325162" w14:paraId="66838B8E" w14:textId="77777777" w:rsidTr="008551B6">
        <w:tc>
          <w:tcPr>
            <w:tcW w:w="1251" w:type="pct"/>
            <w:tcBorders>
              <w:top w:val="single" w:sz="4" w:space="0" w:color="auto"/>
              <w:bottom w:val="single" w:sz="4" w:space="0" w:color="auto"/>
            </w:tcBorders>
          </w:tcPr>
          <w:p w14:paraId="6881A02C" w14:textId="77777777" w:rsidR="003C0EB4" w:rsidRPr="00325162" w:rsidRDefault="003C0EB4" w:rsidP="008551B6">
            <w:pPr>
              <w:pStyle w:val="NoSpacing"/>
              <w:rPr>
                <w:b/>
                <w:szCs w:val="20"/>
              </w:rPr>
            </w:pPr>
            <w:r w:rsidRPr="00325162">
              <w:rPr>
                <w:b/>
                <w:szCs w:val="20"/>
              </w:rPr>
              <w:sym w:font="Symbol" w:char="F044"/>
            </w:r>
            <w:r>
              <w:rPr>
                <w:b/>
                <w:szCs w:val="20"/>
              </w:rPr>
              <w:t xml:space="preserve">CO </w:t>
            </w:r>
          </w:p>
        </w:tc>
        <w:tc>
          <w:tcPr>
            <w:tcW w:w="1250" w:type="pct"/>
            <w:tcBorders>
              <w:top w:val="single" w:sz="4" w:space="0" w:color="auto"/>
              <w:bottom w:val="single" w:sz="4" w:space="0" w:color="auto"/>
            </w:tcBorders>
          </w:tcPr>
          <w:p w14:paraId="4FEAB00E" w14:textId="77777777" w:rsidR="003C0EB4" w:rsidRPr="00325162" w:rsidRDefault="003C0EB4" w:rsidP="008551B6">
            <w:pPr>
              <w:pStyle w:val="NoSpacing"/>
              <w:jc w:val="center"/>
              <w:rPr>
                <w:b/>
                <w:szCs w:val="20"/>
              </w:rPr>
            </w:pPr>
          </w:p>
        </w:tc>
        <w:tc>
          <w:tcPr>
            <w:tcW w:w="1250" w:type="pct"/>
            <w:tcBorders>
              <w:top w:val="single" w:sz="4" w:space="0" w:color="auto"/>
              <w:bottom w:val="single" w:sz="4" w:space="0" w:color="auto"/>
            </w:tcBorders>
          </w:tcPr>
          <w:p w14:paraId="7970F92D" w14:textId="77777777" w:rsidR="003C0EB4" w:rsidRPr="00325162" w:rsidRDefault="003C0EB4" w:rsidP="008551B6">
            <w:pPr>
              <w:pStyle w:val="NoSpacing"/>
              <w:jc w:val="center"/>
              <w:rPr>
                <w:b/>
                <w:szCs w:val="20"/>
              </w:rPr>
            </w:pPr>
          </w:p>
        </w:tc>
        <w:tc>
          <w:tcPr>
            <w:tcW w:w="1249" w:type="pct"/>
            <w:tcBorders>
              <w:top w:val="single" w:sz="4" w:space="0" w:color="auto"/>
              <w:bottom w:val="single" w:sz="4" w:space="0" w:color="auto"/>
            </w:tcBorders>
          </w:tcPr>
          <w:p w14:paraId="7E14295B" w14:textId="77777777" w:rsidR="003C0EB4" w:rsidRPr="00325162" w:rsidRDefault="003C0EB4" w:rsidP="008551B6">
            <w:pPr>
              <w:pStyle w:val="NoSpacing"/>
              <w:jc w:val="center"/>
              <w:rPr>
                <w:b/>
                <w:szCs w:val="20"/>
              </w:rPr>
            </w:pPr>
          </w:p>
        </w:tc>
      </w:tr>
      <w:tr w:rsidR="003C0EB4" w:rsidRPr="00FC4F26" w14:paraId="75F0A648" w14:textId="77777777" w:rsidTr="008551B6">
        <w:tc>
          <w:tcPr>
            <w:tcW w:w="1251" w:type="pct"/>
            <w:tcBorders>
              <w:top w:val="single" w:sz="4" w:space="0" w:color="auto"/>
            </w:tcBorders>
          </w:tcPr>
          <w:p w14:paraId="5F8DBE65" w14:textId="77777777" w:rsidR="003C0EB4" w:rsidRPr="00FC4F26" w:rsidRDefault="003C0EB4" w:rsidP="008551B6">
            <w:pPr>
              <w:pStyle w:val="NoSpacing"/>
              <w:rPr>
                <w:szCs w:val="20"/>
              </w:rPr>
            </w:pPr>
            <w:r w:rsidRPr="00FC4F26">
              <w:rPr>
                <w:szCs w:val="20"/>
              </w:rPr>
              <w:t>Constant</w:t>
            </w:r>
          </w:p>
        </w:tc>
        <w:tc>
          <w:tcPr>
            <w:tcW w:w="1250" w:type="pct"/>
            <w:tcBorders>
              <w:top w:val="single" w:sz="4" w:space="0" w:color="auto"/>
            </w:tcBorders>
          </w:tcPr>
          <w:p w14:paraId="5BCE138A" w14:textId="77777777" w:rsidR="003C0EB4" w:rsidRPr="00FC4F26" w:rsidRDefault="003C0EB4" w:rsidP="008551B6">
            <w:pPr>
              <w:pStyle w:val="NoSpacing"/>
              <w:jc w:val="center"/>
              <w:rPr>
                <w:szCs w:val="20"/>
              </w:rPr>
            </w:pPr>
            <w:r w:rsidRPr="00FC4F26">
              <w:rPr>
                <w:szCs w:val="20"/>
              </w:rPr>
              <w:t>0.02</w:t>
            </w:r>
          </w:p>
        </w:tc>
        <w:tc>
          <w:tcPr>
            <w:tcW w:w="1250" w:type="pct"/>
            <w:tcBorders>
              <w:top w:val="single" w:sz="4" w:space="0" w:color="auto"/>
            </w:tcBorders>
          </w:tcPr>
          <w:p w14:paraId="0BD06FBA" w14:textId="77777777" w:rsidR="003C0EB4" w:rsidRPr="00FC4F26" w:rsidRDefault="003C0EB4" w:rsidP="008551B6">
            <w:pPr>
              <w:pStyle w:val="NoSpacing"/>
              <w:jc w:val="center"/>
              <w:rPr>
                <w:szCs w:val="20"/>
              </w:rPr>
            </w:pPr>
            <w:r>
              <w:rPr>
                <w:szCs w:val="20"/>
              </w:rPr>
              <w:t>(-0.42, 0.46</w:t>
            </w:r>
            <w:r w:rsidRPr="00FC4F26">
              <w:rPr>
                <w:szCs w:val="20"/>
              </w:rPr>
              <w:t>)</w:t>
            </w:r>
          </w:p>
        </w:tc>
        <w:tc>
          <w:tcPr>
            <w:tcW w:w="1249" w:type="pct"/>
            <w:tcBorders>
              <w:top w:val="single" w:sz="4" w:space="0" w:color="auto"/>
            </w:tcBorders>
          </w:tcPr>
          <w:p w14:paraId="565AD6D6" w14:textId="77777777" w:rsidR="003C0EB4" w:rsidRPr="00FC4F26" w:rsidRDefault="003C0EB4" w:rsidP="008551B6">
            <w:pPr>
              <w:pStyle w:val="NoSpacing"/>
              <w:jc w:val="center"/>
              <w:rPr>
                <w:szCs w:val="20"/>
              </w:rPr>
            </w:pPr>
            <w:r>
              <w:rPr>
                <w:szCs w:val="20"/>
              </w:rPr>
              <w:t>0.93</w:t>
            </w:r>
          </w:p>
        </w:tc>
      </w:tr>
      <w:tr w:rsidR="003C0EB4" w:rsidRPr="00FC4F26" w14:paraId="76FD8077" w14:textId="77777777" w:rsidTr="008551B6">
        <w:tc>
          <w:tcPr>
            <w:tcW w:w="1251" w:type="pct"/>
          </w:tcPr>
          <w:p w14:paraId="2C28107E" w14:textId="77777777" w:rsidR="003C0EB4" w:rsidRPr="00FC4F26" w:rsidRDefault="003C0EB4" w:rsidP="008551B6">
            <w:pPr>
              <w:pStyle w:val="NoSpacing"/>
              <w:rPr>
                <w:szCs w:val="20"/>
              </w:rPr>
            </w:pPr>
            <w:r w:rsidRPr="00FC4F26">
              <w:rPr>
                <w:szCs w:val="20"/>
              </w:rPr>
              <w:t>CO baseline</w:t>
            </w:r>
          </w:p>
        </w:tc>
        <w:tc>
          <w:tcPr>
            <w:tcW w:w="1250" w:type="pct"/>
          </w:tcPr>
          <w:p w14:paraId="180D80D3" w14:textId="77777777" w:rsidR="003C0EB4" w:rsidRPr="00FC4F26" w:rsidRDefault="003C0EB4" w:rsidP="008551B6">
            <w:pPr>
              <w:pStyle w:val="NoSpacing"/>
              <w:jc w:val="center"/>
              <w:rPr>
                <w:szCs w:val="20"/>
              </w:rPr>
            </w:pPr>
            <w:r>
              <w:rPr>
                <w:szCs w:val="20"/>
              </w:rPr>
              <w:t>0.03</w:t>
            </w:r>
          </w:p>
        </w:tc>
        <w:tc>
          <w:tcPr>
            <w:tcW w:w="1250" w:type="pct"/>
          </w:tcPr>
          <w:p w14:paraId="5913EA54" w14:textId="77777777" w:rsidR="003C0EB4" w:rsidRPr="00FC4F26" w:rsidRDefault="003C0EB4" w:rsidP="008551B6">
            <w:pPr>
              <w:pStyle w:val="NoSpacing"/>
              <w:jc w:val="center"/>
              <w:rPr>
                <w:szCs w:val="20"/>
              </w:rPr>
            </w:pPr>
            <w:r w:rsidRPr="00FC4F26">
              <w:rPr>
                <w:szCs w:val="20"/>
              </w:rPr>
              <w:t>(-0.03, 0.10)</w:t>
            </w:r>
          </w:p>
        </w:tc>
        <w:tc>
          <w:tcPr>
            <w:tcW w:w="1249" w:type="pct"/>
          </w:tcPr>
          <w:p w14:paraId="6C1183E3" w14:textId="77777777" w:rsidR="003C0EB4" w:rsidRPr="00FC4F26" w:rsidRDefault="003C0EB4" w:rsidP="008551B6">
            <w:pPr>
              <w:pStyle w:val="NoSpacing"/>
              <w:jc w:val="center"/>
              <w:rPr>
                <w:szCs w:val="20"/>
              </w:rPr>
            </w:pPr>
            <w:r w:rsidRPr="00FC4F26">
              <w:rPr>
                <w:szCs w:val="20"/>
              </w:rPr>
              <w:t>0.30</w:t>
            </w:r>
          </w:p>
        </w:tc>
      </w:tr>
      <w:tr w:rsidR="003C0EB4" w:rsidRPr="00FC4F26" w14:paraId="46428185" w14:textId="77777777" w:rsidTr="008551B6">
        <w:tc>
          <w:tcPr>
            <w:tcW w:w="1251" w:type="pct"/>
          </w:tcPr>
          <w:p w14:paraId="76364FBC" w14:textId="77777777" w:rsidR="003C0EB4" w:rsidRPr="00FC4F26" w:rsidRDefault="003C0EB4" w:rsidP="008551B6">
            <w:pPr>
              <w:pStyle w:val="NoSpacing"/>
              <w:rPr>
                <w:szCs w:val="20"/>
              </w:rPr>
            </w:pPr>
            <w:r>
              <w:rPr>
                <w:szCs w:val="20"/>
              </w:rPr>
              <w:t xml:space="preserve">Dose </w:t>
            </w:r>
            <w:r w:rsidRPr="00FC4F26">
              <w:rPr>
                <w:szCs w:val="20"/>
              </w:rPr>
              <w:t>2 vs 1 ml/kg</w:t>
            </w:r>
          </w:p>
        </w:tc>
        <w:tc>
          <w:tcPr>
            <w:tcW w:w="1250" w:type="pct"/>
          </w:tcPr>
          <w:p w14:paraId="1C9DDEE7" w14:textId="77777777" w:rsidR="003C0EB4" w:rsidRPr="00FC4F26" w:rsidRDefault="003C0EB4" w:rsidP="008551B6">
            <w:pPr>
              <w:pStyle w:val="NoSpacing"/>
              <w:jc w:val="center"/>
              <w:rPr>
                <w:szCs w:val="20"/>
              </w:rPr>
            </w:pPr>
            <w:r>
              <w:rPr>
                <w:szCs w:val="20"/>
              </w:rPr>
              <w:t>0.22</w:t>
            </w:r>
          </w:p>
        </w:tc>
        <w:tc>
          <w:tcPr>
            <w:tcW w:w="1250" w:type="pct"/>
          </w:tcPr>
          <w:p w14:paraId="6F7D0447" w14:textId="77777777" w:rsidR="003C0EB4" w:rsidRPr="00FC4F26" w:rsidRDefault="003C0EB4" w:rsidP="008551B6">
            <w:pPr>
              <w:pStyle w:val="NoSpacing"/>
              <w:jc w:val="center"/>
              <w:rPr>
                <w:szCs w:val="20"/>
              </w:rPr>
            </w:pPr>
            <w:r>
              <w:rPr>
                <w:szCs w:val="20"/>
              </w:rPr>
              <w:t>(-0.11, 0.55</w:t>
            </w:r>
            <w:r w:rsidRPr="00FC4F26">
              <w:rPr>
                <w:szCs w:val="20"/>
              </w:rPr>
              <w:t>)</w:t>
            </w:r>
          </w:p>
        </w:tc>
        <w:tc>
          <w:tcPr>
            <w:tcW w:w="1249" w:type="pct"/>
          </w:tcPr>
          <w:p w14:paraId="2A1A191F" w14:textId="77777777" w:rsidR="003C0EB4" w:rsidRPr="00FC4F26" w:rsidRDefault="003C0EB4" w:rsidP="008551B6">
            <w:pPr>
              <w:pStyle w:val="NoSpacing"/>
              <w:jc w:val="center"/>
              <w:rPr>
                <w:szCs w:val="20"/>
              </w:rPr>
            </w:pPr>
            <w:r>
              <w:rPr>
                <w:szCs w:val="20"/>
              </w:rPr>
              <w:t>0.18</w:t>
            </w:r>
          </w:p>
        </w:tc>
      </w:tr>
      <w:tr w:rsidR="003C0EB4" w:rsidRPr="00FC4F26" w14:paraId="7015247D" w14:textId="77777777" w:rsidTr="008551B6">
        <w:tc>
          <w:tcPr>
            <w:tcW w:w="1251" w:type="pct"/>
          </w:tcPr>
          <w:p w14:paraId="006F9B32" w14:textId="77777777" w:rsidR="003C0EB4" w:rsidRPr="00FC4F26" w:rsidRDefault="003C0EB4" w:rsidP="008551B6">
            <w:pPr>
              <w:pStyle w:val="NoSpacing"/>
              <w:rPr>
                <w:szCs w:val="20"/>
              </w:rPr>
            </w:pPr>
            <w:r>
              <w:rPr>
                <w:szCs w:val="20"/>
              </w:rPr>
              <w:t xml:space="preserve">Dose </w:t>
            </w:r>
            <w:r w:rsidRPr="00FC4F26">
              <w:rPr>
                <w:szCs w:val="20"/>
              </w:rPr>
              <w:t>3 vs 1 ml/kg</w:t>
            </w:r>
          </w:p>
        </w:tc>
        <w:tc>
          <w:tcPr>
            <w:tcW w:w="1250" w:type="pct"/>
          </w:tcPr>
          <w:p w14:paraId="54A17267" w14:textId="77777777" w:rsidR="003C0EB4" w:rsidRPr="00FC4F26" w:rsidRDefault="003C0EB4" w:rsidP="008551B6">
            <w:pPr>
              <w:pStyle w:val="NoSpacing"/>
              <w:jc w:val="center"/>
              <w:rPr>
                <w:szCs w:val="20"/>
              </w:rPr>
            </w:pPr>
            <w:r>
              <w:rPr>
                <w:szCs w:val="20"/>
              </w:rPr>
              <w:t>0.22</w:t>
            </w:r>
          </w:p>
        </w:tc>
        <w:tc>
          <w:tcPr>
            <w:tcW w:w="1250" w:type="pct"/>
          </w:tcPr>
          <w:p w14:paraId="50AEBDD3" w14:textId="77777777" w:rsidR="003C0EB4" w:rsidRPr="00FC4F26" w:rsidRDefault="003C0EB4" w:rsidP="008551B6">
            <w:pPr>
              <w:pStyle w:val="NoSpacing"/>
              <w:jc w:val="center"/>
              <w:rPr>
                <w:szCs w:val="20"/>
              </w:rPr>
            </w:pPr>
            <w:r>
              <w:rPr>
                <w:szCs w:val="20"/>
              </w:rPr>
              <w:t>(-0.11, 0.54</w:t>
            </w:r>
            <w:r w:rsidRPr="00FC4F26">
              <w:rPr>
                <w:szCs w:val="20"/>
              </w:rPr>
              <w:t>)</w:t>
            </w:r>
          </w:p>
        </w:tc>
        <w:tc>
          <w:tcPr>
            <w:tcW w:w="1249" w:type="pct"/>
          </w:tcPr>
          <w:p w14:paraId="5AB515E0" w14:textId="77777777" w:rsidR="003C0EB4" w:rsidRPr="00FC4F26" w:rsidRDefault="003C0EB4" w:rsidP="008551B6">
            <w:pPr>
              <w:pStyle w:val="NoSpacing"/>
              <w:jc w:val="center"/>
              <w:rPr>
                <w:szCs w:val="20"/>
              </w:rPr>
            </w:pPr>
            <w:r>
              <w:rPr>
                <w:szCs w:val="20"/>
              </w:rPr>
              <w:t>0.19</w:t>
            </w:r>
          </w:p>
        </w:tc>
      </w:tr>
      <w:tr w:rsidR="003C0EB4" w:rsidRPr="00FC4F26" w14:paraId="707E5FE7" w14:textId="77777777" w:rsidTr="008551B6">
        <w:tc>
          <w:tcPr>
            <w:tcW w:w="1251" w:type="pct"/>
          </w:tcPr>
          <w:p w14:paraId="7625C1BF" w14:textId="77777777" w:rsidR="003C0EB4" w:rsidRPr="00FC4F26" w:rsidRDefault="003C0EB4" w:rsidP="008551B6">
            <w:pPr>
              <w:pStyle w:val="NoSpacing"/>
              <w:rPr>
                <w:szCs w:val="20"/>
              </w:rPr>
            </w:pPr>
            <w:r>
              <w:rPr>
                <w:szCs w:val="20"/>
              </w:rPr>
              <w:t xml:space="preserve">Dose </w:t>
            </w:r>
            <w:r w:rsidRPr="00FC4F26">
              <w:rPr>
                <w:szCs w:val="20"/>
              </w:rPr>
              <w:t>4 vs 1 ml/kg</w:t>
            </w:r>
          </w:p>
        </w:tc>
        <w:tc>
          <w:tcPr>
            <w:tcW w:w="1250" w:type="pct"/>
          </w:tcPr>
          <w:p w14:paraId="2186C3C9" w14:textId="77777777" w:rsidR="003C0EB4" w:rsidRPr="00FC4F26" w:rsidRDefault="003C0EB4" w:rsidP="008551B6">
            <w:pPr>
              <w:pStyle w:val="NoSpacing"/>
              <w:jc w:val="center"/>
              <w:rPr>
                <w:szCs w:val="20"/>
              </w:rPr>
            </w:pPr>
            <w:r>
              <w:rPr>
                <w:szCs w:val="20"/>
              </w:rPr>
              <w:t>0.54</w:t>
            </w:r>
          </w:p>
        </w:tc>
        <w:tc>
          <w:tcPr>
            <w:tcW w:w="1250" w:type="pct"/>
          </w:tcPr>
          <w:p w14:paraId="4A11B230" w14:textId="77777777" w:rsidR="003C0EB4" w:rsidRPr="00FC4F26" w:rsidRDefault="003C0EB4" w:rsidP="008551B6">
            <w:pPr>
              <w:pStyle w:val="NoSpacing"/>
              <w:jc w:val="center"/>
              <w:rPr>
                <w:szCs w:val="20"/>
              </w:rPr>
            </w:pPr>
            <w:r>
              <w:rPr>
                <w:szCs w:val="20"/>
              </w:rPr>
              <w:t>(0.21</w:t>
            </w:r>
            <w:r w:rsidRPr="00FC4F26">
              <w:rPr>
                <w:szCs w:val="20"/>
              </w:rPr>
              <w:t>, 0.86)</w:t>
            </w:r>
          </w:p>
        </w:tc>
        <w:tc>
          <w:tcPr>
            <w:tcW w:w="1249" w:type="pct"/>
          </w:tcPr>
          <w:p w14:paraId="23EDAFCF" w14:textId="77777777" w:rsidR="003C0EB4" w:rsidRPr="00FC4F26" w:rsidRDefault="003C0EB4" w:rsidP="008551B6">
            <w:pPr>
              <w:pStyle w:val="NoSpacing"/>
              <w:jc w:val="center"/>
              <w:rPr>
                <w:szCs w:val="20"/>
              </w:rPr>
            </w:pPr>
            <w:r w:rsidRPr="00FC4F26">
              <w:rPr>
                <w:szCs w:val="20"/>
              </w:rPr>
              <w:t>0.0</w:t>
            </w:r>
            <w:r>
              <w:rPr>
                <w:szCs w:val="20"/>
              </w:rPr>
              <w:t>02</w:t>
            </w:r>
          </w:p>
        </w:tc>
      </w:tr>
      <w:tr w:rsidR="003C0EB4" w:rsidRPr="00325162" w14:paraId="7A4BA0E7" w14:textId="77777777" w:rsidTr="008551B6">
        <w:tc>
          <w:tcPr>
            <w:tcW w:w="1251" w:type="pct"/>
            <w:tcBorders>
              <w:top w:val="single" w:sz="4" w:space="0" w:color="auto"/>
              <w:bottom w:val="single" w:sz="4" w:space="0" w:color="auto"/>
            </w:tcBorders>
          </w:tcPr>
          <w:p w14:paraId="3B321A9A" w14:textId="77777777" w:rsidR="003C0EB4" w:rsidRPr="00325162" w:rsidRDefault="003C0EB4" w:rsidP="008551B6">
            <w:pPr>
              <w:pStyle w:val="NoSpacing"/>
              <w:rPr>
                <w:b/>
                <w:szCs w:val="20"/>
              </w:rPr>
            </w:pPr>
            <w:r w:rsidRPr="00325162">
              <w:rPr>
                <w:b/>
                <w:szCs w:val="20"/>
              </w:rPr>
              <w:sym w:font="Symbol" w:char="F044"/>
            </w:r>
            <w:r>
              <w:rPr>
                <w:b/>
                <w:szCs w:val="20"/>
              </w:rPr>
              <w:t xml:space="preserve">SV </w:t>
            </w:r>
          </w:p>
        </w:tc>
        <w:tc>
          <w:tcPr>
            <w:tcW w:w="1250" w:type="pct"/>
            <w:tcBorders>
              <w:top w:val="single" w:sz="4" w:space="0" w:color="auto"/>
              <w:bottom w:val="single" w:sz="4" w:space="0" w:color="auto"/>
            </w:tcBorders>
          </w:tcPr>
          <w:p w14:paraId="0C335F30" w14:textId="77777777" w:rsidR="003C0EB4" w:rsidRPr="00325162" w:rsidRDefault="003C0EB4" w:rsidP="008551B6">
            <w:pPr>
              <w:pStyle w:val="NoSpacing"/>
              <w:jc w:val="center"/>
              <w:rPr>
                <w:b/>
                <w:szCs w:val="20"/>
              </w:rPr>
            </w:pPr>
          </w:p>
        </w:tc>
        <w:tc>
          <w:tcPr>
            <w:tcW w:w="1250" w:type="pct"/>
            <w:tcBorders>
              <w:top w:val="single" w:sz="4" w:space="0" w:color="auto"/>
              <w:bottom w:val="single" w:sz="4" w:space="0" w:color="auto"/>
            </w:tcBorders>
          </w:tcPr>
          <w:p w14:paraId="29D774BA" w14:textId="77777777" w:rsidR="003C0EB4" w:rsidRPr="00325162" w:rsidRDefault="003C0EB4" w:rsidP="008551B6">
            <w:pPr>
              <w:pStyle w:val="NoSpacing"/>
              <w:jc w:val="center"/>
              <w:rPr>
                <w:b/>
                <w:szCs w:val="20"/>
              </w:rPr>
            </w:pPr>
          </w:p>
        </w:tc>
        <w:tc>
          <w:tcPr>
            <w:tcW w:w="1249" w:type="pct"/>
            <w:tcBorders>
              <w:top w:val="single" w:sz="4" w:space="0" w:color="auto"/>
              <w:bottom w:val="single" w:sz="4" w:space="0" w:color="auto"/>
            </w:tcBorders>
          </w:tcPr>
          <w:p w14:paraId="49A5D791" w14:textId="77777777" w:rsidR="003C0EB4" w:rsidRPr="00325162" w:rsidRDefault="003C0EB4" w:rsidP="008551B6">
            <w:pPr>
              <w:pStyle w:val="NoSpacing"/>
              <w:jc w:val="center"/>
              <w:rPr>
                <w:b/>
                <w:szCs w:val="20"/>
              </w:rPr>
            </w:pPr>
          </w:p>
        </w:tc>
      </w:tr>
      <w:tr w:rsidR="003C0EB4" w:rsidRPr="00FC4F26" w14:paraId="5771BBA7" w14:textId="77777777" w:rsidTr="008551B6">
        <w:tc>
          <w:tcPr>
            <w:tcW w:w="1251" w:type="pct"/>
            <w:tcBorders>
              <w:top w:val="single" w:sz="4" w:space="0" w:color="auto"/>
            </w:tcBorders>
          </w:tcPr>
          <w:p w14:paraId="4268A5D8" w14:textId="77777777" w:rsidR="003C0EB4" w:rsidRPr="00FC4F26" w:rsidRDefault="003C0EB4" w:rsidP="008551B6">
            <w:pPr>
              <w:pStyle w:val="NoSpacing"/>
              <w:rPr>
                <w:szCs w:val="20"/>
              </w:rPr>
            </w:pPr>
            <w:r w:rsidRPr="00FC4F26">
              <w:rPr>
                <w:szCs w:val="20"/>
              </w:rPr>
              <w:t>Constant</w:t>
            </w:r>
          </w:p>
        </w:tc>
        <w:tc>
          <w:tcPr>
            <w:tcW w:w="1250" w:type="pct"/>
            <w:tcBorders>
              <w:top w:val="single" w:sz="4" w:space="0" w:color="auto"/>
            </w:tcBorders>
          </w:tcPr>
          <w:p w14:paraId="43AF26E9" w14:textId="77777777" w:rsidR="003C0EB4" w:rsidRPr="00FC4F26" w:rsidRDefault="003C0EB4" w:rsidP="008551B6">
            <w:pPr>
              <w:pStyle w:val="NoSpacing"/>
              <w:jc w:val="center"/>
              <w:rPr>
                <w:szCs w:val="20"/>
              </w:rPr>
            </w:pPr>
            <w:r>
              <w:rPr>
                <w:szCs w:val="20"/>
              </w:rPr>
              <w:t>-6.08</w:t>
            </w:r>
          </w:p>
        </w:tc>
        <w:tc>
          <w:tcPr>
            <w:tcW w:w="1250" w:type="pct"/>
            <w:tcBorders>
              <w:top w:val="single" w:sz="4" w:space="0" w:color="auto"/>
            </w:tcBorders>
          </w:tcPr>
          <w:p w14:paraId="31749183" w14:textId="77777777" w:rsidR="003C0EB4" w:rsidRPr="00FC4F26" w:rsidRDefault="003C0EB4" w:rsidP="008551B6">
            <w:pPr>
              <w:pStyle w:val="NoSpacing"/>
              <w:jc w:val="center"/>
              <w:rPr>
                <w:szCs w:val="20"/>
              </w:rPr>
            </w:pPr>
            <w:r>
              <w:rPr>
                <w:szCs w:val="20"/>
              </w:rPr>
              <w:t>(-10.01, -2.14</w:t>
            </w:r>
            <w:r w:rsidRPr="00FC4F26">
              <w:rPr>
                <w:szCs w:val="20"/>
              </w:rPr>
              <w:t>)</w:t>
            </w:r>
          </w:p>
        </w:tc>
        <w:tc>
          <w:tcPr>
            <w:tcW w:w="1249" w:type="pct"/>
            <w:tcBorders>
              <w:top w:val="single" w:sz="4" w:space="0" w:color="auto"/>
            </w:tcBorders>
          </w:tcPr>
          <w:p w14:paraId="5FFF1266" w14:textId="77777777" w:rsidR="003C0EB4" w:rsidRPr="00FC4F26" w:rsidRDefault="003C0EB4" w:rsidP="008551B6">
            <w:pPr>
              <w:pStyle w:val="NoSpacing"/>
              <w:jc w:val="center"/>
              <w:rPr>
                <w:szCs w:val="20"/>
              </w:rPr>
            </w:pPr>
            <w:r>
              <w:rPr>
                <w:szCs w:val="20"/>
              </w:rPr>
              <w:t>0.003</w:t>
            </w:r>
          </w:p>
        </w:tc>
      </w:tr>
      <w:tr w:rsidR="003C0EB4" w:rsidRPr="00FC4F26" w14:paraId="2BE8AD94" w14:textId="77777777" w:rsidTr="008551B6">
        <w:tc>
          <w:tcPr>
            <w:tcW w:w="1251" w:type="pct"/>
          </w:tcPr>
          <w:p w14:paraId="4138E563" w14:textId="77777777" w:rsidR="003C0EB4" w:rsidRPr="00FC4F26" w:rsidRDefault="003C0EB4" w:rsidP="008551B6">
            <w:pPr>
              <w:pStyle w:val="NoSpacing"/>
              <w:rPr>
                <w:szCs w:val="20"/>
              </w:rPr>
            </w:pPr>
            <w:r w:rsidRPr="00FC4F26">
              <w:rPr>
                <w:szCs w:val="20"/>
              </w:rPr>
              <w:t>SV baseline</w:t>
            </w:r>
          </w:p>
        </w:tc>
        <w:tc>
          <w:tcPr>
            <w:tcW w:w="1250" w:type="pct"/>
          </w:tcPr>
          <w:p w14:paraId="3EC4DA23" w14:textId="77777777" w:rsidR="003C0EB4" w:rsidRPr="00FC4F26" w:rsidRDefault="003C0EB4" w:rsidP="008551B6">
            <w:pPr>
              <w:pStyle w:val="NoSpacing"/>
              <w:jc w:val="center"/>
              <w:rPr>
                <w:szCs w:val="20"/>
              </w:rPr>
            </w:pPr>
            <w:r>
              <w:rPr>
                <w:szCs w:val="20"/>
              </w:rPr>
              <w:t>0.09</w:t>
            </w:r>
          </w:p>
        </w:tc>
        <w:tc>
          <w:tcPr>
            <w:tcW w:w="1250" w:type="pct"/>
          </w:tcPr>
          <w:p w14:paraId="20F13C05" w14:textId="77777777" w:rsidR="003C0EB4" w:rsidRPr="00FC4F26" w:rsidRDefault="003C0EB4" w:rsidP="008551B6">
            <w:pPr>
              <w:pStyle w:val="NoSpacing"/>
              <w:jc w:val="center"/>
              <w:rPr>
                <w:szCs w:val="20"/>
              </w:rPr>
            </w:pPr>
            <w:r>
              <w:rPr>
                <w:szCs w:val="20"/>
              </w:rPr>
              <w:t>(0.04, 0.14</w:t>
            </w:r>
            <w:r w:rsidRPr="00FC4F26">
              <w:rPr>
                <w:szCs w:val="20"/>
              </w:rPr>
              <w:t>)</w:t>
            </w:r>
          </w:p>
        </w:tc>
        <w:tc>
          <w:tcPr>
            <w:tcW w:w="1249" w:type="pct"/>
          </w:tcPr>
          <w:p w14:paraId="61985458" w14:textId="77777777" w:rsidR="003C0EB4" w:rsidRPr="00FC4F26" w:rsidRDefault="003C0EB4" w:rsidP="008551B6">
            <w:pPr>
              <w:pStyle w:val="NoSpacing"/>
              <w:jc w:val="center"/>
              <w:rPr>
                <w:szCs w:val="20"/>
              </w:rPr>
            </w:pPr>
            <w:r>
              <w:rPr>
                <w:szCs w:val="20"/>
              </w:rPr>
              <w:t>&lt;0.001</w:t>
            </w:r>
          </w:p>
        </w:tc>
      </w:tr>
      <w:tr w:rsidR="003C0EB4" w:rsidRPr="00FC4F26" w14:paraId="26DC120D" w14:textId="77777777" w:rsidTr="008551B6">
        <w:tc>
          <w:tcPr>
            <w:tcW w:w="1251" w:type="pct"/>
          </w:tcPr>
          <w:p w14:paraId="1857D90A" w14:textId="77777777" w:rsidR="003C0EB4" w:rsidRPr="00FC4F26" w:rsidRDefault="003C0EB4" w:rsidP="008551B6">
            <w:pPr>
              <w:pStyle w:val="NoSpacing"/>
              <w:rPr>
                <w:szCs w:val="20"/>
              </w:rPr>
            </w:pPr>
            <w:r>
              <w:rPr>
                <w:szCs w:val="20"/>
              </w:rPr>
              <w:t xml:space="preserve">Dose </w:t>
            </w:r>
            <w:r w:rsidRPr="00FC4F26">
              <w:rPr>
                <w:szCs w:val="20"/>
              </w:rPr>
              <w:t>2 vs 1 ml/kg</w:t>
            </w:r>
          </w:p>
        </w:tc>
        <w:tc>
          <w:tcPr>
            <w:tcW w:w="1250" w:type="pct"/>
          </w:tcPr>
          <w:p w14:paraId="7D2E190A" w14:textId="77777777" w:rsidR="003C0EB4" w:rsidRPr="00FC4F26" w:rsidRDefault="003C0EB4" w:rsidP="008551B6">
            <w:pPr>
              <w:pStyle w:val="NoSpacing"/>
              <w:jc w:val="center"/>
              <w:rPr>
                <w:szCs w:val="20"/>
              </w:rPr>
            </w:pPr>
            <w:r>
              <w:rPr>
                <w:szCs w:val="20"/>
              </w:rPr>
              <w:t>3.09</w:t>
            </w:r>
          </w:p>
        </w:tc>
        <w:tc>
          <w:tcPr>
            <w:tcW w:w="1250" w:type="pct"/>
          </w:tcPr>
          <w:p w14:paraId="6C838E9D" w14:textId="77777777" w:rsidR="003C0EB4" w:rsidRPr="00FC4F26" w:rsidRDefault="003C0EB4" w:rsidP="008551B6">
            <w:pPr>
              <w:pStyle w:val="NoSpacing"/>
              <w:jc w:val="center"/>
              <w:rPr>
                <w:szCs w:val="20"/>
              </w:rPr>
            </w:pPr>
            <w:r>
              <w:rPr>
                <w:szCs w:val="20"/>
              </w:rPr>
              <w:t>(0.14, 6.03</w:t>
            </w:r>
            <w:r w:rsidRPr="00FC4F26">
              <w:rPr>
                <w:szCs w:val="20"/>
              </w:rPr>
              <w:t>)</w:t>
            </w:r>
          </w:p>
        </w:tc>
        <w:tc>
          <w:tcPr>
            <w:tcW w:w="1249" w:type="pct"/>
          </w:tcPr>
          <w:p w14:paraId="0E031227" w14:textId="77777777" w:rsidR="003C0EB4" w:rsidRPr="00FC4F26" w:rsidRDefault="003C0EB4" w:rsidP="008551B6">
            <w:pPr>
              <w:pStyle w:val="NoSpacing"/>
              <w:jc w:val="center"/>
              <w:rPr>
                <w:szCs w:val="20"/>
              </w:rPr>
            </w:pPr>
            <w:r>
              <w:rPr>
                <w:szCs w:val="20"/>
              </w:rPr>
              <w:t>0.04</w:t>
            </w:r>
          </w:p>
        </w:tc>
      </w:tr>
      <w:tr w:rsidR="003C0EB4" w:rsidRPr="00FC4F26" w14:paraId="7EFA9F52" w14:textId="77777777" w:rsidTr="008551B6">
        <w:tc>
          <w:tcPr>
            <w:tcW w:w="1251" w:type="pct"/>
          </w:tcPr>
          <w:p w14:paraId="63AD32D2" w14:textId="77777777" w:rsidR="003C0EB4" w:rsidRPr="00FC4F26" w:rsidRDefault="003C0EB4" w:rsidP="008551B6">
            <w:pPr>
              <w:pStyle w:val="NoSpacing"/>
              <w:rPr>
                <w:szCs w:val="20"/>
              </w:rPr>
            </w:pPr>
            <w:r>
              <w:rPr>
                <w:szCs w:val="20"/>
              </w:rPr>
              <w:t xml:space="preserve">Dose </w:t>
            </w:r>
            <w:r w:rsidRPr="00FC4F26">
              <w:rPr>
                <w:szCs w:val="20"/>
              </w:rPr>
              <w:t>3 vs 1 ml/kg</w:t>
            </w:r>
          </w:p>
        </w:tc>
        <w:tc>
          <w:tcPr>
            <w:tcW w:w="1250" w:type="pct"/>
          </w:tcPr>
          <w:p w14:paraId="068381AD" w14:textId="77777777" w:rsidR="003C0EB4" w:rsidRPr="00FC4F26" w:rsidRDefault="003C0EB4" w:rsidP="008551B6">
            <w:pPr>
              <w:pStyle w:val="NoSpacing"/>
              <w:jc w:val="center"/>
              <w:rPr>
                <w:szCs w:val="20"/>
              </w:rPr>
            </w:pPr>
            <w:r>
              <w:rPr>
                <w:szCs w:val="20"/>
              </w:rPr>
              <w:t>2.25</w:t>
            </w:r>
          </w:p>
        </w:tc>
        <w:tc>
          <w:tcPr>
            <w:tcW w:w="1250" w:type="pct"/>
          </w:tcPr>
          <w:p w14:paraId="7E128616" w14:textId="77777777" w:rsidR="003C0EB4" w:rsidRPr="00FC4F26" w:rsidRDefault="003C0EB4" w:rsidP="008551B6">
            <w:pPr>
              <w:pStyle w:val="NoSpacing"/>
              <w:jc w:val="center"/>
              <w:rPr>
                <w:szCs w:val="20"/>
              </w:rPr>
            </w:pPr>
            <w:r>
              <w:rPr>
                <w:szCs w:val="20"/>
              </w:rPr>
              <w:t>(-0.77, 5.28</w:t>
            </w:r>
            <w:r w:rsidRPr="00FC4F26">
              <w:rPr>
                <w:szCs w:val="20"/>
              </w:rPr>
              <w:t>)</w:t>
            </w:r>
          </w:p>
        </w:tc>
        <w:tc>
          <w:tcPr>
            <w:tcW w:w="1249" w:type="pct"/>
          </w:tcPr>
          <w:p w14:paraId="27AEFBB2" w14:textId="77777777" w:rsidR="003C0EB4" w:rsidRPr="00FC4F26" w:rsidRDefault="003C0EB4" w:rsidP="008551B6">
            <w:pPr>
              <w:pStyle w:val="NoSpacing"/>
              <w:jc w:val="center"/>
              <w:rPr>
                <w:szCs w:val="20"/>
              </w:rPr>
            </w:pPr>
            <w:r>
              <w:rPr>
                <w:szCs w:val="20"/>
              </w:rPr>
              <w:t>0.14</w:t>
            </w:r>
          </w:p>
        </w:tc>
      </w:tr>
      <w:tr w:rsidR="003C0EB4" w:rsidRPr="00FC4F26" w14:paraId="6610676B" w14:textId="77777777" w:rsidTr="008551B6">
        <w:tc>
          <w:tcPr>
            <w:tcW w:w="1251" w:type="pct"/>
          </w:tcPr>
          <w:p w14:paraId="6FBF0DD0" w14:textId="77777777" w:rsidR="003C0EB4" w:rsidRPr="00FC4F26" w:rsidRDefault="003C0EB4" w:rsidP="008551B6">
            <w:pPr>
              <w:pStyle w:val="NoSpacing"/>
              <w:rPr>
                <w:szCs w:val="20"/>
              </w:rPr>
            </w:pPr>
            <w:r>
              <w:rPr>
                <w:szCs w:val="20"/>
              </w:rPr>
              <w:t xml:space="preserve">Dose </w:t>
            </w:r>
            <w:r w:rsidRPr="00FC4F26">
              <w:rPr>
                <w:szCs w:val="20"/>
              </w:rPr>
              <w:t>4 vs 1 ml/kg</w:t>
            </w:r>
          </w:p>
        </w:tc>
        <w:tc>
          <w:tcPr>
            <w:tcW w:w="1250" w:type="pct"/>
          </w:tcPr>
          <w:p w14:paraId="0F81DCAD" w14:textId="77777777" w:rsidR="003C0EB4" w:rsidRPr="00FC4F26" w:rsidRDefault="003C0EB4" w:rsidP="008551B6">
            <w:pPr>
              <w:pStyle w:val="NoSpacing"/>
              <w:jc w:val="center"/>
              <w:rPr>
                <w:szCs w:val="20"/>
              </w:rPr>
            </w:pPr>
            <w:r>
              <w:rPr>
                <w:szCs w:val="20"/>
              </w:rPr>
              <w:t>7.07</w:t>
            </w:r>
          </w:p>
        </w:tc>
        <w:tc>
          <w:tcPr>
            <w:tcW w:w="1250" w:type="pct"/>
          </w:tcPr>
          <w:p w14:paraId="03FB92EC" w14:textId="77777777" w:rsidR="003C0EB4" w:rsidRPr="00FC4F26" w:rsidRDefault="003C0EB4" w:rsidP="008551B6">
            <w:pPr>
              <w:pStyle w:val="NoSpacing"/>
              <w:jc w:val="center"/>
              <w:rPr>
                <w:szCs w:val="20"/>
              </w:rPr>
            </w:pPr>
            <w:r>
              <w:rPr>
                <w:szCs w:val="20"/>
              </w:rPr>
              <w:t>(3.98, 10.16</w:t>
            </w:r>
            <w:r w:rsidRPr="00FC4F26">
              <w:rPr>
                <w:szCs w:val="20"/>
              </w:rPr>
              <w:t>)</w:t>
            </w:r>
          </w:p>
        </w:tc>
        <w:tc>
          <w:tcPr>
            <w:tcW w:w="1249" w:type="pct"/>
          </w:tcPr>
          <w:p w14:paraId="65401271" w14:textId="77777777" w:rsidR="003C0EB4" w:rsidRPr="00FC4F26" w:rsidRDefault="003C0EB4" w:rsidP="008551B6">
            <w:pPr>
              <w:pStyle w:val="NoSpacing"/>
              <w:jc w:val="center"/>
              <w:rPr>
                <w:szCs w:val="20"/>
              </w:rPr>
            </w:pPr>
            <w:r w:rsidRPr="00FC4F26">
              <w:rPr>
                <w:szCs w:val="20"/>
              </w:rPr>
              <w:t>&lt;0.0</w:t>
            </w:r>
            <w:r>
              <w:rPr>
                <w:szCs w:val="20"/>
              </w:rPr>
              <w:t>0</w:t>
            </w:r>
            <w:r w:rsidRPr="00FC4F26">
              <w:rPr>
                <w:szCs w:val="20"/>
              </w:rPr>
              <w:t>1</w:t>
            </w:r>
          </w:p>
        </w:tc>
      </w:tr>
      <w:tr w:rsidR="003C0EB4" w:rsidRPr="00FC4F26" w14:paraId="0FC3BE73" w14:textId="77777777" w:rsidTr="008551B6">
        <w:tc>
          <w:tcPr>
            <w:tcW w:w="1251" w:type="pct"/>
            <w:tcBorders>
              <w:bottom w:val="single" w:sz="4" w:space="0" w:color="auto"/>
            </w:tcBorders>
          </w:tcPr>
          <w:p w14:paraId="1E5C6311" w14:textId="4875F685" w:rsidR="003C0EB4" w:rsidRPr="00FC4F26" w:rsidRDefault="003C0EB4" w:rsidP="008551B6">
            <w:pPr>
              <w:pStyle w:val="NoSpacing"/>
              <w:rPr>
                <w:szCs w:val="20"/>
              </w:rPr>
            </w:pPr>
            <w:r w:rsidRPr="00D807C8">
              <w:t>Respon</w:t>
            </w:r>
            <w:r w:rsidR="00FC27B1">
              <w:t>ders</w:t>
            </w:r>
          </w:p>
        </w:tc>
        <w:tc>
          <w:tcPr>
            <w:tcW w:w="1250" w:type="pct"/>
            <w:tcBorders>
              <w:bottom w:val="single" w:sz="4" w:space="0" w:color="auto"/>
            </w:tcBorders>
          </w:tcPr>
          <w:p w14:paraId="59514BEE" w14:textId="77777777" w:rsidR="003C0EB4" w:rsidRPr="00FC4F26" w:rsidRDefault="003C0EB4" w:rsidP="008551B6">
            <w:pPr>
              <w:pStyle w:val="NoSpacing"/>
              <w:jc w:val="center"/>
              <w:rPr>
                <w:szCs w:val="20"/>
              </w:rPr>
            </w:pPr>
            <w:r>
              <w:rPr>
                <w:szCs w:val="20"/>
              </w:rPr>
              <w:t>7.70</w:t>
            </w:r>
          </w:p>
        </w:tc>
        <w:tc>
          <w:tcPr>
            <w:tcW w:w="1250" w:type="pct"/>
            <w:tcBorders>
              <w:bottom w:val="single" w:sz="4" w:space="0" w:color="auto"/>
            </w:tcBorders>
          </w:tcPr>
          <w:p w14:paraId="1EDAD19D" w14:textId="77777777" w:rsidR="003C0EB4" w:rsidRPr="00FC4F26" w:rsidRDefault="003C0EB4" w:rsidP="008551B6">
            <w:pPr>
              <w:pStyle w:val="NoSpacing"/>
              <w:jc w:val="center"/>
              <w:rPr>
                <w:szCs w:val="20"/>
              </w:rPr>
            </w:pPr>
            <w:r>
              <w:rPr>
                <w:szCs w:val="20"/>
              </w:rPr>
              <w:t>(5.44, 9.95</w:t>
            </w:r>
            <w:r w:rsidRPr="00FC4F26">
              <w:rPr>
                <w:szCs w:val="20"/>
              </w:rPr>
              <w:t>)</w:t>
            </w:r>
          </w:p>
        </w:tc>
        <w:tc>
          <w:tcPr>
            <w:tcW w:w="1249" w:type="pct"/>
            <w:tcBorders>
              <w:bottom w:val="single" w:sz="4" w:space="0" w:color="auto"/>
            </w:tcBorders>
          </w:tcPr>
          <w:p w14:paraId="4BA839F1" w14:textId="77777777" w:rsidR="003C0EB4" w:rsidRPr="00FC4F26" w:rsidRDefault="003C0EB4" w:rsidP="008551B6">
            <w:pPr>
              <w:pStyle w:val="NoSpacing"/>
              <w:jc w:val="center"/>
              <w:rPr>
                <w:szCs w:val="20"/>
              </w:rPr>
            </w:pPr>
            <w:r w:rsidRPr="00FC4F26">
              <w:rPr>
                <w:szCs w:val="20"/>
              </w:rPr>
              <w:t>&lt;0.0</w:t>
            </w:r>
            <w:r>
              <w:rPr>
                <w:szCs w:val="20"/>
              </w:rPr>
              <w:t>0</w:t>
            </w:r>
            <w:r w:rsidRPr="00FC4F26">
              <w:rPr>
                <w:szCs w:val="20"/>
              </w:rPr>
              <w:t>1</w:t>
            </w:r>
          </w:p>
        </w:tc>
      </w:tr>
      <w:tr w:rsidR="003C0EB4" w:rsidRPr="00325162" w14:paraId="6058FA09" w14:textId="77777777" w:rsidTr="008551B6">
        <w:tc>
          <w:tcPr>
            <w:tcW w:w="1251" w:type="pct"/>
            <w:tcBorders>
              <w:top w:val="single" w:sz="4" w:space="0" w:color="auto"/>
              <w:bottom w:val="single" w:sz="4" w:space="0" w:color="auto"/>
            </w:tcBorders>
          </w:tcPr>
          <w:p w14:paraId="636E0AD5" w14:textId="77777777" w:rsidR="003C0EB4" w:rsidRPr="00325162" w:rsidRDefault="003C0EB4" w:rsidP="008551B6">
            <w:pPr>
              <w:pStyle w:val="NoSpacing"/>
              <w:rPr>
                <w:b/>
                <w:szCs w:val="20"/>
              </w:rPr>
            </w:pPr>
            <w:r w:rsidRPr="00325162">
              <w:rPr>
                <w:b/>
                <w:szCs w:val="20"/>
              </w:rPr>
              <w:sym w:font="Symbol" w:char="F044"/>
            </w:r>
            <w:r>
              <w:rPr>
                <w:b/>
                <w:szCs w:val="20"/>
              </w:rPr>
              <w:t xml:space="preserve">HR </w:t>
            </w:r>
          </w:p>
        </w:tc>
        <w:tc>
          <w:tcPr>
            <w:tcW w:w="1250" w:type="pct"/>
            <w:tcBorders>
              <w:top w:val="single" w:sz="4" w:space="0" w:color="auto"/>
              <w:bottom w:val="single" w:sz="4" w:space="0" w:color="auto"/>
            </w:tcBorders>
          </w:tcPr>
          <w:p w14:paraId="0FA26B0B" w14:textId="77777777" w:rsidR="003C0EB4" w:rsidRPr="00325162" w:rsidRDefault="003C0EB4" w:rsidP="008551B6">
            <w:pPr>
              <w:pStyle w:val="NoSpacing"/>
              <w:jc w:val="center"/>
              <w:rPr>
                <w:b/>
                <w:szCs w:val="20"/>
              </w:rPr>
            </w:pPr>
          </w:p>
        </w:tc>
        <w:tc>
          <w:tcPr>
            <w:tcW w:w="1250" w:type="pct"/>
            <w:tcBorders>
              <w:top w:val="single" w:sz="4" w:space="0" w:color="auto"/>
              <w:bottom w:val="single" w:sz="4" w:space="0" w:color="auto"/>
            </w:tcBorders>
          </w:tcPr>
          <w:p w14:paraId="64F13A6B" w14:textId="77777777" w:rsidR="003C0EB4" w:rsidRPr="00325162" w:rsidRDefault="003C0EB4" w:rsidP="008551B6">
            <w:pPr>
              <w:pStyle w:val="NoSpacing"/>
              <w:jc w:val="center"/>
              <w:rPr>
                <w:b/>
                <w:szCs w:val="20"/>
              </w:rPr>
            </w:pPr>
          </w:p>
        </w:tc>
        <w:tc>
          <w:tcPr>
            <w:tcW w:w="1249" w:type="pct"/>
            <w:tcBorders>
              <w:top w:val="single" w:sz="4" w:space="0" w:color="auto"/>
              <w:bottom w:val="single" w:sz="4" w:space="0" w:color="auto"/>
            </w:tcBorders>
          </w:tcPr>
          <w:p w14:paraId="155B0845" w14:textId="77777777" w:rsidR="003C0EB4" w:rsidRPr="00325162" w:rsidRDefault="003C0EB4" w:rsidP="008551B6">
            <w:pPr>
              <w:pStyle w:val="NoSpacing"/>
              <w:jc w:val="center"/>
              <w:rPr>
                <w:b/>
                <w:szCs w:val="20"/>
              </w:rPr>
            </w:pPr>
          </w:p>
        </w:tc>
      </w:tr>
      <w:tr w:rsidR="003C0EB4" w:rsidRPr="00FC4F26" w14:paraId="4F3EB668" w14:textId="77777777" w:rsidTr="008551B6">
        <w:tc>
          <w:tcPr>
            <w:tcW w:w="1251" w:type="pct"/>
            <w:tcBorders>
              <w:top w:val="single" w:sz="4" w:space="0" w:color="auto"/>
            </w:tcBorders>
          </w:tcPr>
          <w:p w14:paraId="507D033C" w14:textId="77777777" w:rsidR="003C0EB4" w:rsidRPr="00FC4F26" w:rsidRDefault="003C0EB4" w:rsidP="008551B6">
            <w:pPr>
              <w:pStyle w:val="NoSpacing"/>
              <w:rPr>
                <w:szCs w:val="20"/>
              </w:rPr>
            </w:pPr>
            <w:r w:rsidRPr="00FC4F26">
              <w:rPr>
                <w:szCs w:val="20"/>
              </w:rPr>
              <w:t>Constant</w:t>
            </w:r>
          </w:p>
        </w:tc>
        <w:tc>
          <w:tcPr>
            <w:tcW w:w="1250" w:type="pct"/>
            <w:tcBorders>
              <w:top w:val="single" w:sz="4" w:space="0" w:color="auto"/>
            </w:tcBorders>
          </w:tcPr>
          <w:p w14:paraId="66F1F813" w14:textId="77777777" w:rsidR="003C0EB4" w:rsidRPr="00FC4F26" w:rsidRDefault="003C0EB4" w:rsidP="008551B6">
            <w:pPr>
              <w:pStyle w:val="NoSpacing"/>
              <w:jc w:val="center"/>
              <w:rPr>
                <w:szCs w:val="20"/>
              </w:rPr>
            </w:pPr>
            <w:r>
              <w:rPr>
                <w:szCs w:val="20"/>
              </w:rPr>
              <w:t>4.03</w:t>
            </w:r>
          </w:p>
        </w:tc>
        <w:tc>
          <w:tcPr>
            <w:tcW w:w="1250" w:type="pct"/>
            <w:tcBorders>
              <w:top w:val="single" w:sz="4" w:space="0" w:color="auto"/>
            </w:tcBorders>
          </w:tcPr>
          <w:p w14:paraId="6BC6E497" w14:textId="77777777" w:rsidR="003C0EB4" w:rsidRPr="00FC4F26" w:rsidRDefault="003C0EB4" w:rsidP="008551B6">
            <w:pPr>
              <w:pStyle w:val="NoSpacing"/>
              <w:jc w:val="center"/>
              <w:rPr>
                <w:szCs w:val="20"/>
              </w:rPr>
            </w:pPr>
            <w:r>
              <w:rPr>
                <w:szCs w:val="20"/>
              </w:rPr>
              <w:t>(-1.73, 9.79</w:t>
            </w:r>
            <w:r w:rsidRPr="00FC4F26">
              <w:rPr>
                <w:szCs w:val="20"/>
              </w:rPr>
              <w:t>)</w:t>
            </w:r>
          </w:p>
        </w:tc>
        <w:tc>
          <w:tcPr>
            <w:tcW w:w="1249" w:type="pct"/>
            <w:tcBorders>
              <w:top w:val="single" w:sz="4" w:space="0" w:color="auto"/>
            </w:tcBorders>
          </w:tcPr>
          <w:p w14:paraId="483C6014" w14:textId="77777777" w:rsidR="003C0EB4" w:rsidRPr="00FC4F26" w:rsidRDefault="003C0EB4" w:rsidP="008551B6">
            <w:pPr>
              <w:pStyle w:val="NoSpacing"/>
              <w:jc w:val="center"/>
              <w:rPr>
                <w:szCs w:val="20"/>
              </w:rPr>
            </w:pPr>
            <w:r>
              <w:rPr>
                <w:szCs w:val="20"/>
              </w:rPr>
              <w:t>0.17</w:t>
            </w:r>
          </w:p>
        </w:tc>
      </w:tr>
      <w:tr w:rsidR="003C0EB4" w:rsidRPr="00FC4F26" w14:paraId="4755BE5E" w14:textId="77777777" w:rsidTr="008551B6">
        <w:tc>
          <w:tcPr>
            <w:tcW w:w="1251" w:type="pct"/>
          </w:tcPr>
          <w:p w14:paraId="33E89723" w14:textId="77777777" w:rsidR="003C0EB4" w:rsidRPr="00FC4F26" w:rsidRDefault="003C0EB4" w:rsidP="008551B6">
            <w:pPr>
              <w:pStyle w:val="NoSpacing"/>
              <w:rPr>
                <w:szCs w:val="20"/>
              </w:rPr>
            </w:pPr>
            <w:r w:rsidRPr="00FC4F26">
              <w:rPr>
                <w:szCs w:val="20"/>
              </w:rPr>
              <w:t>HR baseline</w:t>
            </w:r>
          </w:p>
        </w:tc>
        <w:tc>
          <w:tcPr>
            <w:tcW w:w="1250" w:type="pct"/>
          </w:tcPr>
          <w:p w14:paraId="7CFAEE01" w14:textId="77777777" w:rsidR="003C0EB4" w:rsidRPr="00FC4F26" w:rsidRDefault="003C0EB4" w:rsidP="008551B6">
            <w:pPr>
              <w:pStyle w:val="NoSpacing"/>
              <w:jc w:val="center"/>
              <w:rPr>
                <w:szCs w:val="20"/>
              </w:rPr>
            </w:pPr>
            <w:r>
              <w:rPr>
                <w:szCs w:val="20"/>
              </w:rPr>
              <w:t>-0.03</w:t>
            </w:r>
          </w:p>
        </w:tc>
        <w:tc>
          <w:tcPr>
            <w:tcW w:w="1250" w:type="pct"/>
          </w:tcPr>
          <w:p w14:paraId="4189A9D4" w14:textId="77777777" w:rsidR="003C0EB4" w:rsidRPr="00FC4F26" w:rsidRDefault="003C0EB4" w:rsidP="008551B6">
            <w:pPr>
              <w:pStyle w:val="NoSpacing"/>
              <w:jc w:val="center"/>
              <w:rPr>
                <w:szCs w:val="20"/>
              </w:rPr>
            </w:pPr>
            <w:r>
              <w:rPr>
                <w:szCs w:val="20"/>
              </w:rPr>
              <w:t>(-0.09, 0.04</w:t>
            </w:r>
            <w:r w:rsidRPr="00FC4F26">
              <w:rPr>
                <w:szCs w:val="20"/>
              </w:rPr>
              <w:t>)</w:t>
            </w:r>
          </w:p>
        </w:tc>
        <w:tc>
          <w:tcPr>
            <w:tcW w:w="1249" w:type="pct"/>
          </w:tcPr>
          <w:p w14:paraId="59450175" w14:textId="77777777" w:rsidR="003C0EB4" w:rsidRPr="00FC4F26" w:rsidRDefault="003C0EB4" w:rsidP="008551B6">
            <w:pPr>
              <w:pStyle w:val="NoSpacing"/>
              <w:jc w:val="center"/>
              <w:rPr>
                <w:szCs w:val="20"/>
              </w:rPr>
            </w:pPr>
            <w:r>
              <w:rPr>
                <w:szCs w:val="20"/>
              </w:rPr>
              <w:t>0.42</w:t>
            </w:r>
          </w:p>
        </w:tc>
      </w:tr>
      <w:tr w:rsidR="003C0EB4" w:rsidRPr="00FC4F26" w14:paraId="18E153B1" w14:textId="77777777" w:rsidTr="008551B6">
        <w:tc>
          <w:tcPr>
            <w:tcW w:w="1251" w:type="pct"/>
          </w:tcPr>
          <w:p w14:paraId="3F750652" w14:textId="77777777" w:rsidR="003C0EB4" w:rsidRPr="00FC4F26" w:rsidRDefault="003C0EB4" w:rsidP="008551B6">
            <w:pPr>
              <w:pStyle w:val="NoSpacing"/>
              <w:rPr>
                <w:szCs w:val="20"/>
              </w:rPr>
            </w:pPr>
            <w:r>
              <w:rPr>
                <w:szCs w:val="20"/>
              </w:rPr>
              <w:t xml:space="preserve">Dose </w:t>
            </w:r>
            <w:r w:rsidRPr="00FC4F26">
              <w:rPr>
                <w:szCs w:val="20"/>
              </w:rPr>
              <w:t>2 vs 1 ml/kg</w:t>
            </w:r>
          </w:p>
        </w:tc>
        <w:tc>
          <w:tcPr>
            <w:tcW w:w="1250" w:type="pct"/>
          </w:tcPr>
          <w:p w14:paraId="07806065" w14:textId="77777777" w:rsidR="003C0EB4" w:rsidRPr="00FC4F26" w:rsidRDefault="003C0EB4" w:rsidP="008551B6">
            <w:pPr>
              <w:pStyle w:val="NoSpacing"/>
              <w:jc w:val="center"/>
              <w:rPr>
                <w:szCs w:val="20"/>
              </w:rPr>
            </w:pPr>
            <w:r>
              <w:rPr>
                <w:szCs w:val="20"/>
              </w:rPr>
              <w:t>-3.50</w:t>
            </w:r>
          </w:p>
        </w:tc>
        <w:tc>
          <w:tcPr>
            <w:tcW w:w="1250" w:type="pct"/>
          </w:tcPr>
          <w:p w14:paraId="62FEA5AE" w14:textId="77777777" w:rsidR="003C0EB4" w:rsidRPr="00FC4F26" w:rsidRDefault="003C0EB4" w:rsidP="008551B6">
            <w:pPr>
              <w:pStyle w:val="NoSpacing"/>
              <w:jc w:val="center"/>
              <w:rPr>
                <w:szCs w:val="20"/>
              </w:rPr>
            </w:pPr>
            <w:r>
              <w:rPr>
                <w:szCs w:val="20"/>
              </w:rPr>
              <w:t>(-5.83, -1.17</w:t>
            </w:r>
            <w:r w:rsidRPr="00FC4F26">
              <w:rPr>
                <w:szCs w:val="20"/>
              </w:rPr>
              <w:t>)</w:t>
            </w:r>
          </w:p>
        </w:tc>
        <w:tc>
          <w:tcPr>
            <w:tcW w:w="1249" w:type="pct"/>
          </w:tcPr>
          <w:p w14:paraId="5E26FDBE" w14:textId="77777777" w:rsidR="003C0EB4" w:rsidRPr="00FC4F26" w:rsidRDefault="003C0EB4" w:rsidP="008551B6">
            <w:pPr>
              <w:pStyle w:val="NoSpacing"/>
              <w:jc w:val="center"/>
              <w:rPr>
                <w:szCs w:val="20"/>
              </w:rPr>
            </w:pPr>
            <w:r>
              <w:rPr>
                <w:szCs w:val="20"/>
              </w:rPr>
              <w:t>0.004</w:t>
            </w:r>
          </w:p>
        </w:tc>
      </w:tr>
      <w:tr w:rsidR="003C0EB4" w:rsidRPr="00FC4F26" w14:paraId="0A13C8DB" w14:textId="77777777" w:rsidTr="008551B6">
        <w:tc>
          <w:tcPr>
            <w:tcW w:w="1251" w:type="pct"/>
          </w:tcPr>
          <w:p w14:paraId="175475D6" w14:textId="77777777" w:rsidR="003C0EB4" w:rsidRPr="00FC4F26" w:rsidRDefault="003C0EB4" w:rsidP="008551B6">
            <w:pPr>
              <w:pStyle w:val="NoSpacing"/>
              <w:rPr>
                <w:szCs w:val="20"/>
              </w:rPr>
            </w:pPr>
            <w:r>
              <w:rPr>
                <w:szCs w:val="20"/>
              </w:rPr>
              <w:t xml:space="preserve">Dose </w:t>
            </w:r>
            <w:r w:rsidRPr="00FC4F26">
              <w:rPr>
                <w:szCs w:val="20"/>
              </w:rPr>
              <w:t>3 vs 1 ml/kg</w:t>
            </w:r>
          </w:p>
        </w:tc>
        <w:tc>
          <w:tcPr>
            <w:tcW w:w="1250" w:type="pct"/>
          </w:tcPr>
          <w:p w14:paraId="1E393FA0" w14:textId="77777777" w:rsidR="003C0EB4" w:rsidRPr="00FC4F26" w:rsidRDefault="003C0EB4" w:rsidP="008551B6">
            <w:pPr>
              <w:pStyle w:val="NoSpacing"/>
              <w:jc w:val="center"/>
              <w:rPr>
                <w:szCs w:val="20"/>
              </w:rPr>
            </w:pPr>
            <w:r>
              <w:rPr>
                <w:szCs w:val="20"/>
              </w:rPr>
              <w:t>-4.34</w:t>
            </w:r>
          </w:p>
        </w:tc>
        <w:tc>
          <w:tcPr>
            <w:tcW w:w="1250" w:type="pct"/>
          </w:tcPr>
          <w:p w14:paraId="154AAF66" w14:textId="77777777" w:rsidR="003C0EB4" w:rsidRPr="00FC4F26" w:rsidRDefault="003C0EB4" w:rsidP="008551B6">
            <w:pPr>
              <w:pStyle w:val="NoSpacing"/>
              <w:jc w:val="center"/>
              <w:rPr>
                <w:szCs w:val="20"/>
              </w:rPr>
            </w:pPr>
            <w:r>
              <w:rPr>
                <w:szCs w:val="20"/>
              </w:rPr>
              <w:t>(-6.84, -1.84</w:t>
            </w:r>
            <w:r w:rsidRPr="00FC4F26">
              <w:rPr>
                <w:szCs w:val="20"/>
              </w:rPr>
              <w:t>)</w:t>
            </w:r>
          </w:p>
        </w:tc>
        <w:tc>
          <w:tcPr>
            <w:tcW w:w="1249" w:type="pct"/>
          </w:tcPr>
          <w:p w14:paraId="6D37A076" w14:textId="77777777" w:rsidR="003C0EB4" w:rsidRPr="00FC4F26" w:rsidRDefault="003C0EB4" w:rsidP="008551B6">
            <w:pPr>
              <w:pStyle w:val="NoSpacing"/>
              <w:jc w:val="center"/>
              <w:rPr>
                <w:szCs w:val="20"/>
              </w:rPr>
            </w:pPr>
            <w:r>
              <w:rPr>
                <w:szCs w:val="20"/>
              </w:rPr>
              <w:t>0.001</w:t>
            </w:r>
          </w:p>
        </w:tc>
      </w:tr>
      <w:tr w:rsidR="003C0EB4" w:rsidRPr="00FC4F26" w14:paraId="14DB0F62" w14:textId="77777777" w:rsidTr="008551B6">
        <w:tc>
          <w:tcPr>
            <w:tcW w:w="1251" w:type="pct"/>
          </w:tcPr>
          <w:p w14:paraId="340D21F2" w14:textId="77777777" w:rsidR="003C0EB4" w:rsidRPr="00FC4F26" w:rsidRDefault="003C0EB4" w:rsidP="008551B6">
            <w:pPr>
              <w:pStyle w:val="NoSpacing"/>
              <w:rPr>
                <w:szCs w:val="20"/>
              </w:rPr>
            </w:pPr>
            <w:r>
              <w:rPr>
                <w:szCs w:val="20"/>
              </w:rPr>
              <w:t xml:space="preserve">Dose </w:t>
            </w:r>
            <w:r w:rsidRPr="00FC4F26">
              <w:rPr>
                <w:szCs w:val="20"/>
              </w:rPr>
              <w:t>4 vs 1 ml/kg</w:t>
            </w:r>
          </w:p>
        </w:tc>
        <w:tc>
          <w:tcPr>
            <w:tcW w:w="1250" w:type="pct"/>
          </w:tcPr>
          <w:p w14:paraId="76DC1714" w14:textId="77777777" w:rsidR="003C0EB4" w:rsidRPr="00FC4F26" w:rsidRDefault="003C0EB4" w:rsidP="008551B6">
            <w:pPr>
              <w:pStyle w:val="NoSpacing"/>
              <w:jc w:val="center"/>
              <w:rPr>
                <w:szCs w:val="20"/>
              </w:rPr>
            </w:pPr>
            <w:r>
              <w:rPr>
                <w:szCs w:val="20"/>
              </w:rPr>
              <w:t>-6.89</w:t>
            </w:r>
          </w:p>
        </w:tc>
        <w:tc>
          <w:tcPr>
            <w:tcW w:w="1250" w:type="pct"/>
          </w:tcPr>
          <w:p w14:paraId="746E561F" w14:textId="77777777" w:rsidR="003C0EB4" w:rsidRPr="00FC4F26" w:rsidRDefault="003C0EB4" w:rsidP="008551B6">
            <w:pPr>
              <w:pStyle w:val="NoSpacing"/>
              <w:jc w:val="center"/>
              <w:rPr>
                <w:szCs w:val="20"/>
              </w:rPr>
            </w:pPr>
            <w:r>
              <w:rPr>
                <w:szCs w:val="20"/>
              </w:rPr>
              <w:t>(-9.34, -4.45</w:t>
            </w:r>
            <w:r w:rsidRPr="00FC4F26">
              <w:rPr>
                <w:szCs w:val="20"/>
              </w:rPr>
              <w:t>)</w:t>
            </w:r>
          </w:p>
        </w:tc>
        <w:tc>
          <w:tcPr>
            <w:tcW w:w="1249" w:type="pct"/>
          </w:tcPr>
          <w:p w14:paraId="47EAC6D7" w14:textId="77777777" w:rsidR="003C0EB4" w:rsidRPr="00FC4F26" w:rsidRDefault="003C0EB4" w:rsidP="008551B6">
            <w:pPr>
              <w:pStyle w:val="NoSpacing"/>
              <w:jc w:val="center"/>
              <w:rPr>
                <w:szCs w:val="20"/>
              </w:rPr>
            </w:pPr>
            <w:r w:rsidRPr="00FC4F26">
              <w:rPr>
                <w:szCs w:val="20"/>
              </w:rPr>
              <w:t>&lt;0.0</w:t>
            </w:r>
            <w:r>
              <w:rPr>
                <w:szCs w:val="20"/>
              </w:rPr>
              <w:t>0</w:t>
            </w:r>
            <w:r w:rsidRPr="00FC4F26">
              <w:rPr>
                <w:szCs w:val="20"/>
              </w:rPr>
              <w:t>1</w:t>
            </w:r>
          </w:p>
        </w:tc>
      </w:tr>
      <w:tr w:rsidR="003C0EB4" w:rsidRPr="00FC4F26" w14:paraId="2AD676C6" w14:textId="77777777" w:rsidTr="008551B6">
        <w:tc>
          <w:tcPr>
            <w:tcW w:w="1251" w:type="pct"/>
            <w:tcBorders>
              <w:bottom w:val="single" w:sz="4" w:space="0" w:color="auto"/>
            </w:tcBorders>
          </w:tcPr>
          <w:p w14:paraId="32E9DDF2" w14:textId="61E3AEA8" w:rsidR="003C0EB4" w:rsidRPr="00FC4F26" w:rsidRDefault="003C0EB4" w:rsidP="008551B6">
            <w:pPr>
              <w:pStyle w:val="NoSpacing"/>
              <w:rPr>
                <w:szCs w:val="20"/>
              </w:rPr>
            </w:pPr>
            <w:r w:rsidRPr="00D807C8">
              <w:t>Respon</w:t>
            </w:r>
            <w:r w:rsidR="00FC27B1">
              <w:t>ders</w:t>
            </w:r>
          </w:p>
        </w:tc>
        <w:tc>
          <w:tcPr>
            <w:tcW w:w="1250" w:type="pct"/>
            <w:tcBorders>
              <w:bottom w:val="single" w:sz="4" w:space="0" w:color="auto"/>
            </w:tcBorders>
          </w:tcPr>
          <w:p w14:paraId="50F4615C" w14:textId="77777777" w:rsidR="003C0EB4" w:rsidRPr="00FC4F26" w:rsidRDefault="003C0EB4" w:rsidP="008551B6">
            <w:pPr>
              <w:pStyle w:val="NoSpacing"/>
              <w:jc w:val="center"/>
              <w:rPr>
                <w:szCs w:val="20"/>
              </w:rPr>
            </w:pPr>
            <w:r>
              <w:rPr>
                <w:szCs w:val="20"/>
              </w:rPr>
              <w:t>2.35</w:t>
            </w:r>
          </w:p>
        </w:tc>
        <w:tc>
          <w:tcPr>
            <w:tcW w:w="1250" w:type="pct"/>
            <w:tcBorders>
              <w:bottom w:val="single" w:sz="4" w:space="0" w:color="auto"/>
            </w:tcBorders>
          </w:tcPr>
          <w:p w14:paraId="4A47D519" w14:textId="77777777" w:rsidR="003C0EB4" w:rsidRPr="00FC4F26" w:rsidRDefault="003C0EB4" w:rsidP="008551B6">
            <w:pPr>
              <w:pStyle w:val="NoSpacing"/>
              <w:jc w:val="center"/>
              <w:rPr>
                <w:szCs w:val="20"/>
              </w:rPr>
            </w:pPr>
            <w:r>
              <w:rPr>
                <w:szCs w:val="20"/>
              </w:rPr>
              <w:t>(0.60, 4.10</w:t>
            </w:r>
            <w:r w:rsidRPr="00FC4F26">
              <w:rPr>
                <w:szCs w:val="20"/>
              </w:rPr>
              <w:t>)</w:t>
            </w:r>
          </w:p>
        </w:tc>
        <w:tc>
          <w:tcPr>
            <w:tcW w:w="1249" w:type="pct"/>
            <w:tcBorders>
              <w:bottom w:val="single" w:sz="4" w:space="0" w:color="auto"/>
            </w:tcBorders>
          </w:tcPr>
          <w:p w14:paraId="40C6EF48" w14:textId="77777777" w:rsidR="003C0EB4" w:rsidRPr="00FC4F26" w:rsidRDefault="003C0EB4" w:rsidP="008551B6">
            <w:pPr>
              <w:pStyle w:val="NoSpacing"/>
              <w:jc w:val="center"/>
              <w:rPr>
                <w:szCs w:val="20"/>
              </w:rPr>
            </w:pPr>
            <w:r w:rsidRPr="00FC4F26">
              <w:rPr>
                <w:szCs w:val="20"/>
              </w:rPr>
              <w:t>0.0</w:t>
            </w:r>
            <w:r>
              <w:rPr>
                <w:szCs w:val="20"/>
              </w:rPr>
              <w:t>09</w:t>
            </w:r>
          </w:p>
        </w:tc>
      </w:tr>
      <w:tr w:rsidR="003C0EB4" w:rsidRPr="00FC4F26" w14:paraId="4E226692" w14:textId="77777777" w:rsidTr="008551B6">
        <w:tc>
          <w:tcPr>
            <w:tcW w:w="1251" w:type="pct"/>
            <w:tcBorders>
              <w:top w:val="single" w:sz="4" w:space="0" w:color="auto"/>
            </w:tcBorders>
          </w:tcPr>
          <w:p w14:paraId="009746B3" w14:textId="77777777" w:rsidR="003C0EB4" w:rsidRPr="00FC4F26" w:rsidRDefault="003C0EB4" w:rsidP="008551B6">
            <w:pPr>
              <w:pStyle w:val="NoSpacing"/>
              <w:rPr>
                <w:szCs w:val="20"/>
              </w:rPr>
            </w:pPr>
            <w:r w:rsidRPr="00325162">
              <w:rPr>
                <w:b/>
                <w:szCs w:val="20"/>
              </w:rPr>
              <w:sym w:font="Symbol" w:char="F044"/>
            </w:r>
            <w:r>
              <w:rPr>
                <w:b/>
                <w:szCs w:val="20"/>
              </w:rPr>
              <w:t>CVP</w:t>
            </w:r>
          </w:p>
        </w:tc>
        <w:tc>
          <w:tcPr>
            <w:tcW w:w="1250" w:type="pct"/>
            <w:tcBorders>
              <w:top w:val="single" w:sz="4" w:space="0" w:color="auto"/>
            </w:tcBorders>
          </w:tcPr>
          <w:p w14:paraId="4680006B" w14:textId="77777777" w:rsidR="003C0EB4" w:rsidRPr="00FC4F26" w:rsidRDefault="003C0EB4" w:rsidP="008551B6">
            <w:pPr>
              <w:pStyle w:val="NoSpacing"/>
              <w:jc w:val="center"/>
              <w:rPr>
                <w:szCs w:val="20"/>
              </w:rPr>
            </w:pPr>
          </w:p>
        </w:tc>
        <w:tc>
          <w:tcPr>
            <w:tcW w:w="1250" w:type="pct"/>
            <w:tcBorders>
              <w:top w:val="single" w:sz="4" w:space="0" w:color="auto"/>
            </w:tcBorders>
          </w:tcPr>
          <w:p w14:paraId="379CD5F9" w14:textId="77777777" w:rsidR="003C0EB4" w:rsidRPr="00FC4F26" w:rsidRDefault="003C0EB4" w:rsidP="008551B6">
            <w:pPr>
              <w:pStyle w:val="NoSpacing"/>
              <w:jc w:val="center"/>
              <w:rPr>
                <w:szCs w:val="20"/>
              </w:rPr>
            </w:pPr>
          </w:p>
        </w:tc>
        <w:tc>
          <w:tcPr>
            <w:tcW w:w="1249" w:type="pct"/>
            <w:tcBorders>
              <w:top w:val="single" w:sz="4" w:space="0" w:color="auto"/>
            </w:tcBorders>
          </w:tcPr>
          <w:p w14:paraId="16C9933E" w14:textId="77777777" w:rsidR="003C0EB4" w:rsidRPr="00FC4F26" w:rsidRDefault="003C0EB4" w:rsidP="008551B6">
            <w:pPr>
              <w:pStyle w:val="NoSpacing"/>
              <w:jc w:val="center"/>
              <w:rPr>
                <w:szCs w:val="20"/>
              </w:rPr>
            </w:pPr>
          </w:p>
        </w:tc>
      </w:tr>
      <w:tr w:rsidR="003C0EB4" w:rsidRPr="00FC4F26" w14:paraId="0BC5D2EA" w14:textId="77777777" w:rsidTr="008551B6">
        <w:tc>
          <w:tcPr>
            <w:tcW w:w="1251" w:type="pct"/>
            <w:tcBorders>
              <w:top w:val="single" w:sz="4" w:space="0" w:color="auto"/>
            </w:tcBorders>
          </w:tcPr>
          <w:p w14:paraId="18C5DFF5" w14:textId="77777777" w:rsidR="003C0EB4" w:rsidRPr="00FC4F26" w:rsidRDefault="003C0EB4" w:rsidP="008551B6">
            <w:pPr>
              <w:pStyle w:val="NoSpacing"/>
              <w:rPr>
                <w:szCs w:val="20"/>
              </w:rPr>
            </w:pPr>
            <w:r w:rsidRPr="00FC4F26">
              <w:rPr>
                <w:szCs w:val="20"/>
              </w:rPr>
              <w:t>Constant</w:t>
            </w:r>
          </w:p>
        </w:tc>
        <w:tc>
          <w:tcPr>
            <w:tcW w:w="1250" w:type="pct"/>
            <w:tcBorders>
              <w:top w:val="single" w:sz="4" w:space="0" w:color="auto"/>
            </w:tcBorders>
          </w:tcPr>
          <w:p w14:paraId="7A2D8993" w14:textId="77777777" w:rsidR="003C0EB4" w:rsidRPr="00FC4F26" w:rsidRDefault="003C0EB4" w:rsidP="008551B6">
            <w:pPr>
              <w:pStyle w:val="NoSpacing"/>
              <w:jc w:val="center"/>
              <w:rPr>
                <w:szCs w:val="20"/>
              </w:rPr>
            </w:pPr>
            <w:r>
              <w:rPr>
                <w:szCs w:val="20"/>
              </w:rPr>
              <w:t>0.33</w:t>
            </w:r>
          </w:p>
        </w:tc>
        <w:tc>
          <w:tcPr>
            <w:tcW w:w="1250" w:type="pct"/>
            <w:tcBorders>
              <w:top w:val="single" w:sz="4" w:space="0" w:color="auto"/>
            </w:tcBorders>
          </w:tcPr>
          <w:p w14:paraId="4003C8DC" w14:textId="77777777" w:rsidR="003C0EB4" w:rsidRPr="00FC4F26" w:rsidRDefault="003C0EB4" w:rsidP="008551B6">
            <w:pPr>
              <w:pStyle w:val="NoSpacing"/>
              <w:jc w:val="center"/>
              <w:rPr>
                <w:szCs w:val="20"/>
              </w:rPr>
            </w:pPr>
            <w:r>
              <w:rPr>
                <w:szCs w:val="20"/>
              </w:rPr>
              <w:t>(-0.69, 1.34</w:t>
            </w:r>
            <w:r w:rsidRPr="00FC4F26">
              <w:rPr>
                <w:szCs w:val="20"/>
              </w:rPr>
              <w:t>)</w:t>
            </w:r>
          </w:p>
        </w:tc>
        <w:tc>
          <w:tcPr>
            <w:tcW w:w="1249" w:type="pct"/>
            <w:tcBorders>
              <w:top w:val="single" w:sz="4" w:space="0" w:color="auto"/>
            </w:tcBorders>
          </w:tcPr>
          <w:p w14:paraId="6C3D6E85" w14:textId="77777777" w:rsidR="003C0EB4" w:rsidRPr="00FC4F26" w:rsidRDefault="003C0EB4" w:rsidP="008551B6">
            <w:pPr>
              <w:pStyle w:val="NoSpacing"/>
              <w:jc w:val="center"/>
              <w:rPr>
                <w:szCs w:val="20"/>
              </w:rPr>
            </w:pPr>
            <w:r>
              <w:rPr>
                <w:szCs w:val="20"/>
              </w:rPr>
              <w:t>0.52</w:t>
            </w:r>
          </w:p>
        </w:tc>
      </w:tr>
      <w:tr w:rsidR="003C0EB4" w:rsidRPr="00FC4F26" w14:paraId="38E8C51F" w14:textId="77777777" w:rsidTr="008551B6">
        <w:tc>
          <w:tcPr>
            <w:tcW w:w="1251" w:type="pct"/>
          </w:tcPr>
          <w:p w14:paraId="3F391261" w14:textId="77777777" w:rsidR="003C0EB4" w:rsidRPr="00FC4F26" w:rsidRDefault="003C0EB4" w:rsidP="008551B6">
            <w:pPr>
              <w:pStyle w:val="NoSpacing"/>
              <w:rPr>
                <w:szCs w:val="20"/>
              </w:rPr>
            </w:pPr>
            <w:r w:rsidRPr="00FC4F26">
              <w:rPr>
                <w:szCs w:val="20"/>
              </w:rPr>
              <w:t>CVP baseline</w:t>
            </w:r>
          </w:p>
        </w:tc>
        <w:tc>
          <w:tcPr>
            <w:tcW w:w="1250" w:type="pct"/>
          </w:tcPr>
          <w:p w14:paraId="0B82F5FF" w14:textId="77777777" w:rsidR="003C0EB4" w:rsidRPr="00FC4F26" w:rsidRDefault="003C0EB4" w:rsidP="008551B6">
            <w:pPr>
              <w:pStyle w:val="NoSpacing"/>
              <w:jc w:val="center"/>
              <w:rPr>
                <w:szCs w:val="20"/>
              </w:rPr>
            </w:pPr>
            <w:r>
              <w:rPr>
                <w:szCs w:val="20"/>
              </w:rPr>
              <w:t>0.01</w:t>
            </w:r>
          </w:p>
        </w:tc>
        <w:tc>
          <w:tcPr>
            <w:tcW w:w="1250" w:type="pct"/>
          </w:tcPr>
          <w:p w14:paraId="3A23FA8C" w14:textId="77777777" w:rsidR="003C0EB4" w:rsidRPr="00FC4F26" w:rsidRDefault="003C0EB4" w:rsidP="008551B6">
            <w:pPr>
              <w:pStyle w:val="NoSpacing"/>
              <w:jc w:val="center"/>
              <w:rPr>
                <w:szCs w:val="20"/>
              </w:rPr>
            </w:pPr>
            <w:r>
              <w:rPr>
                <w:szCs w:val="20"/>
              </w:rPr>
              <w:t>(-0.06, 0.09</w:t>
            </w:r>
            <w:r w:rsidRPr="00FC4F26">
              <w:rPr>
                <w:szCs w:val="20"/>
              </w:rPr>
              <w:t>)</w:t>
            </w:r>
          </w:p>
        </w:tc>
        <w:tc>
          <w:tcPr>
            <w:tcW w:w="1249" w:type="pct"/>
          </w:tcPr>
          <w:p w14:paraId="114FAE92" w14:textId="77777777" w:rsidR="003C0EB4" w:rsidRPr="00FC4F26" w:rsidRDefault="003C0EB4" w:rsidP="008551B6">
            <w:pPr>
              <w:pStyle w:val="NoSpacing"/>
              <w:jc w:val="center"/>
              <w:rPr>
                <w:szCs w:val="20"/>
              </w:rPr>
            </w:pPr>
            <w:r>
              <w:rPr>
                <w:szCs w:val="20"/>
              </w:rPr>
              <w:t>0.74</w:t>
            </w:r>
          </w:p>
        </w:tc>
      </w:tr>
      <w:tr w:rsidR="003C0EB4" w:rsidRPr="00FC4F26" w14:paraId="4E8D9005" w14:textId="77777777" w:rsidTr="008551B6">
        <w:tc>
          <w:tcPr>
            <w:tcW w:w="1251" w:type="pct"/>
          </w:tcPr>
          <w:p w14:paraId="54DF04EF" w14:textId="77777777" w:rsidR="003C0EB4" w:rsidRPr="00FC4F26" w:rsidRDefault="003C0EB4" w:rsidP="008551B6">
            <w:pPr>
              <w:pStyle w:val="NoSpacing"/>
              <w:rPr>
                <w:szCs w:val="20"/>
              </w:rPr>
            </w:pPr>
            <w:r>
              <w:rPr>
                <w:szCs w:val="20"/>
              </w:rPr>
              <w:t xml:space="preserve">Dose </w:t>
            </w:r>
            <w:r w:rsidRPr="00FC4F26">
              <w:rPr>
                <w:szCs w:val="20"/>
              </w:rPr>
              <w:t>2 vs 1 ml/kg</w:t>
            </w:r>
          </w:p>
        </w:tc>
        <w:tc>
          <w:tcPr>
            <w:tcW w:w="1250" w:type="pct"/>
          </w:tcPr>
          <w:p w14:paraId="0ACD3A64" w14:textId="77777777" w:rsidR="003C0EB4" w:rsidRPr="00FC4F26" w:rsidRDefault="003C0EB4" w:rsidP="008551B6">
            <w:pPr>
              <w:pStyle w:val="NoSpacing"/>
              <w:jc w:val="center"/>
              <w:rPr>
                <w:szCs w:val="20"/>
              </w:rPr>
            </w:pPr>
            <w:r>
              <w:rPr>
                <w:szCs w:val="20"/>
              </w:rPr>
              <w:t>0.38</w:t>
            </w:r>
          </w:p>
        </w:tc>
        <w:tc>
          <w:tcPr>
            <w:tcW w:w="1250" w:type="pct"/>
          </w:tcPr>
          <w:p w14:paraId="7E45C193" w14:textId="77777777" w:rsidR="003C0EB4" w:rsidRPr="00FC4F26" w:rsidRDefault="003C0EB4" w:rsidP="008551B6">
            <w:pPr>
              <w:pStyle w:val="NoSpacing"/>
              <w:jc w:val="center"/>
              <w:rPr>
                <w:szCs w:val="20"/>
              </w:rPr>
            </w:pPr>
            <w:r>
              <w:rPr>
                <w:szCs w:val="20"/>
              </w:rPr>
              <w:t>(-0.44, 1.21</w:t>
            </w:r>
            <w:r w:rsidRPr="00FC4F26">
              <w:rPr>
                <w:szCs w:val="20"/>
              </w:rPr>
              <w:t>)</w:t>
            </w:r>
          </w:p>
        </w:tc>
        <w:tc>
          <w:tcPr>
            <w:tcW w:w="1249" w:type="pct"/>
          </w:tcPr>
          <w:p w14:paraId="55202DE5" w14:textId="77777777" w:rsidR="003C0EB4" w:rsidRPr="00FC4F26" w:rsidRDefault="003C0EB4" w:rsidP="008551B6">
            <w:pPr>
              <w:pStyle w:val="NoSpacing"/>
              <w:jc w:val="center"/>
              <w:rPr>
                <w:szCs w:val="20"/>
              </w:rPr>
            </w:pPr>
            <w:r>
              <w:rPr>
                <w:szCs w:val="20"/>
              </w:rPr>
              <w:t>0.35</w:t>
            </w:r>
          </w:p>
        </w:tc>
      </w:tr>
      <w:tr w:rsidR="003C0EB4" w:rsidRPr="00FC4F26" w14:paraId="08AEE172" w14:textId="77777777" w:rsidTr="008551B6">
        <w:tc>
          <w:tcPr>
            <w:tcW w:w="1251" w:type="pct"/>
          </w:tcPr>
          <w:p w14:paraId="27DAE3E3" w14:textId="77777777" w:rsidR="003C0EB4" w:rsidRPr="00FC4F26" w:rsidRDefault="003C0EB4" w:rsidP="008551B6">
            <w:pPr>
              <w:pStyle w:val="NoSpacing"/>
              <w:rPr>
                <w:szCs w:val="20"/>
              </w:rPr>
            </w:pPr>
            <w:r>
              <w:rPr>
                <w:szCs w:val="20"/>
              </w:rPr>
              <w:t xml:space="preserve">Dose </w:t>
            </w:r>
            <w:r w:rsidRPr="00FC4F26">
              <w:rPr>
                <w:szCs w:val="20"/>
              </w:rPr>
              <w:t>3 vs 1 ml/kg</w:t>
            </w:r>
          </w:p>
        </w:tc>
        <w:tc>
          <w:tcPr>
            <w:tcW w:w="1250" w:type="pct"/>
          </w:tcPr>
          <w:p w14:paraId="13654DAA" w14:textId="77777777" w:rsidR="003C0EB4" w:rsidRPr="00FC4F26" w:rsidRDefault="003C0EB4" w:rsidP="008551B6">
            <w:pPr>
              <w:pStyle w:val="NoSpacing"/>
              <w:jc w:val="center"/>
              <w:rPr>
                <w:szCs w:val="20"/>
              </w:rPr>
            </w:pPr>
            <w:r>
              <w:rPr>
                <w:szCs w:val="20"/>
              </w:rPr>
              <w:t>0.76</w:t>
            </w:r>
          </w:p>
        </w:tc>
        <w:tc>
          <w:tcPr>
            <w:tcW w:w="1250" w:type="pct"/>
          </w:tcPr>
          <w:p w14:paraId="30613033" w14:textId="77777777" w:rsidR="003C0EB4" w:rsidRPr="00FC4F26" w:rsidRDefault="003C0EB4" w:rsidP="008551B6">
            <w:pPr>
              <w:pStyle w:val="NoSpacing"/>
              <w:jc w:val="center"/>
              <w:rPr>
                <w:szCs w:val="20"/>
              </w:rPr>
            </w:pPr>
            <w:r>
              <w:rPr>
                <w:szCs w:val="20"/>
              </w:rPr>
              <w:t>(-0.08, 1.59</w:t>
            </w:r>
            <w:r w:rsidRPr="00FC4F26">
              <w:rPr>
                <w:szCs w:val="20"/>
              </w:rPr>
              <w:t>)</w:t>
            </w:r>
          </w:p>
        </w:tc>
        <w:tc>
          <w:tcPr>
            <w:tcW w:w="1249" w:type="pct"/>
          </w:tcPr>
          <w:p w14:paraId="1B82EC45" w14:textId="77777777" w:rsidR="003C0EB4" w:rsidRPr="00FC4F26" w:rsidRDefault="003C0EB4" w:rsidP="008551B6">
            <w:pPr>
              <w:pStyle w:val="NoSpacing"/>
              <w:jc w:val="center"/>
              <w:rPr>
                <w:szCs w:val="20"/>
              </w:rPr>
            </w:pPr>
            <w:r>
              <w:rPr>
                <w:szCs w:val="20"/>
              </w:rPr>
              <w:t>0.08</w:t>
            </w:r>
          </w:p>
        </w:tc>
      </w:tr>
      <w:tr w:rsidR="003C0EB4" w:rsidRPr="00FC4F26" w14:paraId="05D9AB1B" w14:textId="77777777" w:rsidTr="008551B6">
        <w:tc>
          <w:tcPr>
            <w:tcW w:w="1251" w:type="pct"/>
          </w:tcPr>
          <w:p w14:paraId="380B85BE" w14:textId="77777777" w:rsidR="003C0EB4" w:rsidRPr="00FC4F26" w:rsidRDefault="003C0EB4" w:rsidP="008551B6">
            <w:pPr>
              <w:pStyle w:val="NoSpacing"/>
              <w:rPr>
                <w:szCs w:val="20"/>
              </w:rPr>
            </w:pPr>
            <w:r>
              <w:rPr>
                <w:szCs w:val="20"/>
              </w:rPr>
              <w:t xml:space="preserve">Dose </w:t>
            </w:r>
            <w:r w:rsidRPr="00FC4F26">
              <w:rPr>
                <w:szCs w:val="20"/>
              </w:rPr>
              <w:t>4 vs 1 ml/kg</w:t>
            </w:r>
          </w:p>
        </w:tc>
        <w:tc>
          <w:tcPr>
            <w:tcW w:w="1250" w:type="pct"/>
          </w:tcPr>
          <w:p w14:paraId="2D168DC3" w14:textId="77777777" w:rsidR="003C0EB4" w:rsidRPr="00FC4F26" w:rsidRDefault="003C0EB4" w:rsidP="008551B6">
            <w:pPr>
              <w:pStyle w:val="NoSpacing"/>
              <w:jc w:val="center"/>
              <w:rPr>
                <w:szCs w:val="20"/>
              </w:rPr>
            </w:pPr>
            <w:r>
              <w:rPr>
                <w:szCs w:val="20"/>
              </w:rPr>
              <w:t>1.96</w:t>
            </w:r>
          </w:p>
        </w:tc>
        <w:tc>
          <w:tcPr>
            <w:tcW w:w="1250" w:type="pct"/>
          </w:tcPr>
          <w:p w14:paraId="55492D1B" w14:textId="77777777" w:rsidR="003C0EB4" w:rsidRPr="00FC4F26" w:rsidRDefault="003C0EB4" w:rsidP="008551B6">
            <w:pPr>
              <w:pStyle w:val="NoSpacing"/>
              <w:jc w:val="center"/>
              <w:rPr>
                <w:szCs w:val="20"/>
              </w:rPr>
            </w:pPr>
            <w:r>
              <w:rPr>
                <w:szCs w:val="20"/>
              </w:rPr>
              <w:t>(1.09, 2.83</w:t>
            </w:r>
            <w:r w:rsidRPr="00FC4F26">
              <w:rPr>
                <w:szCs w:val="20"/>
              </w:rPr>
              <w:t>)</w:t>
            </w:r>
          </w:p>
        </w:tc>
        <w:tc>
          <w:tcPr>
            <w:tcW w:w="1249" w:type="pct"/>
          </w:tcPr>
          <w:p w14:paraId="735458A5" w14:textId="77777777" w:rsidR="003C0EB4" w:rsidRPr="00FC4F26" w:rsidRDefault="003C0EB4" w:rsidP="008551B6">
            <w:pPr>
              <w:pStyle w:val="NoSpacing"/>
              <w:jc w:val="center"/>
              <w:rPr>
                <w:szCs w:val="20"/>
              </w:rPr>
            </w:pPr>
            <w:r>
              <w:rPr>
                <w:szCs w:val="20"/>
              </w:rPr>
              <w:t>&lt;0.001</w:t>
            </w:r>
          </w:p>
        </w:tc>
      </w:tr>
      <w:tr w:rsidR="003C0EB4" w:rsidRPr="00FC4F26" w14:paraId="11F3536D" w14:textId="77777777" w:rsidTr="008551B6">
        <w:tc>
          <w:tcPr>
            <w:tcW w:w="1251" w:type="pct"/>
            <w:tcBorders>
              <w:bottom w:val="single" w:sz="4" w:space="0" w:color="auto"/>
            </w:tcBorders>
          </w:tcPr>
          <w:p w14:paraId="0A85D359" w14:textId="2B0FBF00" w:rsidR="003C0EB4" w:rsidRPr="00FC4F26" w:rsidRDefault="003C0EB4" w:rsidP="008551B6">
            <w:pPr>
              <w:pStyle w:val="NoSpacing"/>
              <w:rPr>
                <w:szCs w:val="20"/>
              </w:rPr>
            </w:pPr>
            <w:r w:rsidRPr="00D807C8">
              <w:t>Respon</w:t>
            </w:r>
            <w:r w:rsidR="00FC27B1">
              <w:t>ders</w:t>
            </w:r>
          </w:p>
        </w:tc>
        <w:tc>
          <w:tcPr>
            <w:tcW w:w="1250" w:type="pct"/>
            <w:tcBorders>
              <w:bottom w:val="single" w:sz="4" w:space="0" w:color="auto"/>
            </w:tcBorders>
          </w:tcPr>
          <w:p w14:paraId="4B09BB13" w14:textId="77777777" w:rsidR="003C0EB4" w:rsidRPr="00FC4F26" w:rsidRDefault="003C0EB4" w:rsidP="008551B6">
            <w:pPr>
              <w:pStyle w:val="NoSpacing"/>
              <w:jc w:val="center"/>
              <w:rPr>
                <w:szCs w:val="20"/>
              </w:rPr>
            </w:pPr>
            <w:r>
              <w:rPr>
                <w:szCs w:val="20"/>
              </w:rPr>
              <w:t>0.18</w:t>
            </w:r>
          </w:p>
        </w:tc>
        <w:tc>
          <w:tcPr>
            <w:tcW w:w="1250" w:type="pct"/>
            <w:tcBorders>
              <w:bottom w:val="single" w:sz="4" w:space="0" w:color="auto"/>
            </w:tcBorders>
          </w:tcPr>
          <w:p w14:paraId="4F5A9527" w14:textId="77777777" w:rsidR="003C0EB4" w:rsidRPr="00FC4F26" w:rsidRDefault="003C0EB4" w:rsidP="008551B6">
            <w:pPr>
              <w:pStyle w:val="NoSpacing"/>
              <w:jc w:val="center"/>
              <w:rPr>
                <w:szCs w:val="20"/>
              </w:rPr>
            </w:pPr>
            <w:r>
              <w:rPr>
                <w:szCs w:val="20"/>
              </w:rPr>
              <w:t>(-0.45, 0.81</w:t>
            </w:r>
            <w:r w:rsidRPr="00FC4F26">
              <w:rPr>
                <w:szCs w:val="20"/>
              </w:rPr>
              <w:t>)</w:t>
            </w:r>
          </w:p>
        </w:tc>
        <w:tc>
          <w:tcPr>
            <w:tcW w:w="1249" w:type="pct"/>
            <w:tcBorders>
              <w:bottom w:val="single" w:sz="4" w:space="0" w:color="auto"/>
            </w:tcBorders>
          </w:tcPr>
          <w:p w14:paraId="6118DD6C" w14:textId="77777777" w:rsidR="003C0EB4" w:rsidRPr="00FC4F26" w:rsidRDefault="003C0EB4" w:rsidP="008551B6">
            <w:pPr>
              <w:pStyle w:val="NoSpacing"/>
              <w:jc w:val="center"/>
              <w:rPr>
                <w:szCs w:val="20"/>
              </w:rPr>
            </w:pPr>
            <w:r>
              <w:rPr>
                <w:szCs w:val="20"/>
              </w:rPr>
              <w:t>0.57</w:t>
            </w:r>
          </w:p>
        </w:tc>
      </w:tr>
      <w:tr w:rsidR="003C0EB4" w:rsidRPr="00FC4F26" w14:paraId="5F0558A6" w14:textId="77777777" w:rsidTr="008551B6">
        <w:tc>
          <w:tcPr>
            <w:tcW w:w="1251" w:type="pct"/>
            <w:tcBorders>
              <w:top w:val="single" w:sz="4" w:space="0" w:color="auto"/>
            </w:tcBorders>
          </w:tcPr>
          <w:p w14:paraId="3ED4323F" w14:textId="77777777" w:rsidR="003C0EB4" w:rsidRPr="00FC4F26" w:rsidRDefault="003C0EB4" w:rsidP="008551B6">
            <w:pPr>
              <w:pStyle w:val="NoSpacing"/>
              <w:rPr>
                <w:szCs w:val="20"/>
              </w:rPr>
            </w:pPr>
            <w:r w:rsidRPr="00325162">
              <w:rPr>
                <w:b/>
                <w:szCs w:val="20"/>
              </w:rPr>
              <w:sym w:font="Symbol" w:char="F044"/>
            </w:r>
            <w:r>
              <w:rPr>
                <w:b/>
                <w:szCs w:val="20"/>
              </w:rPr>
              <w:t>MAP</w:t>
            </w:r>
          </w:p>
        </w:tc>
        <w:tc>
          <w:tcPr>
            <w:tcW w:w="1250" w:type="pct"/>
            <w:tcBorders>
              <w:top w:val="single" w:sz="4" w:space="0" w:color="auto"/>
            </w:tcBorders>
          </w:tcPr>
          <w:p w14:paraId="6D9876D2" w14:textId="77777777" w:rsidR="003C0EB4" w:rsidRPr="00FC4F26" w:rsidRDefault="003C0EB4" w:rsidP="008551B6">
            <w:pPr>
              <w:pStyle w:val="NoSpacing"/>
              <w:jc w:val="center"/>
              <w:rPr>
                <w:szCs w:val="20"/>
              </w:rPr>
            </w:pPr>
          </w:p>
        </w:tc>
        <w:tc>
          <w:tcPr>
            <w:tcW w:w="1250" w:type="pct"/>
            <w:tcBorders>
              <w:top w:val="single" w:sz="4" w:space="0" w:color="auto"/>
            </w:tcBorders>
          </w:tcPr>
          <w:p w14:paraId="0D1351A0" w14:textId="77777777" w:rsidR="003C0EB4" w:rsidRPr="00FC4F26" w:rsidRDefault="003C0EB4" w:rsidP="008551B6">
            <w:pPr>
              <w:pStyle w:val="NoSpacing"/>
              <w:jc w:val="center"/>
              <w:rPr>
                <w:szCs w:val="20"/>
              </w:rPr>
            </w:pPr>
          </w:p>
        </w:tc>
        <w:tc>
          <w:tcPr>
            <w:tcW w:w="1249" w:type="pct"/>
            <w:tcBorders>
              <w:top w:val="single" w:sz="4" w:space="0" w:color="auto"/>
            </w:tcBorders>
          </w:tcPr>
          <w:p w14:paraId="392F1A01" w14:textId="77777777" w:rsidR="003C0EB4" w:rsidRPr="00FC4F26" w:rsidRDefault="003C0EB4" w:rsidP="008551B6">
            <w:pPr>
              <w:pStyle w:val="NoSpacing"/>
              <w:jc w:val="center"/>
              <w:rPr>
                <w:szCs w:val="20"/>
              </w:rPr>
            </w:pPr>
          </w:p>
        </w:tc>
      </w:tr>
      <w:tr w:rsidR="003C0EB4" w:rsidRPr="00FC4F26" w14:paraId="3865C00D" w14:textId="77777777" w:rsidTr="008551B6">
        <w:tc>
          <w:tcPr>
            <w:tcW w:w="1251" w:type="pct"/>
            <w:tcBorders>
              <w:top w:val="single" w:sz="4" w:space="0" w:color="auto"/>
            </w:tcBorders>
          </w:tcPr>
          <w:p w14:paraId="6B26D2A9" w14:textId="77777777" w:rsidR="003C0EB4" w:rsidRPr="00FC4F26" w:rsidRDefault="003C0EB4" w:rsidP="008551B6">
            <w:pPr>
              <w:pStyle w:val="NoSpacing"/>
              <w:rPr>
                <w:szCs w:val="20"/>
              </w:rPr>
            </w:pPr>
            <w:r w:rsidRPr="00FC4F26">
              <w:rPr>
                <w:szCs w:val="20"/>
              </w:rPr>
              <w:t>Constant</w:t>
            </w:r>
          </w:p>
        </w:tc>
        <w:tc>
          <w:tcPr>
            <w:tcW w:w="1250" w:type="pct"/>
            <w:tcBorders>
              <w:top w:val="single" w:sz="4" w:space="0" w:color="auto"/>
            </w:tcBorders>
          </w:tcPr>
          <w:p w14:paraId="4B6C8EFC" w14:textId="77777777" w:rsidR="003C0EB4" w:rsidRPr="00FC4F26" w:rsidRDefault="003C0EB4" w:rsidP="008551B6">
            <w:pPr>
              <w:pStyle w:val="NoSpacing"/>
              <w:jc w:val="center"/>
              <w:rPr>
                <w:szCs w:val="20"/>
              </w:rPr>
            </w:pPr>
            <w:r>
              <w:rPr>
                <w:szCs w:val="20"/>
              </w:rPr>
              <w:t>1.69</w:t>
            </w:r>
          </w:p>
        </w:tc>
        <w:tc>
          <w:tcPr>
            <w:tcW w:w="1250" w:type="pct"/>
            <w:tcBorders>
              <w:top w:val="single" w:sz="4" w:space="0" w:color="auto"/>
            </w:tcBorders>
          </w:tcPr>
          <w:p w14:paraId="1EB6417A" w14:textId="77777777" w:rsidR="003C0EB4" w:rsidRPr="00FC4F26" w:rsidRDefault="003C0EB4" w:rsidP="008551B6">
            <w:pPr>
              <w:pStyle w:val="NoSpacing"/>
              <w:jc w:val="center"/>
              <w:rPr>
                <w:szCs w:val="20"/>
              </w:rPr>
            </w:pPr>
            <w:r>
              <w:rPr>
                <w:szCs w:val="20"/>
              </w:rPr>
              <w:t>(-0.54, 3.93</w:t>
            </w:r>
            <w:r w:rsidRPr="00FC4F26">
              <w:rPr>
                <w:szCs w:val="20"/>
              </w:rPr>
              <w:t>)</w:t>
            </w:r>
          </w:p>
        </w:tc>
        <w:tc>
          <w:tcPr>
            <w:tcW w:w="1249" w:type="pct"/>
            <w:tcBorders>
              <w:top w:val="single" w:sz="4" w:space="0" w:color="auto"/>
            </w:tcBorders>
          </w:tcPr>
          <w:p w14:paraId="50FA9653" w14:textId="77777777" w:rsidR="003C0EB4" w:rsidRPr="00FC4F26" w:rsidRDefault="003C0EB4" w:rsidP="008551B6">
            <w:pPr>
              <w:pStyle w:val="NoSpacing"/>
              <w:jc w:val="center"/>
              <w:rPr>
                <w:szCs w:val="20"/>
              </w:rPr>
            </w:pPr>
            <w:r>
              <w:rPr>
                <w:szCs w:val="20"/>
              </w:rPr>
              <w:t>0.14</w:t>
            </w:r>
          </w:p>
        </w:tc>
      </w:tr>
      <w:tr w:rsidR="003C0EB4" w:rsidRPr="00FC4F26" w14:paraId="44C0EF12" w14:textId="77777777" w:rsidTr="008551B6">
        <w:tc>
          <w:tcPr>
            <w:tcW w:w="1251" w:type="pct"/>
          </w:tcPr>
          <w:p w14:paraId="32857AA8" w14:textId="77777777" w:rsidR="003C0EB4" w:rsidRPr="00FC4F26" w:rsidRDefault="003C0EB4" w:rsidP="008551B6">
            <w:pPr>
              <w:pStyle w:val="NoSpacing"/>
              <w:rPr>
                <w:szCs w:val="20"/>
              </w:rPr>
            </w:pPr>
            <w:r w:rsidRPr="00FC4F26">
              <w:rPr>
                <w:szCs w:val="20"/>
              </w:rPr>
              <w:t>MAP baseline</w:t>
            </w:r>
          </w:p>
        </w:tc>
        <w:tc>
          <w:tcPr>
            <w:tcW w:w="1250" w:type="pct"/>
          </w:tcPr>
          <w:p w14:paraId="45BF40E5" w14:textId="77777777" w:rsidR="003C0EB4" w:rsidRPr="00FC4F26" w:rsidRDefault="003C0EB4" w:rsidP="008551B6">
            <w:pPr>
              <w:pStyle w:val="NoSpacing"/>
              <w:jc w:val="center"/>
              <w:rPr>
                <w:szCs w:val="20"/>
              </w:rPr>
            </w:pPr>
            <w:r>
              <w:rPr>
                <w:szCs w:val="20"/>
              </w:rPr>
              <w:t>-0.12</w:t>
            </w:r>
          </w:p>
        </w:tc>
        <w:tc>
          <w:tcPr>
            <w:tcW w:w="1250" w:type="pct"/>
          </w:tcPr>
          <w:p w14:paraId="55295E11" w14:textId="77777777" w:rsidR="003C0EB4" w:rsidRPr="00FC4F26" w:rsidRDefault="003C0EB4" w:rsidP="008551B6">
            <w:pPr>
              <w:pStyle w:val="NoSpacing"/>
              <w:jc w:val="center"/>
              <w:rPr>
                <w:szCs w:val="20"/>
              </w:rPr>
            </w:pPr>
            <w:r w:rsidRPr="00FC4F26">
              <w:rPr>
                <w:szCs w:val="20"/>
              </w:rPr>
              <w:t>(-0.24, 0.01)</w:t>
            </w:r>
          </w:p>
        </w:tc>
        <w:tc>
          <w:tcPr>
            <w:tcW w:w="1249" w:type="pct"/>
          </w:tcPr>
          <w:p w14:paraId="2F0A99F4" w14:textId="77777777" w:rsidR="003C0EB4" w:rsidRPr="00FC4F26" w:rsidRDefault="003C0EB4" w:rsidP="008551B6">
            <w:pPr>
              <w:pStyle w:val="NoSpacing"/>
              <w:jc w:val="center"/>
              <w:rPr>
                <w:szCs w:val="20"/>
              </w:rPr>
            </w:pPr>
            <w:r w:rsidRPr="00FC4F26">
              <w:rPr>
                <w:szCs w:val="20"/>
              </w:rPr>
              <w:t>0.04</w:t>
            </w:r>
          </w:p>
        </w:tc>
      </w:tr>
      <w:tr w:rsidR="003C0EB4" w:rsidRPr="00FC4F26" w14:paraId="30C87150" w14:textId="77777777" w:rsidTr="008551B6">
        <w:tc>
          <w:tcPr>
            <w:tcW w:w="1251" w:type="pct"/>
          </w:tcPr>
          <w:p w14:paraId="38A05FAE" w14:textId="77777777" w:rsidR="003C0EB4" w:rsidRPr="00FC4F26" w:rsidRDefault="003C0EB4" w:rsidP="008551B6">
            <w:pPr>
              <w:pStyle w:val="NoSpacing"/>
              <w:rPr>
                <w:szCs w:val="20"/>
              </w:rPr>
            </w:pPr>
            <w:r>
              <w:rPr>
                <w:szCs w:val="20"/>
              </w:rPr>
              <w:t xml:space="preserve">Dose </w:t>
            </w:r>
            <w:r w:rsidRPr="00FC4F26">
              <w:rPr>
                <w:szCs w:val="20"/>
              </w:rPr>
              <w:t>2 vs 1 ml/kg</w:t>
            </w:r>
          </w:p>
        </w:tc>
        <w:tc>
          <w:tcPr>
            <w:tcW w:w="1250" w:type="pct"/>
          </w:tcPr>
          <w:p w14:paraId="7B835D64" w14:textId="77777777" w:rsidR="003C0EB4" w:rsidRPr="00FC4F26" w:rsidRDefault="003C0EB4" w:rsidP="008551B6">
            <w:pPr>
              <w:pStyle w:val="NoSpacing"/>
              <w:jc w:val="center"/>
              <w:rPr>
                <w:szCs w:val="20"/>
              </w:rPr>
            </w:pPr>
            <w:r>
              <w:rPr>
                <w:szCs w:val="20"/>
              </w:rPr>
              <w:t>2.81</w:t>
            </w:r>
          </w:p>
        </w:tc>
        <w:tc>
          <w:tcPr>
            <w:tcW w:w="1250" w:type="pct"/>
          </w:tcPr>
          <w:p w14:paraId="79A2B498" w14:textId="77777777" w:rsidR="003C0EB4" w:rsidRPr="00FC4F26" w:rsidRDefault="003C0EB4" w:rsidP="008551B6">
            <w:pPr>
              <w:pStyle w:val="NoSpacing"/>
              <w:jc w:val="center"/>
              <w:rPr>
                <w:szCs w:val="20"/>
              </w:rPr>
            </w:pPr>
            <w:r>
              <w:rPr>
                <w:szCs w:val="20"/>
              </w:rPr>
              <w:t>(-0.27, 5.89</w:t>
            </w:r>
            <w:r w:rsidRPr="00FC4F26">
              <w:rPr>
                <w:szCs w:val="20"/>
              </w:rPr>
              <w:t>)</w:t>
            </w:r>
          </w:p>
        </w:tc>
        <w:tc>
          <w:tcPr>
            <w:tcW w:w="1249" w:type="pct"/>
          </w:tcPr>
          <w:p w14:paraId="71F72161" w14:textId="77777777" w:rsidR="003C0EB4" w:rsidRPr="00FC4F26" w:rsidRDefault="003C0EB4" w:rsidP="008551B6">
            <w:pPr>
              <w:pStyle w:val="NoSpacing"/>
              <w:jc w:val="center"/>
              <w:rPr>
                <w:szCs w:val="20"/>
              </w:rPr>
            </w:pPr>
            <w:r>
              <w:rPr>
                <w:szCs w:val="20"/>
              </w:rPr>
              <w:t>0.07</w:t>
            </w:r>
          </w:p>
        </w:tc>
      </w:tr>
      <w:tr w:rsidR="003C0EB4" w:rsidRPr="00FC4F26" w14:paraId="21848B5F" w14:textId="77777777" w:rsidTr="008551B6">
        <w:tc>
          <w:tcPr>
            <w:tcW w:w="1251" w:type="pct"/>
          </w:tcPr>
          <w:p w14:paraId="14AFD345" w14:textId="77777777" w:rsidR="003C0EB4" w:rsidRPr="00FC4F26" w:rsidRDefault="003C0EB4" w:rsidP="008551B6">
            <w:pPr>
              <w:pStyle w:val="NoSpacing"/>
              <w:rPr>
                <w:szCs w:val="20"/>
              </w:rPr>
            </w:pPr>
            <w:r>
              <w:rPr>
                <w:szCs w:val="20"/>
              </w:rPr>
              <w:t xml:space="preserve">Dose </w:t>
            </w:r>
            <w:r w:rsidRPr="00FC4F26">
              <w:rPr>
                <w:szCs w:val="20"/>
              </w:rPr>
              <w:t>3 vs 1 ml/kg</w:t>
            </w:r>
          </w:p>
        </w:tc>
        <w:tc>
          <w:tcPr>
            <w:tcW w:w="1250" w:type="pct"/>
          </w:tcPr>
          <w:p w14:paraId="3848C34D" w14:textId="77777777" w:rsidR="003C0EB4" w:rsidRPr="00FC4F26" w:rsidRDefault="003C0EB4" w:rsidP="008551B6">
            <w:pPr>
              <w:pStyle w:val="NoSpacing"/>
              <w:jc w:val="center"/>
              <w:rPr>
                <w:szCs w:val="20"/>
              </w:rPr>
            </w:pPr>
            <w:r>
              <w:rPr>
                <w:szCs w:val="20"/>
              </w:rPr>
              <w:t>-0.24</w:t>
            </w:r>
          </w:p>
        </w:tc>
        <w:tc>
          <w:tcPr>
            <w:tcW w:w="1250" w:type="pct"/>
          </w:tcPr>
          <w:p w14:paraId="5A793484" w14:textId="77777777" w:rsidR="003C0EB4" w:rsidRPr="00FC4F26" w:rsidRDefault="003C0EB4" w:rsidP="008551B6">
            <w:pPr>
              <w:pStyle w:val="NoSpacing"/>
              <w:jc w:val="center"/>
              <w:rPr>
                <w:szCs w:val="20"/>
              </w:rPr>
            </w:pPr>
            <w:r>
              <w:rPr>
                <w:szCs w:val="20"/>
              </w:rPr>
              <w:t>(-3.42, 2.95</w:t>
            </w:r>
            <w:r w:rsidRPr="00FC4F26">
              <w:rPr>
                <w:szCs w:val="20"/>
              </w:rPr>
              <w:t>)</w:t>
            </w:r>
          </w:p>
        </w:tc>
        <w:tc>
          <w:tcPr>
            <w:tcW w:w="1249" w:type="pct"/>
          </w:tcPr>
          <w:p w14:paraId="76E09A18" w14:textId="77777777" w:rsidR="003C0EB4" w:rsidRPr="00FC4F26" w:rsidRDefault="003C0EB4" w:rsidP="008551B6">
            <w:pPr>
              <w:pStyle w:val="NoSpacing"/>
              <w:jc w:val="center"/>
              <w:rPr>
                <w:szCs w:val="20"/>
              </w:rPr>
            </w:pPr>
            <w:r>
              <w:rPr>
                <w:szCs w:val="20"/>
              </w:rPr>
              <w:t>0.88</w:t>
            </w:r>
          </w:p>
        </w:tc>
      </w:tr>
      <w:tr w:rsidR="003C0EB4" w:rsidRPr="00FC4F26" w14:paraId="4C844A4C" w14:textId="77777777" w:rsidTr="008551B6">
        <w:tc>
          <w:tcPr>
            <w:tcW w:w="1251" w:type="pct"/>
          </w:tcPr>
          <w:p w14:paraId="74E390B4" w14:textId="77777777" w:rsidR="003C0EB4" w:rsidRPr="00FC4F26" w:rsidRDefault="003C0EB4" w:rsidP="008551B6">
            <w:pPr>
              <w:pStyle w:val="NoSpacing"/>
              <w:rPr>
                <w:szCs w:val="20"/>
              </w:rPr>
            </w:pPr>
            <w:r>
              <w:rPr>
                <w:szCs w:val="20"/>
              </w:rPr>
              <w:t xml:space="preserve">Dose </w:t>
            </w:r>
            <w:r w:rsidRPr="00FC4F26">
              <w:rPr>
                <w:szCs w:val="20"/>
              </w:rPr>
              <w:t>4 vs 1 ml/kg</w:t>
            </w:r>
          </w:p>
        </w:tc>
        <w:tc>
          <w:tcPr>
            <w:tcW w:w="1250" w:type="pct"/>
          </w:tcPr>
          <w:p w14:paraId="59333762" w14:textId="77777777" w:rsidR="003C0EB4" w:rsidRPr="00FC4F26" w:rsidRDefault="003C0EB4" w:rsidP="008551B6">
            <w:pPr>
              <w:pStyle w:val="NoSpacing"/>
              <w:jc w:val="center"/>
              <w:rPr>
                <w:szCs w:val="20"/>
              </w:rPr>
            </w:pPr>
            <w:r>
              <w:rPr>
                <w:szCs w:val="20"/>
              </w:rPr>
              <w:t>5.3</w:t>
            </w:r>
            <w:r w:rsidRPr="00FC4F26">
              <w:rPr>
                <w:szCs w:val="20"/>
              </w:rPr>
              <w:t>1</w:t>
            </w:r>
          </w:p>
        </w:tc>
        <w:tc>
          <w:tcPr>
            <w:tcW w:w="1250" w:type="pct"/>
          </w:tcPr>
          <w:p w14:paraId="1CE09D52" w14:textId="77777777" w:rsidR="003C0EB4" w:rsidRPr="00FC4F26" w:rsidRDefault="003C0EB4" w:rsidP="008551B6">
            <w:pPr>
              <w:pStyle w:val="NoSpacing"/>
              <w:jc w:val="center"/>
              <w:rPr>
                <w:szCs w:val="20"/>
              </w:rPr>
            </w:pPr>
            <w:r>
              <w:rPr>
                <w:szCs w:val="20"/>
              </w:rPr>
              <w:t>(2.04, 8.58</w:t>
            </w:r>
            <w:r w:rsidRPr="00FC4F26">
              <w:rPr>
                <w:szCs w:val="20"/>
              </w:rPr>
              <w:t>)</w:t>
            </w:r>
          </w:p>
        </w:tc>
        <w:tc>
          <w:tcPr>
            <w:tcW w:w="1249" w:type="pct"/>
          </w:tcPr>
          <w:p w14:paraId="700009C9" w14:textId="77777777" w:rsidR="003C0EB4" w:rsidRPr="00FC4F26" w:rsidRDefault="003C0EB4" w:rsidP="008551B6">
            <w:pPr>
              <w:pStyle w:val="NoSpacing"/>
              <w:jc w:val="center"/>
              <w:rPr>
                <w:szCs w:val="20"/>
              </w:rPr>
            </w:pPr>
            <w:r w:rsidRPr="00FC4F26">
              <w:rPr>
                <w:szCs w:val="20"/>
              </w:rPr>
              <w:t>0.0</w:t>
            </w:r>
            <w:r>
              <w:rPr>
                <w:szCs w:val="20"/>
              </w:rPr>
              <w:t>02</w:t>
            </w:r>
          </w:p>
        </w:tc>
      </w:tr>
      <w:tr w:rsidR="003C0EB4" w:rsidRPr="00FC4F26" w14:paraId="31AF11E4" w14:textId="77777777" w:rsidTr="008551B6">
        <w:tc>
          <w:tcPr>
            <w:tcW w:w="1251" w:type="pct"/>
            <w:tcBorders>
              <w:bottom w:val="single" w:sz="4" w:space="0" w:color="auto"/>
            </w:tcBorders>
          </w:tcPr>
          <w:p w14:paraId="0A231D34" w14:textId="5B6312CF" w:rsidR="003C0EB4" w:rsidRPr="00FC4F26" w:rsidRDefault="003C0EB4" w:rsidP="008551B6">
            <w:pPr>
              <w:pStyle w:val="NoSpacing"/>
              <w:rPr>
                <w:szCs w:val="20"/>
              </w:rPr>
            </w:pPr>
            <w:r w:rsidRPr="00D807C8">
              <w:t>Respon</w:t>
            </w:r>
            <w:r w:rsidR="00FC27B1">
              <w:t>ders</w:t>
            </w:r>
          </w:p>
        </w:tc>
        <w:tc>
          <w:tcPr>
            <w:tcW w:w="1250" w:type="pct"/>
            <w:tcBorders>
              <w:bottom w:val="single" w:sz="4" w:space="0" w:color="auto"/>
            </w:tcBorders>
          </w:tcPr>
          <w:p w14:paraId="00241455" w14:textId="77777777" w:rsidR="003C0EB4" w:rsidRPr="00FC4F26" w:rsidRDefault="003C0EB4" w:rsidP="008551B6">
            <w:pPr>
              <w:pStyle w:val="NoSpacing"/>
              <w:jc w:val="center"/>
              <w:rPr>
                <w:szCs w:val="20"/>
              </w:rPr>
            </w:pPr>
            <w:r>
              <w:rPr>
                <w:szCs w:val="20"/>
              </w:rPr>
              <w:t>4.39</w:t>
            </w:r>
          </w:p>
        </w:tc>
        <w:tc>
          <w:tcPr>
            <w:tcW w:w="1250" w:type="pct"/>
            <w:tcBorders>
              <w:bottom w:val="single" w:sz="4" w:space="0" w:color="auto"/>
            </w:tcBorders>
          </w:tcPr>
          <w:p w14:paraId="032CBC73" w14:textId="77777777" w:rsidR="003C0EB4" w:rsidRPr="00FC4F26" w:rsidRDefault="003C0EB4" w:rsidP="008551B6">
            <w:pPr>
              <w:pStyle w:val="NoSpacing"/>
              <w:jc w:val="center"/>
              <w:rPr>
                <w:szCs w:val="20"/>
              </w:rPr>
            </w:pPr>
            <w:r>
              <w:rPr>
                <w:szCs w:val="20"/>
              </w:rPr>
              <w:t>(2.05, 6.72</w:t>
            </w:r>
            <w:r w:rsidRPr="00FC4F26">
              <w:rPr>
                <w:szCs w:val="20"/>
              </w:rPr>
              <w:t>)</w:t>
            </w:r>
          </w:p>
        </w:tc>
        <w:tc>
          <w:tcPr>
            <w:tcW w:w="1249" w:type="pct"/>
            <w:tcBorders>
              <w:bottom w:val="single" w:sz="4" w:space="0" w:color="auto"/>
            </w:tcBorders>
          </w:tcPr>
          <w:p w14:paraId="66464AC3" w14:textId="77777777" w:rsidR="003C0EB4" w:rsidRPr="00FC4F26" w:rsidRDefault="003C0EB4" w:rsidP="008551B6">
            <w:pPr>
              <w:pStyle w:val="NoSpacing"/>
              <w:jc w:val="center"/>
              <w:rPr>
                <w:szCs w:val="20"/>
              </w:rPr>
            </w:pPr>
            <w:r>
              <w:rPr>
                <w:szCs w:val="20"/>
              </w:rPr>
              <w:t>&lt;</w:t>
            </w:r>
            <w:r w:rsidRPr="00FC4F26">
              <w:rPr>
                <w:szCs w:val="20"/>
              </w:rPr>
              <w:t>0.0</w:t>
            </w:r>
            <w:r>
              <w:rPr>
                <w:szCs w:val="20"/>
              </w:rPr>
              <w:t>0</w:t>
            </w:r>
            <w:r w:rsidRPr="00FC4F26">
              <w:rPr>
                <w:szCs w:val="20"/>
              </w:rPr>
              <w:t>1</w:t>
            </w:r>
          </w:p>
        </w:tc>
      </w:tr>
    </w:tbl>
    <w:p w14:paraId="244E236F" w14:textId="77777777" w:rsidR="003C0EB4" w:rsidRPr="00FC4F26" w:rsidRDefault="003C0EB4" w:rsidP="003C0EB4">
      <w:pPr>
        <w:pStyle w:val="NoSpacing"/>
      </w:pPr>
    </w:p>
    <w:p w14:paraId="143481D6" w14:textId="7DA189DE" w:rsidR="00FC27B1" w:rsidRDefault="00FC27B1" w:rsidP="003C0EB4">
      <w:pPr>
        <w:pStyle w:val="NoSpacing"/>
      </w:pPr>
      <w:r>
        <w:t>The estimate constant represents the change in the haemodynamic of interest in the group of 1 mL/Kg in non-responders. The estimate of the baseline value represents the change in the haemodynamic of interest by unit of change of its baseline value. The estimate of responders represents the change in the haemodynamic of interest in responders, when all the other factors are constant.</w:t>
      </w:r>
    </w:p>
    <w:p w14:paraId="64B2175D" w14:textId="77777777" w:rsidR="003C0EB4" w:rsidRPr="00FC4F26" w:rsidRDefault="003C0EB4" w:rsidP="003C0EB4">
      <w:pPr>
        <w:pStyle w:val="NoSpacing"/>
      </w:pPr>
      <w:r>
        <w:t xml:space="preserve">Pmsf-arm mean systemic filling pressure measured with the stop-flow arterial-venous equilibrium method on the arm; CO cardiac output; SV stroke volume; HR heart rate; </w:t>
      </w:r>
      <w:r>
        <w:lastRenderedPageBreak/>
        <w:t>CVP central venous pressure; MAP mean arterial pressure; Response CO: difference between responders vs non-responders.</w:t>
      </w:r>
    </w:p>
    <w:p w14:paraId="1F3733E9" w14:textId="77777777" w:rsidR="003C0EB4" w:rsidRDefault="003C0EB4" w:rsidP="003C0EB4"/>
    <w:sectPr w:rsidR="003C0EB4" w:rsidSect="0076738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4"/>
    <w:rsid w:val="003859ED"/>
    <w:rsid w:val="003C0EB4"/>
    <w:rsid w:val="00767386"/>
    <w:rsid w:val="008A27D0"/>
    <w:rsid w:val="009205B7"/>
    <w:rsid w:val="00921556"/>
    <w:rsid w:val="00B80EB3"/>
    <w:rsid w:val="00E35897"/>
    <w:rsid w:val="00F81623"/>
    <w:rsid w:val="00FC27B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6D031"/>
  <w15:docId w15:val="{65CF8419-460B-4B74-9886-02C0E25D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B4"/>
    <w:pPr>
      <w:spacing w:after="240" w:line="480" w:lineRule="auto"/>
      <w:ind w:firstLine="36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C0EB4"/>
    <w:pPr>
      <w:spacing w:after="0" w:line="480" w:lineRule="auto"/>
      <w:ind w:firstLine="360"/>
    </w:pPr>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3C0EB4"/>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HOLLMANN AYA BERNAL</dc:creator>
  <cp:keywords/>
  <dc:description/>
  <cp:lastModifiedBy>Jennifer Smith</cp:lastModifiedBy>
  <cp:revision>2</cp:revision>
  <dcterms:created xsi:type="dcterms:W3CDTF">2016-11-03T14:05:00Z</dcterms:created>
  <dcterms:modified xsi:type="dcterms:W3CDTF">2016-11-03T14:05:00Z</dcterms:modified>
</cp:coreProperties>
</file>