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D00CD" w14:textId="77777777" w:rsidR="003F5465" w:rsidRPr="003928CA" w:rsidRDefault="001C2788" w:rsidP="003B517A">
      <w:pPr>
        <w:spacing w:line="240" w:lineRule="auto"/>
        <w:rPr>
          <w:rFonts w:asciiTheme="majorBidi" w:hAnsiTheme="majorBidi" w:cstheme="majorBidi"/>
          <w:sz w:val="28"/>
          <w:szCs w:val="28"/>
        </w:rPr>
      </w:pPr>
      <w:r w:rsidRPr="003928CA">
        <w:rPr>
          <w:rFonts w:asciiTheme="majorBidi" w:hAnsiTheme="majorBidi" w:cstheme="majorBidi"/>
          <w:b/>
          <w:sz w:val="28"/>
          <w:szCs w:val="28"/>
        </w:rPr>
        <w:t xml:space="preserve">Association of after school </w:t>
      </w:r>
      <w:r w:rsidR="00F832CA" w:rsidRPr="003928CA">
        <w:rPr>
          <w:rFonts w:asciiTheme="majorBidi" w:hAnsiTheme="majorBidi" w:cstheme="majorBidi"/>
          <w:b/>
          <w:sz w:val="28"/>
          <w:szCs w:val="28"/>
        </w:rPr>
        <w:t>sedentary behaviour</w:t>
      </w:r>
      <w:r w:rsidR="008F3EAE" w:rsidRPr="003928CA">
        <w:rPr>
          <w:rFonts w:asciiTheme="majorBidi" w:hAnsiTheme="majorBidi" w:cstheme="majorBidi"/>
          <w:b/>
          <w:sz w:val="28"/>
          <w:szCs w:val="28"/>
        </w:rPr>
        <w:t xml:space="preserve"> in adolescence </w:t>
      </w:r>
      <w:r w:rsidRPr="003928CA">
        <w:rPr>
          <w:rFonts w:asciiTheme="majorBidi" w:hAnsiTheme="majorBidi" w:cstheme="majorBidi"/>
          <w:b/>
          <w:sz w:val="28"/>
          <w:szCs w:val="28"/>
        </w:rPr>
        <w:t>with</w:t>
      </w:r>
      <w:r w:rsidR="00C36F31" w:rsidRPr="003928CA">
        <w:rPr>
          <w:rFonts w:asciiTheme="majorBidi" w:hAnsiTheme="majorBidi" w:cstheme="majorBidi"/>
          <w:b/>
          <w:sz w:val="28"/>
          <w:szCs w:val="28"/>
        </w:rPr>
        <w:t xml:space="preserve"> mental wellbeing in adulthood</w:t>
      </w:r>
    </w:p>
    <w:p w14:paraId="0B34A8A5" w14:textId="77777777" w:rsidR="00AC4510" w:rsidRPr="003B517A" w:rsidRDefault="0098413F" w:rsidP="003B517A">
      <w:pPr>
        <w:spacing w:line="240" w:lineRule="auto"/>
        <w:rPr>
          <w:rFonts w:asciiTheme="majorBidi" w:hAnsiTheme="majorBidi" w:cstheme="majorBidi"/>
          <w:sz w:val="24"/>
          <w:szCs w:val="24"/>
          <w:vertAlign w:val="superscript"/>
        </w:rPr>
      </w:pPr>
      <w:r w:rsidRPr="003B517A">
        <w:rPr>
          <w:rFonts w:asciiTheme="majorBidi" w:hAnsiTheme="majorBidi" w:cstheme="majorBidi"/>
          <w:sz w:val="24"/>
          <w:szCs w:val="24"/>
        </w:rPr>
        <w:t>M</w:t>
      </w:r>
      <w:r w:rsidR="00503BE6" w:rsidRPr="003B517A">
        <w:rPr>
          <w:rFonts w:asciiTheme="majorBidi" w:hAnsiTheme="majorBidi" w:cstheme="majorBidi"/>
          <w:sz w:val="24"/>
          <w:szCs w:val="24"/>
        </w:rPr>
        <w:t>ark</w:t>
      </w:r>
      <w:r w:rsidR="003F5465" w:rsidRPr="003B517A">
        <w:rPr>
          <w:rFonts w:asciiTheme="majorBidi" w:hAnsiTheme="majorBidi" w:cstheme="majorBidi"/>
          <w:sz w:val="24"/>
          <w:szCs w:val="24"/>
        </w:rPr>
        <w:t xml:space="preserve"> Hamer</w:t>
      </w:r>
      <w:r w:rsidR="00503BE6" w:rsidRPr="003B517A">
        <w:rPr>
          <w:rFonts w:asciiTheme="majorBidi" w:hAnsiTheme="majorBidi" w:cstheme="majorBidi"/>
          <w:sz w:val="24"/>
          <w:szCs w:val="24"/>
        </w:rPr>
        <w:t xml:space="preserve"> </w:t>
      </w:r>
      <w:r w:rsidR="00350CC0">
        <w:rPr>
          <w:rFonts w:asciiTheme="majorBidi" w:hAnsiTheme="majorBidi" w:cstheme="majorBidi"/>
          <w:sz w:val="24"/>
          <w:szCs w:val="24"/>
          <w:vertAlign w:val="superscript"/>
        </w:rPr>
        <w:t>a</w:t>
      </w:r>
      <w:proofErr w:type="gramStart"/>
      <w:r w:rsidR="00350CC0">
        <w:rPr>
          <w:rFonts w:asciiTheme="majorBidi" w:hAnsiTheme="majorBidi" w:cstheme="majorBidi"/>
          <w:sz w:val="24"/>
          <w:szCs w:val="24"/>
          <w:vertAlign w:val="superscript"/>
        </w:rPr>
        <w:t>,b,c</w:t>
      </w:r>
      <w:proofErr w:type="gramEnd"/>
      <w:r w:rsidR="00350CC0">
        <w:rPr>
          <w:rFonts w:asciiTheme="majorBidi" w:hAnsiTheme="majorBidi" w:cstheme="majorBidi"/>
          <w:sz w:val="24"/>
          <w:szCs w:val="24"/>
          <w:vertAlign w:val="superscript"/>
        </w:rPr>
        <w:t>,*</w:t>
      </w:r>
      <w:r w:rsidR="00350CC0">
        <w:rPr>
          <w:rFonts w:asciiTheme="majorBidi" w:hAnsiTheme="majorBidi" w:cstheme="majorBidi"/>
          <w:sz w:val="24"/>
          <w:szCs w:val="24"/>
        </w:rPr>
        <w:t>,</w:t>
      </w:r>
      <w:r w:rsidR="00503BE6" w:rsidRPr="003B517A">
        <w:rPr>
          <w:rFonts w:asciiTheme="majorBidi" w:hAnsiTheme="majorBidi" w:cstheme="majorBidi"/>
          <w:sz w:val="24"/>
          <w:szCs w:val="24"/>
        </w:rPr>
        <w:t xml:space="preserve"> Thomas</w:t>
      </w:r>
      <w:r w:rsidR="003F5465" w:rsidRPr="003B517A">
        <w:rPr>
          <w:rFonts w:asciiTheme="majorBidi" w:hAnsiTheme="majorBidi" w:cstheme="majorBidi"/>
          <w:sz w:val="24"/>
          <w:szCs w:val="24"/>
        </w:rPr>
        <w:t xml:space="preserve"> Yates</w:t>
      </w:r>
      <w:r w:rsidR="00350CC0">
        <w:rPr>
          <w:rFonts w:asciiTheme="majorBidi" w:hAnsiTheme="majorBidi" w:cstheme="majorBidi"/>
          <w:sz w:val="24"/>
          <w:szCs w:val="24"/>
          <w:vertAlign w:val="superscript"/>
        </w:rPr>
        <w:t>c,d</w:t>
      </w:r>
      <w:r w:rsidR="00503BE6" w:rsidRPr="003B517A">
        <w:rPr>
          <w:rFonts w:asciiTheme="majorBidi" w:hAnsiTheme="majorBidi" w:cstheme="majorBidi"/>
          <w:sz w:val="24"/>
          <w:szCs w:val="24"/>
        </w:rPr>
        <w:t xml:space="preserve">, Lauren </w:t>
      </w:r>
      <w:r w:rsidR="003F5465" w:rsidRPr="003B517A">
        <w:rPr>
          <w:rFonts w:asciiTheme="majorBidi" w:hAnsiTheme="majorBidi" w:cstheme="majorBidi"/>
          <w:sz w:val="24"/>
          <w:szCs w:val="24"/>
        </w:rPr>
        <w:t>B. Sherar</w:t>
      </w:r>
      <w:r w:rsidR="00350CC0">
        <w:rPr>
          <w:rFonts w:asciiTheme="majorBidi" w:hAnsiTheme="majorBidi" w:cstheme="majorBidi"/>
          <w:sz w:val="24"/>
          <w:szCs w:val="24"/>
          <w:vertAlign w:val="superscript"/>
        </w:rPr>
        <w:t>a,c</w:t>
      </w:r>
      <w:r w:rsidR="00350CC0" w:rsidRPr="003B517A">
        <w:rPr>
          <w:rFonts w:asciiTheme="majorBidi" w:hAnsiTheme="majorBidi" w:cstheme="majorBidi"/>
          <w:sz w:val="24"/>
          <w:szCs w:val="24"/>
        </w:rPr>
        <w:t xml:space="preserve"> </w:t>
      </w:r>
      <w:r w:rsidR="00503BE6" w:rsidRPr="003B517A">
        <w:rPr>
          <w:rFonts w:asciiTheme="majorBidi" w:hAnsiTheme="majorBidi" w:cstheme="majorBidi"/>
          <w:sz w:val="24"/>
          <w:szCs w:val="24"/>
        </w:rPr>
        <w:t xml:space="preserve">, Stacy </w:t>
      </w:r>
      <w:r w:rsidR="00FC13BD" w:rsidRPr="003B517A">
        <w:rPr>
          <w:rFonts w:asciiTheme="majorBidi" w:hAnsiTheme="majorBidi" w:cstheme="majorBidi"/>
          <w:sz w:val="24"/>
          <w:szCs w:val="24"/>
        </w:rPr>
        <w:t>A.</w:t>
      </w:r>
      <w:r w:rsidR="003F5465" w:rsidRPr="003B517A">
        <w:rPr>
          <w:rFonts w:asciiTheme="majorBidi" w:hAnsiTheme="majorBidi" w:cstheme="majorBidi"/>
          <w:sz w:val="24"/>
          <w:szCs w:val="24"/>
        </w:rPr>
        <w:t xml:space="preserve"> Clemes</w:t>
      </w:r>
      <w:r w:rsidR="00350CC0">
        <w:rPr>
          <w:rFonts w:asciiTheme="majorBidi" w:hAnsiTheme="majorBidi" w:cstheme="majorBidi"/>
          <w:sz w:val="24"/>
          <w:szCs w:val="24"/>
          <w:vertAlign w:val="superscript"/>
        </w:rPr>
        <w:t>a</w:t>
      </w:r>
      <w:r w:rsidR="003D79B4">
        <w:rPr>
          <w:rFonts w:asciiTheme="majorBidi" w:hAnsiTheme="majorBidi" w:cstheme="majorBidi"/>
          <w:sz w:val="24"/>
          <w:szCs w:val="24"/>
        </w:rPr>
        <w:t xml:space="preserve">, </w:t>
      </w:r>
      <w:r w:rsidR="00503BE6" w:rsidRPr="003B517A">
        <w:rPr>
          <w:rFonts w:asciiTheme="majorBidi" w:hAnsiTheme="majorBidi" w:cstheme="majorBidi"/>
          <w:sz w:val="24"/>
          <w:szCs w:val="24"/>
        </w:rPr>
        <w:t>Aparna</w:t>
      </w:r>
      <w:r w:rsidR="003F5465" w:rsidRPr="003B517A">
        <w:rPr>
          <w:rFonts w:asciiTheme="majorBidi" w:hAnsiTheme="majorBidi" w:cstheme="majorBidi"/>
          <w:sz w:val="24"/>
          <w:szCs w:val="24"/>
        </w:rPr>
        <w:t xml:space="preserve"> Shankar</w:t>
      </w:r>
      <w:r w:rsidR="00350CC0">
        <w:rPr>
          <w:rFonts w:asciiTheme="majorBidi" w:hAnsiTheme="majorBidi" w:cstheme="majorBidi"/>
          <w:sz w:val="24"/>
          <w:szCs w:val="24"/>
          <w:vertAlign w:val="superscript"/>
        </w:rPr>
        <w:t>b</w:t>
      </w:r>
      <w:r w:rsidR="00987801">
        <w:rPr>
          <w:rFonts w:asciiTheme="majorBidi" w:hAnsiTheme="majorBidi" w:cstheme="majorBidi"/>
          <w:sz w:val="24"/>
          <w:szCs w:val="24"/>
          <w:vertAlign w:val="superscript"/>
        </w:rPr>
        <w:t>,e</w:t>
      </w:r>
    </w:p>
    <w:p w14:paraId="7E367244" w14:textId="77777777" w:rsidR="00344E0C" w:rsidRPr="003B517A" w:rsidRDefault="00350CC0" w:rsidP="003B517A">
      <w:pPr>
        <w:spacing w:line="240" w:lineRule="auto"/>
        <w:rPr>
          <w:rFonts w:asciiTheme="majorBidi" w:hAnsiTheme="majorBidi" w:cstheme="majorBidi"/>
          <w:sz w:val="24"/>
          <w:szCs w:val="24"/>
        </w:rPr>
      </w:pPr>
      <w:r>
        <w:rPr>
          <w:rFonts w:asciiTheme="majorBidi" w:hAnsiTheme="majorBidi" w:cstheme="majorBidi"/>
          <w:sz w:val="24"/>
          <w:szCs w:val="24"/>
          <w:vertAlign w:val="superscript"/>
        </w:rPr>
        <w:t>a</w:t>
      </w:r>
      <w:r w:rsidR="007522F6">
        <w:rPr>
          <w:rFonts w:asciiTheme="majorBidi" w:hAnsiTheme="majorBidi" w:cstheme="majorBidi"/>
          <w:sz w:val="24"/>
          <w:szCs w:val="24"/>
        </w:rPr>
        <w:t xml:space="preserve">School of Sport, Exercise &amp; Health Sciences, </w:t>
      </w:r>
      <w:r w:rsidR="00AC4510" w:rsidRPr="007522F6">
        <w:rPr>
          <w:rFonts w:asciiTheme="majorBidi" w:hAnsiTheme="majorBidi" w:cstheme="majorBidi"/>
          <w:sz w:val="24"/>
          <w:szCs w:val="24"/>
        </w:rPr>
        <w:t>National</w:t>
      </w:r>
      <w:r w:rsidR="00AC4510" w:rsidRPr="003B517A">
        <w:rPr>
          <w:rFonts w:asciiTheme="majorBidi" w:hAnsiTheme="majorBidi" w:cstheme="majorBidi"/>
          <w:sz w:val="24"/>
          <w:szCs w:val="24"/>
        </w:rPr>
        <w:t xml:space="preserve"> Centre </w:t>
      </w:r>
      <w:r w:rsidR="003F5465" w:rsidRPr="003B517A">
        <w:rPr>
          <w:rFonts w:asciiTheme="majorBidi" w:hAnsiTheme="majorBidi" w:cstheme="majorBidi"/>
          <w:sz w:val="24"/>
          <w:szCs w:val="24"/>
        </w:rPr>
        <w:t xml:space="preserve">for </w:t>
      </w:r>
      <w:r w:rsidR="00AC4510" w:rsidRPr="003B517A">
        <w:rPr>
          <w:rFonts w:asciiTheme="majorBidi" w:hAnsiTheme="majorBidi" w:cstheme="majorBidi"/>
          <w:sz w:val="24"/>
          <w:szCs w:val="24"/>
        </w:rPr>
        <w:t xml:space="preserve">Sport &amp; Exercise Medicine, Loughborough University; </w:t>
      </w:r>
      <w:r>
        <w:rPr>
          <w:rFonts w:asciiTheme="majorBidi" w:hAnsiTheme="majorBidi" w:cstheme="majorBidi"/>
          <w:sz w:val="24"/>
          <w:szCs w:val="24"/>
          <w:vertAlign w:val="superscript"/>
        </w:rPr>
        <w:t>b</w:t>
      </w:r>
      <w:r w:rsidR="003F5465" w:rsidRPr="003B517A">
        <w:rPr>
          <w:rFonts w:asciiTheme="majorBidi" w:hAnsiTheme="majorBidi" w:cstheme="majorBidi"/>
          <w:sz w:val="24"/>
          <w:szCs w:val="24"/>
        </w:rPr>
        <w:t xml:space="preserve">Department of Epidemiology and Public Health, University College London, London; </w:t>
      </w:r>
      <w:r>
        <w:rPr>
          <w:rFonts w:asciiTheme="majorBidi" w:hAnsiTheme="majorBidi" w:cstheme="majorBidi"/>
          <w:sz w:val="24"/>
          <w:szCs w:val="24"/>
          <w:vertAlign w:val="superscript"/>
        </w:rPr>
        <w:t>c</w:t>
      </w:r>
      <w:r w:rsidR="003B517A" w:rsidRPr="003B517A">
        <w:rPr>
          <w:rFonts w:asciiTheme="majorBidi" w:hAnsiTheme="majorBidi" w:cstheme="majorBidi"/>
          <w:sz w:val="24"/>
          <w:szCs w:val="24"/>
        </w:rPr>
        <w:t xml:space="preserve">NIHR Leicester-Loughborough Diet, Lifestyle and Physical Activity Biomedical Research Unit, Leicester, UK; </w:t>
      </w:r>
      <w:r>
        <w:rPr>
          <w:rFonts w:asciiTheme="majorBidi" w:hAnsiTheme="majorBidi" w:cstheme="majorBidi"/>
          <w:sz w:val="24"/>
          <w:szCs w:val="24"/>
          <w:vertAlign w:val="superscript"/>
        </w:rPr>
        <w:t>d</w:t>
      </w:r>
      <w:r w:rsidR="003F5465" w:rsidRPr="003B517A">
        <w:rPr>
          <w:rFonts w:asciiTheme="majorBidi" w:hAnsiTheme="majorBidi" w:cstheme="majorBidi"/>
          <w:sz w:val="24"/>
          <w:szCs w:val="24"/>
        </w:rPr>
        <w:t>University of Leicester, Diabetes Research Centre, Leicester Diabetes Centre, Leicester General Hospital</w:t>
      </w:r>
      <w:r w:rsidR="00987801">
        <w:rPr>
          <w:rFonts w:asciiTheme="majorBidi" w:hAnsiTheme="majorBidi" w:cstheme="majorBidi"/>
          <w:sz w:val="24"/>
          <w:szCs w:val="24"/>
        </w:rPr>
        <w:t xml:space="preserve">; </w:t>
      </w:r>
      <w:r w:rsidR="00987801" w:rsidRPr="00C463BF">
        <w:rPr>
          <w:rFonts w:asciiTheme="majorBidi" w:hAnsiTheme="majorBidi" w:cstheme="majorBidi"/>
          <w:sz w:val="24"/>
          <w:szCs w:val="24"/>
          <w:vertAlign w:val="superscript"/>
        </w:rPr>
        <w:t>e</w:t>
      </w:r>
      <w:r w:rsidR="00987801">
        <w:rPr>
          <w:rFonts w:asciiTheme="majorBidi" w:hAnsiTheme="majorBidi" w:cstheme="majorBidi"/>
          <w:sz w:val="24"/>
          <w:szCs w:val="24"/>
        </w:rPr>
        <w:t xml:space="preserve"> Population Health Research Institute, St. George’s, University of London</w:t>
      </w:r>
    </w:p>
    <w:p w14:paraId="09CAA0FA" w14:textId="77777777" w:rsidR="00344E0C" w:rsidRPr="003B517A" w:rsidRDefault="00344E0C" w:rsidP="003B517A">
      <w:pPr>
        <w:spacing w:line="240" w:lineRule="auto"/>
        <w:rPr>
          <w:rFonts w:asciiTheme="majorBidi" w:hAnsiTheme="majorBidi" w:cstheme="majorBidi"/>
          <w:sz w:val="24"/>
          <w:szCs w:val="24"/>
        </w:rPr>
      </w:pPr>
    </w:p>
    <w:p w14:paraId="3D8E5D7A" w14:textId="77777777" w:rsidR="00344E0C" w:rsidRPr="003B517A" w:rsidRDefault="00350CC0" w:rsidP="003B517A">
      <w:pPr>
        <w:spacing w:line="240" w:lineRule="auto"/>
        <w:rPr>
          <w:rFonts w:asciiTheme="majorBidi" w:hAnsiTheme="majorBidi" w:cstheme="majorBidi"/>
          <w:sz w:val="24"/>
          <w:szCs w:val="24"/>
        </w:rPr>
      </w:pPr>
      <w:r>
        <w:rPr>
          <w:rFonts w:asciiTheme="majorBidi" w:hAnsiTheme="majorBidi" w:cstheme="majorBidi"/>
          <w:sz w:val="24"/>
          <w:szCs w:val="24"/>
        </w:rPr>
        <w:t>*</w:t>
      </w:r>
      <w:r w:rsidR="00344E0C" w:rsidRPr="003B517A">
        <w:rPr>
          <w:rFonts w:asciiTheme="majorBidi" w:hAnsiTheme="majorBidi" w:cstheme="majorBidi"/>
          <w:sz w:val="24"/>
          <w:szCs w:val="24"/>
        </w:rPr>
        <w:t>Corresponding Author: Mark Hamer</w:t>
      </w:r>
      <w:r w:rsidR="003F5465" w:rsidRPr="003B517A">
        <w:rPr>
          <w:rFonts w:asciiTheme="majorBidi" w:hAnsiTheme="majorBidi" w:cstheme="majorBidi"/>
          <w:sz w:val="24"/>
          <w:szCs w:val="24"/>
        </w:rPr>
        <w:t>, PhD</w:t>
      </w:r>
      <w:r w:rsidR="00344E0C" w:rsidRPr="003B517A">
        <w:rPr>
          <w:rFonts w:asciiTheme="majorBidi" w:hAnsiTheme="majorBidi" w:cstheme="majorBidi"/>
          <w:sz w:val="24"/>
          <w:szCs w:val="24"/>
        </w:rPr>
        <w:t xml:space="preserve">, </w:t>
      </w:r>
      <w:r w:rsidR="003F5465" w:rsidRPr="003B517A">
        <w:rPr>
          <w:rFonts w:asciiTheme="majorBidi" w:hAnsiTheme="majorBidi" w:cstheme="majorBidi"/>
          <w:sz w:val="24"/>
          <w:szCs w:val="24"/>
        </w:rPr>
        <w:t>National Centre for Sport &amp; Exercise Medicine, Loughborough University</w:t>
      </w:r>
      <w:r w:rsidR="00826321" w:rsidRPr="003B517A">
        <w:rPr>
          <w:rFonts w:asciiTheme="majorBidi" w:hAnsiTheme="majorBidi" w:cstheme="majorBidi"/>
          <w:sz w:val="24"/>
          <w:szCs w:val="24"/>
        </w:rPr>
        <w:t xml:space="preserve">. </w:t>
      </w:r>
      <w:r w:rsidR="00344E0C" w:rsidRPr="003B517A">
        <w:rPr>
          <w:rFonts w:asciiTheme="majorBidi" w:hAnsiTheme="majorBidi" w:cstheme="majorBidi"/>
          <w:sz w:val="24"/>
          <w:szCs w:val="24"/>
        </w:rPr>
        <w:t>E-mail: m.hamer@</w:t>
      </w:r>
      <w:r w:rsidR="003F5465" w:rsidRPr="003B517A">
        <w:rPr>
          <w:rFonts w:asciiTheme="majorBidi" w:hAnsiTheme="majorBidi" w:cstheme="majorBidi"/>
          <w:sz w:val="24"/>
          <w:szCs w:val="24"/>
        </w:rPr>
        <w:t>lboro</w:t>
      </w:r>
      <w:r w:rsidR="00344E0C" w:rsidRPr="003B517A">
        <w:rPr>
          <w:rFonts w:asciiTheme="majorBidi" w:hAnsiTheme="majorBidi" w:cstheme="majorBidi"/>
          <w:sz w:val="24"/>
          <w:szCs w:val="24"/>
        </w:rPr>
        <w:t xml:space="preserve">.ac.uk; phone: +44 </w:t>
      </w:r>
      <w:r w:rsidR="003F5465" w:rsidRPr="003B517A">
        <w:rPr>
          <w:rFonts w:asciiTheme="majorBidi" w:hAnsiTheme="majorBidi" w:cstheme="majorBidi"/>
          <w:sz w:val="24"/>
          <w:szCs w:val="24"/>
        </w:rPr>
        <w:t>1509</w:t>
      </w:r>
      <w:r w:rsidR="00344E0C" w:rsidRPr="003B517A">
        <w:rPr>
          <w:rFonts w:asciiTheme="majorBidi" w:hAnsiTheme="majorBidi" w:cstheme="majorBidi"/>
          <w:sz w:val="24"/>
          <w:szCs w:val="24"/>
        </w:rPr>
        <w:t xml:space="preserve"> </w:t>
      </w:r>
      <w:r w:rsidR="003F5465" w:rsidRPr="003B517A">
        <w:rPr>
          <w:rFonts w:asciiTheme="majorBidi" w:hAnsiTheme="majorBidi" w:cstheme="majorBidi"/>
          <w:sz w:val="24"/>
          <w:szCs w:val="24"/>
        </w:rPr>
        <w:t>228473</w:t>
      </w:r>
    </w:p>
    <w:p w14:paraId="19A4F62D" w14:textId="77777777" w:rsidR="0098413F" w:rsidRPr="003B517A" w:rsidRDefault="0098413F" w:rsidP="003B517A">
      <w:pPr>
        <w:spacing w:line="240" w:lineRule="auto"/>
        <w:rPr>
          <w:rFonts w:asciiTheme="majorBidi" w:hAnsiTheme="majorBidi" w:cstheme="majorBidi"/>
          <w:sz w:val="24"/>
          <w:szCs w:val="24"/>
        </w:rPr>
      </w:pPr>
    </w:p>
    <w:p w14:paraId="6884E28E" w14:textId="77777777" w:rsidR="00344E0C" w:rsidRPr="003B517A" w:rsidRDefault="0098413F" w:rsidP="003B517A">
      <w:pPr>
        <w:spacing w:line="240" w:lineRule="auto"/>
        <w:rPr>
          <w:rFonts w:asciiTheme="majorBidi" w:hAnsiTheme="majorBidi" w:cstheme="majorBidi"/>
          <w:sz w:val="24"/>
          <w:szCs w:val="24"/>
        </w:rPr>
      </w:pPr>
      <w:r w:rsidRPr="003B517A">
        <w:rPr>
          <w:rFonts w:asciiTheme="majorBidi" w:hAnsiTheme="majorBidi" w:cstheme="majorBidi"/>
          <w:sz w:val="24"/>
          <w:szCs w:val="24"/>
        </w:rPr>
        <w:t>Financial Disclosure: The authors have no financial relationships relevant to this article to disclose.</w:t>
      </w:r>
    </w:p>
    <w:p w14:paraId="4CF442FE" w14:textId="77777777" w:rsidR="00344E0C" w:rsidRPr="003B517A" w:rsidRDefault="00503BE6" w:rsidP="003B517A">
      <w:pPr>
        <w:spacing w:line="240" w:lineRule="auto"/>
        <w:rPr>
          <w:rFonts w:asciiTheme="majorBidi" w:hAnsiTheme="majorBidi" w:cstheme="majorBidi"/>
          <w:sz w:val="24"/>
          <w:szCs w:val="24"/>
        </w:rPr>
      </w:pPr>
      <w:r w:rsidRPr="003B517A">
        <w:rPr>
          <w:rFonts w:asciiTheme="majorBidi" w:hAnsiTheme="majorBidi" w:cstheme="majorBidi"/>
          <w:sz w:val="24"/>
          <w:szCs w:val="24"/>
        </w:rPr>
        <w:t>Potential Conflicts of Interest: The authors have no conflicts of interest relevant to this article to disclose.</w:t>
      </w:r>
    </w:p>
    <w:p w14:paraId="51BAE935" w14:textId="77777777" w:rsidR="003B517A" w:rsidRPr="003B517A" w:rsidRDefault="003B517A" w:rsidP="003B517A">
      <w:pPr>
        <w:spacing w:line="240" w:lineRule="auto"/>
        <w:rPr>
          <w:rFonts w:asciiTheme="majorBidi" w:hAnsiTheme="majorBidi" w:cstheme="majorBidi"/>
          <w:sz w:val="24"/>
          <w:szCs w:val="24"/>
        </w:rPr>
      </w:pPr>
      <w:r w:rsidRPr="003B517A">
        <w:rPr>
          <w:rFonts w:asciiTheme="majorBidi" w:hAnsiTheme="majorBidi" w:cstheme="majorBidi"/>
          <w:sz w:val="24"/>
          <w:szCs w:val="24"/>
        </w:rPr>
        <w:t>Funding: This work was supported by a National Institute for Health Research Programme grant, the National Institute for Health Research Leicester-Loughborough Diet, Lifestyle and Physical Activity Biomedical Research Unit.</w:t>
      </w:r>
    </w:p>
    <w:p w14:paraId="0A91756B" w14:textId="77777777" w:rsidR="00344E0C" w:rsidRPr="003B517A" w:rsidRDefault="003B517A" w:rsidP="003B517A">
      <w:pPr>
        <w:spacing w:line="240" w:lineRule="auto"/>
        <w:rPr>
          <w:rFonts w:asciiTheme="majorBidi" w:hAnsiTheme="majorBidi" w:cstheme="majorBidi"/>
          <w:sz w:val="24"/>
          <w:szCs w:val="24"/>
        </w:rPr>
      </w:pPr>
      <w:r>
        <w:rPr>
          <w:rFonts w:asciiTheme="majorBidi" w:hAnsiTheme="majorBidi" w:cstheme="majorBidi"/>
          <w:sz w:val="24"/>
          <w:szCs w:val="24"/>
        </w:rPr>
        <w:t>Short title: S</w:t>
      </w:r>
      <w:r w:rsidR="00946DD3" w:rsidRPr="003B517A">
        <w:rPr>
          <w:rFonts w:asciiTheme="majorBidi" w:hAnsiTheme="majorBidi" w:cstheme="majorBidi"/>
          <w:sz w:val="24"/>
          <w:szCs w:val="24"/>
        </w:rPr>
        <w:t>creen time and wellbeing</w:t>
      </w:r>
    </w:p>
    <w:p w14:paraId="09523136" w14:textId="77777777" w:rsidR="00344E0C" w:rsidRPr="003B517A" w:rsidRDefault="009D0C15" w:rsidP="003B517A">
      <w:pPr>
        <w:spacing w:line="240" w:lineRule="auto"/>
        <w:rPr>
          <w:rFonts w:asciiTheme="majorBidi" w:hAnsiTheme="majorBidi" w:cstheme="majorBidi"/>
          <w:sz w:val="24"/>
          <w:szCs w:val="24"/>
        </w:rPr>
      </w:pPr>
      <w:r w:rsidRPr="003B517A">
        <w:rPr>
          <w:rFonts w:asciiTheme="majorBidi" w:hAnsiTheme="majorBidi" w:cstheme="majorBidi"/>
          <w:sz w:val="24"/>
          <w:szCs w:val="24"/>
        </w:rPr>
        <w:t xml:space="preserve">Abbreviations: </w:t>
      </w:r>
      <w:r w:rsidR="00826321" w:rsidRPr="003B517A">
        <w:rPr>
          <w:rFonts w:asciiTheme="majorBidi" w:hAnsiTheme="majorBidi" w:cstheme="majorBidi"/>
          <w:b/>
          <w:sz w:val="24"/>
          <w:szCs w:val="24"/>
        </w:rPr>
        <w:t>BCS70</w:t>
      </w:r>
      <w:r w:rsidR="00826321" w:rsidRPr="003B517A">
        <w:rPr>
          <w:rFonts w:asciiTheme="majorBidi" w:hAnsiTheme="majorBidi" w:cstheme="majorBidi"/>
          <w:sz w:val="24"/>
          <w:szCs w:val="24"/>
        </w:rPr>
        <w:t xml:space="preserve"> = 1970 British Cohort Study; </w:t>
      </w:r>
      <w:r w:rsidR="00826321" w:rsidRPr="003B517A">
        <w:rPr>
          <w:rFonts w:asciiTheme="majorBidi" w:hAnsiTheme="majorBidi" w:cstheme="majorBidi"/>
          <w:b/>
          <w:sz w:val="24"/>
          <w:szCs w:val="24"/>
        </w:rPr>
        <w:t>WEMWBS</w:t>
      </w:r>
      <w:r w:rsidR="00826321" w:rsidRPr="003B517A">
        <w:rPr>
          <w:rFonts w:asciiTheme="majorBidi" w:hAnsiTheme="majorBidi" w:cstheme="majorBidi"/>
          <w:sz w:val="24"/>
          <w:szCs w:val="24"/>
        </w:rPr>
        <w:t xml:space="preserve"> = Warwick-Edinburgh Mental Well-being </w:t>
      </w:r>
      <w:proofErr w:type="gramStart"/>
      <w:r w:rsidR="00826321" w:rsidRPr="003B517A">
        <w:rPr>
          <w:rFonts w:asciiTheme="majorBidi" w:hAnsiTheme="majorBidi" w:cstheme="majorBidi"/>
          <w:sz w:val="24"/>
          <w:szCs w:val="24"/>
        </w:rPr>
        <w:t>Scale ;</w:t>
      </w:r>
      <w:proofErr w:type="gramEnd"/>
      <w:r w:rsidR="00826321" w:rsidRPr="003B517A">
        <w:rPr>
          <w:rFonts w:asciiTheme="majorBidi" w:hAnsiTheme="majorBidi" w:cstheme="majorBidi"/>
          <w:sz w:val="24"/>
          <w:szCs w:val="24"/>
        </w:rPr>
        <w:t xml:space="preserve"> </w:t>
      </w:r>
      <w:r w:rsidR="00826321" w:rsidRPr="003B517A">
        <w:rPr>
          <w:rFonts w:asciiTheme="majorBidi" w:hAnsiTheme="majorBidi" w:cstheme="majorBidi"/>
          <w:b/>
          <w:sz w:val="24"/>
          <w:szCs w:val="24"/>
        </w:rPr>
        <w:t xml:space="preserve">TV </w:t>
      </w:r>
      <w:r w:rsidR="00826321" w:rsidRPr="003B517A">
        <w:rPr>
          <w:rFonts w:asciiTheme="majorBidi" w:hAnsiTheme="majorBidi" w:cstheme="majorBidi"/>
          <w:sz w:val="24"/>
          <w:szCs w:val="24"/>
        </w:rPr>
        <w:t xml:space="preserve">= Television </w:t>
      </w:r>
    </w:p>
    <w:p w14:paraId="3136A5F5" w14:textId="77777777" w:rsidR="00344E0C" w:rsidRPr="003B517A" w:rsidRDefault="00344E0C" w:rsidP="003B517A">
      <w:pPr>
        <w:spacing w:line="240" w:lineRule="auto"/>
        <w:rPr>
          <w:rFonts w:asciiTheme="majorBidi" w:hAnsiTheme="majorBidi" w:cstheme="majorBidi"/>
          <w:sz w:val="24"/>
          <w:szCs w:val="24"/>
        </w:rPr>
      </w:pPr>
    </w:p>
    <w:p w14:paraId="18896A78" w14:textId="77777777" w:rsidR="009D0C15" w:rsidRPr="003B517A" w:rsidRDefault="009D0C15" w:rsidP="003B517A">
      <w:pPr>
        <w:spacing w:line="240" w:lineRule="auto"/>
        <w:rPr>
          <w:rFonts w:asciiTheme="majorBidi" w:hAnsiTheme="majorBidi" w:cstheme="majorBidi"/>
          <w:sz w:val="24"/>
          <w:szCs w:val="24"/>
        </w:rPr>
      </w:pPr>
    </w:p>
    <w:p w14:paraId="6AC6357D" w14:textId="77777777" w:rsidR="003F5465" w:rsidRPr="003B517A" w:rsidRDefault="009D0C15" w:rsidP="003B517A">
      <w:pPr>
        <w:spacing w:line="240" w:lineRule="auto"/>
        <w:rPr>
          <w:rFonts w:asciiTheme="majorBidi" w:hAnsiTheme="majorBidi" w:cstheme="majorBidi"/>
          <w:sz w:val="24"/>
          <w:szCs w:val="24"/>
        </w:rPr>
      </w:pPr>
      <w:r w:rsidRPr="003B517A">
        <w:rPr>
          <w:rFonts w:asciiTheme="majorBidi" w:hAnsiTheme="majorBidi" w:cstheme="majorBidi"/>
          <w:sz w:val="24"/>
          <w:szCs w:val="24"/>
        </w:rPr>
        <w:t>WORD COUNT = 1,98</w:t>
      </w:r>
      <w:r w:rsidR="0063141F">
        <w:rPr>
          <w:rFonts w:asciiTheme="majorBidi" w:hAnsiTheme="majorBidi" w:cstheme="majorBidi"/>
          <w:sz w:val="24"/>
          <w:szCs w:val="24"/>
        </w:rPr>
        <w:t>8</w:t>
      </w:r>
    </w:p>
    <w:p w14:paraId="50FEE994" w14:textId="77777777" w:rsidR="003B517A" w:rsidRDefault="003B517A">
      <w:pPr>
        <w:rPr>
          <w:rFonts w:asciiTheme="majorBidi" w:hAnsiTheme="majorBidi" w:cstheme="majorBidi"/>
          <w:b/>
          <w:sz w:val="24"/>
          <w:szCs w:val="24"/>
        </w:rPr>
      </w:pPr>
    </w:p>
    <w:p w14:paraId="5E53C5A1" w14:textId="77777777" w:rsidR="003B517A" w:rsidRDefault="003B517A">
      <w:pPr>
        <w:rPr>
          <w:rFonts w:asciiTheme="majorBidi" w:hAnsiTheme="majorBidi" w:cstheme="majorBidi"/>
          <w:b/>
          <w:sz w:val="24"/>
          <w:szCs w:val="24"/>
        </w:rPr>
      </w:pPr>
    </w:p>
    <w:p w14:paraId="4ED19CC9" w14:textId="77777777" w:rsidR="00503BE6" w:rsidRPr="003B517A" w:rsidRDefault="00E970E5">
      <w:pPr>
        <w:rPr>
          <w:rFonts w:asciiTheme="majorBidi" w:hAnsiTheme="majorBidi" w:cstheme="majorBidi"/>
          <w:b/>
          <w:sz w:val="24"/>
          <w:szCs w:val="24"/>
        </w:rPr>
      </w:pPr>
      <w:r>
        <w:rPr>
          <w:rFonts w:asciiTheme="majorBidi" w:hAnsiTheme="majorBidi" w:cstheme="majorBidi"/>
          <w:b/>
          <w:sz w:val="24"/>
          <w:szCs w:val="24"/>
        </w:rPr>
        <w:t xml:space="preserve">Author </w:t>
      </w:r>
      <w:r w:rsidR="00503BE6" w:rsidRPr="003B517A">
        <w:rPr>
          <w:rFonts w:asciiTheme="majorBidi" w:hAnsiTheme="majorBidi" w:cstheme="majorBidi"/>
          <w:b/>
          <w:sz w:val="24"/>
          <w:szCs w:val="24"/>
        </w:rPr>
        <w:t xml:space="preserve">Contributors’ statement </w:t>
      </w:r>
    </w:p>
    <w:p w14:paraId="5A78A90E" w14:textId="77777777" w:rsidR="00503BE6" w:rsidRPr="003B517A" w:rsidRDefault="00503BE6">
      <w:pPr>
        <w:rPr>
          <w:rFonts w:asciiTheme="majorBidi" w:hAnsiTheme="majorBidi" w:cstheme="majorBidi"/>
          <w:sz w:val="24"/>
          <w:szCs w:val="24"/>
        </w:rPr>
      </w:pPr>
      <w:r w:rsidRPr="003B517A">
        <w:rPr>
          <w:rFonts w:asciiTheme="majorBidi" w:hAnsiTheme="majorBidi" w:cstheme="majorBidi"/>
          <w:sz w:val="24"/>
          <w:szCs w:val="24"/>
        </w:rPr>
        <w:t xml:space="preserve">Hamer performed the analysis with full access to the data, and takes responsibility for the integrity and accuracy of the results. </w:t>
      </w:r>
      <w:r w:rsidR="00E970E5">
        <w:rPr>
          <w:rFonts w:asciiTheme="majorBidi" w:hAnsiTheme="majorBidi" w:cstheme="majorBidi"/>
          <w:sz w:val="24"/>
          <w:szCs w:val="24"/>
        </w:rPr>
        <w:t xml:space="preserve">All authors </w:t>
      </w:r>
      <w:r w:rsidRPr="003B517A">
        <w:rPr>
          <w:rFonts w:asciiTheme="majorBidi" w:hAnsiTheme="majorBidi" w:cstheme="majorBidi"/>
          <w:sz w:val="24"/>
          <w:szCs w:val="24"/>
        </w:rPr>
        <w:t>conceptualized and designed the study, reviewed and revised the manuscript, and approved the final manuscript as submitted.</w:t>
      </w:r>
    </w:p>
    <w:p w14:paraId="61FA565A" w14:textId="77777777" w:rsidR="00503BE6" w:rsidRPr="003B517A" w:rsidRDefault="00503BE6">
      <w:pPr>
        <w:rPr>
          <w:rFonts w:asciiTheme="majorBidi" w:hAnsiTheme="majorBidi" w:cstheme="majorBidi"/>
          <w:b/>
          <w:sz w:val="24"/>
          <w:szCs w:val="24"/>
        </w:rPr>
      </w:pPr>
    </w:p>
    <w:p w14:paraId="5BCF937C" w14:textId="77777777" w:rsidR="00E970E5" w:rsidRDefault="00E970E5" w:rsidP="0063141F">
      <w:pPr>
        <w:spacing w:line="480" w:lineRule="auto"/>
        <w:rPr>
          <w:rFonts w:asciiTheme="majorBidi" w:hAnsiTheme="majorBidi" w:cstheme="majorBidi"/>
          <w:b/>
          <w:sz w:val="24"/>
          <w:szCs w:val="24"/>
        </w:rPr>
      </w:pPr>
    </w:p>
    <w:p w14:paraId="4559DF40" w14:textId="77777777" w:rsidR="008F3EAE" w:rsidRPr="003B517A" w:rsidRDefault="00344E0C" w:rsidP="0063141F">
      <w:pPr>
        <w:spacing w:line="480" w:lineRule="auto"/>
        <w:rPr>
          <w:rFonts w:asciiTheme="majorBidi" w:hAnsiTheme="majorBidi" w:cstheme="majorBidi"/>
          <w:b/>
          <w:sz w:val="24"/>
          <w:szCs w:val="24"/>
        </w:rPr>
      </w:pPr>
      <w:r w:rsidRPr="003B517A">
        <w:rPr>
          <w:rFonts w:asciiTheme="majorBidi" w:hAnsiTheme="majorBidi" w:cstheme="majorBidi"/>
          <w:b/>
          <w:sz w:val="24"/>
          <w:szCs w:val="24"/>
        </w:rPr>
        <w:lastRenderedPageBreak/>
        <w:t>Abstract</w:t>
      </w:r>
    </w:p>
    <w:p w14:paraId="23D686F9" w14:textId="77777777" w:rsidR="003F5465" w:rsidRPr="003B517A" w:rsidRDefault="00AC4510" w:rsidP="0063141F">
      <w:pPr>
        <w:spacing w:line="480" w:lineRule="auto"/>
        <w:rPr>
          <w:rFonts w:asciiTheme="majorBidi" w:hAnsiTheme="majorBidi" w:cstheme="majorBidi"/>
          <w:sz w:val="24"/>
          <w:szCs w:val="24"/>
        </w:rPr>
      </w:pPr>
      <w:r w:rsidRPr="003B517A">
        <w:rPr>
          <w:rFonts w:asciiTheme="majorBidi" w:hAnsiTheme="majorBidi" w:cstheme="majorBidi"/>
          <w:b/>
          <w:sz w:val="24"/>
          <w:szCs w:val="24"/>
        </w:rPr>
        <w:t>Objective:</w:t>
      </w:r>
      <w:r w:rsidRPr="003B517A">
        <w:rPr>
          <w:rFonts w:asciiTheme="majorBidi" w:hAnsiTheme="majorBidi" w:cstheme="majorBidi"/>
          <w:i/>
          <w:sz w:val="24"/>
          <w:szCs w:val="24"/>
        </w:rPr>
        <w:t xml:space="preserve"> </w:t>
      </w:r>
      <w:r w:rsidR="00344E0C" w:rsidRPr="003B517A">
        <w:rPr>
          <w:rFonts w:asciiTheme="majorBidi" w:hAnsiTheme="majorBidi" w:cstheme="majorBidi"/>
          <w:sz w:val="24"/>
          <w:szCs w:val="24"/>
        </w:rPr>
        <w:t xml:space="preserve"> Sedentary behaviour is associated with poorer mental health </w:t>
      </w:r>
      <w:r w:rsidR="00C843DD" w:rsidRPr="003B517A">
        <w:rPr>
          <w:rFonts w:asciiTheme="majorBidi" w:hAnsiTheme="majorBidi" w:cstheme="majorBidi"/>
          <w:sz w:val="24"/>
          <w:szCs w:val="24"/>
        </w:rPr>
        <w:t xml:space="preserve">in adolescence </w:t>
      </w:r>
      <w:r w:rsidR="00344E0C" w:rsidRPr="003B517A">
        <w:rPr>
          <w:rFonts w:asciiTheme="majorBidi" w:hAnsiTheme="majorBidi" w:cstheme="majorBidi"/>
          <w:sz w:val="24"/>
          <w:szCs w:val="24"/>
        </w:rPr>
        <w:t>but no studies have followed participants into mid-life.</w:t>
      </w:r>
      <w:r w:rsidRPr="003B517A">
        <w:rPr>
          <w:rFonts w:asciiTheme="majorBidi" w:hAnsiTheme="majorBidi" w:cstheme="majorBidi"/>
          <w:sz w:val="24"/>
          <w:szCs w:val="24"/>
        </w:rPr>
        <w:t xml:space="preserve"> We </w:t>
      </w:r>
      <w:r w:rsidR="00344E0C" w:rsidRPr="003B517A">
        <w:rPr>
          <w:rFonts w:asciiTheme="majorBidi" w:hAnsiTheme="majorBidi" w:cstheme="majorBidi"/>
          <w:sz w:val="24"/>
          <w:szCs w:val="24"/>
        </w:rPr>
        <w:t>investigate</w:t>
      </w:r>
      <w:r w:rsidRPr="003B517A">
        <w:rPr>
          <w:rFonts w:asciiTheme="majorBidi" w:hAnsiTheme="majorBidi" w:cstheme="majorBidi"/>
          <w:sz w:val="24"/>
          <w:szCs w:val="24"/>
        </w:rPr>
        <w:t>d</w:t>
      </w:r>
      <w:r w:rsidR="00344E0C" w:rsidRPr="003B517A">
        <w:rPr>
          <w:rFonts w:asciiTheme="majorBidi" w:hAnsiTheme="majorBidi" w:cstheme="majorBidi"/>
          <w:sz w:val="24"/>
          <w:szCs w:val="24"/>
        </w:rPr>
        <w:t xml:space="preserve"> the association </w:t>
      </w:r>
      <w:r w:rsidR="00C843DD" w:rsidRPr="003B517A">
        <w:rPr>
          <w:rFonts w:asciiTheme="majorBidi" w:hAnsiTheme="majorBidi" w:cstheme="majorBidi"/>
          <w:sz w:val="24"/>
          <w:szCs w:val="24"/>
        </w:rPr>
        <w:t xml:space="preserve">between </w:t>
      </w:r>
      <w:r w:rsidR="00344E0C" w:rsidRPr="003B517A">
        <w:rPr>
          <w:rFonts w:asciiTheme="majorBidi" w:hAnsiTheme="majorBidi" w:cstheme="majorBidi"/>
          <w:sz w:val="24"/>
          <w:szCs w:val="24"/>
        </w:rPr>
        <w:t xml:space="preserve">after-school </w:t>
      </w:r>
      <w:r w:rsidR="00923B6A" w:rsidRPr="003B517A">
        <w:rPr>
          <w:rFonts w:asciiTheme="majorBidi" w:hAnsiTheme="majorBidi" w:cstheme="majorBidi"/>
          <w:sz w:val="24"/>
          <w:szCs w:val="24"/>
        </w:rPr>
        <w:t>sedentary behaviours (</w:t>
      </w:r>
      <w:r w:rsidR="00344E0C" w:rsidRPr="003B517A">
        <w:rPr>
          <w:rFonts w:asciiTheme="majorBidi" w:hAnsiTheme="majorBidi" w:cstheme="majorBidi"/>
          <w:sz w:val="24"/>
          <w:szCs w:val="24"/>
        </w:rPr>
        <w:t>screen time</w:t>
      </w:r>
      <w:r w:rsidR="00923B6A" w:rsidRPr="003B517A">
        <w:rPr>
          <w:rFonts w:asciiTheme="majorBidi" w:hAnsiTheme="majorBidi" w:cstheme="majorBidi"/>
          <w:sz w:val="24"/>
          <w:szCs w:val="24"/>
        </w:rPr>
        <w:t xml:space="preserve"> and homework)</w:t>
      </w:r>
      <w:r w:rsidR="00344E0C" w:rsidRPr="003B517A">
        <w:rPr>
          <w:rFonts w:asciiTheme="majorBidi" w:hAnsiTheme="majorBidi" w:cstheme="majorBidi"/>
          <w:sz w:val="24"/>
          <w:szCs w:val="24"/>
        </w:rPr>
        <w:t xml:space="preserve"> in adolescence with mental wellbeing in adulthood when participants were aged 42.</w:t>
      </w:r>
      <w:r w:rsidRPr="003B517A">
        <w:rPr>
          <w:rFonts w:asciiTheme="majorBidi" w:hAnsiTheme="majorBidi" w:cstheme="majorBidi"/>
          <w:sz w:val="24"/>
          <w:szCs w:val="24"/>
        </w:rPr>
        <w:t xml:space="preserve"> </w:t>
      </w:r>
    </w:p>
    <w:p w14:paraId="7804C76F" w14:textId="3B9D5ACB" w:rsidR="003F5465" w:rsidRPr="00D33716" w:rsidRDefault="00344E0C" w:rsidP="00917722">
      <w:pPr>
        <w:spacing w:line="480" w:lineRule="auto"/>
        <w:rPr>
          <w:rFonts w:asciiTheme="majorBidi" w:hAnsiTheme="majorBidi" w:cstheme="majorBidi"/>
          <w:sz w:val="24"/>
          <w:szCs w:val="24"/>
        </w:rPr>
      </w:pPr>
      <w:r w:rsidRPr="003B517A">
        <w:rPr>
          <w:rFonts w:asciiTheme="majorBidi" w:hAnsiTheme="majorBidi" w:cstheme="majorBidi"/>
          <w:b/>
          <w:sz w:val="24"/>
          <w:szCs w:val="24"/>
        </w:rPr>
        <w:t>Methods:</w:t>
      </w:r>
      <w:r w:rsidRPr="003B517A">
        <w:rPr>
          <w:rFonts w:asciiTheme="majorBidi" w:hAnsiTheme="majorBidi" w:cstheme="majorBidi"/>
          <w:i/>
          <w:sz w:val="24"/>
          <w:szCs w:val="24"/>
        </w:rPr>
        <w:t xml:space="preserve"> </w:t>
      </w:r>
      <w:r w:rsidR="006B37DA" w:rsidRPr="003B517A">
        <w:rPr>
          <w:rFonts w:asciiTheme="majorBidi" w:hAnsiTheme="majorBidi" w:cstheme="majorBidi"/>
          <w:sz w:val="24"/>
          <w:szCs w:val="24"/>
        </w:rPr>
        <w:t xml:space="preserve">Participants </w:t>
      </w:r>
      <w:r w:rsidR="00CC3A09" w:rsidRPr="003B517A">
        <w:rPr>
          <w:rFonts w:asciiTheme="majorBidi" w:hAnsiTheme="majorBidi" w:cstheme="majorBidi"/>
          <w:sz w:val="24"/>
          <w:szCs w:val="24"/>
        </w:rPr>
        <w:t xml:space="preserve">(n=2038, 59.2% female) </w:t>
      </w:r>
      <w:r w:rsidR="006B37DA" w:rsidRPr="003B517A">
        <w:rPr>
          <w:rFonts w:asciiTheme="majorBidi" w:hAnsiTheme="majorBidi" w:cstheme="majorBidi"/>
          <w:sz w:val="24"/>
          <w:szCs w:val="24"/>
        </w:rPr>
        <w:t xml:space="preserve">were drawn from The 1970 British Cohort Study (BCS70). At age 16 respondents were asked separate questions about how long they spent in three types of </w:t>
      </w:r>
      <w:r w:rsidR="00EC57B7" w:rsidRPr="003B517A">
        <w:rPr>
          <w:rFonts w:asciiTheme="majorBidi" w:hAnsiTheme="majorBidi" w:cstheme="majorBidi"/>
          <w:sz w:val="24"/>
          <w:szCs w:val="24"/>
        </w:rPr>
        <w:t xml:space="preserve">screen based activities </w:t>
      </w:r>
      <w:r w:rsidR="006B37DA" w:rsidRPr="003B517A">
        <w:rPr>
          <w:rFonts w:asciiTheme="majorBidi" w:hAnsiTheme="majorBidi" w:cstheme="majorBidi"/>
          <w:sz w:val="24"/>
          <w:szCs w:val="24"/>
        </w:rPr>
        <w:t>(TV, video films, computer games)</w:t>
      </w:r>
      <w:r w:rsidR="00923B6A" w:rsidRPr="003B517A">
        <w:rPr>
          <w:rFonts w:asciiTheme="majorBidi" w:hAnsiTheme="majorBidi" w:cstheme="majorBidi"/>
          <w:sz w:val="24"/>
          <w:szCs w:val="24"/>
        </w:rPr>
        <w:t xml:space="preserve"> and homework</w:t>
      </w:r>
      <w:r w:rsidR="006B37DA" w:rsidRPr="003B517A">
        <w:rPr>
          <w:rFonts w:asciiTheme="majorBidi" w:hAnsiTheme="majorBidi" w:cstheme="majorBidi"/>
          <w:sz w:val="24"/>
          <w:szCs w:val="24"/>
        </w:rPr>
        <w:t xml:space="preserve"> </w:t>
      </w:r>
      <w:r w:rsidR="00FC13BD" w:rsidRPr="003B517A">
        <w:rPr>
          <w:rFonts w:asciiTheme="majorBidi" w:hAnsiTheme="majorBidi" w:cstheme="majorBidi"/>
          <w:sz w:val="24"/>
          <w:szCs w:val="24"/>
        </w:rPr>
        <w:t>‘</w:t>
      </w:r>
      <w:r w:rsidR="006B37DA" w:rsidRPr="003B517A">
        <w:rPr>
          <w:rFonts w:asciiTheme="majorBidi" w:hAnsiTheme="majorBidi" w:cstheme="majorBidi"/>
          <w:iCs/>
          <w:sz w:val="24"/>
          <w:szCs w:val="24"/>
        </w:rPr>
        <w:t>after school yesterday</w:t>
      </w:r>
      <w:r w:rsidR="00FC13BD" w:rsidRPr="003B517A">
        <w:rPr>
          <w:rFonts w:asciiTheme="majorBidi" w:hAnsiTheme="majorBidi" w:cstheme="majorBidi"/>
          <w:iCs/>
          <w:sz w:val="24"/>
          <w:szCs w:val="24"/>
        </w:rPr>
        <w:t>’</w:t>
      </w:r>
      <w:r w:rsidR="006B37DA" w:rsidRPr="003B517A">
        <w:rPr>
          <w:rFonts w:asciiTheme="majorBidi" w:hAnsiTheme="majorBidi" w:cstheme="majorBidi"/>
          <w:sz w:val="24"/>
          <w:szCs w:val="24"/>
        </w:rPr>
        <w:t xml:space="preserve">. </w:t>
      </w:r>
      <w:r w:rsidR="0063141F">
        <w:rPr>
          <w:rFonts w:asciiTheme="majorBidi" w:hAnsiTheme="majorBidi" w:cstheme="majorBidi"/>
          <w:sz w:val="24"/>
          <w:szCs w:val="24"/>
        </w:rPr>
        <w:t>M</w:t>
      </w:r>
      <w:r w:rsidR="006B37DA" w:rsidRPr="003B517A">
        <w:rPr>
          <w:rFonts w:asciiTheme="majorBidi" w:hAnsiTheme="majorBidi" w:cstheme="majorBidi"/>
          <w:sz w:val="24"/>
          <w:szCs w:val="24"/>
        </w:rPr>
        <w:t xml:space="preserve">ental </w:t>
      </w:r>
      <w:r w:rsidR="0063141F">
        <w:rPr>
          <w:rFonts w:asciiTheme="majorBidi" w:hAnsiTheme="majorBidi" w:cstheme="majorBidi"/>
          <w:sz w:val="24"/>
          <w:szCs w:val="24"/>
        </w:rPr>
        <w:t>w</w:t>
      </w:r>
      <w:r w:rsidR="006B37DA" w:rsidRPr="003B517A">
        <w:rPr>
          <w:rFonts w:asciiTheme="majorBidi" w:hAnsiTheme="majorBidi" w:cstheme="majorBidi"/>
          <w:sz w:val="24"/>
          <w:szCs w:val="24"/>
        </w:rPr>
        <w:t xml:space="preserve">ell-being </w:t>
      </w:r>
      <w:r w:rsidR="00755135">
        <w:rPr>
          <w:rFonts w:asciiTheme="majorBidi" w:hAnsiTheme="majorBidi" w:cstheme="majorBidi"/>
          <w:sz w:val="24"/>
          <w:szCs w:val="24"/>
        </w:rPr>
        <w:t xml:space="preserve">and </w:t>
      </w:r>
      <w:r w:rsidR="00755135" w:rsidRPr="00D33716">
        <w:rPr>
          <w:rFonts w:asciiTheme="majorBidi" w:hAnsiTheme="majorBidi" w:cstheme="majorBidi"/>
          <w:sz w:val="24"/>
          <w:szCs w:val="24"/>
        </w:rPr>
        <w:t xml:space="preserve">psychological distress </w:t>
      </w:r>
      <w:r w:rsidR="00917722" w:rsidRPr="00D33716">
        <w:rPr>
          <w:rFonts w:asciiTheme="majorBidi" w:hAnsiTheme="majorBidi" w:cstheme="majorBidi"/>
          <w:sz w:val="24"/>
          <w:szCs w:val="24"/>
        </w:rPr>
        <w:t xml:space="preserve">were </w:t>
      </w:r>
      <w:r w:rsidR="0063141F" w:rsidRPr="00D33716">
        <w:rPr>
          <w:rFonts w:asciiTheme="majorBidi" w:hAnsiTheme="majorBidi" w:cstheme="majorBidi"/>
          <w:sz w:val="24"/>
          <w:szCs w:val="24"/>
        </w:rPr>
        <w:t xml:space="preserve">assessed at </w:t>
      </w:r>
      <w:r w:rsidR="00AC7808" w:rsidRPr="00D33716">
        <w:rPr>
          <w:rFonts w:asciiTheme="majorBidi" w:hAnsiTheme="majorBidi" w:cstheme="majorBidi"/>
          <w:sz w:val="24"/>
          <w:szCs w:val="24"/>
        </w:rPr>
        <w:t xml:space="preserve">the </w:t>
      </w:r>
      <w:r w:rsidR="0063141F" w:rsidRPr="00D33716">
        <w:rPr>
          <w:rFonts w:asciiTheme="majorBidi" w:hAnsiTheme="majorBidi" w:cstheme="majorBidi"/>
          <w:sz w:val="24"/>
          <w:szCs w:val="24"/>
        </w:rPr>
        <w:t>age 42</w:t>
      </w:r>
      <w:r w:rsidR="00AC7808" w:rsidRPr="00D33716">
        <w:rPr>
          <w:rFonts w:asciiTheme="majorBidi" w:hAnsiTheme="majorBidi" w:cstheme="majorBidi"/>
          <w:sz w:val="24"/>
          <w:szCs w:val="24"/>
        </w:rPr>
        <w:t xml:space="preserve"> </w:t>
      </w:r>
      <w:r w:rsidR="00D43C1F" w:rsidRPr="00D33716">
        <w:rPr>
          <w:rFonts w:asciiTheme="majorBidi" w:hAnsiTheme="majorBidi" w:cstheme="majorBidi"/>
          <w:sz w:val="24"/>
          <w:szCs w:val="24"/>
        </w:rPr>
        <w:t>sweep</w:t>
      </w:r>
      <w:r w:rsidR="00AC7808" w:rsidRPr="00D33716">
        <w:rPr>
          <w:rFonts w:asciiTheme="majorBidi" w:hAnsiTheme="majorBidi" w:cstheme="majorBidi"/>
          <w:sz w:val="24"/>
          <w:szCs w:val="24"/>
        </w:rPr>
        <w:t xml:space="preserve"> in 2012</w:t>
      </w:r>
      <w:r w:rsidR="00755135" w:rsidRPr="00D33716">
        <w:rPr>
          <w:rFonts w:asciiTheme="majorBidi" w:hAnsiTheme="majorBidi" w:cstheme="majorBidi"/>
          <w:sz w:val="24"/>
          <w:szCs w:val="24"/>
        </w:rPr>
        <w:t xml:space="preserve"> using the Warwick-Edinburgh Mental Well-being Scale (WEMWBS) and Malaise Inventory, respectively</w:t>
      </w:r>
      <w:r w:rsidR="006B37DA" w:rsidRPr="00D33716">
        <w:rPr>
          <w:rFonts w:asciiTheme="majorBidi" w:hAnsiTheme="majorBidi" w:cstheme="majorBidi"/>
          <w:sz w:val="24"/>
          <w:szCs w:val="24"/>
        </w:rPr>
        <w:t>.</w:t>
      </w:r>
      <w:r w:rsidR="00AC4510" w:rsidRPr="00D33716">
        <w:rPr>
          <w:rFonts w:asciiTheme="majorBidi" w:hAnsiTheme="majorBidi" w:cstheme="majorBidi"/>
          <w:sz w:val="24"/>
          <w:szCs w:val="24"/>
        </w:rPr>
        <w:t xml:space="preserve"> </w:t>
      </w:r>
    </w:p>
    <w:p w14:paraId="6A63EA61" w14:textId="477EE7C5" w:rsidR="003F5465" w:rsidRPr="003B517A" w:rsidRDefault="00344E0C" w:rsidP="0063141F">
      <w:pPr>
        <w:spacing w:line="480" w:lineRule="auto"/>
        <w:rPr>
          <w:rFonts w:asciiTheme="majorBidi" w:hAnsiTheme="majorBidi" w:cstheme="majorBidi"/>
          <w:sz w:val="24"/>
          <w:szCs w:val="24"/>
        </w:rPr>
      </w:pPr>
      <w:r w:rsidRPr="003B517A">
        <w:rPr>
          <w:rFonts w:asciiTheme="majorBidi" w:hAnsiTheme="majorBidi" w:cstheme="majorBidi"/>
          <w:b/>
          <w:sz w:val="24"/>
          <w:szCs w:val="24"/>
        </w:rPr>
        <w:t>Results</w:t>
      </w:r>
      <w:r w:rsidR="006B37DA" w:rsidRPr="003B517A">
        <w:rPr>
          <w:rFonts w:asciiTheme="majorBidi" w:hAnsiTheme="majorBidi" w:cstheme="majorBidi"/>
          <w:b/>
          <w:sz w:val="24"/>
          <w:szCs w:val="24"/>
        </w:rPr>
        <w:t>:</w:t>
      </w:r>
      <w:r w:rsidR="006B37DA" w:rsidRPr="003B517A">
        <w:rPr>
          <w:rFonts w:asciiTheme="majorBidi" w:hAnsiTheme="majorBidi" w:cstheme="majorBidi"/>
          <w:i/>
          <w:sz w:val="24"/>
          <w:szCs w:val="24"/>
        </w:rPr>
        <w:t xml:space="preserve"> </w:t>
      </w:r>
      <w:r w:rsidR="006B37DA" w:rsidRPr="003B517A">
        <w:rPr>
          <w:rFonts w:asciiTheme="majorBidi" w:hAnsiTheme="majorBidi" w:cstheme="majorBidi"/>
          <w:sz w:val="24"/>
          <w:szCs w:val="24"/>
        </w:rPr>
        <w:t xml:space="preserve">After adjustment for all covariates, </w:t>
      </w:r>
      <w:r w:rsidR="00897752">
        <w:rPr>
          <w:rFonts w:asciiTheme="majorBidi" w:hAnsiTheme="majorBidi" w:cstheme="majorBidi"/>
          <w:sz w:val="24"/>
          <w:szCs w:val="24"/>
        </w:rPr>
        <w:t>participants</w:t>
      </w:r>
      <w:r w:rsidR="006B37DA" w:rsidRPr="003B517A">
        <w:rPr>
          <w:rFonts w:asciiTheme="majorBidi" w:hAnsiTheme="majorBidi" w:cstheme="majorBidi"/>
          <w:sz w:val="24"/>
          <w:szCs w:val="24"/>
        </w:rPr>
        <w:t xml:space="preserve"> reporting more than 3hrs of after school screen</w:t>
      </w:r>
      <w:r w:rsidR="00FC13BD" w:rsidRPr="003B517A">
        <w:rPr>
          <w:rFonts w:asciiTheme="majorBidi" w:hAnsiTheme="majorBidi" w:cstheme="majorBidi"/>
          <w:sz w:val="24"/>
          <w:szCs w:val="24"/>
        </w:rPr>
        <w:t xml:space="preserve"> time</w:t>
      </w:r>
      <w:r w:rsidR="006B37DA" w:rsidRPr="003B517A">
        <w:rPr>
          <w:rFonts w:asciiTheme="majorBidi" w:hAnsiTheme="majorBidi" w:cstheme="majorBidi"/>
          <w:sz w:val="24"/>
          <w:szCs w:val="24"/>
        </w:rPr>
        <w:t xml:space="preserve"> </w:t>
      </w:r>
      <w:r w:rsidR="00C843DD" w:rsidRPr="003B517A">
        <w:rPr>
          <w:rFonts w:asciiTheme="majorBidi" w:hAnsiTheme="majorBidi" w:cstheme="majorBidi"/>
          <w:sz w:val="24"/>
          <w:szCs w:val="24"/>
        </w:rPr>
        <w:t xml:space="preserve">as an adolescent </w:t>
      </w:r>
      <w:r w:rsidR="006B37DA" w:rsidRPr="003B517A">
        <w:rPr>
          <w:rFonts w:asciiTheme="majorBidi" w:hAnsiTheme="majorBidi" w:cstheme="majorBidi"/>
          <w:sz w:val="24"/>
          <w:szCs w:val="24"/>
        </w:rPr>
        <w:t xml:space="preserve">had -1.74 (95% CI, -2.65, -0.83) points </w:t>
      </w:r>
      <w:r w:rsidR="0063141F">
        <w:rPr>
          <w:rFonts w:asciiTheme="majorBidi" w:hAnsiTheme="majorBidi" w:cstheme="majorBidi"/>
          <w:sz w:val="24"/>
          <w:szCs w:val="24"/>
        </w:rPr>
        <w:t xml:space="preserve">on the </w:t>
      </w:r>
      <w:r w:rsidR="00755135" w:rsidRPr="00755135">
        <w:rPr>
          <w:rFonts w:asciiTheme="majorBidi" w:hAnsiTheme="majorBidi" w:cstheme="majorBidi"/>
          <w:sz w:val="24"/>
          <w:szCs w:val="24"/>
        </w:rPr>
        <w:t>WEMWBS</w:t>
      </w:r>
      <w:r w:rsidR="0063141F" w:rsidRPr="0063141F">
        <w:rPr>
          <w:rFonts w:asciiTheme="majorBidi" w:hAnsiTheme="majorBidi" w:cstheme="majorBidi"/>
          <w:sz w:val="24"/>
          <w:szCs w:val="24"/>
        </w:rPr>
        <w:t xml:space="preserve"> </w:t>
      </w:r>
      <w:r w:rsidR="006B37DA" w:rsidRPr="003B517A">
        <w:rPr>
          <w:rFonts w:asciiTheme="majorBidi" w:hAnsiTheme="majorBidi" w:cstheme="majorBidi"/>
          <w:sz w:val="24"/>
          <w:szCs w:val="24"/>
        </w:rPr>
        <w:t xml:space="preserve">compared with </w:t>
      </w:r>
      <w:r w:rsidR="00C843DD" w:rsidRPr="003B517A">
        <w:rPr>
          <w:rFonts w:asciiTheme="majorBidi" w:hAnsiTheme="majorBidi" w:cstheme="majorBidi"/>
          <w:sz w:val="24"/>
          <w:szCs w:val="24"/>
        </w:rPr>
        <w:t xml:space="preserve">adults </w:t>
      </w:r>
      <w:r w:rsidR="006B37DA" w:rsidRPr="003B517A">
        <w:rPr>
          <w:rFonts w:asciiTheme="majorBidi" w:hAnsiTheme="majorBidi" w:cstheme="majorBidi"/>
          <w:sz w:val="24"/>
          <w:szCs w:val="24"/>
        </w:rPr>
        <w:t>reporting less than 1 hr screen time</w:t>
      </w:r>
      <w:r w:rsidR="00C843DD" w:rsidRPr="003B517A">
        <w:rPr>
          <w:rFonts w:asciiTheme="majorBidi" w:hAnsiTheme="majorBidi" w:cstheme="majorBidi"/>
          <w:sz w:val="24"/>
          <w:szCs w:val="24"/>
        </w:rPr>
        <w:t xml:space="preserve"> as an adolescent</w:t>
      </w:r>
      <w:r w:rsidR="006B37DA" w:rsidRPr="003B517A">
        <w:rPr>
          <w:rFonts w:asciiTheme="majorBidi" w:hAnsiTheme="majorBidi" w:cstheme="majorBidi"/>
          <w:sz w:val="24"/>
          <w:szCs w:val="24"/>
        </w:rPr>
        <w:t xml:space="preserve">. </w:t>
      </w:r>
      <w:proofErr w:type="gramStart"/>
      <w:r w:rsidR="00667CC2" w:rsidRPr="00D33716">
        <w:rPr>
          <w:rFonts w:asciiTheme="majorBidi" w:hAnsiTheme="majorBidi" w:cstheme="majorBidi"/>
          <w:sz w:val="24"/>
          <w:szCs w:val="24"/>
        </w:rPr>
        <w:t>Participants that reported high screen time both at age 16 (≥3hrs/d) and age 42 (≥3hrs/d TV viewing) demonstrated even lower scores (-2.91; -4.12, -1.69).</w:t>
      </w:r>
      <w:proofErr w:type="gramEnd"/>
      <w:r w:rsidR="00667CC2" w:rsidRPr="00D33716">
        <w:rPr>
          <w:rFonts w:asciiTheme="majorBidi" w:hAnsiTheme="majorBidi" w:cstheme="majorBidi"/>
          <w:sz w:val="24"/>
          <w:szCs w:val="24"/>
        </w:rPr>
        <w:t xml:space="preserve"> </w:t>
      </w:r>
      <w:r w:rsidR="00923B6A" w:rsidRPr="003B517A">
        <w:rPr>
          <w:rFonts w:asciiTheme="majorBidi" w:hAnsiTheme="majorBidi" w:cstheme="majorBidi"/>
          <w:sz w:val="24"/>
          <w:szCs w:val="24"/>
        </w:rPr>
        <w:t xml:space="preserve">Homework was unrelated to wellbeing after adjustment for </w:t>
      </w:r>
      <w:r w:rsidR="00755135" w:rsidRPr="00D33716">
        <w:rPr>
          <w:rFonts w:asciiTheme="majorBidi" w:hAnsiTheme="majorBidi" w:cstheme="majorBidi"/>
          <w:sz w:val="24"/>
          <w:szCs w:val="24"/>
        </w:rPr>
        <w:t>covariates</w:t>
      </w:r>
      <w:r w:rsidR="00923B6A" w:rsidRPr="003B517A">
        <w:rPr>
          <w:rFonts w:asciiTheme="majorBidi" w:hAnsiTheme="majorBidi" w:cstheme="majorBidi"/>
          <w:sz w:val="24"/>
          <w:szCs w:val="24"/>
        </w:rPr>
        <w:t>.</w:t>
      </w:r>
      <w:r w:rsidR="00755135">
        <w:rPr>
          <w:rFonts w:asciiTheme="majorBidi" w:hAnsiTheme="majorBidi" w:cstheme="majorBidi"/>
          <w:sz w:val="24"/>
          <w:szCs w:val="24"/>
        </w:rPr>
        <w:t xml:space="preserve"> </w:t>
      </w:r>
      <w:r w:rsidR="006B37DA" w:rsidRPr="003B517A">
        <w:rPr>
          <w:rFonts w:asciiTheme="majorBidi" w:hAnsiTheme="majorBidi" w:cstheme="majorBidi"/>
          <w:sz w:val="24"/>
          <w:szCs w:val="24"/>
        </w:rPr>
        <w:t xml:space="preserve">The longitudinal association between </w:t>
      </w:r>
      <w:r w:rsidR="00C843DD" w:rsidRPr="003B517A">
        <w:rPr>
          <w:rFonts w:asciiTheme="majorBidi" w:hAnsiTheme="majorBidi" w:cstheme="majorBidi"/>
          <w:sz w:val="24"/>
          <w:szCs w:val="24"/>
        </w:rPr>
        <w:t xml:space="preserve">adolescent </w:t>
      </w:r>
      <w:r w:rsidR="006B37DA" w:rsidRPr="003B517A">
        <w:rPr>
          <w:rFonts w:asciiTheme="majorBidi" w:hAnsiTheme="majorBidi" w:cstheme="majorBidi"/>
          <w:sz w:val="24"/>
          <w:szCs w:val="24"/>
        </w:rPr>
        <w:t xml:space="preserve">screen time and </w:t>
      </w:r>
      <w:r w:rsidR="00C843DD" w:rsidRPr="003B517A">
        <w:rPr>
          <w:rFonts w:asciiTheme="majorBidi" w:hAnsiTheme="majorBidi" w:cstheme="majorBidi"/>
          <w:sz w:val="24"/>
          <w:szCs w:val="24"/>
        </w:rPr>
        <w:t xml:space="preserve">adult </w:t>
      </w:r>
      <w:r w:rsidR="006B37DA" w:rsidRPr="003B517A">
        <w:rPr>
          <w:rFonts w:asciiTheme="majorBidi" w:hAnsiTheme="majorBidi" w:cstheme="majorBidi"/>
          <w:sz w:val="24"/>
          <w:szCs w:val="24"/>
        </w:rPr>
        <w:t>psychological distress was attenuated to the null</w:t>
      </w:r>
      <w:r w:rsidR="00EC57B7" w:rsidRPr="003B517A">
        <w:rPr>
          <w:rFonts w:asciiTheme="majorBidi" w:hAnsiTheme="majorBidi" w:cstheme="majorBidi"/>
          <w:sz w:val="24"/>
          <w:szCs w:val="24"/>
        </w:rPr>
        <w:t xml:space="preserve"> after adjustment for covariates</w:t>
      </w:r>
      <w:r w:rsidR="009A2C68" w:rsidRPr="003B517A">
        <w:rPr>
          <w:rFonts w:asciiTheme="majorBidi" w:hAnsiTheme="majorBidi" w:cstheme="majorBidi"/>
          <w:sz w:val="24"/>
          <w:szCs w:val="24"/>
        </w:rPr>
        <w:t>.</w:t>
      </w:r>
      <w:r w:rsidR="00AC4510" w:rsidRPr="003B517A">
        <w:rPr>
          <w:rFonts w:asciiTheme="majorBidi" w:hAnsiTheme="majorBidi" w:cstheme="majorBidi"/>
          <w:sz w:val="24"/>
          <w:szCs w:val="24"/>
        </w:rPr>
        <w:t xml:space="preserve"> </w:t>
      </w:r>
    </w:p>
    <w:p w14:paraId="16236B39" w14:textId="795831E4" w:rsidR="00EC57B7" w:rsidRPr="003B517A" w:rsidRDefault="00344E0C" w:rsidP="0063141F">
      <w:pPr>
        <w:spacing w:line="480" w:lineRule="auto"/>
        <w:rPr>
          <w:rFonts w:asciiTheme="majorBidi" w:hAnsiTheme="majorBidi" w:cstheme="majorBidi"/>
          <w:sz w:val="24"/>
          <w:szCs w:val="24"/>
        </w:rPr>
      </w:pPr>
      <w:r w:rsidRPr="003B517A">
        <w:rPr>
          <w:rFonts w:asciiTheme="majorBidi" w:hAnsiTheme="majorBidi" w:cstheme="majorBidi"/>
          <w:b/>
          <w:sz w:val="24"/>
          <w:szCs w:val="24"/>
        </w:rPr>
        <w:t>Conclusions</w:t>
      </w:r>
      <w:r w:rsidR="006B37DA" w:rsidRPr="003B517A">
        <w:rPr>
          <w:rFonts w:asciiTheme="majorBidi" w:hAnsiTheme="majorBidi" w:cstheme="majorBidi"/>
          <w:b/>
          <w:sz w:val="24"/>
          <w:szCs w:val="24"/>
        </w:rPr>
        <w:t>:</w:t>
      </w:r>
      <w:r w:rsidR="006B37DA" w:rsidRPr="003B517A">
        <w:rPr>
          <w:rFonts w:asciiTheme="majorBidi" w:hAnsiTheme="majorBidi" w:cstheme="majorBidi"/>
          <w:i/>
          <w:sz w:val="24"/>
          <w:szCs w:val="24"/>
        </w:rPr>
        <w:t xml:space="preserve"> </w:t>
      </w:r>
      <w:r w:rsidRPr="003B517A">
        <w:rPr>
          <w:rFonts w:asciiTheme="majorBidi" w:hAnsiTheme="majorBidi" w:cstheme="majorBidi"/>
          <w:i/>
          <w:sz w:val="24"/>
          <w:szCs w:val="24"/>
        </w:rPr>
        <w:t xml:space="preserve"> </w:t>
      </w:r>
      <w:r w:rsidR="006B37DA" w:rsidRPr="003B517A">
        <w:rPr>
          <w:rFonts w:asciiTheme="majorBidi" w:hAnsiTheme="majorBidi" w:cstheme="majorBidi"/>
          <w:sz w:val="24"/>
          <w:szCs w:val="24"/>
        </w:rPr>
        <w:t xml:space="preserve">Screen time in adolescence was </w:t>
      </w:r>
      <w:r w:rsidR="00C843DD" w:rsidRPr="003B517A">
        <w:rPr>
          <w:rFonts w:asciiTheme="majorBidi" w:hAnsiTheme="majorBidi" w:cstheme="majorBidi"/>
          <w:sz w:val="24"/>
          <w:szCs w:val="24"/>
        </w:rPr>
        <w:t xml:space="preserve">inversely </w:t>
      </w:r>
      <w:r w:rsidR="006B37DA" w:rsidRPr="003B517A">
        <w:rPr>
          <w:rFonts w:asciiTheme="majorBidi" w:hAnsiTheme="majorBidi" w:cstheme="majorBidi"/>
          <w:sz w:val="24"/>
          <w:szCs w:val="24"/>
        </w:rPr>
        <w:t>associated with mental wellbeing in adulthood.</w:t>
      </w:r>
      <w:r w:rsidR="00AC4510" w:rsidRPr="003B517A">
        <w:rPr>
          <w:rFonts w:asciiTheme="majorBidi" w:hAnsiTheme="majorBidi" w:cstheme="majorBidi"/>
          <w:sz w:val="24"/>
          <w:szCs w:val="24"/>
        </w:rPr>
        <w:t xml:space="preserve"> </w:t>
      </w:r>
    </w:p>
    <w:p w14:paraId="67D53755" w14:textId="77777777" w:rsidR="006B37DA" w:rsidRPr="003B517A" w:rsidRDefault="006B37DA" w:rsidP="003B517A">
      <w:pPr>
        <w:spacing w:line="240" w:lineRule="auto"/>
        <w:rPr>
          <w:rFonts w:asciiTheme="majorBidi" w:hAnsiTheme="majorBidi" w:cstheme="majorBidi"/>
          <w:sz w:val="24"/>
          <w:szCs w:val="24"/>
        </w:rPr>
      </w:pPr>
      <w:r w:rsidRPr="003B517A">
        <w:rPr>
          <w:rFonts w:asciiTheme="majorBidi" w:hAnsiTheme="majorBidi" w:cstheme="majorBidi"/>
          <w:b/>
          <w:sz w:val="24"/>
          <w:szCs w:val="24"/>
        </w:rPr>
        <w:t xml:space="preserve">Key words: </w:t>
      </w:r>
      <w:r w:rsidRPr="003B517A">
        <w:rPr>
          <w:rFonts w:asciiTheme="majorBidi" w:hAnsiTheme="majorBidi" w:cstheme="majorBidi"/>
          <w:sz w:val="24"/>
          <w:szCs w:val="24"/>
        </w:rPr>
        <w:t xml:space="preserve">Sedentary; screen time; mental health; birth cohort </w:t>
      </w:r>
    </w:p>
    <w:p w14:paraId="79B8989C" w14:textId="77777777" w:rsidR="005B50AF" w:rsidRPr="003B517A" w:rsidRDefault="005B50AF" w:rsidP="003B517A">
      <w:pPr>
        <w:spacing w:line="480" w:lineRule="auto"/>
        <w:rPr>
          <w:rFonts w:asciiTheme="majorBidi" w:hAnsiTheme="majorBidi" w:cstheme="majorBidi"/>
          <w:b/>
          <w:sz w:val="24"/>
          <w:szCs w:val="24"/>
        </w:rPr>
        <w:sectPr w:rsidR="005B50AF" w:rsidRPr="003B517A">
          <w:footerReference w:type="default" r:id="rId9"/>
          <w:pgSz w:w="11906" w:h="16838"/>
          <w:pgMar w:top="1440" w:right="1440" w:bottom="1440" w:left="1440" w:header="708" w:footer="708" w:gutter="0"/>
          <w:cols w:space="708"/>
          <w:docGrid w:linePitch="360"/>
        </w:sectPr>
      </w:pPr>
    </w:p>
    <w:p w14:paraId="39C3859E" w14:textId="77777777" w:rsidR="00344E0C" w:rsidRPr="00350CC0" w:rsidRDefault="00344E0C" w:rsidP="003B517A">
      <w:pPr>
        <w:spacing w:line="480" w:lineRule="auto"/>
        <w:rPr>
          <w:rFonts w:asciiTheme="majorBidi" w:hAnsiTheme="majorBidi" w:cstheme="majorBidi"/>
          <w:b/>
          <w:sz w:val="24"/>
          <w:szCs w:val="24"/>
        </w:rPr>
      </w:pPr>
      <w:r w:rsidRPr="00350CC0">
        <w:rPr>
          <w:rFonts w:asciiTheme="majorBidi" w:hAnsiTheme="majorBidi" w:cstheme="majorBidi"/>
          <w:b/>
          <w:sz w:val="24"/>
          <w:szCs w:val="24"/>
        </w:rPr>
        <w:lastRenderedPageBreak/>
        <w:t xml:space="preserve">Introduction </w:t>
      </w:r>
    </w:p>
    <w:p w14:paraId="1CE9DC70" w14:textId="0C39A783" w:rsidR="006F13DA" w:rsidRPr="003B517A" w:rsidRDefault="00AD5F88"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Adults spend approximately 60 – 70% of their waking hours in sedentary activities (</w:t>
      </w:r>
      <w:r w:rsidR="00350CC0">
        <w:rPr>
          <w:rFonts w:asciiTheme="majorBidi" w:hAnsiTheme="majorBidi" w:cstheme="majorBidi"/>
          <w:sz w:val="24"/>
          <w:szCs w:val="24"/>
        </w:rPr>
        <w:t>Healy et al., 2011; Stamatakis et al., 2012</w:t>
      </w:r>
      <w:r w:rsidRPr="003B517A">
        <w:rPr>
          <w:rFonts w:asciiTheme="majorBidi" w:hAnsiTheme="majorBidi" w:cstheme="majorBidi"/>
          <w:sz w:val="24"/>
          <w:szCs w:val="24"/>
        </w:rPr>
        <w:t>), which are characterized by energy expenditure below 1.5 metabolic equivalents while in a sitting or reclined posture</w:t>
      </w:r>
      <w:r w:rsidR="00402979">
        <w:rPr>
          <w:rFonts w:asciiTheme="majorBidi" w:hAnsiTheme="majorBidi" w:cstheme="majorBidi"/>
          <w:sz w:val="24"/>
          <w:szCs w:val="24"/>
        </w:rPr>
        <w:t xml:space="preserve"> </w:t>
      </w:r>
      <w:r w:rsidR="00402979" w:rsidRPr="00D33716">
        <w:rPr>
          <w:rFonts w:asciiTheme="majorBidi" w:hAnsiTheme="majorBidi" w:cstheme="majorBidi"/>
          <w:sz w:val="24"/>
          <w:szCs w:val="24"/>
        </w:rPr>
        <w:t>(</w:t>
      </w:r>
      <w:r w:rsidR="00350CC0" w:rsidRPr="00D33716">
        <w:rPr>
          <w:rFonts w:asciiTheme="majorBidi" w:hAnsiTheme="majorBidi" w:cstheme="majorBidi"/>
          <w:sz w:val="24"/>
          <w:szCs w:val="24"/>
        </w:rPr>
        <w:t>Sedentary Behaviour R</w:t>
      </w:r>
      <w:r w:rsidR="00D65C2D" w:rsidRPr="00D33716">
        <w:rPr>
          <w:rFonts w:asciiTheme="majorBidi" w:hAnsiTheme="majorBidi" w:cstheme="majorBidi"/>
          <w:sz w:val="24"/>
          <w:szCs w:val="24"/>
        </w:rPr>
        <w:t xml:space="preserve">esearch </w:t>
      </w:r>
      <w:r w:rsidR="00350CC0" w:rsidRPr="00D33716">
        <w:rPr>
          <w:rFonts w:asciiTheme="majorBidi" w:hAnsiTheme="majorBidi" w:cstheme="majorBidi"/>
          <w:sz w:val="24"/>
          <w:szCs w:val="24"/>
        </w:rPr>
        <w:t>N</w:t>
      </w:r>
      <w:r w:rsidR="00D65C2D" w:rsidRPr="00D33716">
        <w:rPr>
          <w:rFonts w:asciiTheme="majorBidi" w:hAnsiTheme="majorBidi" w:cstheme="majorBidi"/>
          <w:sz w:val="24"/>
          <w:szCs w:val="24"/>
        </w:rPr>
        <w:t>etwork</w:t>
      </w:r>
      <w:r w:rsidR="00350CC0" w:rsidRPr="00D33716">
        <w:rPr>
          <w:rFonts w:asciiTheme="majorBidi" w:hAnsiTheme="majorBidi" w:cstheme="majorBidi"/>
          <w:sz w:val="24"/>
          <w:szCs w:val="24"/>
        </w:rPr>
        <w:t>, 2012</w:t>
      </w:r>
      <w:r w:rsidR="00402979" w:rsidRPr="00D33716">
        <w:rPr>
          <w:rFonts w:asciiTheme="majorBidi" w:hAnsiTheme="majorBidi" w:cstheme="majorBidi"/>
          <w:sz w:val="24"/>
          <w:szCs w:val="24"/>
        </w:rPr>
        <w:t>)</w:t>
      </w:r>
      <w:r w:rsidRPr="003B517A">
        <w:rPr>
          <w:rFonts w:asciiTheme="majorBidi" w:hAnsiTheme="majorBidi" w:cstheme="majorBidi"/>
          <w:sz w:val="24"/>
          <w:szCs w:val="24"/>
        </w:rPr>
        <w:t xml:space="preserve">. There has been increasing interest in the association between sedentary behavior and mental health, and a recent meta-analysis demonstrated increased risk of depressive symptoms in </w:t>
      </w:r>
      <w:r w:rsidR="00765568" w:rsidRPr="003B517A">
        <w:rPr>
          <w:rFonts w:asciiTheme="majorBidi" w:hAnsiTheme="majorBidi" w:cstheme="majorBidi"/>
          <w:sz w:val="24"/>
          <w:szCs w:val="24"/>
        </w:rPr>
        <w:t xml:space="preserve">adults </w:t>
      </w:r>
      <w:r w:rsidRPr="003B517A">
        <w:rPr>
          <w:rFonts w:asciiTheme="majorBidi" w:hAnsiTheme="majorBidi" w:cstheme="majorBidi"/>
          <w:sz w:val="24"/>
          <w:szCs w:val="24"/>
        </w:rPr>
        <w:t>reporting greater amounts of sedentary time (</w:t>
      </w:r>
      <w:r w:rsidR="00350CC0" w:rsidRPr="00350CC0">
        <w:rPr>
          <w:rFonts w:asciiTheme="majorBidi" w:hAnsiTheme="majorBidi" w:cstheme="majorBidi"/>
          <w:sz w:val="24"/>
          <w:szCs w:val="24"/>
        </w:rPr>
        <w:t>Zhai</w:t>
      </w:r>
      <w:r w:rsidR="00350CC0">
        <w:rPr>
          <w:rFonts w:asciiTheme="majorBidi" w:hAnsiTheme="majorBidi" w:cstheme="majorBidi"/>
          <w:sz w:val="24"/>
          <w:szCs w:val="24"/>
        </w:rPr>
        <w:t xml:space="preserve"> et al., 2015</w:t>
      </w:r>
      <w:r w:rsidRPr="003B517A">
        <w:rPr>
          <w:rFonts w:asciiTheme="majorBidi" w:hAnsiTheme="majorBidi" w:cstheme="majorBidi"/>
          <w:sz w:val="24"/>
          <w:szCs w:val="24"/>
        </w:rPr>
        <w:t xml:space="preserve">). </w:t>
      </w:r>
    </w:p>
    <w:p w14:paraId="52BA6697" w14:textId="77777777" w:rsidR="00522A76" w:rsidRPr="003B517A" w:rsidRDefault="00AD5F88"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In particular, concerns have been raised about links between excessive screen time and psychological distress in children and adolescents. For example, several studies in 5 – 11 y</w:t>
      </w:r>
      <w:r w:rsidR="00054127" w:rsidRPr="003B517A">
        <w:rPr>
          <w:rFonts w:asciiTheme="majorBidi" w:hAnsiTheme="majorBidi" w:cstheme="majorBidi"/>
          <w:sz w:val="24"/>
          <w:szCs w:val="24"/>
        </w:rPr>
        <w:t>ea</w:t>
      </w:r>
      <w:r w:rsidRPr="003B517A">
        <w:rPr>
          <w:rFonts w:asciiTheme="majorBidi" w:hAnsiTheme="majorBidi" w:cstheme="majorBidi"/>
          <w:sz w:val="24"/>
          <w:szCs w:val="24"/>
        </w:rPr>
        <w:t xml:space="preserve">r old children have demonstrated </w:t>
      </w:r>
      <w:r w:rsidR="0024429A" w:rsidRPr="003B517A">
        <w:rPr>
          <w:rFonts w:asciiTheme="majorBidi" w:hAnsiTheme="majorBidi" w:cstheme="majorBidi"/>
          <w:sz w:val="24"/>
          <w:szCs w:val="24"/>
        </w:rPr>
        <w:t>a relationship</w:t>
      </w:r>
      <w:r w:rsidRPr="003B517A">
        <w:rPr>
          <w:rFonts w:asciiTheme="majorBidi" w:hAnsiTheme="majorBidi" w:cstheme="majorBidi"/>
          <w:sz w:val="24"/>
          <w:szCs w:val="24"/>
        </w:rPr>
        <w:t xml:space="preserve"> between </w:t>
      </w:r>
      <w:r w:rsidR="00D815BD">
        <w:rPr>
          <w:rFonts w:asciiTheme="majorBidi" w:hAnsiTheme="majorBidi" w:cstheme="majorBidi"/>
          <w:sz w:val="24"/>
          <w:szCs w:val="24"/>
        </w:rPr>
        <w:t xml:space="preserve">media use, such as </w:t>
      </w:r>
      <w:r w:rsidRPr="003B517A">
        <w:rPr>
          <w:rFonts w:asciiTheme="majorBidi" w:hAnsiTheme="majorBidi" w:cstheme="majorBidi"/>
          <w:sz w:val="24"/>
          <w:szCs w:val="24"/>
        </w:rPr>
        <w:t>TV viewing</w:t>
      </w:r>
      <w:r w:rsidR="00D815BD">
        <w:rPr>
          <w:rFonts w:asciiTheme="majorBidi" w:hAnsiTheme="majorBidi" w:cstheme="majorBidi"/>
          <w:sz w:val="24"/>
          <w:szCs w:val="24"/>
        </w:rPr>
        <w:t>,</w:t>
      </w:r>
      <w:r w:rsidRPr="003B517A">
        <w:rPr>
          <w:rFonts w:asciiTheme="majorBidi" w:hAnsiTheme="majorBidi" w:cstheme="majorBidi"/>
          <w:sz w:val="24"/>
          <w:szCs w:val="24"/>
        </w:rPr>
        <w:t xml:space="preserve"> and psychological adjustment as assessed by the Strengths and Difficulties Questionnaire (</w:t>
      </w:r>
      <w:r w:rsidR="00350CC0">
        <w:rPr>
          <w:rFonts w:asciiTheme="majorBidi" w:hAnsiTheme="majorBidi" w:cstheme="majorBidi"/>
          <w:sz w:val="24"/>
          <w:szCs w:val="24"/>
        </w:rPr>
        <w:t>Booker et al., 2015; Hamer et al., 2009; Parkes et al., 2013</w:t>
      </w:r>
      <w:r w:rsidRPr="003B517A">
        <w:rPr>
          <w:rFonts w:asciiTheme="majorBidi" w:hAnsiTheme="majorBidi" w:cstheme="majorBidi"/>
          <w:sz w:val="24"/>
          <w:szCs w:val="24"/>
        </w:rPr>
        <w:t xml:space="preserve">). </w:t>
      </w:r>
      <w:r w:rsidR="0024429A" w:rsidRPr="003B517A">
        <w:rPr>
          <w:rFonts w:asciiTheme="majorBidi" w:hAnsiTheme="majorBidi" w:cstheme="majorBidi"/>
          <w:sz w:val="24"/>
          <w:szCs w:val="24"/>
        </w:rPr>
        <w:t xml:space="preserve">There </w:t>
      </w:r>
      <w:r w:rsidR="00B3625D" w:rsidRPr="003B517A">
        <w:rPr>
          <w:rFonts w:asciiTheme="majorBidi" w:hAnsiTheme="majorBidi" w:cstheme="majorBidi"/>
          <w:sz w:val="24"/>
          <w:szCs w:val="24"/>
        </w:rPr>
        <w:t>are</w:t>
      </w:r>
      <w:r w:rsidR="0024429A" w:rsidRPr="003B517A">
        <w:rPr>
          <w:rFonts w:asciiTheme="majorBidi" w:hAnsiTheme="majorBidi" w:cstheme="majorBidi"/>
          <w:sz w:val="24"/>
          <w:szCs w:val="24"/>
        </w:rPr>
        <w:t xml:space="preserve">, however, little </w:t>
      </w:r>
      <w:r w:rsidR="00D815BD">
        <w:rPr>
          <w:rFonts w:asciiTheme="majorBidi" w:hAnsiTheme="majorBidi" w:cstheme="majorBidi"/>
          <w:sz w:val="24"/>
          <w:szCs w:val="24"/>
        </w:rPr>
        <w:t xml:space="preserve">longitudinal </w:t>
      </w:r>
      <w:r w:rsidR="00B3625D" w:rsidRPr="003B517A">
        <w:rPr>
          <w:rFonts w:asciiTheme="majorBidi" w:hAnsiTheme="majorBidi" w:cstheme="majorBidi"/>
          <w:sz w:val="24"/>
          <w:szCs w:val="24"/>
        </w:rPr>
        <w:t>data</w:t>
      </w:r>
      <w:r w:rsidR="0024429A" w:rsidRPr="003B517A">
        <w:rPr>
          <w:rFonts w:asciiTheme="majorBidi" w:hAnsiTheme="majorBidi" w:cstheme="majorBidi"/>
          <w:sz w:val="24"/>
          <w:szCs w:val="24"/>
        </w:rPr>
        <w:t xml:space="preserve"> </w:t>
      </w:r>
      <w:r w:rsidR="00B3625D" w:rsidRPr="003B517A">
        <w:rPr>
          <w:rFonts w:asciiTheme="majorBidi" w:hAnsiTheme="majorBidi" w:cstheme="majorBidi"/>
          <w:sz w:val="24"/>
          <w:szCs w:val="24"/>
        </w:rPr>
        <w:t>on</w:t>
      </w:r>
      <w:r w:rsidR="0024429A" w:rsidRPr="003B517A">
        <w:rPr>
          <w:rFonts w:asciiTheme="majorBidi" w:hAnsiTheme="majorBidi" w:cstheme="majorBidi"/>
          <w:sz w:val="24"/>
          <w:szCs w:val="24"/>
        </w:rPr>
        <w:t xml:space="preserve"> how childhood screen time relates to mental health in adulthood. In one study TV and total media exposure in adolescence was associated with increased odds of depressive symptoms in young adulthood over 7 </w:t>
      </w:r>
      <w:proofErr w:type="gramStart"/>
      <w:r w:rsidR="0024429A" w:rsidRPr="003B517A">
        <w:rPr>
          <w:rFonts w:asciiTheme="majorBidi" w:hAnsiTheme="majorBidi" w:cstheme="majorBidi"/>
          <w:sz w:val="24"/>
          <w:szCs w:val="24"/>
        </w:rPr>
        <w:t>years</w:t>
      </w:r>
      <w:proofErr w:type="gramEnd"/>
      <w:r w:rsidR="0024429A" w:rsidRPr="003B517A">
        <w:rPr>
          <w:rFonts w:asciiTheme="majorBidi" w:hAnsiTheme="majorBidi" w:cstheme="majorBidi"/>
          <w:sz w:val="24"/>
          <w:szCs w:val="24"/>
        </w:rPr>
        <w:t xml:space="preserve"> follow-up (</w:t>
      </w:r>
      <w:r w:rsidR="00350CC0" w:rsidRPr="00350CC0">
        <w:rPr>
          <w:rFonts w:asciiTheme="majorBidi" w:hAnsiTheme="majorBidi" w:cstheme="majorBidi"/>
          <w:sz w:val="24"/>
          <w:szCs w:val="24"/>
        </w:rPr>
        <w:t>Primack</w:t>
      </w:r>
      <w:r w:rsidR="00350CC0">
        <w:rPr>
          <w:rFonts w:asciiTheme="majorBidi" w:hAnsiTheme="majorBidi" w:cstheme="majorBidi"/>
          <w:sz w:val="24"/>
          <w:szCs w:val="24"/>
        </w:rPr>
        <w:t xml:space="preserve"> et al., 2009</w:t>
      </w:r>
      <w:r w:rsidR="0024429A" w:rsidRPr="003B517A">
        <w:rPr>
          <w:rFonts w:asciiTheme="majorBidi" w:hAnsiTheme="majorBidi" w:cstheme="majorBidi"/>
          <w:sz w:val="24"/>
          <w:szCs w:val="24"/>
        </w:rPr>
        <w:t>)</w:t>
      </w:r>
      <w:r w:rsidR="00054127" w:rsidRPr="003B517A">
        <w:rPr>
          <w:rFonts w:asciiTheme="majorBidi" w:hAnsiTheme="majorBidi" w:cstheme="majorBidi"/>
          <w:sz w:val="24"/>
          <w:szCs w:val="24"/>
        </w:rPr>
        <w:t xml:space="preserve">. </w:t>
      </w:r>
      <w:r w:rsidR="0024429A" w:rsidRPr="003B517A">
        <w:rPr>
          <w:rFonts w:asciiTheme="majorBidi" w:hAnsiTheme="majorBidi" w:cstheme="majorBidi"/>
          <w:sz w:val="24"/>
          <w:szCs w:val="24"/>
        </w:rPr>
        <w:t xml:space="preserve"> </w:t>
      </w:r>
      <w:r w:rsidR="00054127" w:rsidRPr="003B517A">
        <w:rPr>
          <w:rFonts w:asciiTheme="majorBidi" w:hAnsiTheme="majorBidi" w:cstheme="majorBidi"/>
          <w:sz w:val="24"/>
          <w:szCs w:val="24"/>
        </w:rPr>
        <w:t>N</w:t>
      </w:r>
      <w:r w:rsidR="0024429A" w:rsidRPr="003B517A">
        <w:rPr>
          <w:rFonts w:asciiTheme="majorBidi" w:hAnsiTheme="majorBidi" w:cstheme="majorBidi"/>
          <w:sz w:val="24"/>
          <w:szCs w:val="24"/>
        </w:rPr>
        <w:t>o studies have followed participants into mid-life.</w:t>
      </w:r>
      <w:r w:rsidR="00673DE5" w:rsidRPr="003B517A">
        <w:rPr>
          <w:rFonts w:asciiTheme="majorBidi" w:hAnsiTheme="majorBidi" w:cstheme="majorBidi"/>
          <w:sz w:val="24"/>
          <w:szCs w:val="24"/>
        </w:rPr>
        <w:t xml:space="preserve"> Since sedentary behaviours</w:t>
      </w:r>
      <w:r w:rsidR="00FB69A1" w:rsidRPr="003B517A">
        <w:rPr>
          <w:rFonts w:asciiTheme="majorBidi" w:hAnsiTheme="majorBidi" w:cstheme="majorBidi"/>
          <w:sz w:val="24"/>
          <w:szCs w:val="24"/>
        </w:rPr>
        <w:t>,</w:t>
      </w:r>
      <w:r w:rsidR="00673DE5" w:rsidRPr="003B517A">
        <w:rPr>
          <w:rFonts w:asciiTheme="majorBidi" w:hAnsiTheme="majorBidi" w:cstheme="majorBidi"/>
          <w:sz w:val="24"/>
          <w:szCs w:val="24"/>
        </w:rPr>
        <w:t xml:space="preserve"> such as TV viewing</w:t>
      </w:r>
      <w:r w:rsidR="00FB69A1" w:rsidRPr="003B517A">
        <w:rPr>
          <w:rFonts w:asciiTheme="majorBidi" w:hAnsiTheme="majorBidi" w:cstheme="majorBidi"/>
          <w:sz w:val="24"/>
          <w:szCs w:val="24"/>
        </w:rPr>
        <w:t>,</w:t>
      </w:r>
      <w:r w:rsidR="00673DE5" w:rsidRPr="003B517A">
        <w:rPr>
          <w:rFonts w:asciiTheme="majorBidi" w:hAnsiTheme="majorBidi" w:cstheme="majorBidi"/>
          <w:sz w:val="24"/>
          <w:szCs w:val="24"/>
        </w:rPr>
        <w:t xml:space="preserve"> appear to be established in early life (</w:t>
      </w:r>
      <w:r w:rsidR="00350CC0">
        <w:rPr>
          <w:rFonts w:asciiTheme="majorBidi" w:hAnsiTheme="majorBidi" w:cstheme="majorBidi"/>
          <w:sz w:val="24"/>
          <w:szCs w:val="24"/>
        </w:rPr>
        <w:t>Smith et al., 2015</w:t>
      </w:r>
      <w:r w:rsidR="00673DE5" w:rsidRPr="003B517A">
        <w:rPr>
          <w:rFonts w:asciiTheme="majorBidi" w:hAnsiTheme="majorBidi" w:cstheme="majorBidi"/>
          <w:sz w:val="24"/>
          <w:szCs w:val="24"/>
        </w:rPr>
        <w:t xml:space="preserve">), we might hypothesize </w:t>
      </w:r>
      <w:r w:rsidR="00AC4510" w:rsidRPr="003B517A">
        <w:rPr>
          <w:rFonts w:asciiTheme="majorBidi" w:hAnsiTheme="majorBidi" w:cstheme="majorBidi"/>
          <w:sz w:val="24"/>
          <w:szCs w:val="24"/>
        </w:rPr>
        <w:t>that individuals</w:t>
      </w:r>
      <w:r w:rsidR="00054127" w:rsidRPr="003B517A">
        <w:rPr>
          <w:rFonts w:asciiTheme="majorBidi" w:hAnsiTheme="majorBidi" w:cstheme="majorBidi"/>
          <w:sz w:val="24"/>
          <w:szCs w:val="24"/>
        </w:rPr>
        <w:t xml:space="preserve"> who report h</w:t>
      </w:r>
      <w:r w:rsidR="009A08C8" w:rsidRPr="003B517A">
        <w:rPr>
          <w:rFonts w:asciiTheme="majorBidi" w:hAnsiTheme="majorBidi" w:cstheme="majorBidi"/>
          <w:sz w:val="24"/>
          <w:szCs w:val="24"/>
        </w:rPr>
        <w:t>igh levels of sedentary behavio</w:t>
      </w:r>
      <w:r w:rsidR="00054127" w:rsidRPr="003B517A">
        <w:rPr>
          <w:rFonts w:asciiTheme="majorBidi" w:hAnsiTheme="majorBidi" w:cstheme="majorBidi"/>
          <w:sz w:val="24"/>
          <w:szCs w:val="24"/>
        </w:rPr>
        <w:t xml:space="preserve">r in early life, would through such sustained </w:t>
      </w:r>
      <w:r w:rsidR="00673DE5" w:rsidRPr="003B517A">
        <w:rPr>
          <w:rFonts w:asciiTheme="majorBidi" w:hAnsiTheme="majorBidi" w:cstheme="majorBidi"/>
          <w:sz w:val="24"/>
          <w:szCs w:val="24"/>
        </w:rPr>
        <w:t>exposure across the life</w:t>
      </w:r>
      <w:r w:rsidR="00F10A6F" w:rsidRPr="003B517A">
        <w:rPr>
          <w:rFonts w:asciiTheme="majorBidi" w:hAnsiTheme="majorBidi" w:cstheme="majorBidi"/>
          <w:sz w:val="24"/>
          <w:szCs w:val="24"/>
        </w:rPr>
        <w:t xml:space="preserve"> </w:t>
      </w:r>
      <w:r w:rsidR="00673DE5" w:rsidRPr="003B517A">
        <w:rPr>
          <w:rFonts w:asciiTheme="majorBidi" w:hAnsiTheme="majorBidi" w:cstheme="majorBidi"/>
          <w:sz w:val="24"/>
          <w:szCs w:val="24"/>
        </w:rPr>
        <w:t xml:space="preserve">course </w:t>
      </w:r>
      <w:r w:rsidR="00054127" w:rsidRPr="003B517A">
        <w:rPr>
          <w:rFonts w:asciiTheme="majorBidi" w:hAnsiTheme="majorBidi" w:cstheme="majorBidi"/>
          <w:sz w:val="24"/>
          <w:szCs w:val="24"/>
        </w:rPr>
        <w:t xml:space="preserve">show poorer </w:t>
      </w:r>
      <w:r w:rsidR="00344E0C" w:rsidRPr="003B517A">
        <w:rPr>
          <w:rFonts w:asciiTheme="majorBidi" w:hAnsiTheme="majorBidi" w:cstheme="majorBidi"/>
          <w:sz w:val="24"/>
          <w:szCs w:val="24"/>
        </w:rPr>
        <w:t>outcomes in mid and later life</w:t>
      </w:r>
      <w:r w:rsidR="00673DE5" w:rsidRPr="003B517A">
        <w:rPr>
          <w:rFonts w:asciiTheme="majorBidi" w:hAnsiTheme="majorBidi" w:cstheme="majorBidi"/>
          <w:sz w:val="24"/>
          <w:szCs w:val="24"/>
        </w:rPr>
        <w:t>.</w:t>
      </w:r>
      <w:r w:rsidR="00FB69A1" w:rsidRPr="003B517A">
        <w:rPr>
          <w:rFonts w:asciiTheme="majorBidi" w:hAnsiTheme="majorBidi" w:cstheme="majorBidi"/>
          <w:sz w:val="24"/>
          <w:szCs w:val="24"/>
        </w:rPr>
        <w:t xml:space="preserve"> </w:t>
      </w:r>
      <w:r w:rsidR="00F10A6F" w:rsidRPr="003B517A">
        <w:rPr>
          <w:rFonts w:asciiTheme="majorBidi" w:hAnsiTheme="majorBidi" w:cstheme="majorBidi"/>
          <w:sz w:val="24"/>
          <w:szCs w:val="24"/>
        </w:rPr>
        <w:t>Some, but not all, longitudinal studies have shown associations between screen time in childhood with cardiovascular risk factors in early adulthood (</w:t>
      </w:r>
      <w:r w:rsidR="00F11A1E" w:rsidRPr="00F11A1E">
        <w:rPr>
          <w:rFonts w:asciiTheme="majorBidi" w:hAnsiTheme="majorBidi" w:cstheme="majorBidi"/>
          <w:sz w:val="24"/>
          <w:szCs w:val="24"/>
        </w:rPr>
        <w:t>Grontved</w:t>
      </w:r>
      <w:r w:rsidR="00F11A1E">
        <w:rPr>
          <w:rFonts w:asciiTheme="majorBidi" w:hAnsiTheme="majorBidi" w:cstheme="majorBidi"/>
          <w:sz w:val="24"/>
          <w:szCs w:val="24"/>
        </w:rPr>
        <w:t xml:space="preserve"> et al., 2014; Hancox et al., 2004; </w:t>
      </w:r>
      <w:r w:rsidR="00F11A1E" w:rsidRPr="00F11A1E">
        <w:rPr>
          <w:rFonts w:asciiTheme="majorBidi" w:hAnsiTheme="majorBidi" w:cstheme="majorBidi"/>
          <w:sz w:val="24"/>
          <w:szCs w:val="24"/>
        </w:rPr>
        <w:t xml:space="preserve">Lefevre </w:t>
      </w:r>
      <w:r w:rsidR="00F11A1E">
        <w:rPr>
          <w:rFonts w:asciiTheme="majorBidi" w:hAnsiTheme="majorBidi" w:cstheme="majorBidi"/>
          <w:sz w:val="24"/>
          <w:szCs w:val="24"/>
        </w:rPr>
        <w:t xml:space="preserve">et al., 2002; </w:t>
      </w:r>
      <w:r w:rsidR="00F11A1E" w:rsidRPr="00F11A1E">
        <w:rPr>
          <w:rFonts w:asciiTheme="majorBidi" w:hAnsiTheme="majorBidi" w:cstheme="majorBidi"/>
          <w:sz w:val="24"/>
          <w:szCs w:val="24"/>
        </w:rPr>
        <w:t>van de Laar</w:t>
      </w:r>
      <w:r w:rsidR="00F11A1E">
        <w:rPr>
          <w:rFonts w:asciiTheme="majorBidi" w:hAnsiTheme="majorBidi" w:cstheme="majorBidi"/>
          <w:sz w:val="24"/>
          <w:szCs w:val="24"/>
        </w:rPr>
        <w:t xml:space="preserve"> et al., 2014)</w:t>
      </w:r>
      <w:r w:rsidR="00F10A6F" w:rsidRPr="003B517A">
        <w:rPr>
          <w:rFonts w:asciiTheme="majorBidi" w:hAnsiTheme="majorBidi" w:cstheme="majorBidi"/>
          <w:sz w:val="24"/>
          <w:szCs w:val="24"/>
        </w:rPr>
        <w:t>. T</w:t>
      </w:r>
      <w:r w:rsidR="00FB69A1" w:rsidRPr="003B517A">
        <w:rPr>
          <w:rFonts w:asciiTheme="majorBidi" w:hAnsiTheme="majorBidi" w:cstheme="majorBidi"/>
          <w:sz w:val="24"/>
          <w:szCs w:val="24"/>
        </w:rPr>
        <w:t>hus</w:t>
      </w:r>
      <w:r w:rsidR="00AC4510" w:rsidRPr="003B517A">
        <w:rPr>
          <w:rFonts w:asciiTheme="majorBidi" w:hAnsiTheme="majorBidi" w:cstheme="majorBidi"/>
          <w:sz w:val="24"/>
          <w:szCs w:val="24"/>
        </w:rPr>
        <w:t>,</w:t>
      </w:r>
      <w:r w:rsidR="00FB69A1" w:rsidRPr="003B517A">
        <w:rPr>
          <w:rFonts w:asciiTheme="majorBidi" w:hAnsiTheme="majorBidi" w:cstheme="majorBidi"/>
          <w:sz w:val="24"/>
          <w:szCs w:val="24"/>
        </w:rPr>
        <w:t xml:space="preserve"> further work is need</w:t>
      </w:r>
      <w:r w:rsidR="002A47EA" w:rsidRPr="003B517A">
        <w:rPr>
          <w:rFonts w:asciiTheme="majorBidi" w:hAnsiTheme="majorBidi" w:cstheme="majorBidi"/>
          <w:sz w:val="24"/>
          <w:szCs w:val="24"/>
        </w:rPr>
        <w:t>ed</w:t>
      </w:r>
      <w:r w:rsidR="00FB69A1" w:rsidRPr="003B517A">
        <w:rPr>
          <w:rFonts w:asciiTheme="majorBidi" w:hAnsiTheme="majorBidi" w:cstheme="majorBidi"/>
          <w:sz w:val="24"/>
          <w:szCs w:val="24"/>
        </w:rPr>
        <w:t xml:space="preserve"> to establish direct links between </w:t>
      </w:r>
      <w:r w:rsidR="00D53EF6" w:rsidRPr="003B517A">
        <w:rPr>
          <w:rFonts w:asciiTheme="majorBidi" w:hAnsiTheme="majorBidi" w:cstheme="majorBidi"/>
          <w:sz w:val="24"/>
          <w:szCs w:val="24"/>
        </w:rPr>
        <w:t xml:space="preserve">physical </w:t>
      </w:r>
      <w:r w:rsidR="00FB69A1" w:rsidRPr="003B517A">
        <w:rPr>
          <w:rFonts w:asciiTheme="majorBidi" w:hAnsiTheme="majorBidi" w:cstheme="majorBidi"/>
          <w:sz w:val="24"/>
          <w:szCs w:val="24"/>
        </w:rPr>
        <w:t xml:space="preserve">activity/sedentary </w:t>
      </w:r>
      <w:r w:rsidR="00054127" w:rsidRPr="003B517A">
        <w:rPr>
          <w:rFonts w:asciiTheme="majorBidi" w:hAnsiTheme="majorBidi" w:cstheme="majorBidi"/>
          <w:sz w:val="24"/>
          <w:szCs w:val="24"/>
        </w:rPr>
        <w:t xml:space="preserve">time </w:t>
      </w:r>
      <w:r w:rsidR="00FB69A1" w:rsidRPr="003B517A">
        <w:rPr>
          <w:rFonts w:asciiTheme="majorBidi" w:hAnsiTheme="majorBidi" w:cstheme="majorBidi"/>
          <w:sz w:val="24"/>
          <w:szCs w:val="24"/>
        </w:rPr>
        <w:t xml:space="preserve">in </w:t>
      </w:r>
      <w:r w:rsidR="00054127" w:rsidRPr="003B517A">
        <w:rPr>
          <w:rFonts w:asciiTheme="majorBidi" w:hAnsiTheme="majorBidi" w:cstheme="majorBidi"/>
          <w:sz w:val="24"/>
          <w:szCs w:val="24"/>
        </w:rPr>
        <w:t>childhood</w:t>
      </w:r>
      <w:r w:rsidR="009A08C8" w:rsidRPr="003B517A">
        <w:rPr>
          <w:rFonts w:asciiTheme="majorBidi" w:hAnsiTheme="majorBidi" w:cstheme="majorBidi"/>
          <w:sz w:val="24"/>
          <w:szCs w:val="24"/>
        </w:rPr>
        <w:t>/</w:t>
      </w:r>
      <w:r w:rsidR="00054127" w:rsidRPr="003B517A">
        <w:rPr>
          <w:rFonts w:asciiTheme="majorBidi" w:hAnsiTheme="majorBidi" w:cstheme="majorBidi"/>
          <w:sz w:val="24"/>
          <w:szCs w:val="24"/>
        </w:rPr>
        <w:t xml:space="preserve">adolescence </w:t>
      </w:r>
      <w:r w:rsidR="00FB69A1" w:rsidRPr="003B517A">
        <w:rPr>
          <w:rFonts w:asciiTheme="majorBidi" w:hAnsiTheme="majorBidi" w:cstheme="majorBidi"/>
          <w:sz w:val="24"/>
          <w:szCs w:val="24"/>
        </w:rPr>
        <w:t xml:space="preserve">and adult </w:t>
      </w:r>
      <w:r w:rsidR="00054127" w:rsidRPr="003B517A">
        <w:rPr>
          <w:rFonts w:asciiTheme="majorBidi" w:hAnsiTheme="majorBidi" w:cstheme="majorBidi"/>
          <w:sz w:val="24"/>
          <w:szCs w:val="24"/>
        </w:rPr>
        <w:t xml:space="preserve">physical and psychological </w:t>
      </w:r>
      <w:r w:rsidR="00FB69A1" w:rsidRPr="003B517A">
        <w:rPr>
          <w:rFonts w:asciiTheme="majorBidi" w:hAnsiTheme="majorBidi" w:cstheme="majorBidi"/>
          <w:sz w:val="24"/>
          <w:szCs w:val="24"/>
        </w:rPr>
        <w:t xml:space="preserve">health. </w:t>
      </w:r>
    </w:p>
    <w:p w14:paraId="53FE87A5" w14:textId="032E23D9" w:rsidR="00FB69A1" w:rsidRPr="00D33716" w:rsidRDefault="00522A76" w:rsidP="00BF3A41">
      <w:pPr>
        <w:spacing w:line="480" w:lineRule="auto"/>
        <w:rPr>
          <w:rFonts w:asciiTheme="majorBidi" w:hAnsiTheme="majorBidi" w:cstheme="majorBidi"/>
          <w:sz w:val="24"/>
          <w:szCs w:val="24"/>
        </w:rPr>
      </w:pPr>
      <w:r w:rsidRPr="003B517A">
        <w:rPr>
          <w:rFonts w:asciiTheme="majorBidi" w:hAnsiTheme="majorBidi" w:cstheme="majorBidi"/>
          <w:sz w:val="24"/>
          <w:szCs w:val="24"/>
        </w:rPr>
        <w:lastRenderedPageBreak/>
        <w:t>Since the area of sedentary behavior research has focused largely on negative aspects of mental function, such as depressive symptoms (</w:t>
      </w:r>
      <w:r w:rsidR="00F11A1E" w:rsidRPr="00F11A1E">
        <w:rPr>
          <w:rFonts w:asciiTheme="majorBidi" w:hAnsiTheme="majorBidi" w:cstheme="majorBidi"/>
          <w:sz w:val="24"/>
          <w:szCs w:val="24"/>
        </w:rPr>
        <w:t>Zhai et al., 2015</w:t>
      </w:r>
      <w:r w:rsidRPr="003B517A">
        <w:rPr>
          <w:rFonts w:asciiTheme="majorBidi" w:hAnsiTheme="majorBidi" w:cstheme="majorBidi"/>
          <w:sz w:val="24"/>
          <w:szCs w:val="24"/>
        </w:rPr>
        <w:t>), we also aimed to examine positive mental wellbeing. Indeed, wellbeing is not simply the absence of negative states but also the presence of positive affective states. Subjective well-being is being increasingly seen as an indicator of societal progress (</w:t>
      </w:r>
      <w:r w:rsidR="00F11A1E" w:rsidRPr="00F11A1E">
        <w:rPr>
          <w:rFonts w:asciiTheme="majorBidi" w:hAnsiTheme="majorBidi" w:cstheme="majorBidi"/>
          <w:sz w:val="24"/>
          <w:szCs w:val="24"/>
        </w:rPr>
        <w:t>Stiglitz</w:t>
      </w:r>
      <w:r w:rsidR="00F11A1E">
        <w:rPr>
          <w:rFonts w:asciiTheme="majorBidi" w:hAnsiTheme="majorBidi" w:cstheme="majorBidi"/>
          <w:sz w:val="24"/>
          <w:szCs w:val="24"/>
        </w:rPr>
        <w:t>, 2009</w:t>
      </w:r>
      <w:r w:rsidRPr="003B517A">
        <w:rPr>
          <w:rFonts w:asciiTheme="majorBidi" w:hAnsiTheme="majorBidi" w:cstheme="majorBidi"/>
          <w:sz w:val="24"/>
          <w:szCs w:val="24"/>
        </w:rPr>
        <w:t>) and research has demonstrated the importance of positive wellbeing in predicting various health outcomes, including survival independently of negative states such as depression (</w:t>
      </w:r>
      <w:r w:rsidR="00F11A1E">
        <w:rPr>
          <w:rFonts w:asciiTheme="majorBidi" w:hAnsiTheme="majorBidi" w:cstheme="majorBidi"/>
          <w:sz w:val="24"/>
          <w:szCs w:val="24"/>
        </w:rPr>
        <w:t>Pressman &amp; Cohen, 2005</w:t>
      </w:r>
      <w:r w:rsidRPr="003B517A">
        <w:rPr>
          <w:rFonts w:asciiTheme="majorBidi" w:hAnsiTheme="majorBidi" w:cstheme="majorBidi"/>
          <w:sz w:val="24"/>
          <w:szCs w:val="24"/>
        </w:rPr>
        <w:t>).</w:t>
      </w:r>
      <w:r w:rsidR="00C73215">
        <w:rPr>
          <w:rFonts w:asciiTheme="majorBidi" w:hAnsiTheme="majorBidi" w:cstheme="majorBidi"/>
          <w:sz w:val="24"/>
          <w:szCs w:val="24"/>
        </w:rPr>
        <w:t xml:space="preserve"> </w:t>
      </w:r>
      <w:r w:rsidR="00C73215" w:rsidRPr="00D33716">
        <w:rPr>
          <w:rFonts w:asciiTheme="majorBidi" w:hAnsiTheme="majorBidi" w:cstheme="majorBidi"/>
          <w:sz w:val="24"/>
          <w:szCs w:val="24"/>
        </w:rPr>
        <w:t xml:space="preserve">There is limited evidence in relation to sedentary behavior, although recent data has suggested an association between greater </w:t>
      </w:r>
      <w:r w:rsidR="00BF3A41" w:rsidRPr="00D33716">
        <w:rPr>
          <w:rFonts w:asciiTheme="majorBidi" w:hAnsiTheme="majorBidi" w:cstheme="majorBidi"/>
          <w:sz w:val="24"/>
          <w:szCs w:val="24"/>
        </w:rPr>
        <w:t xml:space="preserve">work place </w:t>
      </w:r>
      <w:r w:rsidR="00C73215" w:rsidRPr="00D33716">
        <w:rPr>
          <w:rFonts w:asciiTheme="majorBidi" w:hAnsiTheme="majorBidi" w:cstheme="majorBidi"/>
          <w:sz w:val="24"/>
          <w:szCs w:val="24"/>
        </w:rPr>
        <w:t xml:space="preserve">sitting and lower </w:t>
      </w:r>
      <w:r w:rsidR="00BF3A41" w:rsidRPr="00D33716">
        <w:rPr>
          <w:rFonts w:asciiTheme="majorBidi" w:hAnsiTheme="majorBidi" w:cstheme="majorBidi"/>
          <w:sz w:val="24"/>
          <w:szCs w:val="24"/>
        </w:rPr>
        <w:t xml:space="preserve">mental </w:t>
      </w:r>
      <w:r w:rsidR="00C73215" w:rsidRPr="00D33716">
        <w:rPr>
          <w:rFonts w:asciiTheme="majorBidi" w:hAnsiTheme="majorBidi" w:cstheme="majorBidi"/>
          <w:sz w:val="24"/>
          <w:szCs w:val="24"/>
        </w:rPr>
        <w:t>wellbeing in office employees (</w:t>
      </w:r>
      <w:r w:rsidR="00F11A1E" w:rsidRPr="00D33716">
        <w:rPr>
          <w:rFonts w:asciiTheme="majorBidi" w:hAnsiTheme="majorBidi" w:cstheme="majorBidi"/>
          <w:sz w:val="24"/>
          <w:szCs w:val="24"/>
        </w:rPr>
        <w:t>Puig-Ribera et al., 2015</w:t>
      </w:r>
      <w:r w:rsidR="00C73215" w:rsidRPr="00D33716">
        <w:rPr>
          <w:rFonts w:asciiTheme="majorBidi" w:hAnsiTheme="majorBidi" w:cstheme="majorBidi"/>
          <w:sz w:val="24"/>
          <w:szCs w:val="24"/>
        </w:rPr>
        <w:t xml:space="preserve">). These analyses were not adjusted for measures of negative affect, such as depressive symptoms, thus results might simply </w:t>
      </w:r>
      <w:r w:rsidR="00135C9C" w:rsidRPr="00D33716">
        <w:rPr>
          <w:rFonts w:asciiTheme="majorBidi" w:hAnsiTheme="majorBidi" w:cstheme="majorBidi"/>
          <w:sz w:val="24"/>
          <w:szCs w:val="24"/>
        </w:rPr>
        <w:t xml:space="preserve">reflect </w:t>
      </w:r>
      <w:r w:rsidR="00C73215" w:rsidRPr="00D33716">
        <w:rPr>
          <w:rFonts w:asciiTheme="majorBidi" w:hAnsiTheme="majorBidi" w:cstheme="majorBidi"/>
          <w:sz w:val="24"/>
          <w:szCs w:val="24"/>
        </w:rPr>
        <w:t>the absence of negative states</w:t>
      </w:r>
      <w:r w:rsidR="00135C9C" w:rsidRPr="00D33716">
        <w:rPr>
          <w:rFonts w:asciiTheme="majorBidi" w:hAnsiTheme="majorBidi" w:cstheme="majorBidi"/>
          <w:sz w:val="24"/>
          <w:szCs w:val="24"/>
        </w:rPr>
        <w:t>.</w:t>
      </w:r>
    </w:p>
    <w:p w14:paraId="66A6A825" w14:textId="35718404" w:rsidR="006F13DA" w:rsidRPr="00D33716" w:rsidRDefault="0024429A" w:rsidP="003B517A">
      <w:pPr>
        <w:spacing w:line="480" w:lineRule="auto"/>
        <w:rPr>
          <w:rFonts w:asciiTheme="majorBidi" w:hAnsiTheme="majorBidi" w:cstheme="majorBidi"/>
          <w:b/>
          <w:sz w:val="24"/>
          <w:szCs w:val="24"/>
        </w:rPr>
      </w:pPr>
      <w:r w:rsidRPr="003B517A">
        <w:rPr>
          <w:rFonts w:asciiTheme="majorBidi" w:hAnsiTheme="majorBidi" w:cstheme="majorBidi"/>
          <w:sz w:val="24"/>
          <w:szCs w:val="24"/>
        </w:rPr>
        <w:t>The aim of this study was to investigate the association of after</w:t>
      </w:r>
      <w:r w:rsidR="00054127" w:rsidRPr="003B517A">
        <w:rPr>
          <w:rFonts w:asciiTheme="majorBidi" w:hAnsiTheme="majorBidi" w:cstheme="majorBidi"/>
          <w:sz w:val="24"/>
          <w:szCs w:val="24"/>
        </w:rPr>
        <w:t>-</w:t>
      </w:r>
      <w:r w:rsidRPr="003B517A">
        <w:rPr>
          <w:rFonts w:asciiTheme="majorBidi" w:hAnsiTheme="majorBidi" w:cstheme="majorBidi"/>
          <w:sz w:val="24"/>
          <w:szCs w:val="24"/>
        </w:rPr>
        <w:t xml:space="preserve">school </w:t>
      </w:r>
      <w:r w:rsidR="00923B6A" w:rsidRPr="003B517A">
        <w:rPr>
          <w:rFonts w:asciiTheme="majorBidi" w:hAnsiTheme="majorBidi" w:cstheme="majorBidi"/>
          <w:sz w:val="24"/>
          <w:szCs w:val="24"/>
        </w:rPr>
        <w:t>sedentary behaviours (</w:t>
      </w:r>
      <w:r w:rsidRPr="003B517A">
        <w:rPr>
          <w:rFonts w:asciiTheme="majorBidi" w:hAnsiTheme="majorBidi" w:cstheme="majorBidi"/>
          <w:sz w:val="24"/>
          <w:szCs w:val="24"/>
        </w:rPr>
        <w:t xml:space="preserve">screen time </w:t>
      </w:r>
      <w:r w:rsidR="00923B6A" w:rsidRPr="003B517A">
        <w:rPr>
          <w:rFonts w:asciiTheme="majorBidi" w:hAnsiTheme="majorBidi" w:cstheme="majorBidi"/>
          <w:sz w:val="24"/>
          <w:szCs w:val="24"/>
        </w:rPr>
        <w:t xml:space="preserve">and homework) </w:t>
      </w:r>
      <w:r w:rsidRPr="003B517A">
        <w:rPr>
          <w:rFonts w:asciiTheme="majorBidi" w:hAnsiTheme="majorBidi" w:cstheme="majorBidi"/>
          <w:sz w:val="24"/>
          <w:szCs w:val="24"/>
        </w:rPr>
        <w:t xml:space="preserve">in adolescence </w:t>
      </w:r>
      <w:r w:rsidR="00D53EF6" w:rsidRPr="003B517A">
        <w:rPr>
          <w:rFonts w:asciiTheme="majorBidi" w:hAnsiTheme="majorBidi" w:cstheme="majorBidi"/>
          <w:sz w:val="24"/>
          <w:szCs w:val="24"/>
        </w:rPr>
        <w:t xml:space="preserve">(16 years) </w:t>
      </w:r>
      <w:r w:rsidRPr="003B517A">
        <w:rPr>
          <w:rFonts w:asciiTheme="majorBidi" w:hAnsiTheme="majorBidi" w:cstheme="majorBidi"/>
          <w:sz w:val="24"/>
          <w:szCs w:val="24"/>
        </w:rPr>
        <w:t xml:space="preserve">with </w:t>
      </w:r>
      <w:r w:rsidR="00402979">
        <w:rPr>
          <w:rFonts w:asciiTheme="majorBidi" w:hAnsiTheme="majorBidi" w:cstheme="majorBidi"/>
          <w:sz w:val="24"/>
          <w:szCs w:val="24"/>
        </w:rPr>
        <w:t xml:space="preserve">both </w:t>
      </w:r>
      <w:r w:rsidRPr="003B517A">
        <w:rPr>
          <w:rFonts w:asciiTheme="majorBidi" w:hAnsiTheme="majorBidi" w:cstheme="majorBidi"/>
          <w:sz w:val="24"/>
          <w:szCs w:val="24"/>
        </w:rPr>
        <w:t>mental wellbeing</w:t>
      </w:r>
      <w:r w:rsidR="00402979">
        <w:rPr>
          <w:rFonts w:asciiTheme="majorBidi" w:hAnsiTheme="majorBidi" w:cstheme="majorBidi"/>
          <w:sz w:val="24"/>
          <w:szCs w:val="24"/>
        </w:rPr>
        <w:t xml:space="preserve"> and psychological distress</w:t>
      </w:r>
      <w:r w:rsidRPr="003B517A">
        <w:rPr>
          <w:rFonts w:asciiTheme="majorBidi" w:hAnsiTheme="majorBidi" w:cstheme="majorBidi"/>
          <w:sz w:val="24"/>
          <w:szCs w:val="24"/>
        </w:rPr>
        <w:t xml:space="preserve"> in </w:t>
      </w:r>
      <w:r w:rsidR="00D53EF6" w:rsidRPr="003B517A">
        <w:rPr>
          <w:rFonts w:asciiTheme="majorBidi" w:hAnsiTheme="majorBidi" w:cstheme="majorBidi"/>
          <w:sz w:val="24"/>
          <w:szCs w:val="24"/>
        </w:rPr>
        <w:t>mid-</w:t>
      </w:r>
      <w:r w:rsidRPr="003B517A">
        <w:rPr>
          <w:rFonts w:asciiTheme="majorBidi" w:hAnsiTheme="majorBidi" w:cstheme="majorBidi"/>
          <w:sz w:val="24"/>
          <w:szCs w:val="24"/>
        </w:rPr>
        <w:t xml:space="preserve">adulthood </w:t>
      </w:r>
      <w:r w:rsidR="00522A76" w:rsidRPr="003B517A">
        <w:rPr>
          <w:rFonts w:asciiTheme="majorBidi" w:hAnsiTheme="majorBidi" w:cstheme="majorBidi"/>
          <w:sz w:val="24"/>
          <w:szCs w:val="24"/>
        </w:rPr>
        <w:t xml:space="preserve">at </w:t>
      </w:r>
      <w:r w:rsidRPr="003B517A">
        <w:rPr>
          <w:rFonts w:asciiTheme="majorBidi" w:hAnsiTheme="majorBidi" w:cstheme="majorBidi"/>
          <w:sz w:val="24"/>
          <w:szCs w:val="24"/>
        </w:rPr>
        <w:t>42</w:t>
      </w:r>
      <w:r w:rsidR="00522A76" w:rsidRPr="003B517A">
        <w:rPr>
          <w:rFonts w:asciiTheme="majorBidi" w:hAnsiTheme="majorBidi" w:cstheme="majorBidi"/>
          <w:sz w:val="24"/>
          <w:szCs w:val="24"/>
        </w:rPr>
        <w:t xml:space="preserve"> years of age</w:t>
      </w:r>
      <w:r w:rsidRPr="003B517A">
        <w:rPr>
          <w:rFonts w:asciiTheme="majorBidi" w:hAnsiTheme="majorBidi" w:cstheme="majorBidi"/>
          <w:sz w:val="24"/>
          <w:szCs w:val="24"/>
        </w:rPr>
        <w:t xml:space="preserve">. </w:t>
      </w:r>
      <w:r w:rsidR="0083704A" w:rsidRPr="003B517A">
        <w:rPr>
          <w:rFonts w:asciiTheme="majorBidi" w:hAnsiTheme="majorBidi" w:cstheme="majorBidi"/>
          <w:sz w:val="24"/>
          <w:szCs w:val="24"/>
        </w:rPr>
        <w:t xml:space="preserve">We hypothesized that </w:t>
      </w:r>
      <w:r w:rsidR="009A08C8" w:rsidRPr="003B517A">
        <w:rPr>
          <w:rFonts w:asciiTheme="majorBidi" w:hAnsiTheme="majorBidi" w:cstheme="majorBidi"/>
          <w:sz w:val="24"/>
          <w:szCs w:val="24"/>
        </w:rPr>
        <w:t xml:space="preserve">greater screen time in adolescence would be related to worse mental wellbeing in </w:t>
      </w:r>
      <w:r w:rsidR="001516F5" w:rsidRPr="003B517A">
        <w:rPr>
          <w:rFonts w:asciiTheme="majorBidi" w:hAnsiTheme="majorBidi" w:cstheme="majorBidi"/>
          <w:sz w:val="24"/>
          <w:szCs w:val="24"/>
        </w:rPr>
        <w:t>mid-</w:t>
      </w:r>
      <w:r w:rsidR="009A08C8" w:rsidRPr="003B517A">
        <w:rPr>
          <w:rFonts w:asciiTheme="majorBidi" w:hAnsiTheme="majorBidi" w:cstheme="majorBidi"/>
          <w:sz w:val="24"/>
          <w:szCs w:val="24"/>
        </w:rPr>
        <w:t>adulthood</w:t>
      </w:r>
      <w:r w:rsidR="00135C9C">
        <w:rPr>
          <w:rFonts w:asciiTheme="majorBidi" w:hAnsiTheme="majorBidi" w:cstheme="majorBidi"/>
          <w:sz w:val="24"/>
          <w:szCs w:val="24"/>
        </w:rPr>
        <w:t>, independently of negative affect</w:t>
      </w:r>
      <w:r w:rsidR="0001216B">
        <w:rPr>
          <w:rFonts w:asciiTheme="majorBidi" w:hAnsiTheme="majorBidi" w:cstheme="majorBidi"/>
          <w:sz w:val="24"/>
          <w:szCs w:val="24"/>
        </w:rPr>
        <w:t xml:space="preserve"> (here, psychological distress)</w:t>
      </w:r>
      <w:r w:rsidR="009A08C8" w:rsidRPr="003B517A">
        <w:rPr>
          <w:rFonts w:asciiTheme="majorBidi" w:hAnsiTheme="majorBidi" w:cstheme="majorBidi"/>
          <w:sz w:val="24"/>
          <w:szCs w:val="24"/>
        </w:rPr>
        <w:t>.</w:t>
      </w:r>
      <w:r w:rsidR="00402979">
        <w:rPr>
          <w:rFonts w:asciiTheme="majorBidi" w:hAnsiTheme="majorBidi" w:cstheme="majorBidi"/>
          <w:sz w:val="24"/>
          <w:szCs w:val="24"/>
        </w:rPr>
        <w:t xml:space="preserve"> </w:t>
      </w:r>
      <w:r w:rsidR="00402979" w:rsidRPr="00D33716">
        <w:rPr>
          <w:rFonts w:asciiTheme="majorBidi" w:hAnsiTheme="majorBidi" w:cstheme="majorBidi"/>
          <w:sz w:val="24"/>
          <w:szCs w:val="24"/>
        </w:rPr>
        <w:t xml:space="preserve">In addition, </w:t>
      </w:r>
      <w:r w:rsidR="002C1613" w:rsidRPr="00D33716">
        <w:rPr>
          <w:rFonts w:asciiTheme="majorBidi" w:hAnsiTheme="majorBidi" w:cstheme="majorBidi"/>
          <w:sz w:val="24"/>
          <w:szCs w:val="24"/>
        </w:rPr>
        <w:t>we</w:t>
      </w:r>
      <w:r w:rsidR="00D43C1F" w:rsidRPr="00D33716">
        <w:rPr>
          <w:rFonts w:asciiTheme="majorBidi" w:hAnsiTheme="majorBidi" w:cstheme="majorBidi"/>
          <w:sz w:val="24"/>
          <w:szCs w:val="24"/>
        </w:rPr>
        <w:t xml:space="preserve"> hypothesized </w:t>
      </w:r>
      <w:r w:rsidR="002C1613" w:rsidRPr="00D33716">
        <w:rPr>
          <w:rFonts w:asciiTheme="majorBidi" w:hAnsiTheme="majorBidi" w:cstheme="majorBidi"/>
          <w:sz w:val="24"/>
          <w:szCs w:val="24"/>
        </w:rPr>
        <w:t xml:space="preserve">an </w:t>
      </w:r>
      <w:r w:rsidR="00402979" w:rsidRPr="00D33716">
        <w:rPr>
          <w:rFonts w:asciiTheme="majorBidi" w:hAnsiTheme="majorBidi" w:cstheme="majorBidi"/>
          <w:sz w:val="24"/>
          <w:szCs w:val="24"/>
        </w:rPr>
        <w:t xml:space="preserve">association between </w:t>
      </w:r>
      <w:r w:rsidR="002C1613" w:rsidRPr="00D33716">
        <w:rPr>
          <w:rFonts w:asciiTheme="majorBidi" w:hAnsiTheme="majorBidi" w:cstheme="majorBidi"/>
          <w:sz w:val="24"/>
          <w:szCs w:val="24"/>
        </w:rPr>
        <w:t xml:space="preserve">higher </w:t>
      </w:r>
      <w:r w:rsidR="00402979" w:rsidRPr="00D33716">
        <w:rPr>
          <w:rFonts w:asciiTheme="majorBidi" w:hAnsiTheme="majorBidi" w:cstheme="majorBidi"/>
          <w:sz w:val="24"/>
          <w:szCs w:val="24"/>
        </w:rPr>
        <w:t xml:space="preserve">screen time and </w:t>
      </w:r>
      <w:r w:rsidR="002C1613" w:rsidRPr="00D33716">
        <w:rPr>
          <w:rFonts w:asciiTheme="majorBidi" w:hAnsiTheme="majorBidi" w:cstheme="majorBidi"/>
          <w:sz w:val="24"/>
          <w:szCs w:val="24"/>
        </w:rPr>
        <w:t xml:space="preserve">greater </w:t>
      </w:r>
      <w:r w:rsidR="00402979" w:rsidRPr="00D33716">
        <w:rPr>
          <w:rFonts w:asciiTheme="majorBidi" w:hAnsiTheme="majorBidi" w:cstheme="majorBidi"/>
          <w:sz w:val="24"/>
          <w:szCs w:val="24"/>
        </w:rPr>
        <w:t>psychological distress.</w:t>
      </w:r>
    </w:p>
    <w:p w14:paraId="228D802A" w14:textId="77777777" w:rsidR="008B2ADF" w:rsidRDefault="008B2ADF" w:rsidP="003B517A">
      <w:pPr>
        <w:spacing w:line="480" w:lineRule="auto"/>
        <w:rPr>
          <w:rFonts w:asciiTheme="majorBidi" w:hAnsiTheme="majorBidi" w:cstheme="majorBidi"/>
          <w:b/>
          <w:caps/>
          <w:sz w:val="24"/>
          <w:szCs w:val="24"/>
        </w:rPr>
      </w:pPr>
    </w:p>
    <w:p w14:paraId="297A943D" w14:textId="77777777" w:rsidR="000F345A" w:rsidRPr="003F2121" w:rsidRDefault="000F345A" w:rsidP="003B517A">
      <w:pPr>
        <w:spacing w:line="480" w:lineRule="auto"/>
        <w:rPr>
          <w:rFonts w:asciiTheme="majorBidi" w:hAnsiTheme="majorBidi" w:cstheme="majorBidi"/>
          <w:b/>
          <w:sz w:val="24"/>
          <w:szCs w:val="24"/>
        </w:rPr>
      </w:pPr>
      <w:r w:rsidRPr="003F2121">
        <w:rPr>
          <w:rFonts w:asciiTheme="majorBidi" w:hAnsiTheme="majorBidi" w:cstheme="majorBidi"/>
          <w:b/>
          <w:sz w:val="24"/>
          <w:szCs w:val="24"/>
        </w:rPr>
        <w:t>Method</w:t>
      </w:r>
    </w:p>
    <w:p w14:paraId="5E95BEDA" w14:textId="77777777" w:rsidR="002048D3" w:rsidRPr="003F2121" w:rsidRDefault="002048D3" w:rsidP="003B517A">
      <w:pPr>
        <w:spacing w:line="480" w:lineRule="auto"/>
        <w:rPr>
          <w:rFonts w:asciiTheme="majorBidi" w:hAnsiTheme="majorBidi" w:cstheme="majorBidi"/>
          <w:i/>
          <w:sz w:val="24"/>
          <w:szCs w:val="24"/>
        </w:rPr>
      </w:pPr>
      <w:r w:rsidRPr="003F2121">
        <w:rPr>
          <w:rFonts w:asciiTheme="majorBidi" w:hAnsiTheme="majorBidi" w:cstheme="majorBidi"/>
          <w:i/>
          <w:sz w:val="24"/>
          <w:szCs w:val="24"/>
        </w:rPr>
        <w:t>Design and participants</w:t>
      </w:r>
    </w:p>
    <w:p w14:paraId="31C7911B" w14:textId="5A70F7B2" w:rsidR="000F345A" w:rsidRPr="003B517A" w:rsidRDefault="000F345A"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The 1970 British Cohort Study (BCS70) follows the lives of 17,284 people born in England, Scotland and Wales in a single week of 1970</w:t>
      </w:r>
      <w:r w:rsidR="00FB69A1" w:rsidRPr="003B517A">
        <w:rPr>
          <w:rFonts w:asciiTheme="majorBidi" w:hAnsiTheme="majorBidi" w:cstheme="majorBidi"/>
          <w:sz w:val="24"/>
          <w:szCs w:val="24"/>
        </w:rPr>
        <w:t xml:space="preserve"> (</w:t>
      </w:r>
      <w:r w:rsidR="00F11A1E">
        <w:rPr>
          <w:rFonts w:asciiTheme="majorBidi" w:hAnsiTheme="majorBidi" w:cstheme="majorBidi"/>
          <w:sz w:val="24"/>
          <w:szCs w:val="24"/>
        </w:rPr>
        <w:t xml:space="preserve">Elliott &amp; </w:t>
      </w:r>
      <w:r w:rsidR="00F11A1E" w:rsidRPr="00F11A1E">
        <w:rPr>
          <w:rFonts w:asciiTheme="majorBidi" w:hAnsiTheme="majorBidi" w:cstheme="majorBidi"/>
          <w:sz w:val="24"/>
          <w:szCs w:val="24"/>
        </w:rPr>
        <w:t>Shepherd</w:t>
      </w:r>
      <w:r w:rsidR="00F11A1E">
        <w:rPr>
          <w:rFonts w:asciiTheme="majorBidi" w:hAnsiTheme="majorBidi" w:cstheme="majorBidi"/>
          <w:sz w:val="24"/>
          <w:szCs w:val="24"/>
        </w:rPr>
        <w:t>, 2006</w:t>
      </w:r>
      <w:r w:rsidR="00FB69A1" w:rsidRPr="003B517A">
        <w:rPr>
          <w:rFonts w:asciiTheme="majorBidi" w:hAnsiTheme="majorBidi" w:cstheme="majorBidi"/>
          <w:sz w:val="24"/>
          <w:szCs w:val="24"/>
        </w:rPr>
        <w:t>)</w:t>
      </w:r>
      <w:r w:rsidRPr="003B517A">
        <w:rPr>
          <w:rFonts w:asciiTheme="majorBidi" w:hAnsiTheme="majorBidi" w:cstheme="majorBidi"/>
          <w:sz w:val="24"/>
          <w:szCs w:val="24"/>
        </w:rPr>
        <w:t xml:space="preserve">. </w:t>
      </w:r>
      <w:r w:rsidR="009A08C8" w:rsidRPr="003B517A">
        <w:rPr>
          <w:rFonts w:asciiTheme="majorBidi" w:hAnsiTheme="majorBidi" w:cstheme="majorBidi"/>
          <w:sz w:val="24"/>
          <w:szCs w:val="24"/>
        </w:rPr>
        <w:t xml:space="preserve">Since birth, </w:t>
      </w:r>
      <w:r w:rsidR="009A08C8" w:rsidRPr="003B517A">
        <w:rPr>
          <w:rFonts w:asciiTheme="majorBidi" w:hAnsiTheme="majorBidi" w:cstheme="majorBidi"/>
          <w:sz w:val="24"/>
          <w:szCs w:val="24"/>
        </w:rPr>
        <w:lastRenderedPageBreak/>
        <w:t xml:space="preserve">participants have been followed up on eight occasions across their life (at ages 5, 10, 16, 26, 30, 34, 38, 42). </w:t>
      </w:r>
      <w:r w:rsidRPr="003B517A">
        <w:rPr>
          <w:rFonts w:asciiTheme="majorBidi" w:hAnsiTheme="majorBidi" w:cstheme="majorBidi"/>
          <w:sz w:val="24"/>
          <w:szCs w:val="24"/>
        </w:rPr>
        <w:t xml:space="preserve">The present analyses incorporated data from the age 16 and age 42 surveys. The age 16 survey </w:t>
      </w:r>
      <w:r w:rsidR="00522A76" w:rsidRPr="003B517A">
        <w:rPr>
          <w:rFonts w:asciiTheme="majorBidi" w:hAnsiTheme="majorBidi" w:cstheme="majorBidi"/>
          <w:sz w:val="24"/>
          <w:szCs w:val="24"/>
        </w:rPr>
        <w:t xml:space="preserve">(1986) </w:t>
      </w:r>
      <w:r w:rsidRPr="003B517A">
        <w:rPr>
          <w:rFonts w:asciiTheme="majorBidi" w:hAnsiTheme="majorBidi" w:cstheme="majorBidi"/>
          <w:sz w:val="24"/>
          <w:szCs w:val="24"/>
        </w:rPr>
        <w:t>contained a participant self-completion section on health</w:t>
      </w:r>
      <w:r w:rsidR="00C41B06" w:rsidRPr="003B517A">
        <w:rPr>
          <w:rFonts w:asciiTheme="majorBidi" w:hAnsiTheme="majorBidi" w:cstheme="majorBidi"/>
          <w:sz w:val="24"/>
          <w:szCs w:val="24"/>
        </w:rPr>
        <w:t>-</w:t>
      </w:r>
      <w:r w:rsidRPr="003B517A">
        <w:rPr>
          <w:rFonts w:asciiTheme="majorBidi" w:hAnsiTheme="majorBidi" w:cstheme="majorBidi"/>
          <w:sz w:val="24"/>
          <w:szCs w:val="24"/>
        </w:rPr>
        <w:t>related behaviour</w:t>
      </w:r>
      <w:r w:rsidR="001516F5" w:rsidRPr="003B517A">
        <w:rPr>
          <w:rFonts w:asciiTheme="majorBidi" w:hAnsiTheme="majorBidi" w:cstheme="majorBidi"/>
          <w:sz w:val="24"/>
          <w:szCs w:val="24"/>
        </w:rPr>
        <w:t>s</w:t>
      </w:r>
      <w:r w:rsidRPr="003B517A">
        <w:rPr>
          <w:rFonts w:asciiTheme="majorBidi" w:hAnsiTheme="majorBidi" w:cstheme="majorBidi"/>
          <w:sz w:val="24"/>
          <w:szCs w:val="24"/>
        </w:rPr>
        <w:t>. The age 42 survey was conducted in 2012/13 and comprised a 60 minute face-to-face computer-assisted-personal-interview, which included a vocabulary task and a self-completion section. At the age 1</w:t>
      </w:r>
      <w:r w:rsidR="002048D3" w:rsidRPr="003B517A">
        <w:rPr>
          <w:rFonts w:asciiTheme="majorBidi" w:hAnsiTheme="majorBidi" w:cstheme="majorBidi"/>
          <w:sz w:val="24"/>
          <w:szCs w:val="24"/>
        </w:rPr>
        <w:t>6 survey</w:t>
      </w:r>
      <w:r w:rsidRPr="003B517A">
        <w:rPr>
          <w:rFonts w:asciiTheme="majorBidi" w:hAnsiTheme="majorBidi" w:cstheme="majorBidi"/>
          <w:sz w:val="24"/>
          <w:szCs w:val="24"/>
        </w:rPr>
        <w:t xml:space="preserve"> 6898 </w:t>
      </w:r>
      <w:r w:rsidR="002048D3" w:rsidRPr="003B517A">
        <w:rPr>
          <w:rFonts w:asciiTheme="majorBidi" w:hAnsiTheme="majorBidi" w:cstheme="majorBidi"/>
          <w:sz w:val="24"/>
          <w:szCs w:val="24"/>
        </w:rPr>
        <w:t xml:space="preserve">participants </w:t>
      </w:r>
      <w:r w:rsidRPr="003B517A">
        <w:rPr>
          <w:rFonts w:asciiTheme="majorBidi" w:hAnsiTheme="majorBidi" w:cstheme="majorBidi"/>
          <w:sz w:val="24"/>
          <w:szCs w:val="24"/>
        </w:rPr>
        <w:t>completed the self</w:t>
      </w:r>
      <w:r w:rsidR="00342832" w:rsidRPr="003B517A">
        <w:rPr>
          <w:rFonts w:asciiTheme="majorBidi" w:hAnsiTheme="majorBidi" w:cstheme="majorBidi"/>
          <w:sz w:val="24"/>
          <w:szCs w:val="24"/>
        </w:rPr>
        <w:t>-</w:t>
      </w:r>
      <w:r w:rsidRPr="003B517A">
        <w:rPr>
          <w:rFonts w:asciiTheme="majorBidi" w:hAnsiTheme="majorBidi" w:cstheme="majorBidi"/>
          <w:sz w:val="24"/>
          <w:szCs w:val="24"/>
        </w:rPr>
        <w:t>completion module</w:t>
      </w:r>
      <w:r w:rsidR="00AA2E63">
        <w:rPr>
          <w:rFonts w:asciiTheme="majorBidi" w:hAnsiTheme="majorBidi" w:cstheme="majorBidi"/>
          <w:sz w:val="24"/>
          <w:szCs w:val="24"/>
        </w:rPr>
        <w:t xml:space="preserve">, </w:t>
      </w:r>
      <w:proofErr w:type="gramStart"/>
      <w:r w:rsidR="00AA2E63">
        <w:rPr>
          <w:rFonts w:asciiTheme="majorBidi" w:hAnsiTheme="majorBidi" w:cstheme="majorBidi"/>
          <w:sz w:val="24"/>
          <w:szCs w:val="24"/>
        </w:rPr>
        <w:t>while</w:t>
      </w:r>
      <w:r w:rsidRPr="003B517A">
        <w:rPr>
          <w:rFonts w:asciiTheme="majorBidi" w:hAnsiTheme="majorBidi" w:cstheme="majorBidi"/>
          <w:sz w:val="24"/>
          <w:szCs w:val="24"/>
        </w:rPr>
        <w:t xml:space="preserve">  9,842</w:t>
      </w:r>
      <w:proofErr w:type="gramEnd"/>
      <w:r w:rsidRPr="003B517A">
        <w:rPr>
          <w:rFonts w:asciiTheme="majorBidi" w:hAnsiTheme="majorBidi" w:cstheme="majorBidi"/>
          <w:sz w:val="24"/>
          <w:szCs w:val="24"/>
        </w:rPr>
        <w:t xml:space="preserve"> </w:t>
      </w:r>
      <w:r w:rsidR="00AA2E63">
        <w:rPr>
          <w:rFonts w:asciiTheme="majorBidi" w:hAnsiTheme="majorBidi" w:cstheme="majorBidi"/>
          <w:sz w:val="24"/>
          <w:szCs w:val="24"/>
        </w:rPr>
        <w:t xml:space="preserve">(56.9% of original sample) </w:t>
      </w:r>
      <w:r w:rsidRPr="003B517A">
        <w:rPr>
          <w:rFonts w:asciiTheme="majorBidi" w:hAnsiTheme="majorBidi" w:cstheme="majorBidi"/>
          <w:sz w:val="24"/>
          <w:szCs w:val="24"/>
        </w:rPr>
        <w:t xml:space="preserve">took part in the age 42 survey. The lower response at </w:t>
      </w:r>
      <w:r w:rsidR="001516F5" w:rsidRPr="003B517A">
        <w:rPr>
          <w:rFonts w:asciiTheme="majorBidi" w:hAnsiTheme="majorBidi" w:cstheme="majorBidi"/>
          <w:sz w:val="24"/>
          <w:szCs w:val="24"/>
        </w:rPr>
        <w:t xml:space="preserve">age </w:t>
      </w:r>
      <w:r w:rsidRPr="003B517A">
        <w:rPr>
          <w:rFonts w:asciiTheme="majorBidi" w:hAnsiTheme="majorBidi" w:cstheme="majorBidi"/>
          <w:sz w:val="24"/>
          <w:szCs w:val="24"/>
        </w:rPr>
        <w:t>16 arose because of a teachers' strike that resulted in many participants not receiving the questionnaires. Participants provided informed consent and all data collection on BCS70 received full ethical approval</w:t>
      </w:r>
      <w:r w:rsidR="002C1613">
        <w:rPr>
          <w:rFonts w:asciiTheme="majorBidi" w:hAnsiTheme="majorBidi" w:cstheme="majorBidi"/>
          <w:sz w:val="24"/>
          <w:szCs w:val="24"/>
        </w:rPr>
        <w:t xml:space="preserve"> from London Central Research Ethics Committee</w:t>
      </w:r>
      <w:r w:rsidRPr="003B517A">
        <w:rPr>
          <w:rFonts w:asciiTheme="majorBidi" w:hAnsiTheme="majorBidi" w:cstheme="majorBidi"/>
          <w:sz w:val="24"/>
          <w:szCs w:val="24"/>
        </w:rPr>
        <w:t>.</w:t>
      </w:r>
    </w:p>
    <w:p w14:paraId="50167F77" w14:textId="77777777" w:rsidR="000F345A" w:rsidRPr="00D00F0C" w:rsidRDefault="000F345A" w:rsidP="003B517A">
      <w:pPr>
        <w:spacing w:line="480" w:lineRule="auto"/>
        <w:rPr>
          <w:rFonts w:asciiTheme="majorBidi" w:hAnsiTheme="majorBidi" w:cstheme="majorBidi"/>
          <w:i/>
          <w:sz w:val="24"/>
          <w:szCs w:val="24"/>
        </w:rPr>
      </w:pPr>
      <w:r w:rsidRPr="00D00F0C">
        <w:rPr>
          <w:rFonts w:asciiTheme="majorBidi" w:hAnsiTheme="majorBidi" w:cstheme="majorBidi"/>
          <w:i/>
          <w:sz w:val="24"/>
          <w:szCs w:val="24"/>
        </w:rPr>
        <w:t xml:space="preserve">Sedentary </w:t>
      </w:r>
      <w:r w:rsidR="003F2121">
        <w:rPr>
          <w:rFonts w:asciiTheme="majorBidi" w:hAnsiTheme="majorBidi" w:cstheme="majorBidi"/>
          <w:i/>
          <w:sz w:val="24"/>
          <w:szCs w:val="24"/>
        </w:rPr>
        <w:t>measures</w:t>
      </w:r>
    </w:p>
    <w:p w14:paraId="0A24DD16" w14:textId="103F76E2" w:rsidR="000F345A" w:rsidRPr="003B517A" w:rsidRDefault="003F2121" w:rsidP="003B517A">
      <w:pPr>
        <w:spacing w:line="480" w:lineRule="auto"/>
        <w:rPr>
          <w:rFonts w:asciiTheme="majorBidi" w:hAnsiTheme="majorBidi" w:cstheme="majorBidi"/>
          <w:sz w:val="24"/>
          <w:szCs w:val="24"/>
        </w:rPr>
      </w:pPr>
      <w:r>
        <w:rPr>
          <w:rFonts w:asciiTheme="majorBidi" w:hAnsiTheme="majorBidi" w:cstheme="majorBidi"/>
          <w:sz w:val="24"/>
          <w:szCs w:val="24"/>
        </w:rPr>
        <w:t>The main measures of sedentary exposure were assessed at age 16</w:t>
      </w:r>
      <w:r w:rsidR="002C1613">
        <w:rPr>
          <w:rFonts w:asciiTheme="majorBidi" w:hAnsiTheme="majorBidi" w:cstheme="majorBidi"/>
          <w:sz w:val="24"/>
          <w:szCs w:val="24"/>
        </w:rPr>
        <w:t xml:space="preserve">: </w:t>
      </w:r>
      <w:r w:rsidR="000F345A" w:rsidRPr="003B517A">
        <w:rPr>
          <w:rFonts w:asciiTheme="majorBidi" w:hAnsiTheme="majorBidi" w:cstheme="majorBidi"/>
          <w:sz w:val="24"/>
          <w:szCs w:val="24"/>
        </w:rPr>
        <w:t xml:space="preserve">Respondents were asked separate questions about </w:t>
      </w:r>
      <w:r w:rsidR="001516F5" w:rsidRPr="003B517A">
        <w:rPr>
          <w:rFonts w:asciiTheme="majorBidi" w:hAnsiTheme="majorBidi" w:cstheme="majorBidi"/>
          <w:sz w:val="24"/>
          <w:szCs w:val="24"/>
        </w:rPr>
        <w:t>time</w:t>
      </w:r>
      <w:r w:rsidR="000F345A" w:rsidRPr="003B517A">
        <w:rPr>
          <w:rFonts w:asciiTheme="majorBidi" w:hAnsiTheme="majorBidi" w:cstheme="majorBidi"/>
          <w:sz w:val="24"/>
          <w:szCs w:val="24"/>
        </w:rPr>
        <w:t xml:space="preserve"> spent in three types of </w:t>
      </w:r>
      <w:r w:rsidR="001516F5" w:rsidRPr="003B517A">
        <w:rPr>
          <w:rFonts w:asciiTheme="majorBidi" w:hAnsiTheme="majorBidi" w:cstheme="majorBidi"/>
          <w:sz w:val="24"/>
          <w:szCs w:val="24"/>
        </w:rPr>
        <w:t xml:space="preserve">screen based, </w:t>
      </w:r>
      <w:r w:rsidR="000F345A" w:rsidRPr="003B517A">
        <w:rPr>
          <w:rFonts w:asciiTheme="majorBidi" w:hAnsiTheme="majorBidi" w:cstheme="majorBidi"/>
          <w:sz w:val="24"/>
          <w:szCs w:val="24"/>
        </w:rPr>
        <w:t>sedentary activit</w:t>
      </w:r>
      <w:r w:rsidR="001516F5" w:rsidRPr="003B517A">
        <w:rPr>
          <w:rFonts w:asciiTheme="majorBidi" w:hAnsiTheme="majorBidi" w:cstheme="majorBidi"/>
          <w:sz w:val="24"/>
          <w:szCs w:val="24"/>
        </w:rPr>
        <w:t>ies</w:t>
      </w:r>
      <w:r w:rsidR="000F345A" w:rsidRPr="003B517A">
        <w:rPr>
          <w:rFonts w:asciiTheme="majorBidi" w:hAnsiTheme="majorBidi" w:cstheme="majorBidi"/>
          <w:sz w:val="24"/>
          <w:szCs w:val="24"/>
        </w:rPr>
        <w:t xml:space="preserve"> (TV, video films, computer games) </w:t>
      </w:r>
      <w:r w:rsidR="00342832" w:rsidRPr="003B517A">
        <w:rPr>
          <w:rFonts w:asciiTheme="majorBidi" w:hAnsiTheme="majorBidi" w:cstheme="majorBidi"/>
          <w:sz w:val="24"/>
          <w:szCs w:val="24"/>
        </w:rPr>
        <w:t>‘</w:t>
      </w:r>
      <w:r w:rsidR="000F345A" w:rsidRPr="003B517A">
        <w:rPr>
          <w:rFonts w:asciiTheme="majorBidi" w:hAnsiTheme="majorBidi" w:cstheme="majorBidi"/>
          <w:i/>
          <w:sz w:val="24"/>
          <w:szCs w:val="24"/>
        </w:rPr>
        <w:t>after school yesterday</w:t>
      </w:r>
      <w:r w:rsidR="00342832" w:rsidRPr="003B517A">
        <w:rPr>
          <w:rFonts w:asciiTheme="majorBidi" w:hAnsiTheme="majorBidi" w:cstheme="majorBidi"/>
          <w:i/>
          <w:sz w:val="24"/>
          <w:szCs w:val="24"/>
        </w:rPr>
        <w:t>’</w:t>
      </w:r>
      <w:r w:rsidR="000F345A" w:rsidRPr="003B517A">
        <w:rPr>
          <w:rFonts w:asciiTheme="majorBidi" w:hAnsiTheme="majorBidi" w:cstheme="majorBidi"/>
          <w:sz w:val="24"/>
          <w:szCs w:val="24"/>
        </w:rPr>
        <w:t xml:space="preserve"> (not at all; less than 1hr; &gt; 1 hr; &gt;2 hr; &gt;3hr; &gt;4hr; &gt;5hr). Responses were substituted with dummy variables (ranging from 0 – 6) and then summed across the 3 questions in order to estimate total screen time.  </w:t>
      </w:r>
      <w:r w:rsidR="003C262B" w:rsidRPr="003B517A">
        <w:rPr>
          <w:rFonts w:asciiTheme="majorBidi" w:hAnsiTheme="majorBidi" w:cstheme="majorBidi"/>
          <w:sz w:val="24"/>
          <w:szCs w:val="24"/>
        </w:rPr>
        <w:t>Nevertheless, TV time accounted for the majority of total screen time at age 16, (91.1% of the sample reported “not at all” playing computer games after school).</w:t>
      </w:r>
      <w:r w:rsidR="0078710B" w:rsidRPr="003B517A">
        <w:rPr>
          <w:rFonts w:asciiTheme="majorBidi" w:hAnsiTheme="majorBidi" w:cstheme="majorBidi"/>
          <w:sz w:val="24"/>
          <w:szCs w:val="24"/>
        </w:rPr>
        <w:t xml:space="preserve"> In addition participants were asked how much time they spent doing homework </w:t>
      </w:r>
      <w:r w:rsidR="00780D4F" w:rsidRPr="003B517A">
        <w:rPr>
          <w:rFonts w:asciiTheme="majorBidi" w:hAnsiTheme="majorBidi" w:cstheme="majorBidi"/>
          <w:sz w:val="24"/>
          <w:szCs w:val="24"/>
        </w:rPr>
        <w:t>(none; up to 2 hr; ≥2 hr)</w:t>
      </w:r>
      <w:r w:rsidR="0078710B" w:rsidRPr="003B517A">
        <w:rPr>
          <w:rFonts w:asciiTheme="majorBidi" w:hAnsiTheme="majorBidi" w:cstheme="majorBidi"/>
          <w:sz w:val="24"/>
          <w:szCs w:val="24"/>
        </w:rPr>
        <w:t>.</w:t>
      </w:r>
      <w:r>
        <w:rPr>
          <w:rFonts w:asciiTheme="majorBidi" w:hAnsiTheme="majorBidi" w:cstheme="majorBidi"/>
          <w:sz w:val="24"/>
          <w:szCs w:val="24"/>
        </w:rPr>
        <w:t xml:space="preserve"> At age 42 r</w:t>
      </w:r>
      <w:r w:rsidRPr="003F2121">
        <w:rPr>
          <w:rFonts w:asciiTheme="majorBidi" w:hAnsiTheme="majorBidi" w:cstheme="majorBidi"/>
          <w:sz w:val="24"/>
          <w:szCs w:val="24"/>
        </w:rPr>
        <w:t>espondents reported how many hours they spent watching TV per day (none</w:t>
      </w:r>
      <w:r w:rsidR="00AA2E63">
        <w:rPr>
          <w:rFonts w:asciiTheme="majorBidi" w:hAnsiTheme="majorBidi" w:cstheme="majorBidi"/>
          <w:sz w:val="24"/>
          <w:szCs w:val="24"/>
        </w:rPr>
        <w:t xml:space="preserve">; </w:t>
      </w:r>
      <w:r w:rsidRPr="003F2121">
        <w:rPr>
          <w:rFonts w:asciiTheme="majorBidi" w:hAnsiTheme="majorBidi" w:cstheme="majorBidi"/>
          <w:sz w:val="24"/>
          <w:szCs w:val="24"/>
        </w:rPr>
        <w:t>0≤1</w:t>
      </w:r>
      <w:proofErr w:type="gramStart"/>
      <w:r w:rsidR="00AA2E63">
        <w:rPr>
          <w:rFonts w:asciiTheme="majorBidi" w:hAnsiTheme="majorBidi" w:cstheme="majorBidi"/>
          <w:sz w:val="24"/>
          <w:szCs w:val="24"/>
        </w:rPr>
        <w:t xml:space="preserve">; </w:t>
      </w:r>
      <w:r w:rsidRPr="003F2121">
        <w:rPr>
          <w:rFonts w:asciiTheme="majorBidi" w:hAnsiTheme="majorBidi" w:cstheme="majorBidi"/>
          <w:sz w:val="24"/>
          <w:szCs w:val="24"/>
        </w:rPr>
        <w:t xml:space="preserve"> 1</w:t>
      </w:r>
      <w:proofErr w:type="gramEnd"/>
      <w:r w:rsidRPr="003F2121">
        <w:rPr>
          <w:rFonts w:asciiTheme="majorBidi" w:hAnsiTheme="majorBidi" w:cstheme="majorBidi"/>
          <w:sz w:val="24"/>
          <w:szCs w:val="24"/>
        </w:rPr>
        <w:t xml:space="preserve"> &lt;3</w:t>
      </w:r>
      <w:r w:rsidR="00AA2E63">
        <w:rPr>
          <w:rFonts w:asciiTheme="majorBidi" w:hAnsiTheme="majorBidi" w:cstheme="majorBidi"/>
          <w:sz w:val="24"/>
          <w:szCs w:val="24"/>
        </w:rPr>
        <w:t xml:space="preserve">; </w:t>
      </w:r>
      <w:r w:rsidRPr="003F2121">
        <w:rPr>
          <w:rFonts w:asciiTheme="majorBidi" w:hAnsiTheme="majorBidi" w:cstheme="majorBidi"/>
          <w:sz w:val="24"/>
          <w:szCs w:val="24"/>
        </w:rPr>
        <w:t xml:space="preserve"> 3 &lt;5</w:t>
      </w:r>
      <w:r w:rsidR="00AA2E63">
        <w:rPr>
          <w:rFonts w:asciiTheme="majorBidi" w:hAnsiTheme="majorBidi" w:cstheme="majorBidi"/>
          <w:sz w:val="24"/>
          <w:szCs w:val="24"/>
        </w:rPr>
        <w:t xml:space="preserve">; </w:t>
      </w:r>
      <w:r w:rsidRPr="003F2121">
        <w:rPr>
          <w:rFonts w:asciiTheme="majorBidi" w:hAnsiTheme="majorBidi" w:cstheme="majorBidi"/>
          <w:sz w:val="24"/>
          <w:szCs w:val="24"/>
        </w:rPr>
        <w:t xml:space="preserve"> ≥5)</w:t>
      </w:r>
      <w:r>
        <w:rPr>
          <w:rFonts w:asciiTheme="majorBidi" w:hAnsiTheme="majorBidi" w:cstheme="majorBidi"/>
          <w:sz w:val="24"/>
          <w:szCs w:val="24"/>
        </w:rPr>
        <w:t>.</w:t>
      </w:r>
    </w:p>
    <w:p w14:paraId="43425B33" w14:textId="77777777" w:rsidR="002048D3" w:rsidRPr="00D00F0C" w:rsidRDefault="002048D3" w:rsidP="003B517A">
      <w:pPr>
        <w:spacing w:line="480" w:lineRule="auto"/>
        <w:rPr>
          <w:rFonts w:asciiTheme="majorBidi" w:hAnsiTheme="majorBidi" w:cstheme="majorBidi"/>
          <w:i/>
          <w:sz w:val="24"/>
          <w:szCs w:val="24"/>
        </w:rPr>
      </w:pPr>
      <w:r w:rsidRPr="00D00F0C">
        <w:rPr>
          <w:rFonts w:asciiTheme="majorBidi" w:hAnsiTheme="majorBidi" w:cstheme="majorBidi"/>
          <w:i/>
          <w:sz w:val="24"/>
          <w:szCs w:val="24"/>
        </w:rPr>
        <w:t xml:space="preserve">Mental </w:t>
      </w:r>
      <w:r w:rsidR="0078710B" w:rsidRPr="00D00F0C">
        <w:rPr>
          <w:rFonts w:asciiTheme="majorBidi" w:hAnsiTheme="majorBidi" w:cstheme="majorBidi"/>
          <w:i/>
          <w:sz w:val="24"/>
          <w:szCs w:val="24"/>
        </w:rPr>
        <w:t>health measures</w:t>
      </w:r>
    </w:p>
    <w:p w14:paraId="63B194EF" w14:textId="64293C3C" w:rsidR="00AA2E63" w:rsidRDefault="002048D3"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The Warwick-Edinburgh Mental Well-being Scale (WEMWBS) was used to measure positive mental wellbeing</w:t>
      </w:r>
      <w:r w:rsidR="00135C9C">
        <w:rPr>
          <w:rFonts w:asciiTheme="majorBidi" w:hAnsiTheme="majorBidi" w:cstheme="majorBidi"/>
          <w:sz w:val="24"/>
          <w:szCs w:val="24"/>
        </w:rPr>
        <w:t xml:space="preserve"> </w:t>
      </w:r>
      <w:r w:rsidR="00135C9C" w:rsidRPr="00D33716">
        <w:rPr>
          <w:rFonts w:asciiTheme="majorBidi" w:hAnsiTheme="majorBidi" w:cstheme="majorBidi"/>
          <w:sz w:val="24"/>
          <w:szCs w:val="24"/>
        </w:rPr>
        <w:t>at age 42</w:t>
      </w:r>
      <w:r w:rsidR="00D32433" w:rsidRPr="00D33716">
        <w:rPr>
          <w:rFonts w:asciiTheme="majorBidi" w:hAnsiTheme="majorBidi" w:cstheme="majorBidi"/>
          <w:sz w:val="24"/>
          <w:szCs w:val="24"/>
        </w:rPr>
        <w:t xml:space="preserve"> only, </w:t>
      </w:r>
      <w:r w:rsidR="00AA2E63" w:rsidRPr="00D33716">
        <w:rPr>
          <w:rFonts w:asciiTheme="majorBidi" w:hAnsiTheme="majorBidi" w:cstheme="majorBidi"/>
          <w:sz w:val="24"/>
          <w:szCs w:val="24"/>
        </w:rPr>
        <w:t>and was</w:t>
      </w:r>
      <w:r w:rsidR="00D32433" w:rsidRPr="00D33716">
        <w:rPr>
          <w:rFonts w:asciiTheme="majorBidi" w:hAnsiTheme="majorBidi" w:cstheme="majorBidi"/>
          <w:sz w:val="24"/>
          <w:szCs w:val="24"/>
        </w:rPr>
        <w:t xml:space="preserve"> not a</w:t>
      </w:r>
      <w:r w:rsidR="00C463BF" w:rsidRPr="00D33716">
        <w:rPr>
          <w:rFonts w:asciiTheme="majorBidi" w:hAnsiTheme="majorBidi" w:cstheme="majorBidi"/>
          <w:sz w:val="24"/>
          <w:szCs w:val="24"/>
        </w:rPr>
        <w:t>ssessed at any other time point.</w:t>
      </w:r>
      <w:r w:rsidR="00D57177" w:rsidRPr="00D33716">
        <w:rPr>
          <w:rFonts w:asciiTheme="majorBidi" w:hAnsiTheme="majorBidi" w:cstheme="majorBidi"/>
          <w:sz w:val="24"/>
          <w:szCs w:val="24"/>
        </w:rPr>
        <w:t xml:space="preserve"> </w:t>
      </w:r>
      <w:r w:rsidR="00D57177" w:rsidRPr="003B517A">
        <w:rPr>
          <w:rFonts w:asciiTheme="majorBidi" w:hAnsiTheme="majorBidi" w:cstheme="majorBidi"/>
          <w:sz w:val="24"/>
          <w:szCs w:val="24"/>
        </w:rPr>
        <w:t xml:space="preserve">This </w:t>
      </w:r>
      <w:r w:rsidRPr="003B517A">
        <w:rPr>
          <w:rFonts w:asciiTheme="majorBidi" w:hAnsiTheme="majorBidi" w:cstheme="majorBidi"/>
          <w:sz w:val="24"/>
          <w:szCs w:val="24"/>
        </w:rPr>
        <w:lastRenderedPageBreak/>
        <w:t xml:space="preserve">is a 14 item scale comprising positively worded items </w:t>
      </w:r>
      <w:r w:rsidR="00D57177" w:rsidRPr="003B517A">
        <w:rPr>
          <w:rFonts w:asciiTheme="majorBidi" w:hAnsiTheme="majorBidi" w:cstheme="majorBidi"/>
          <w:sz w:val="24"/>
          <w:szCs w:val="24"/>
        </w:rPr>
        <w:t xml:space="preserve">assessing </w:t>
      </w:r>
      <w:r w:rsidRPr="003B517A">
        <w:rPr>
          <w:rFonts w:asciiTheme="majorBidi" w:hAnsiTheme="majorBidi" w:cstheme="majorBidi"/>
          <w:sz w:val="24"/>
          <w:szCs w:val="24"/>
        </w:rPr>
        <w:t>positive affect, satisfying interpersonal relationships and positive functioning (</w:t>
      </w:r>
      <w:r w:rsidR="00F11A1E">
        <w:rPr>
          <w:rFonts w:asciiTheme="majorBidi" w:hAnsiTheme="majorBidi" w:cstheme="majorBidi"/>
          <w:sz w:val="24"/>
          <w:szCs w:val="24"/>
        </w:rPr>
        <w:t>Tennant et al., 2007</w:t>
      </w:r>
      <w:r w:rsidRPr="003B517A">
        <w:rPr>
          <w:rFonts w:asciiTheme="majorBidi" w:hAnsiTheme="majorBidi" w:cstheme="majorBidi"/>
          <w:sz w:val="24"/>
          <w:szCs w:val="24"/>
        </w:rPr>
        <w:t>)</w:t>
      </w:r>
      <w:r w:rsidR="00522A76" w:rsidRPr="003B517A">
        <w:rPr>
          <w:rFonts w:asciiTheme="majorBidi" w:hAnsiTheme="majorBidi" w:cstheme="majorBidi"/>
          <w:sz w:val="24"/>
          <w:szCs w:val="24"/>
        </w:rPr>
        <w:t xml:space="preserve">, summed to provide a single score ranging from 14 </w:t>
      </w:r>
      <w:r w:rsidR="0078710B" w:rsidRPr="003B517A">
        <w:rPr>
          <w:rFonts w:asciiTheme="majorBidi" w:hAnsiTheme="majorBidi" w:cstheme="majorBidi"/>
          <w:sz w:val="24"/>
          <w:szCs w:val="24"/>
        </w:rPr>
        <w:t>–</w:t>
      </w:r>
      <w:r w:rsidR="00522A76" w:rsidRPr="003B517A">
        <w:rPr>
          <w:rFonts w:asciiTheme="majorBidi" w:hAnsiTheme="majorBidi" w:cstheme="majorBidi"/>
          <w:sz w:val="24"/>
          <w:szCs w:val="24"/>
        </w:rPr>
        <w:t xml:space="preserve"> 70</w:t>
      </w:r>
      <w:r w:rsidR="0078710B" w:rsidRPr="003B517A">
        <w:rPr>
          <w:rFonts w:asciiTheme="majorBidi" w:hAnsiTheme="majorBidi" w:cstheme="majorBidi"/>
          <w:sz w:val="24"/>
          <w:szCs w:val="24"/>
        </w:rPr>
        <w:t xml:space="preserve"> with higher scores reflecting greater wellbeing</w:t>
      </w:r>
      <w:r w:rsidRPr="003B517A">
        <w:rPr>
          <w:rFonts w:asciiTheme="majorBidi" w:hAnsiTheme="majorBidi" w:cstheme="majorBidi"/>
          <w:sz w:val="24"/>
          <w:szCs w:val="24"/>
        </w:rPr>
        <w:t xml:space="preserve">. Confirmatory factor analysis supported the single factor hypothesis, and reliability was high in the present sample (Cronbach alpha= 0.92). The WEMWBS </w:t>
      </w:r>
      <w:r w:rsidR="00D57177" w:rsidRPr="003B517A">
        <w:rPr>
          <w:rFonts w:asciiTheme="majorBidi" w:hAnsiTheme="majorBidi" w:cstheme="majorBidi"/>
          <w:sz w:val="24"/>
          <w:szCs w:val="24"/>
        </w:rPr>
        <w:t xml:space="preserve">has </w:t>
      </w:r>
      <w:r w:rsidRPr="003B517A">
        <w:rPr>
          <w:rFonts w:asciiTheme="majorBidi" w:hAnsiTheme="majorBidi" w:cstheme="majorBidi"/>
          <w:sz w:val="24"/>
          <w:szCs w:val="24"/>
        </w:rPr>
        <w:t xml:space="preserve">displayed </w:t>
      </w:r>
      <w:r w:rsidR="002A47EA" w:rsidRPr="003B517A">
        <w:rPr>
          <w:rFonts w:asciiTheme="majorBidi" w:hAnsiTheme="majorBidi" w:cstheme="majorBidi"/>
          <w:sz w:val="24"/>
          <w:szCs w:val="24"/>
        </w:rPr>
        <w:t xml:space="preserve">content and </w:t>
      </w:r>
      <w:r w:rsidRPr="003B517A">
        <w:rPr>
          <w:rFonts w:asciiTheme="majorBidi" w:hAnsiTheme="majorBidi" w:cstheme="majorBidi"/>
          <w:sz w:val="24"/>
          <w:szCs w:val="24"/>
        </w:rPr>
        <w:t xml:space="preserve">criterion validity, </w:t>
      </w:r>
      <w:r w:rsidR="00CC70A3" w:rsidRPr="003B517A">
        <w:rPr>
          <w:rFonts w:asciiTheme="majorBidi" w:hAnsiTheme="majorBidi" w:cstheme="majorBidi"/>
          <w:sz w:val="24"/>
          <w:szCs w:val="24"/>
        </w:rPr>
        <w:t xml:space="preserve">and </w:t>
      </w:r>
      <w:r w:rsidR="002A47EA" w:rsidRPr="003B517A">
        <w:rPr>
          <w:rFonts w:asciiTheme="majorBidi" w:hAnsiTheme="majorBidi" w:cstheme="majorBidi"/>
          <w:sz w:val="24"/>
          <w:szCs w:val="24"/>
        </w:rPr>
        <w:t xml:space="preserve">acceptable </w:t>
      </w:r>
      <w:r w:rsidR="00CC70A3" w:rsidRPr="003B517A">
        <w:rPr>
          <w:rFonts w:asciiTheme="majorBidi" w:hAnsiTheme="majorBidi" w:cstheme="majorBidi"/>
          <w:sz w:val="24"/>
          <w:szCs w:val="24"/>
        </w:rPr>
        <w:t>test-retest reliability over one week (</w:t>
      </w:r>
      <w:r w:rsidR="00F11A1E" w:rsidRPr="00F11A1E">
        <w:rPr>
          <w:rFonts w:asciiTheme="majorBidi" w:hAnsiTheme="majorBidi" w:cstheme="majorBidi"/>
          <w:sz w:val="24"/>
          <w:szCs w:val="24"/>
        </w:rPr>
        <w:t>Tennant et al., 2007</w:t>
      </w:r>
      <w:r w:rsidR="00CC70A3" w:rsidRPr="003B517A">
        <w:rPr>
          <w:rFonts w:asciiTheme="majorBidi" w:hAnsiTheme="majorBidi" w:cstheme="majorBidi"/>
          <w:sz w:val="24"/>
          <w:szCs w:val="24"/>
        </w:rPr>
        <w:t>)</w:t>
      </w:r>
      <w:r w:rsidRPr="003B517A">
        <w:rPr>
          <w:rFonts w:asciiTheme="majorBidi" w:hAnsiTheme="majorBidi" w:cstheme="majorBidi"/>
          <w:sz w:val="24"/>
          <w:szCs w:val="24"/>
        </w:rPr>
        <w:t xml:space="preserve">. </w:t>
      </w:r>
    </w:p>
    <w:p w14:paraId="2EAB73C2" w14:textId="77777777" w:rsidR="00CC70A3" w:rsidRPr="003B517A" w:rsidRDefault="000466FB"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 xml:space="preserve">Psychological distress was measured by the 24-item </w:t>
      </w:r>
      <w:r w:rsidR="002D5FC9" w:rsidRPr="003B517A">
        <w:rPr>
          <w:rFonts w:asciiTheme="majorBidi" w:hAnsiTheme="majorBidi" w:cstheme="majorBidi"/>
          <w:sz w:val="24"/>
          <w:szCs w:val="24"/>
        </w:rPr>
        <w:t>(age 16) and 9</w:t>
      </w:r>
      <w:r w:rsidR="00D57177" w:rsidRPr="003B517A">
        <w:rPr>
          <w:rFonts w:asciiTheme="majorBidi" w:hAnsiTheme="majorBidi" w:cstheme="majorBidi"/>
          <w:sz w:val="24"/>
          <w:szCs w:val="24"/>
        </w:rPr>
        <w:t>-</w:t>
      </w:r>
      <w:r w:rsidR="002D5FC9" w:rsidRPr="003B517A">
        <w:rPr>
          <w:rFonts w:asciiTheme="majorBidi" w:hAnsiTheme="majorBidi" w:cstheme="majorBidi"/>
          <w:sz w:val="24"/>
          <w:szCs w:val="24"/>
        </w:rPr>
        <w:t xml:space="preserve">item (age 42) </w:t>
      </w:r>
      <w:r w:rsidRPr="003B517A">
        <w:rPr>
          <w:rFonts w:asciiTheme="majorBidi" w:hAnsiTheme="majorBidi" w:cstheme="majorBidi"/>
          <w:sz w:val="24"/>
          <w:szCs w:val="24"/>
        </w:rPr>
        <w:t>Malaise Inventory (</w:t>
      </w:r>
      <w:r w:rsidR="00F11A1E">
        <w:rPr>
          <w:rFonts w:asciiTheme="majorBidi" w:hAnsiTheme="majorBidi" w:cstheme="majorBidi"/>
          <w:sz w:val="24"/>
          <w:szCs w:val="24"/>
        </w:rPr>
        <w:t>Rutter, 1970</w:t>
      </w:r>
      <w:r w:rsidRPr="003B517A">
        <w:rPr>
          <w:rFonts w:asciiTheme="majorBidi" w:hAnsiTheme="majorBidi" w:cstheme="majorBidi"/>
          <w:sz w:val="24"/>
          <w:szCs w:val="24"/>
        </w:rPr>
        <w:t>) consisting of items on depressive mood and anxiety, which has demonstrated acceptable psychometric properties (</w:t>
      </w:r>
      <w:r w:rsidR="00F11A1E" w:rsidRPr="00F11A1E">
        <w:rPr>
          <w:rFonts w:asciiTheme="majorBidi" w:hAnsiTheme="majorBidi" w:cstheme="majorBidi"/>
          <w:sz w:val="24"/>
          <w:szCs w:val="24"/>
        </w:rPr>
        <w:t>McGee</w:t>
      </w:r>
      <w:r w:rsidR="00F11A1E">
        <w:rPr>
          <w:rFonts w:asciiTheme="majorBidi" w:hAnsiTheme="majorBidi" w:cstheme="majorBidi"/>
          <w:sz w:val="24"/>
          <w:szCs w:val="24"/>
        </w:rPr>
        <w:t xml:space="preserve"> et al., 1986</w:t>
      </w:r>
      <w:r w:rsidRPr="003B517A">
        <w:rPr>
          <w:rFonts w:asciiTheme="majorBidi" w:hAnsiTheme="majorBidi" w:cstheme="majorBidi"/>
          <w:sz w:val="24"/>
          <w:szCs w:val="24"/>
        </w:rPr>
        <w:t xml:space="preserve">). A total symptom score, </w:t>
      </w:r>
      <w:r w:rsidR="002D5FC9" w:rsidRPr="003B517A">
        <w:rPr>
          <w:rFonts w:asciiTheme="majorBidi" w:hAnsiTheme="majorBidi" w:cstheme="majorBidi"/>
          <w:sz w:val="24"/>
          <w:szCs w:val="24"/>
        </w:rPr>
        <w:t>(</w:t>
      </w:r>
      <w:r w:rsidRPr="003B517A">
        <w:rPr>
          <w:rFonts w:asciiTheme="majorBidi" w:hAnsiTheme="majorBidi" w:cstheme="majorBidi"/>
          <w:sz w:val="24"/>
          <w:szCs w:val="24"/>
        </w:rPr>
        <w:t>ranging from 0 to 24</w:t>
      </w:r>
      <w:r w:rsidR="002D5FC9" w:rsidRPr="003B517A">
        <w:rPr>
          <w:rFonts w:asciiTheme="majorBidi" w:hAnsiTheme="majorBidi" w:cstheme="majorBidi"/>
          <w:sz w:val="24"/>
          <w:szCs w:val="24"/>
        </w:rPr>
        <w:t xml:space="preserve"> for the 24 item and 0 – 9 for the 9 item inventory)</w:t>
      </w:r>
      <w:r w:rsidRPr="003B517A">
        <w:rPr>
          <w:rFonts w:asciiTheme="majorBidi" w:hAnsiTheme="majorBidi" w:cstheme="majorBidi"/>
          <w:sz w:val="24"/>
          <w:szCs w:val="24"/>
        </w:rPr>
        <w:t xml:space="preserve">, was derived from a count of the number of items eliciting a positive response. </w:t>
      </w:r>
    </w:p>
    <w:p w14:paraId="0284B8A4" w14:textId="77777777" w:rsidR="002048D3" w:rsidRPr="00D00F0C" w:rsidRDefault="00D57177" w:rsidP="003B517A">
      <w:pPr>
        <w:spacing w:line="480" w:lineRule="auto"/>
        <w:rPr>
          <w:rFonts w:asciiTheme="majorBidi" w:hAnsiTheme="majorBidi" w:cstheme="majorBidi"/>
          <w:i/>
          <w:sz w:val="24"/>
          <w:szCs w:val="24"/>
        </w:rPr>
      </w:pPr>
      <w:r w:rsidRPr="00D00F0C">
        <w:rPr>
          <w:rFonts w:asciiTheme="majorBidi" w:hAnsiTheme="majorBidi" w:cstheme="majorBidi"/>
          <w:i/>
          <w:sz w:val="24"/>
          <w:szCs w:val="24"/>
        </w:rPr>
        <w:t>Covariates</w:t>
      </w:r>
    </w:p>
    <w:p w14:paraId="38AC12EB" w14:textId="77777777" w:rsidR="002048D3" w:rsidRPr="003B517A" w:rsidRDefault="002048D3"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At age 16 respondents were provided with a list of 34 sports and physical activities and asked which of them they played (in school and during leisure time) when they were in season during the past year (at least once a week; once a month; not at all).</w:t>
      </w:r>
      <w:r w:rsidR="000466FB" w:rsidRPr="003B517A">
        <w:rPr>
          <w:rFonts w:asciiTheme="majorBidi" w:hAnsiTheme="majorBidi" w:cstheme="majorBidi"/>
          <w:sz w:val="24"/>
          <w:szCs w:val="24"/>
        </w:rPr>
        <w:t xml:space="preserve"> Participants were also asked question on smoking (</w:t>
      </w:r>
      <w:r w:rsidR="001516F5" w:rsidRPr="003B517A">
        <w:rPr>
          <w:rFonts w:asciiTheme="majorBidi" w:hAnsiTheme="majorBidi" w:cstheme="majorBidi"/>
          <w:sz w:val="24"/>
          <w:szCs w:val="24"/>
        </w:rPr>
        <w:t>never</w:t>
      </w:r>
      <w:r w:rsidR="000466FB" w:rsidRPr="003B517A">
        <w:rPr>
          <w:rFonts w:asciiTheme="majorBidi" w:hAnsiTheme="majorBidi" w:cstheme="majorBidi"/>
          <w:sz w:val="24"/>
          <w:szCs w:val="24"/>
        </w:rPr>
        <w:t xml:space="preserve">; </w:t>
      </w:r>
      <w:r w:rsidR="001516F5" w:rsidRPr="003B517A">
        <w:rPr>
          <w:rFonts w:asciiTheme="majorBidi" w:hAnsiTheme="majorBidi" w:cstheme="majorBidi"/>
          <w:sz w:val="24"/>
          <w:szCs w:val="24"/>
        </w:rPr>
        <w:t>rarely</w:t>
      </w:r>
      <w:r w:rsidR="000466FB" w:rsidRPr="003B517A">
        <w:rPr>
          <w:rFonts w:asciiTheme="majorBidi" w:hAnsiTheme="majorBidi" w:cstheme="majorBidi"/>
          <w:sz w:val="24"/>
          <w:szCs w:val="24"/>
        </w:rPr>
        <w:t>; ≥ 1 ciga</w:t>
      </w:r>
      <w:r w:rsidR="00F42F85" w:rsidRPr="003B517A">
        <w:rPr>
          <w:rFonts w:asciiTheme="majorBidi" w:hAnsiTheme="majorBidi" w:cstheme="majorBidi"/>
          <w:sz w:val="24"/>
          <w:szCs w:val="24"/>
        </w:rPr>
        <w:t>r</w:t>
      </w:r>
      <w:r w:rsidR="000466FB" w:rsidRPr="003B517A">
        <w:rPr>
          <w:rFonts w:asciiTheme="majorBidi" w:hAnsiTheme="majorBidi" w:cstheme="majorBidi"/>
          <w:sz w:val="24"/>
          <w:szCs w:val="24"/>
        </w:rPr>
        <w:t>ette/wk</w:t>
      </w:r>
      <w:r w:rsidR="00C41B06" w:rsidRPr="003B517A">
        <w:rPr>
          <w:rFonts w:asciiTheme="majorBidi" w:hAnsiTheme="majorBidi" w:cstheme="majorBidi"/>
          <w:sz w:val="24"/>
          <w:szCs w:val="24"/>
        </w:rPr>
        <w:t xml:space="preserve">) and </w:t>
      </w:r>
      <w:r w:rsidR="000466FB" w:rsidRPr="003B517A">
        <w:rPr>
          <w:rFonts w:asciiTheme="majorBidi" w:hAnsiTheme="majorBidi" w:cstheme="majorBidi"/>
          <w:sz w:val="24"/>
          <w:szCs w:val="24"/>
        </w:rPr>
        <w:t xml:space="preserve">frequency of alcohol intake (daily; 4 -5 /wk; 2-3/wk; once a week; once a month; rarely; never). </w:t>
      </w:r>
      <w:r w:rsidR="005B584A" w:rsidRPr="003B517A">
        <w:rPr>
          <w:rFonts w:asciiTheme="majorBidi" w:hAnsiTheme="majorBidi" w:cstheme="majorBidi"/>
          <w:sz w:val="24"/>
          <w:szCs w:val="24"/>
        </w:rPr>
        <w:t>At age 16 p</w:t>
      </w:r>
      <w:r w:rsidR="00EB730B" w:rsidRPr="003B517A">
        <w:rPr>
          <w:rFonts w:asciiTheme="majorBidi" w:hAnsiTheme="majorBidi" w:cstheme="majorBidi"/>
          <w:sz w:val="24"/>
          <w:szCs w:val="24"/>
        </w:rPr>
        <w:t xml:space="preserve">arents </w:t>
      </w:r>
      <w:r w:rsidR="005B584A" w:rsidRPr="003B517A">
        <w:rPr>
          <w:rFonts w:asciiTheme="majorBidi" w:hAnsiTheme="majorBidi" w:cstheme="majorBidi"/>
          <w:sz w:val="24"/>
          <w:szCs w:val="24"/>
        </w:rPr>
        <w:t xml:space="preserve">also </w:t>
      </w:r>
      <w:r w:rsidR="00EB730B" w:rsidRPr="003B517A">
        <w:rPr>
          <w:rFonts w:asciiTheme="majorBidi" w:hAnsiTheme="majorBidi" w:cstheme="majorBidi"/>
          <w:sz w:val="24"/>
          <w:szCs w:val="24"/>
        </w:rPr>
        <w:t xml:space="preserve">provided information on their occupation, which was categorised using the 1970 and 1980 Office of Population Censuses and Surveys Classification of Occupations (managerial/ professional/ intermediate/ routine and manual). </w:t>
      </w:r>
      <w:r w:rsidR="000466FB" w:rsidRPr="003B517A">
        <w:rPr>
          <w:rFonts w:asciiTheme="majorBidi" w:hAnsiTheme="majorBidi" w:cstheme="majorBidi"/>
          <w:sz w:val="24"/>
          <w:szCs w:val="24"/>
        </w:rPr>
        <w:t xml:space="preserve">At age 42 </w:t>
      </w:r>
      <w:r w:rsidR="001516F5" w:rsidRPr="003B517A">
        <w:rPr>
          <w:rFonts w:asciiTheme="majorBidi" w:hAnsiTheme="majorBidi" w:cstheme="majorBidi"/>
          <w:sz w:val="24"/>
          <w:szCs w:val="24"/>
        </w:rPr>
        <w:t xml:space="preserve">the participant’s </w:t>
      </w:r>
      <w:r w:rsidR="000466FB" w:rsidRPr="003B517A">
        <w:rPr>
          <w:rFonts w:asciiTheme="majorBidi" w:hAnsiTheme="majorBidi" w:cstheme="majorBidi"/>
          <w:sz w:val="24"/>
          <w:szCs w:val="24"/>
        </w:rPr>
        <w:t>highest educational attainment was recorded</w:t>
      </w:r>
      <w:r w:rsidR="009762DB" w:rsidRPr="003B517A">
        <w:rPr>
          <w:rFonts w:asciiTheme="majorBidi" w:hAnsiTheme="majorBidi" w:cstheme="majorBidi"/>
          <w:sz w:val="24"/>
          <w:szCs w:val="24"/>
        </w:rPr>
        <w:t xml:space="preserve"> (none; GCSE/O-level; A-level; H</w:t>
      </w:r>
      <w:r w:rsidR="000466FB" w:rsidRPr="003B517A">
        <w:rPr>
          <w:rFonts w:asciiTheme="majorBidi" w:hAnsiTheme="majorBidi" w:cstheme="majorBidi"/>
          <w:sz w:val="24"/>
          <w:szCs w:val="24"/>
        </w:rPr>
        <w:t>igher education).</w:t>
      </w:r>
    </w:p>
    <w:p w14:paraId="3C5E82B6" w14:textId="77777777" w:rsidR="000F345A" w:rsidRPr="00D00F0C" w:rsidRDefault="000F345A" w:rsidP="003B517A">
      <w:pPr>
        <w:spacing w:line="480" w:lineRule="auto"/>
        <w:rPr>
          <w:rFonts w:asciiTheme="majorBidi" w:hAnsiTheme="majorBidi" w:cstheme="majorBidi"/>
          <w:i/>
          <w:sz w:val="24"/>
          <w:szCs w:val="24"/>
        </w:rPr>
      </w:pPr>
      <w:r w:rsidRPr="00D00F0C">
        <w:rPr>
          <w:rFonts w:asciiTheme="majorBidi" w:hAnsiTheme="majorBidi" w:cstheme="majorBidi"/>
          <w:i/>
          <w:sz w:val="24"/>
          <w:szCs w:val="24"/>
        </w:rPr>
        <w:t>Statistical analysis</w:t>
      </w:r>
    </w:p>
    <w:p w14:paraId="10C95996" w14:textId="11FFA490" w:rsidR="006F13DA" w:rsidRPr="00E970E5" w:rsidRDefault="000F345A" w:rsidP="0039696D">
      <w:pPr>
        <w:spacing w:line="480" w:lineRule="auto"/>
        <w:rPr>
          <w:rFonts w:asciiTheme="majorBidi" w:hAnsiTheme="majorBidi" w:cstheme="majorBidi"/>
          <w:sz w:val="24"/>
          <w:szCs w:val="24"/>
        </w:rPr>
      </w:pPr>
      <w:r w:rsidRPr="003B517A">
        <w:rPr>
          <w:rFonts w:asciiTheme="majorBidi" w:hAnsiTheme="majorBidi" w:cstheme="majorBidi"/>
          <w:sz w:val="24"/>
          <w:szCs w:val="24"/>
        </w:rPr>
        <w:lastRenderedPageBreak/>
        <w:t xml:space="preserve">We examined associations between </w:t>
      </w:r>
      <w:r w:rsidR="00F42F85" w:rsidRPr="003B517A">
        <w:rPr>
          <w:rFonts w:asciiTheme="majorBidi" w:hAnsiTheme="majorBidi" w:cstheme="majorBidi"/>
          <w:sz w:val="24"/>
          <w:szCs w:val="24"/>
        </w:rPr>
        <w:t>screen time</w:t>
      </w:r>
      <w:r w:rsidRPr="003B517A">
        <w:rPr>
          <w:rFonts w:asciiTheme="majorBidi" w:hAnsiTheme="majorBidi" w:cstheme="majorBidi"/>
          <w:sz w:val="24"/>
          <w:szCs w:val="24"/>
        </w:rPr>
        <w:t xml:space="preserve"> at age 1</w:t>
      </w:r>
      <w:r w:rsidR="00F42F85" w:rsidRPr="003B517A">
        <w:rPr>
          <w:rFonts w:asciiTheme="majorBidi" w:hAnsiTheme="majorBidi" w:cstheme="majorBidi"/>
          <w:sz w:val="24"/>
          <w:szCs w:val="24"/>
        </w:rPr>
        <w:t>6</w:t>
      </w:r>
      <w:r w:rsidRPr="003B517A">
        <w:rPr>
          <w:rFonts w:asciiTheme="majorBidi" w:hAnsiTheme="majorBidi" w:cstheme="majorBidi"/>
          <w:sz w:val="24"/>
          <w:szCs w:val="24"/>
        </w:rPr>
        <w:t xml:space="preserve"> with </w:t>
      </w:r>
      <w:r w:rsidR="00F42F85" w:rsidRPr="003B517A">
        <w:rPr>
          <w:rFonts w:asciiTheme="majorBidi" w:hAnsiTheme="majorBidi" w:cstheme="majorBidi"/>
          <w:sz w:val="24"/>
          <w:szCs w:val="24"/>
        </w:rPr>
        <w:t>mental wellbeing at</w:t>
      </w:r>
      <w:r w:rsidRPr="003B517A">
        <w:rPr>
          <w:rFonts w:asciiTheme="majorBidi" w:hAnsiTheme="majorBidi" w:cstheme="majorBidi"/>
          <w:sz w:val="24"/>
          <w:szCs w:val="24"/>
        </w:rPr>
        <w:t xml:space="preserve"> </w:t>
      </w:r>
      <w:r w:rsidR="005B584A" w:rsidRPr="003B517A">
        <w:rPr>
          <w:rFonts w:asciiTheme="majorBidi" w:hAnsiTheme="majorBidi" w:cstheme="majorBidi"/>
          <w:sz w:val="24"/>
          <w:szCs w:val="24"/>
        </w:rPr>
        <w:t xml:space="preserve">age </w:t>
      </w:r>
      <w:r w:rsidRPr="003B517A">
        <w:rPr>
          <w:rFonts w:asciiTheme="majorBidi" w:hAnsiTheme="majorBidi" w:cstheme="majorBidi"/>
          <w:sz w:val="24"/>
          <w:szCs w:val="24"/>
        </w:rPr>
        <w:t xml:space="preserve">42 using </w:t>
      </w:r>
      <w:r w:rsidR="00F42F85" w:rsidRPr="003B517A">
        <w:rPr>
          <w:rFonts w:asciiTheme="majorBidi" w:hAnsiTheme="majorBidi" w:cstheme="majorBidi"/>
          <w:sz w:val="24"/>
          <w:szCs w:val="24"/>
        </w:rPr>
        <w:t>general linear</w:t>
      </w:r>
      <w:r w:rsidRPr="003B517A">
        <w:rPr>
          <w:rFonts w:asciiTheme="majorBidi" w:hAnsiTheme="majorBidi" w:cstheme="majorBidi"/>
          <w:sz w:val="24"/>
          <w:szCs w:val="24"/>
        </w:rPr>
        <w:t xml:space="preserve"> models. </w:t>
      </w:r>
      <w:r w:rsidR="00F42F85" w:rsidRPr="003B517A">
        <w:rPr>
          <w:rFonts w:asciiTheme="majorBidi" w:hAnsiTheme="majorBidi" w:cstheme="majorBidi"/>
          <w:sz w:val="24"/>
          <w:szCs w:val="24"/>
        </w:rPr>
        <w:t xml:space="preserve">The exposure </w:t>
      </w:r>
      <w:r w:rsidR="005B584A" w:rsidRPr="003B517A">
        <w:rPr>
          <w:rFonts w:asciiTheme="majorBidi" w:hAnsiTheme="majorBidi" w:cstheme="majorBidi"/>
          <w:sz w:val="24"/>
          <w:szCs w:val="24"/>
        </w:rPr>
        <w:t xml:space="preserve">(i.e. screen time) </w:t>
      </w:r>
      <w:r w:rsidR="00F42F85" w:rsidRPr="003B517A">
        <w:rPr>
          <w:rFonts w:asciiTheme="majorBidi" w:hAnsiTheme="majorBidi" w:cstheme="majorBidi"/>
          <w:sz w:val="24"/>
          <w:szCs w:val="24"/>
        </w:rPr>
        <w:t xml:space="preserve">was analysed as a categorical variable from which coefficients were generated.  The p-trend value was generated by entering the exposure as a continuous variable. </w:t>
      </w:r>
      <w:r w:rsidR="0078710B" w:rsidRPr="003B517A">
        <w:rPr>
          <w:rFonts w:asciiTheme="majorBidi" w:hAnsiTheme="majorBidi" w:cstheme="majorBidi"/>
          <w:sz w:val="24"/>
          <w:szCs w:val="24"/>
        </w:rPr>
        <w:t>We tested for sex interactions although as none were observed we analysed the whole sample together</w:t>
      </w:r>
      <w:r w:rsidRPr="003B517A">
        <w:rPr>
          <w:rFonts w:asciiTheme="majorBidi" w:hAnsiTheme="majorBidi" w:cstheme="majorBidi"/>
          <w:sz w:val="24"/>
          <w:szCs w:val="24"/>
        </w:rPr>
        <w:t xml:space="preserve"> </w:t>
      </w:r>
      <w:r w:rsidR="0078710B" w:rsidRPr="003B517A">
        <w:rPr>
          <w:rFonts w:asciiTheme="majorBidi" w:hAnsiTheme="majorBidi" w:cstheme="majorBidi"/>
          <w:sz w:val="24"/>
          <w:szCs w:val="24"/>
        </w:rPr>
        <w:t>adjusting</w:t>
      </w:r>
      <w:r w:rsidRPr="003B517A">
        <w:rPr>
          <w:rFonts w:asciiTheme="majorBidi" w:hAnsiTheme="majorBidi" w:cstheme="majorBidi"/>
          <w:sz w:val="24"/>
          <w:szCs w:val="24"/>
        </w:rPr>
        <w:t xml:space="preserve"> for sex</w:t>
      </w:r>
      <w:r w:rsidR="002A47EA" w:rsidRPr="003B517A">
        <w:rPr>
          <w:rFonts w:asciiTheme="majorBidi" w:hAnsiTheme="majorBidi" w:cstheme="majorBidi"/>
          <w:sz w:val="24"/>
          <w:szCs w:val="24"/>
        </w:rPr>
        <w:t xml:space="preserve"> (model 1)</w:t>
      </w:r>
      <w:r w:rsidRPr="003B517A">
        <w:rPr>
          <w:rFonts w:asciiTheme="majorBidi" w:hAnsiTheme="majorBidi" w:cstheme="majorBidi"/>
          <w:sz w:val="24"/>
          <w:szCs w:val="24"/>
        </w:rPr>
        <w:t xml:space="preserve">. We then further adjusted the models </w:t>
      </w:r>
      <w:r w:rsidR="006008C9">
        <w:rPr>
          <w:rFonts w:asciiTheme="majorBidi" w:hAnsiTheme="majorBidi" w:cstheme="majorBidi"/>
          <w:sz w:val="24"/>
          <w:szCs w:val="24"/>
        </w:rPr>
        <w:t xml:space="preserve">(model 2) </w:t>
      </w:r>
      <w:r w:rsidRPr="003B517A">
        <w:rPr>
          <w:rFonts w:asciiTheme="majorBidi" w:hAnsiTheme="majorBidi" w:cstheme="majorBidi"/>
          <w:sz w:val="24"/>
          <w:szCs w:val="24"/>
        </w:rPr>
        <w:t xml:space="preserve">for </w:t>
      </w:r>
      <w:r w:rsidR="00F42F85" w:rsidRPr="003B517A">
        <w:rPr>
          <w:rFonts w:asciiTheme="majorBidi" w:hAnsiTheme="majorBidi" w:cstheme="majorBidi"/>
          <w:sz w:val="24"/>
          <w:szCs w:val="24"/>
        </w:rPr>
        <w:t xml:space="preserve">smoking at </w:t>
      </w:r>
      <w:r w:rsidR="00997697" w:rsidRPr="003B517A">
        <w:rPr>
          <w:rFonts w:asciiTheme="majorBidi" w:hAnsiTheme="majorBidi" w:cstheme="majorBidi"/>
          <w:sz w:val="24"/>
          <w:szCs w:val="24"/>
        </w:rPr>
        <w:t xml:space="preserve">age </w:t>
      </w:r>
      <w:r w:rsidR="00F42F85" w:rsidRPr="003B517A">
        <w:rPr>
          <w:rFonts w:asciiTheme="majorBidi" w:hAnsiTheme="majorBidi" w:cstheme="majorBidi"/>
          <w:sz w:val="24"/>
          <w:szCs w:val="24"/>
        </w:rPr>
        <w:t xml:space="preserve">16, alcohol intake at </w:t>
      </w:r>
      <w:r w:rsidR="00997697" w:rsidRPr="003B517A">
        <w:rPr>
          <w:rFonts w:asciiTheme="majorBidi" w:hAnsiTheme="majorBidi" w:cstheme="majorBidi"/>
          <w:sz w:val="24"/>
          <w:szCs w:val="24"/>
        </w:rPr>
        <w:t xml:space="preserve">age </w:t>
      </w:r>
      <w:r w:rsidR="00F42F85" w:rsidRPr="003B517A">
        <w:rPr>
          <w:rFonts w:asciiTheme="majorBidi" w:hAnsiTheme="majorBidi" w:cstheme="majorBidi"/>
          <w:sz w:val="24"/>
          <w:szCs w:val="24"/>
        </w:rPr>
        <w:t xml:space="preserve">16, leisure sports participation </w:t>
      </w:r>
      <w:r w:rsidR="00997697" w:rsidRPr="003B517A">
        <w:rPr>
          <w:rFonts w:asciiTheme="majorBidi" w:hAnsiTheme="majorBidi" w:cstheme="majorBidi"/>
          <w:sz w:val="24"/>
          <w:szCs w:val="24"/>
        </w:rPr>
        <w:t xml:space="preserve">at </w:t>
      </w:r>
      <w:r w:rsidR="00F42F85" w:rsidRPr="003B517A">
        <w:rPr>
          <w:rFonts w:asciiTheme="majorBidi" w:hAnsiTheme="majorBidi" w:cstheme="majorBidi"/>
          <w:sz w:val="24"/>
          <w:szCs w:val="24"/>
        </w:rPr>
        <w:t xml:space="preserve">age 16, </w:t>
      </w:r>
      <w:r w:rsidR="00D32433">
        <w:rPr>
          <w:rFonts w:asciiTheme="majorBidi" w:hAnsiTheme="majorBidi" w:cstheme="majorBidi"/>
          <w:sz w:val="24"/>
          <w:szCs w:val="24"/>
        </w:rPr>
        <w:t>psychological distress (</w:t>
      </w:r>
      <w:r w:rsidR="00F42F85" w:rsidRPr="003B517A">
        <w:rPr>
          <w:rFonts w:asciiTheme="majorBidi" w:hAnsiTheme="majorBidi" w:cstheme="majorBidi"/>
          <w:sz w:val="24"/>
          <w:szCs w:val="24"/>
        </w:rPr>
        <w:t>malaise score</w:t>
      </w:r>
      <w:r w:rsidR="00D32433">
        <w:rPr>
          <w:rFonts w:asciiTheme="majorBidi" w:hAnsiTheme="majorBidi" w:cstheme="majorBidi"/>
          <w:sz w:val="24"/>
          <w:szCs w:val="24"/>
        </w:rPr>
        <w:t>)</w:t>
      </w:r>
      <w:r w:rsidR="00F42F85" w:rsidRPr="003B517A">
        <w:rPr>
          <w:rFonts w:asciiTheme="majorBidi" w:hAnsiTheme="majorBidi" w:cstheme="majorBidi"/>
          <w:sz w:val="24"/>
          <w:szCs w:val="24"/>
        </w:rPr>
        <w:t xml:space="preserve"> </w:t>
      </w:r>
      <w:r w:rsidR="0039696D">
        <w:rPr>
          <w:rFonts w:asciiTheme="majorBidi" w:hAnsiTheme="majorBidi" w:cstheme="majorBidi"/>
          <w:sz w:val="24"/>
          <w:szCs w:val="24"/>
        </w:rPr>
        <w:t xml:space="preserve">at </w:t>
      </w:r>
      <w:r w:rsidR="00F42F85" w:rsidRPr="003B517A">
        <w:rPr>
          <w:rFonts w:asciiTheme="majorBidi" w:hAnsiTheme="majorBidi" w:cstheme="majorBidi"/>
          <w:sz w:val="24"/>
          <w:szCs w:val="24"/>
        </w:rPr>
        <w:t xml:space="preserve">age 16, </w:t>
      </w:r>
      <w:r w:rsidR="00EB730B" w:rsidRPr="003B517A">
        <w:rPr>
          <w:rFonts w:asciiTheme="majorBidi" w:hAnsiTheme="majorBidi" w:cstheme="majorBidi"/>
          <w:sz w:val="24"/>
          <w:szCs w:val="24"/>
        </w:rPr>
        <w:t xml:space="preserve">parental socio-occupational group, </w:t>
      </w:r>
      <w:r w:rsidR="00997697" w:rsidRPr="003B517A">
        <w:rPr>
          <w:rFonts w:asciiTheme="majorBidi" w:hAnsiTheme="majorBidi" w:cstheme="majorBidi"/>
          <w:sz w:val="24"/>
          <w:szCs w:val="24"/>
        </w:rPr>
        <w:t xml:space="preserve">and </w:t>
      </w:r>
      <w:r w:rsidR="00EB730B" w:rsidRPr="003B517A">
        <w:rPr>
          <w:rFonts w:asciiTheme="majorBidi" w:hAnsiTheme="majorBidi" w:cstheme="majorBidi"/>
          <w:sz w:val="24"/>
          <w:szCs w:val="24"/>
        </w:rPr>
        <w:t>participants</w:t>
      </w:r>
      <w:r w:rsidR="00CC3A09" w:rsidRPr="003B517A">
        <w:rPr>
          <w:rFonts w:asciiTheme="majorBidi" w:hAnsiTheme="majorBidi" w:cstheme="majorBidi"/>
          <w:sz w:val="24"/>
          <w:szCs w:val="24"/>
        </w:rPr>
        <w:t>’</w:t>
      </w:r>
      <w:r w:rsidR="00EB730B" w:rsidRPr="003B517A">
        <w:rPr>
          <w:rFonts w:asciiTheme="majorBidi" w:hAnsiTheme="majorBidi" w:cstheme="majorBidi"/>
          <w:sz w:val="24"/>
          <w:szCs w:val="24"/>
        </w:rPr>
        <w:t xml:space="preserve"> </w:t>
      </w:r>
      <w:r w:rsidR="00F42F85" w:rsidRPr="003B517A">
        <w:rPr>
          <w:rFonts w:asciiTheme="majorBidi" w:hAnsiTheme="majorBidi" w:cstheme="majorBidi"/>
          <w:sz w:val="24"/>
          <w:szCs w:val="24"/>
        </w:rPr>
        <w:t>highest educational attai</w:t>
      </w:r>
      <w:r w:rsidR="002A47EA" w:rsidRPr="003B517A">
        <w:rPr>
          <w:rFonts w:asciiTheme="majorBidi" w:hAnsiTheme="majorBidi" w:cstheme="majorBidi"/>
          <w:sz w:val="24"/>
          <w:szCs w:val="24"/>
        </w:rPr>
        <w:t>nment</w:t>
      </w:r>
      <w:r w:rsidRPr="003B517A">
        <w:rPr>
          <w:rFonts w:asciiTheme="majorBidi" w:hAnsiTheme="majorBidi" w:cstheme="majorBidi"/>
          <w:sz w:val="24"/>
          <w:szCs w:val="24"/>
        </w:rPr>
        <w:t xml:space="preserve">. </w:t>
      </w:r>
      <w:r w:rsidR="003F2121" w:rsidRPr="00D33716">
        <w:rPr>
          <w:rFonts w:asciiTheme="majorBidi" w:hAnsiTheme="majorBidi" w:cstheme="majorBidi"/>
          <w:sz w:val="24"/>
          <w:szCs w:val="24"/>
        </w:rPr>
        <w:t xml:space="preserve">Lastly, we examined the combined influence of screen time in adolescence and adulthood on mental </w:t>
      </w:r>
      <w:r w:rsidR="00F83E73" w:rsidRPr="00D33716">
        <w:rPr>
          <w:rFonts w:asciiTheme="majorBidi" w:hAnsiTheme="majorBidi" w:cstheme="majorBidi"/>
          <w:sz w:val="24"/>
          <w:szCs w:val="24"/>
        </w:rPr>
        <w:t>wellbeing in adulthood</w:t>
      </w:r>
      <w:r w:rsidR="003F2121" w:rsidRPr="00D33716">
        <w:rPr>
          <w:rFonts w:asciiTheme="majorBidi" w:hAnsiTheme="majorBidi" w:cstheme="majorBidi"/>
          <w:sz w:val="24"/>
          <w:szCs w:val="24"/>
        </w:rPr>
        <w:t xml:space="preserve"> using the same models described above. We created binary variables for screen time at age 16 and 42 using a cut point of three hours per day and subsequently generated a variable consisting of four categories</w:t>
      </w:r>
      <w:r w:rsidR="002C1613" w:rsidRPr="00D33716">
        <w:rPr>
          <w:rFonts w:asciiTheme="majorBidi" w:hAnsiTheme="majorBidi" w:cstheme="majorBidi"/>
          <w:sz w:val="24"/>
          <w:szCs w:val="24"/>
        </w:rPr>
        <w:t xml:space="preserve"> reflecting combinations of high/low screen time</w:t>
      </w:r>
      <w:r w:rsidR="00F83E73" w:rsidRPr="00D33716">
        <w:rPr>
          <w:rFonts w:asciiTheme="majorBidi" w:hAnsiTheme="majorBidi" w:cstheme="majorBidi"/>
          <w:sz w:val="24"/>
          <w:szCs w:val="24"/>
        </w:rPr>
        <w:t>, i.e. high screen time in adolescence and low screen-time in adulthood, low screen time in adolescence and high screen time in adulthood, low screen time at both ages and high screen time at both ages</w:t>
      </w:r>
      <w:r w:rsidR="003F2121" w:rsidRPr="00D33716">
        <w:rPr>
          <w:rFonts w:asciiTheme="majorBidi" w:hAnsiTheme="majorBidi" w:cstheme="majorBidi"/>
          <w:sz w:val="24"/>
          <w:szCs w:val="24"/>
        </w:rPr>
        <w:t xml:space="preserve">. </w:t>
      </w:r>
      <w:r w:rsidR="003F2121" w:rsidRPr="003F2121">
        <w:rPr>
          <w:rFonts w:asciiTheme="majorBidi" w:hAnsiTheme="majorBidi" w:cstheme="majorBidi"/>
          <w:sz w:val="24"/>
          <w:szCs w:val="24"/>
        </w:rPr>
        <w:t xml:space="preserve"> </w:t>
      </w:r>
      <w:r w:rsidR="00F42F85" w:rsidRPr="003B517A">
        <w:rPr>
          <w:rFonts w:asciiTheme="majorBidi" w:hAnsiTheme="majorBidi" w:cstheme="majorBidi"/>
          <w:sz w:val="24"/>
          <w:szCs w:val="24"/>
        </w:rPr>
        <w:t xml:space="preserve">Pre specified covariates were chosen because they were hypothesised to be associated with both the exposure and outcome </w:t>
      </w:r>
      <w:r w:rsidR="005B584A" w:rsidRPr="003B517A">
        <w:rPr>
          <w:rFonts w:asciiTheme="majorBidi" w:hAnsiTheme="majorBidi" w:cstheme="majorBidi"/>
          <w:sz w:val="24"/>
          <w:szCs w:val="24"/>
        </w:rPr>
        <w:t>(</w:t>
      </w:r>
      <w:r w:rsidR="00E14BBC" w:rsidRPr="003B517A">
        <w:rPr>
          <w:rFonts w:asciiTheme="majorBidi" w:hAnsiTheme="majorBidi" w:cstheme="majorBidi"/>
          <w:sz w:val="24"/>
          <w:szCs w:val="24"/>
        </w:rPr>
        <w:t>e.g</w:t>
      </w:r>
      <w:r w:rsidR="005B584A" w:rsidRPr="003B517A">
        <w:rPr>
          <w:rFonts w:asciiTheme="majorBidi" w:hAnsiTheme="majorBidi" w:cstheme="majorBidi"/>
          <w:sz w:val="24"/>
          <w:szCs w:val="24"/>
        </w:rPr>
        <w:t xml:space="preserve">. mental wellbeing) </w:t>
      </w:r>
      <w:r w:rsidR="00F11A1E">
        <w:rPr>
          <w:rFonts w:asciiTheme="majorBidi" w:hAnsiTheme="majorBidi" w:cstheme="majorBidi"/>
          <w:sz w:val="24"/>
          <w:szCs w:val="24"/>
        </w:rPr>
        <w:t xml:space="preserve">in the main analyses </w:t>
      </w:r>
      <w:r w:rsidR="00F11A1E" w:rsidRPr="00F11A1E">
        <w:rPr>
          <w:rFonts w:asciiTheme="majorBidi" w:hAnsiTheme="majorBidi" w:cstheme="majorBidi"/>
          <w:sz w:val="24"/>
          <w:szCs w:val="24"/>
        </w:rPr>
        <w:t xml:space="preserve">(Booker et al., 2015; Hamer et </w:t>
      </w:r>
      <w:r w:rsidR="00F11A1E">
        <w:rPr>
          <w:rFonts w:asciiTheme="majorBidi" w:hAnsiTheme="majorBidi" w:cstheme="majorBidi"/>
          <w:sz w:val="24"/>
          <w:szCs w:val="24"/>
        </w:rPr>
        <w:t>al., 2009; Parkes et al., 2013</w:t>
      </w:r>
      <w:r w:rsidR="00F42F85" w:rsidRPr="003B517A">
        <w:rPr>
          <w:rFonts w:asciiTheme="majorBidi" w:hAnsiTheme="majorBidi" w:cstheme="majorBidi"/>
          <w:sz w:val="24"/>
          <w:szCs w:val="24"/>
        </w:rPr>
        <w:t xml:space="preserve">). </w:t>
      </w:r>
      <w:r w:rsidRPr="003B517A">
        <w:rPr>
          <w:rFonts w:asciiTheme="majorBidi" w:hAnsiTheme="majorBidi" w:cstheme="majorBidi"/>
          <w:sz w:val="24"/>
          <w:szCs w:val="24"/>
        </w:rPr>
        <w:t xml:space="preserve">All analyses were conducted using SPSS version 22. </w:t>
      </w:r>
    </w:p>
    <w:p w14:paraId="177E7E53" w14:textId="77777777" w:rsidR="008A3BD9" w:rsidRDefault="008A3BD9" w:rsidP="003B517A">
      <w:pPr>
        <w:spacing w:line="480" w:lineRule="auto"/>
        <w:rPr>
          <w:rFonts w:asciiTheme="majorBidi" w:hAnsiTheme="majorBidi" w:cstheme="majorBidi"/>
          <w:b/>
          <w:sz w:val="24"/>
          <w:szCs w:val="24"/>
        </w:rPr>
      </w:pPr>
    </w:p>
    <w:p w14:paraId="6AC0FDC8" w14:textId="77777777" w:rsidR="006F13DA" w:rsidRPr="00D00F0C" w:rsidRDefault="00FD4E18" w:rsidP="003B517A">
      <w:pPr>
        <w:spacing w:line="480" w:lineRule="auto"/>
        <w:rPr>
          <w:rFonts w:asciiTheme="majorBidi" w:hAnsiTheme="majorBidi" w:cstheme="majorBidi"/>
          <w:b/>
          <w:sz w:val="24"/>
          <w:szCs w:val="24"/>
        </w:rPr>
      </w:pPr>
      <w:r w:rsidRPr="00D00F0C">
        <w:rPr>
          <w:rFonts w:asciiTheme="majorBidi" w:hAnsiTheme="majorBidi" w:cstheme="majorBidi"/>
          <w:b/>
          <w:sz w:val="24"/>
          <w:szCs w:val="24"/>
        </w:rPr>
        <w:t xml:space="preserve">Results </w:t>
      </w:r>
    </w:p>
    <w:p w14:paraId="08D4D460" w14:textId="1758E30F" w:rsidR="00FD4E18" w:rsidRPr="003B517A" w:rsidRDefault="00FD4E18"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 xml:space="preserve">At age 16 the sedentary behaviour questions were completed </w:t>
      </w:r>
      <w:r w:rsidR="005B584A" w:rsidRPr="003B517A">
        <w:rPr>
          <w:rFonts w:asciiTheme="majorBidi" w:hAnsiTheme="majorBidi" w:cstheme="majorBidi"/>
          <w:sz w:val="24"/>
          <w:szCs w:val="24"/>
        </w:rPr>
        <w:t xml:space="preserve">by </w:t>
      </w:r>
      <w:r w:rsidRPr="003B517A">
        <w:rPr>
          <w:rFonts w:asciiTheme="majorBidi" w:hAnsiTheme="majorBidi" w:cstheme="majorBidi"/>
          <w:sz w:val="24"/>
          <w:szCs w:val="24"/>
        </w:rPr>
        <w:t xml:space="preserve">4,091 </w:t>
      </w:r>
      <w:r w:rsidR="004E1F51" w:rsidRPr="003B517A">
        <w:rPr>
          <w:rFonts w:asciiTheme="majorBidi" w:hAnsiTheme="majorBidi" w:cstheme="majorBidi"/>
          <w:sz w:val="24"/>
          <w:szCs w:val="24"/>
        </w:rPr>
        <w:t>(59</w:t>
      </w:r>
      <w:r w:rsidR="006174E6" w:rsidRPr="003B517A">
        <w:rPr>
          <w:rFonts w:asciiTheme="majorBidi" w:hAnsiTheme="majorBidi" w:cstheme="majorBidi"/>
          <w:sz w:val="24"/>
          <w:szCs w:val="24"/>
        </w:rPr>
        <w:t>.3</w:t>
      </w:r>
      <w:r w:rsidR="004E1F51" w:rsidRPr="003B517A">
        <w:rPr>
          <w:rFonts w:asciiTheme="majorBidi" w:hAnsiTheme="majorBidi" w:cstheme="majorBidi"/>
          <w:sz w:val="24"/>
          <w:szCs w:val="24"/>
        </w:rPr>
        <w:t xml:space="preserve">%) </w:t>
      </w:r>
      <w:r w:rsidRPr="003B517A">
        <w:rPr>
          <w:rFonts w:asciiTheme="majorBidi" w:hAnsiTheme="majorBidi" w:cstheme="majorBidi"/>
          <w:sz w:val="24"/>
          <w:szCs w:val="24"/>
        </w:rPr>
        <w:t xml:space="preserve">participants. After exclusion </w:t>
      </w:r>
      <w:r w:rsidR="005B584A" w:rsidRPr="003B517A">
        <w:rPr>
          <w:rFonts w:asciiTheme="majorBidi" w:hAnsiTheme="majorBidi" w:cstheme="majorBidi"/>
          <w:sz w:val="24"/>
          <w:szCs w:val="24"/>
        </w:rPr>
        <w:t xml:space="preserve">of data because </w:t>
      </w:r>
      <w:r w:rsidRPr="003B517A">
        <w:rPr>
          <w:rFonts w:asciiTheme="majorBidi" w:hAnsiTheme="majorBidi" w:cstheme="majorBidi"/>
          <w:sz w:val="24"/>
          <w:szCs w:val="24"/>
        </w:rPr>
        <w:t>of missing covariates and loss of information on outcome variables</w:t>
      </w:r>
      <w:r w:rsidR="00BA5A49" w:rsidRPr="003B517A">
        <w:rPr>
          <w:rFonts w:asciiTheme="majorBidi" w:hAnsiTheme="majorBidi" w:cstheme="majorBidi"/>
          <w:sz w:val="24"/>
          <w:szCs w:val="24"/>
        </w:rPr>
        <w:t xml:space="preserve"> at follow-up</w:t>
      </w:r>
      <w:r w:rsidRPr="003B517A">
        <w:rPr>
          <w:rFonts w:asciiTheme="majorBidi" w:hAnsiTheme="majorBidi" w:cstheme="majorBidi"/>
          <w:sz w:val="24"/>
          <w:szCs w:val="24"/>
        </w:rPr>
        <w:t xml:space="preserve"> the final analytic sample comprised 2,038 participants. </w:t>
      </w:r>
      <w:r w:rsidR="004A5115" w:rsidRPr="003B517A">
        <w:rPr>
          <w:rFonts w:asciiTheme="majorBidi" w:hAnsiTheme="majorBidi" w:cstheme="majorBidi"/>
          <w:sz w:val="24"/>
          <w:szCs w:val="24"/>
        </w:rPr>
        <w:t xml:space="preserve">Excluded participants did not differ markedly on the exposure variable </w:t>
      </w:r>
      <w:r w:rsidR="00C41B06" w:rsidRPr="003B517A">
        <w:rPr>
          <w:rFonts w:asciiTheme="majorBidi" w:hAnsiTheme="majorBidi" w:cstheme="majorBidi"/>
          <w:sz w:val="24"/>
          <w:szCs w:val="24"/>
        </w:rPr>
        <w:t xml:space="preserve">when compared with those </w:t>
      </w:r>
      <w:r w:rsidR="00C41B06" w:rsidRPr="003B517A">
        <w:rPr>
          <w:rFonts w:asciiTheme="majorBidi" w:hAnsiTheme="majorBidi" w:cstheme="majorBidi"/>
          <w:sz w:val="24"/>
          <w:szCs w:val="24"/>
        </w:rPr>
        <w:lastRenderedPageBreak/>
        <w:t xml:space="preserve">included </w:t>
      </w:r>
      <w:r w:rsidR="004A5115" w:rsidRPr="003B517A">
        <w:rPr>
          <w:rFonts w:asciiTheme="majorBidi" w:hAnsiTheme="majorBidi" w:cstheme="majorBidi"/>
          <w:sz w:val="24"/>
          <w:szCs w:val="24"/>
        </w:rPr>
        <w:t>(% reporting screen time &gt;3hrs= 39.0 vs. 35.</w:t>
      </w:r>
      <w:r w:rsidR="002A47EA" w:rsidRPr="003B517A">
        <w:rPr>
          <w:rFonts w:asciiTheme="majorBidi" w:hAnsiTheme="majorBidi" w:cstheme="majorBidi"/>
          <w:sz w:val="24"/>
          <w:szCs w:val="24"/>
        </w:rPr>
        <w:t>3</w:t>
      </w:r>
      <w:r w:rsidR="004A5115" w:rsidRPr="003B517A">
        <w:rPr>
          <w:rFonts w:asciiTheme="majorBidi" w:hAnsiTheme="majorBidi" w:cstheme="majorBidi"/>
          <w:sz w:val="24"/>
          <w:szCs w:val="24"/>
        </w:rPr>
        <w:t>%</w:t>
      </w:r>
      <w:r w:rsidR="00C41B06" w:rsidRPr="003B517A">
        <w:rPr>
          <w:rFonts w:asciiTheme="majorBidi" w:hAnsiTheme="majorBidi" w:cstheme="majorBidi"/>
          <w:sz w:val="24"/>
          <w:szCs w:val="24"/>
        </w:rPr>
        <w:t xml:space="preserve"> respectively, </w:t>
      </w:r>
      <w:r w:rsidR="004A5115" w:rsidRPr="003B517A">
        <w:rPr>
          <w:rFonts w:asciiTheme="majorBidi" w:hAnsiTheme="majorBidi" w:cstheme="majorBidi"/>
          <w:sz w:val="24"/>
          <w:szCs w:val="24"/>
        </w:rPr>
        <w:t xml:space="preserve">p=0.06). Also there were no differences in </w:t>
      </w:r>
      <w:r w:rsidR="00D32433">
        <w:rPr>
          <w:rFonts w:asciiTheme="majorBidi" w:hAnsiTheme="majorBidi" w:cstheme="majorBidi"/>
          <w:sz w:val="24"/>
          <w:szCs w:val="24"/>
        </w:rPr>
        <w:t>psychological distress</w:t>
      </w:r>
      <w:r w:rsidR="004A5115" w:rsidRPr="003B517A">
        <w:rPr>
          <w:rFonts w:asciiTheme="majorBidi" w:hAnsiTheme="majorBidi" w:cstheme="majorBidi"/>
          <w:sz w:val="24"/>
          <w:szCs w:val="24"/>
        </w:rPr>
        <w:t xml:space="preserve"> at age 16 (p=0.68)</w:t>
      </w:r>
      <w:r w:rsidR="00BA5A49" w:rsidRPr="003B517A">
        <w:rPr>
          <w:rFonts w:asciiTheme="majorBidi" w:hAnsiTheme="majorBidi" w:cstheme="majorBidi"/>
          <w:sz w:val="24"/>
          <w:szCs w:val="24"/>
        </w:rPr>
        <w:t xml:space="preserve"> or alcohol intake (p=0.37)</w:t>
      </w:r>
      <w:r w:rsidR="004A5115" w:rsidRPr="003B517A">
        <w:rPr>
          <w:rFonts w:asciiTheme="majorBidi" w:hAnsiTheme="majorBidi" w:cstheme="majorBidi"/>
          <w:sz w:val="24"/>
          <w:szCs w:val="24"/>
        </w:rPr>
        <w:t xml:space="preserve"> in those excluded and included. However, those excluded were more likely to be smokers at age 16 (19.2 vs. 15.8%, p=0.007).</w:t>
      </w:r>
    </w:p>
    <w:p w14:paraId="67E41DDF" w14:textId="77777777" w:rsidR="001A684C" w:rsidRPr="003B517A" w:rsidRDefault="00B125D9"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 xml:space="preserve">At </w:t>
      </w:r>
      <w:r w:rsidR="005B584A" w:rsidRPr="003B517A">
        <w:rPr>
          <w:rFonts w:asciiTheme="majorBidi" w:hAnsiTheme="majorBidi" w:cstheme="majorBidi"/>
          <w:sz w:val="24"/>
          <w:szCs w:val="24"/>
        </w:rPr>
        <w:t xml:space="preserve">16 years </w:t>
      </w:r>
      <w:r w:rsidRPr="003B517A">
        <w:rPr>
          <w:rFonts w:asciiTheme="majorBidi" w:hAnsiTheme="majorBidi" w:cstheme="majorBidi"/>
          <w:sz w:val="24"/>
          <w:szCs w:val="24"/>
        </w:rPr>
        <w:t xml:space="preserve">35.3% of the sample reported over 3 hrs of screen time after school. Participants reporting higher screen time were more likely to be male, </w:t>
      </w:r>
      <w:r w:rsidR="008A3912" w:rsidRPr="003B517A">
        <w:rPr>
          <w:rFonts w:asciiTheme="majorBidi" w:hAnsiTheme="majorBidi" w:cstheme="majorBidi"/>
          <w:sz w:val="24"/>
          <w:szCs w:val="24"/>
        </w:rPr>
        <w:t>non-</w:t>
      </w:r>
      <w:r w:rsidRPr="003B517A">
        <w:rPr>
          <w:rFonts w:asciiTheme="majorBidi" w:hAnsiTheme="majorBidi" w:cstheme="majorBidi"/>
          <w:sz w:val="24"/>
          <w:szCs w:val="24"/>
        </w:rPr>
        <w:t>smokers, rarely d</w:t>
      </w:r>
      <w:r w:rsidR="00EB730B" w:rsidRPr="003B517A">
        <w:rPr>
          <w:rFonts w:asciiTheme="majorBidi" w:hAnsiTheme="majorBidi" w:cstheme="majorBidi"/>
          <w:sz w:val="24"/>
          <w:szCs w:val="24"/>
        </w:rPr>
        <w:t>ra</w:t>
      </w:r>
      <w:r w:rsidRPr="003B517A">
        <w:rPr>
          <w:rFonts w:asciiTheme="majorBidi" w:hAnsiTheme="majorBidi" w:cstheme="majorBidi"/>
          <w:sz w:val="24"/>
          <w:szCs w:val="24"/>
        </w:rPr>
        <w:t xml:space="preserve">nk alcohol, </w:t>
      </w:r>
      <w:r w:rsidR="00B74961" w:rsidRPr="003B517A">
        <w:rPr>
          <w:rFonts w:asciiTheme="majorBidi" w:hAnsiTheme="majorBidi" w:cstheme="majorBidi"/>
          <w:sz w:val="24"/>
          <w:szCs w:val="24"/>
        </w:rPr>
        <w:t xml:space="preserve">did </w:t>
      </w:r>
      <w:r w:rsidRPr="003B517A">
        <w:rPr>
          <w:rFonts w:asciiTheme="majorBidi" w:hAnsiTheme="majorBidi" w:cstheme="majorBidi"/>
          <w:sz w:val="24"/>
          <w:szCs w:val="24"/>
        </w:rPr>
        <w:t>not participate in sports, and ha</w:t>
      </w:r>
      <w:r w:rsidR="00B74961" w:rsidRPr="003B517A">
        <w:rPr>
          <w:rFonts w:asciiTheme="majorBidi" w:hAnsiTheme="majorBidi" w:cstheme="majorBidi"/>
          <w:sz w:val="24"/>
          <w:szCs w:val="24"/>
        </w:rPr>
        <w:t>d</w:t>
      </w:r>
      <w:r w:rsidRPr="003B517A">
        <w:rPr>
          <w:rFonts w:asciiTheme="majorBidi" w:hAnsiTheme="majorBidi" w:cstheme="majorBidi"/>
          <w:sz w:val="24"/>
          <w:szCs w:val="24"/>
        </w:rPr>
        <w:t xml:space="preserve"> lower educational attainment (Table 1). </w:t>
      </w:r>
    </w:p>
    <w:p w14:paraId="355ADA4A" w14:textId="480B7983" w:rsidR="00697E8B" w:rsidRPr="003B517A" w:rsidRDefault="005B584A"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After school s</w:t>
      </w:r>
      <w:r w:rsidR="00B125D9" w:rsidRPr="003B517A">
        <w:rPr>
          <w:rFonts w:asciiTheme="majorBidi" w:hAnsiTheme="majorBidi" w:cstheme="majorBidi"/>
          <w:sz w:val="24"/>
          <w:szCs w:val="24"/>
        </w:rPr>
        <w:t>creen time</w:t>
      </w:r>
      <w:r w:rsidR="00F83E73">
        <w:rPr>
          <w:rFonts w:asciiTheme="majorBidi" w:hAnsiTheme="majorBidi" w:cstheme="majorBidi"/>
          <w:sz w:val="24"/>
          <w:szCs w:val="24"/>
        </w:rPr>
        <w:t xml:space="preserve"> at age 16</w:t>
      </w:r>
      <w:r w:rsidR="00B125D9" w:rsidRPr="003B517A">
        <w:rPr>
          <w:rFonts w:asciiTheme="majorBidi" w:hAnsiTheme="majorBidi" w:cstheme="majorBidi"/>
          <w:sz w:val="24"/>
          <w:szCs w:val="24"/>
        </w:rPr>
        <w:t xml:space="preserve"> was inversely associated with positive mental wellbeing at </w:t>
      </w:r>
      <w:r w:rsidRPr="003B517A">
        <w:rPr>
          <w:rFonts w:asciiTheme="majorBidi" w:hAnsiTheme="majorBidi" w:cstheme="majorBidi"/>
          <w:sz w:val="24"/>
          <w:szCs w:val="24"/>
        </w:rPr>
        <w:t>42</w:t>
      </w:r>
      <w:r w:rsidR="008A3912" w:rsidRPr="003B517A">
        <w:rPr>
          <w:rFonts w:asciiTheme="majorBidi" w:hAnsiTheme="majorBidi" w:cstheme="majorBidi"/>
          <w:sz w:val="24"/>
          <w:szCs w:val="24"/>
        </w:rPr>
        <w:t xml:space="preserve"> </w:t>
      </w:r>
      <w:r w:rsidRPr="003B517A">
        <w:rPr>
          <w:rFonts w:asciiTheme="majorBidi" w:hAnsiTheme="majorBidi" w:cstheme="majorBidi"/>
          <w:sz w:val="24"/>
          <w:szCs w:val="24"/>
        </w:rPr>
        <w:t>years</w:t>
      </w:r>
      <w:r w:rsidR="00B125D9" w:rsidRPr="003B517A">
        <w:rPr>
          <w:rFonts w:asciiTheme="majorBidi" w:hAnsiTheme="majorBidi" w:cstheme="majorBidi"/>
          <w:sz w:val="24"/>
          <w:szCs w:val="24"/>
        </w:rPr>
        <w:t xml:space="preserve">, and these associations persisted after adjustment for </w:t>
      </w:r>
      <w:r w:rsidR="001A684C" w:rsidRPr="003B517A">
        <w:rPr>
          <w:rFonts w:asciiTheme="majorBidi" w:hAnsiTheme="majorBidi" w:cstheme="majorBidi"/>
          <w:sz w:val="24"/>
          <w:szCs w:val="24"/>
        </w:rPr>
        <w:t>psychological distress</w:t>
      </w:r>
      <w:r w:rsidR="00135C9C">
        <w:rPr>
          <w:rFonts w:asciiTheme="majorBidi" w:hAnsiTheme="majorBidi" w:cstheme="majorBidi"/>
          <w:sz w:val="24"/>
          <w:szCs w:val="24"/>
        </w:rPr>
        <w:t xml:space="preserve"> at age 16</w:t>
      </w:r>
      <w:r w:rsidR="00B125D9" w:rsidRPr="003B517A">
        <w:rPr>
          <w:rFonts w:asciiTheme="majorBidi" w:hAnsiTheme="majorBidi" w:cstheme="majorBidi"/>
          <w:sz w:val="24"/>
          <w:szCs w:val="24"/>
        </w:rPr>
        <w:t xml:space="preserve"> (Table 2). After adjustment for </w:t>
      </w:r>
      <w:r w:rsidR="001A684C" w:rsidRPr="003B517A">
        <w:rPr>
          <w:rFonts w:asciiTheme="majorBidi" w:hAnsiTheme="majorBidi" w:cstheme="majorBidi"/>
          <w:sz w:val="24"/>
          <w:szCs w:val="24"/>
        </w:rPr>
        <w:t xml:space="preserve">all </w:t>
      </w:r>
      <w:r w:rsidR="00B125D9" w:rsidRPr="003B517A">
        <w:rPr>
          <w:rFonts w:asciiTheme="majorBidi" w:hAnsiTheme="majorBidi" w:cstheme="majorBidi"/>
          <w:sz w:val="24"/>
          <w:szCs w:val="24"/>
        </w:rPr>
        <w:t xml:space="preserve">covariates, </w:t>
      </w:r>
      <w:r w:rsidRPr="003B517A">
        <w:rPr>
          <w:rFonts w:asciiTheme="majorBidi" w:hAnsiTheme="majorBidi" w:cstheme="majorBidi"/>
          <w:sz w:val="24"/>
          <w:szCs w:val="24"/>
        </w:rPr>
        <w:t xml:space="preserve">adolescents </w:t>
      </w:r>
      <w:r w:rsidR="00B125D9" w:rsidRPr="003B517A">
        <w:rPr>
          <w:rFonts w:asciiTheme="majorBidi" w:hAnsiTheme="majorBidi" w:cstheme="majorBidi"/>
          <w:sz w:val="24"/>
          <w:szCs w:val="24"/>
        </w:rPr>
        <w:t xml:space="preserve">reporting more than 3hrs of after school screen time had -1.74 (95% CI, -2.65, -0.83) </w:t>
      </w:r>
      <w:r w:rsidR="001A684C" w:rsidRPr="003B517A">
        <w:rPr>
          <w:rFonts w:asciiTheme="majorBidi" w:hAnsiTheme="majorBidi" w:cstheme="majorBidi"/>
          <w:sz w:val="24"/>
          <w:szCs w:val="24"/>
        </w:rPr>
        <w:t xml:space="preserve">WEMWBS points at </w:t>
      </w:r>
      <w:r w:rsidRPr="003B517A">
        <w:rPr>
          <w:rFonts w:asciiTheme="majorBidi" w:hAnsiTheme="majorBidi" w:cstheme="majorBidi"/>
          <w:sz w:val="24"/>
          <w:szCs w:val="24"/>
        </w:rPr>
        <w:t>42 years</w:t>
      </w:r>
      <w:r w:rsidR="001A684C" w:rsidRPr="003B517A">
        <w:rPr>
          <w:rFonts w:asciiTheme="majorBidi" w:hAnsiTheme="majorBidi" w:cstheme="majorBidi"/>
          <w:sz w:val="24"/>
          <w:szCs w:val="24"/>
        </w:rPr>
        <w:t xml:space="preserve"> compared with </w:t>
      </w:r>
      <w:r w:rsidRPr="003B517A">
        <w:rPr>
          <w:rFonts w:asciiTheme="majorBidi" w:hAnsiTheme="majorBidi" w:cstheme="majorBidi"/>
          <w:sz w:val="24"/>
          <w:szCs w:val="24"/>
        </w:rPr>
        <w:t xml:space="preserve">adolescents </w:t>
      </w:r>
      <w:r w:rsidR="001A684C" w:rsidRPr="003B517A">
        <w:rPr>
          <w:rFonts w:asciiTheme="majorBidi" w:hAnsiTheme="majorBidi" w:cstheme="majorBidi"/>
          <w:sz w:val="24"/>
          <w:szCs w:val="24"/>
        </w:rPr>
        <w:t xml:space="preserve">reporting less than 1 hr screen time. </w:t>
      </w:r>
      <w:r w:rsidR="00697E8B" w:rsidRPr="003B517A">
        <w:rPr>
          <w:rFonts w:asciiTheme="majorBidi" w:hAnsiTheme="majorBidi" w:cstheme="majorBidi"/>
          <w:sz w:val="24"/>
          <w:szCs w:val="24"/>
        </w:rPr>
        <w:t>In further analyses we explored other forms of after school sedentary activit</w:t>
      </w:r>
      <w:r w:rsidR="00C455B5" w:rsidRPr="003B517A">
        <w:rPr>
          <w:rFonts w:asciiTheme="majorBidi" w:hAnsiTheme="majorBidi" w:cstheme="majorBidi"/>
          <w:sz w:val="24"/>
          <w:szCs w:val="24"/>
        </w:rPr>
        <w:t>ies</w:t>
      </w:r>
      <w:r w:rsidR="00923B6A" w:rsidRPr="003B517A">
        <w:rPr>
          <w:rFonts w:asciiTheme="majorBidi" w:hAnsiTheme="majorBidi" w:cstheme="majorBidi"/>
          <w:sz w:val="24"/>
          <w:szCs w:val="24"/>
        </w:rPr>
        <w:t>, namely homework.</w:t>
      </w:r>
      <w:r w:rsidR="00697E8B" w:rsidRPr="003B517A">
        <w:rPr>
          <w:rFonts w:asciiTheme="majorBidi" w:hAnsiTheme="majorBidi" w:cstheme="majorBidi"/>
          <w:sz w:val="24"/>
          <w:szCs w:val="24"/>
        </w:rPr>
        <w:t xml:space="preserve"> In these analyses students reporting more than 2hrs homework had 1.62 (95% CI, 0.65, 2.59) higher WEMWBS points at follow up compared with participants reporting none</w:t>
      </w:r>
      <w:r w:rsidR="00923B6A" w:rsidRPr="003B517A">
        <w:rPr>
          <w:rFonts w:asciiTheme="majorBidi" w:hAnsiTheme="majorBidi" w:cstheme="majorBidi"/>
          <w:sz w:val="24"/>
          <w:szCs w:val="24"/>
        </w:rPr>
        <w:t xml:space="preserve"> (Table 2)</w:t>
      </w:r>
      <w:r w:rsidR="00697E8B" w:rsidRPr="003B517A">
        <w:rPr>
          <w:rFonts w:asciiTheme="majorBidi" w:hAnsiTheme="majorBidi" w:cstheme="majorBidi"/>
          <w:sz w:val="24"/>
          <w:szCs w:val="24"/>
        </w:rPr>
        <w:t>. However, these associations did not persist after adjustment for all covariates including screen time and educational attainment (p-trend = 0.23).</w:t>
      </w:r>
    </w:p>
    <w:p w14:paraId="79752065" w14:textId="042FA871" w:rsidR="006F13DA" w:rsidRDefault="001A684C"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 xml:space="preserve">We also explored </w:t>
      </w:r>
      <w:r w:rsidR="00103F46" w:rsidRPr="003B517A">
        <w:rPr>
          <w:rFonts w:asciiTheme="majorBidi" w:hAnsiTheme="majorBidi" w:cstheme="majorBidi"/>
          <w:sz w:val="24"/>
          <w:szCs w:val="24"/>
        </w:rPr>
        <w:t xml:space="preserve">longitudinal </w:t>
      </w:r>
      <w:r w:rsidRPr="003B517A">
        <w:rPr>
          <w:rFonts w:asciiTheme="majorBidi" w:hAnsiTheme="majorBidi" w:cstheme="majorBidi"/>
          <w:sz w:val="24"/>
          <w:szCs w:val="24"/>
        </w:rPr>
        <w:t xml:space="preserve">associations between </w:t>
      </w:r>
      <w:r w:rsidR="00C455B5" w:rsidRPr="003B517A">
        <w:rPr>
          <w:rFonts w:asciiTheme="majorBidi" w:hAnsiTheme="majorBidi" w:cstheme="majorBidi"/>
          <w:sz w:val="24"/>
          <w:szCs w:val="24"/>
        </w:rPr>
        <w:t xml:space="preserve">after-school </w:t>
      </w:r>
      <w:r w:rsidR="00923B6A" w:rsidRPr="003B517A">
        <w:rPr>
          <w:rFonts w:asciiTheme="majorBidi" w:hAnsiTheme="majorBidi" w:cstheme="majorBidi"/>
          <w:sz w:val="24"/>
          <w:szCs w:val="24"/>
        </w:rPr>
        <w:t>sedentary behaviours</w:t>
      </w:r>
      <w:r w:rsidRPr="003B517A">
        <w:rPr>
          <w:rFonts w:asciiTheme="majorBidi" w:hAnsiTheme="majorBidi" w:cstheme="majorBidi"/>
          <w:sz w:val="24"/>
          <w:szCs w:val="24"/>
        </w:rPr>
        <w:t xml:space="preserve"> and psychological distress using the Malaise Inventory. </w:t>
      </w:r>
      <w:r w:rsidR="009A2C68" w:rsidRPr="003B517A">
        <w:rPr>
          <w:rFonts w:asciiTheme="majorBidi" w:hAnsiTheme="majorBidi" w:cstheme="majorBidi"/>
          <w:sz w:val="24"/>
          <w:szCs w:val="24"/>
        </w:rPr>
        <w:t>There was a longitudinal</w:t>
      </w:r>
      <w:r w:rsidRPr="003B517A">
        <w:rPr>
          <w:rFonts w:asciiTheme="majorBidi" w:hAnsiTheme="majorBidi" w:cstheme="majorBidi"/>
          <w:sz w:val="24"/>
          <w:szCs w:val="24"/>
        </w:rPr>
        <w:t xml:space="preserve"> </w:t>
      </w:r>
      <w:r w:rsidR="009A2C68" w:rsidRPr="003B517A">
        <w:rPr>
          <w:rFonts w:asciiTheme="majorBidi" w:hAnsiTheme="majorBidi" w:cstheme="majorBidi"/>
          <w:sz w:val="24"/>
          <w:szCs w:val="24"/>
        </w:rPr>
        <w:t xml:space="preserve">positive </w:t>
      </w:r>
      <w:r w:rsidRPr="003B517A">
        <w:rPr>
          <w:rFonts w:asciiTheme="majorBidi" w:hAnsiTheme="majorBidi" w:cstheme="majorBidi"/>
          <w:sz w:val="24"/>
          <w:szCs w:val="24"/>
        </w:rPr>
        <w:t>association between screen time</w:t>
      </w:r>
      <w:r w:rsidR="009A2C68" w:rsidRPr="003B517A">
        <w:rPr>
          <w:rFonts w:asciiTheme="majorBidi" w:hAnsiTheme="majorBidi" w:cstheme="majorBidi"/>
          <w:sz w:val="24"/>
          <w:szCs w:val="24"/>
        </w:rPr>
        <w:t xml:space="preserve"> age 16</w:t>
      </w:r>
      <w:r w:rsidRPr="003B517A">
        <w:rPr>
          <w:rFonts w:asciiTheme="majorBidi" w:hAnsiTheme="majorBidi" w:cstheme="majorBidi"/>
          <w:sz w:val="24"/>
          <w:szCs w:val="24"/>
        </w:rPr>
        <w:t xml:space="preserve"> and </w:t>
      </w:r>
      <w:r w:rsidR="00103F46" w:rsidRPr="003B517A">
        <w:rPr>
          <w:rFonts w:asciiTheme="majorBidi" w:hAnsiTheme="majorBidi" w:cstheme="majorBidi"/>
          <w:sz w:val="24"/>
          <w:szCs w:val="24"/>
        </w:rPr>
        <w:t>psychological distress</w:t>
      </w:r>
      <w:r w:rsidR="009A2C68" w:rsidRPr="003B517A">
        <w:rPr>
          <w:rFonts w:asciiTheme="majorBidi" w:hAnsiTheme="majorBidi" w:cstheme="majorBidi"/>
          <w:sz w:val="24"/>
          <w:szCs w:val="24"/>
        </w:rPr>
        <w:t xml:space="preserve"> age 42 </w:t>
      </w:r>
      <w:r w:rsidR="006008C9">
        <w:rPr>
          <w:rFonts w:asciiTheme="majorBidi" w:hAnsiTheme="majorBidi" w:cstheme="majorBidi"/>
          <w:sz w:val="24"/>
          <w:szCs w:val="24"/>
        </w:rPr>
        <w:t xml:space="preserve">(p-trend= 0.004) </w:t>
      </w:r>
      <w:r w:rsidR="009A2C68" w:rsidRPr="003B517A">
        <w:rPr>
          <w:rFonts w:asciiTheme="majorBidi" w:hAnsiTheme="majorBidi" w:cstheme="majorBidi"/>
          <w:sz w:val="24"/>
          <w:szCs w:val="24"/>
        </w:rPr>
        <w:t>that was</w:t>
      </w:r>
      <w:r w:rsidR="00103F46" w:rsidRPr="003B517A">
        <w:rPr>
          <w:rFonts w:asciiTheme="majorBidi" w:hAnsiTheme="majorBidi" w:cstheme="majorBidi"/>
          <w:sz w:val="24"/>
          <w:szCs w:val="24"/>
        </w:rPr>
        <w:t xml:space="preserve"> </w:t>
      </w:r>
      <w:r w:rsidRPr="003B517A">
        <w:rPr>
          <w:rFonts w:asciiTheme="majorBidi" w:hAnsiTheme="majorBidi" w:cstheme="majorBidi"/>
          <w:sz w:val="24"/>
          <w:szCs w:val="24"/>
        </w:rPr>
        <w:t xml:space="preserve">attenuated after adjustment for </w:t>
      </w:r>
      <w:r w:rsidR="006008C9">
        <w:rPr>
          <w:rFonts w:asciiTheme="majorBidi" w:hAnsiTheme="majorBidi" w:cstheme="majorBidi"/>
          <w:sz w:val="24"/>
          <w:szCs w:val="24"/>
        </w:rPr>
        <w:t xml:space="preserve">covariates </w:t>
      </w:r>
      <w:r w:rsidRPr="003B517A">
        <w:rPr>
          <w:rFonts w:asciiTheme="majorBidi" w:hAnsiTheme="majorBidi" w:cstheme="majorBidi"/>
          <w:sz w:val="24"/>
          <w:szCs w:val="24"/>
        </w:rPr>
        <w:t>(Table 3).</w:t>
      </w:r>
      <w:r w:rsidR="009A2C68" w:rsidRPr="003B517A">
        <w:rPr>
          <w:rFonts w:asciiTheme="majorBidi" w:hAnsiTheme="majorBidi" w:cstheme="majorBidi"/>
          <w:sz w:val="24"/>
          <w:szCs w:val="24"/>
        </w:rPr>
        <w:t xml:space="preserve"> Homework at age 16 was inversely associated with psychological distress in adulthood, independently of </w:t>
      </w:r>
      <w:r w:rsidR="006008C9">
        <w:rPr>
          <w:rFonts w:asciiTheme="majorBidi" w:hAnsiTheme="majorBidi" w:cstheme="majorBidi"/>
          <w:sz w:val="24"/>
          <w:szCs w:val="24"/>
        </w:rPr>
        <w:t>covariates</w:t>
      </w:r>
      <w:r w:rsidR="009A2C68" w:rsidRPr="003B517A">
        <w:rPr>
          <w:rFonts w:asciiTheme="majorBidi" w:hAnsiTheme="majorBidi" w:cstheme="majorBidi"/>
          <w:sz w:val="24"/>
          <w:szCs w:val="24"/>
        </w:rPr>
        <w:t>.</w:t>
      </w:r>
    </w:p>
    <w:p w14:paraId="1D68C8E4" w14:textId="4E055A04" w:rsidR="008B2ADF" w:rsidRPr="00D33716" w:rsidRDefault="005A1322" w:rsidP="003B517A">
      <w:pPr>
        <w:spacing w:line="480" w:lineRule="auto"/>
        <w:rPr>
          <w:rFonts w:asciiTheme="majorBidi" w:hAnsiTheme="majorBidi" w:cstheme="majorBidi"/>
          <w:sz w:val="24"/>
          <w:szCs w:val="24"/>
        </w:rPr>
      </w:pPr>
      <w:r w:rsidRPr="00D33716">
        <w:rPr>
          <w:rFonts w:asciiTheme="majorBidi" w:hAnsiTheme="majorBidi" w:cstheme="majorBidi"/>
          <w:sz w:val="24"/>
          <w:szCs w:val="24"/>
        </w:rPr>
        <w:t xml:space="preserve">Lastly, we examined the combined influence of screen time in adolescence and adulthood on mental health </w:t>
      </w:r>
      <w:r w:rsidR="0039696D" w:rsidRPr="00D33716">
        <w:rPr>
          <w:rFonts w:asciiTheme="majorBidi" w:hAnsiTheme="majorBidi" w:cstheme="majorBidi"/>
          <w:sz w:val="24"/>
          <w:szCs w:val="24"/>
        </w:rPr>
        <w:t xml:space="preserve">at </w:t>
      </w:r>
      <w:r w:rsidRPr="00D33716">
        <w:rPr>
          <w:rFonts w:asciiTheme="majorBidi" w:hAnsiTheme="majorBidi" w:cstheme="majorBidi"/>
          <w:sz w:val="24"/>
          <w:szCs w:val="24"/>
        </w:rPr>
        <w:t xml:space="preserve">age 42 (Table 4). Participants that reported high screen time both at age 16 </w:t>
      </w:r>
      <w:r w:rsidRPr="00D33716">
        <w:rPr>
          <w:rFonts w:asciiTheme="majorBidi" w:hAnsiTheme="majorBidi" w:cstheme="majorBidi"/>
          <w:sz w:val="24"/>
          <w:szCs w:val="24"/>
        </w:rPr>
        <w:lastRenderedPageBreak/>
        <w:t>(≥3hrs/d) and age 42 (≥3hrs/d TV viewing) demonstrated the lowest wellbeing scores at age 42. However, this additive effect was not observed in relation to psychological distress at age 42.</w:t>
      </w:r>
    </w:p>
    <w:p w14:paraId="335DB252" w14:textId="77777777" w:rsidR="00C463BF" w:rsidRPr="00C463BF" w:rsidRDefault="00C463BF" w:rsidP="003B517A">
      <w:pPr>
        <w:spacing w:line="480" w:lineRule="auto"/>
        <w:rPr>
          <w:rFonts w:asciiTheme="majorBidi" w:hAnsiTheme="majorBidi" w:cstheme="majorBidi"/>
          <w:color w:val="FF0000"/>
          <w:sz w:val="24"/>
          <w:szCs w:val="24"/>
        </w:rPr>
      </w:pPr>
    </w:p>
    <w:p w14:paraId="57EF9297" w14:textId="77777777" w:rsidR="006F13DA" w:rsidRPr="00D00F0C" w:rsidRDefault="001A684C" w:rsidP="003B517A">
      <w:pPr>
        <w:spacing w:line="480" w:lineRule="auto"/>
        <w:rPr>
          <w:rFonts w:asciiTheme="majorBidi" w:hAnsiTheme="majorBidi" w:cstheme="majorBidi"/>
          <w:b/>
          <w:sz w:val="24"/>
          <w:szCs w:val="24"/>
        </w:rPr>
      </w:pPr>
      <w:r w:rsidRPr="00D00F0C">
        <w:rPr>
          <w:rFonts w:asciiTheme="majorBidi" w:hAnsiTheme="majorBidi" w:cstheme="majorBidi"/>
          <w:b/>
          <w:sz w:val="24"/>
          <w:szCs w:val="24"/>
        </w:rPr>
        <w:t xml:space="preserve">Discussion </w:t>
      </w:r>
    </w:p>
    <w:p w14:paraId="1CD79ACD" w14:textId="77777777" w:rsidR="001A684C" w:rsidRPr="00D33716" w:rsidRDefault="001A684C"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 xml:space="preserve">The aim of this study was to investigate the association </w:t>
      </w:r>
      <w:r w:rsidR="005C689E" w:rsidRPr="003B517A">
        <w:rPr>
          <w:rFonts w:asciiTheme="majorBidi" w:hAnsiTheme="majorBidi" w:cstheme="majorBidi"/>
          <w:sz w:val="24"/>
          <w:szCs w:val="24"/>
        </w:rPr>
        <w:t xml:space="preserve">between </w:t>
      </w:r>
      <w:r w:rsidRPr="003B517A">
        <w:rPr>
          <w:rFonts w:asciiTheme="majorBidi" w:hAnsiTheme="majorBidi" w:cstheme="majorBidi"/>
          <w:sz w:val="24"/>
          <w:szCs w:val="24"/>
        </w:rPr>
        <w:t xml:space="preserve">after school </w:t>
      </w:r>
      <w:r w:rsidR="009A2C68" w:rsidRPr="003B517A">
        <w:rPr>
          <w:rFonts w:asciiTheme="majorBidi" w:hAnsiTheme="majorBidi" w:cstheme="majorBidi"/>
          <w:sz w:val="24"/>
          <w:szCs w:val="24"/>
        </w:rPr>
        <w:t>sedentary behaviours</w:t>
      </w:r>
      <w:r w:rsidRPr="003B517A">
        <w:rPr>
          <w:rFonts w:asciiTheme="majorBidi" w:hAnsiTheme="majorBidi" w:cstheme="majorBidi"/>
          <w:sz w:val="24"/>
          <w:szCs w:val="24"/>
        </w:rPr>
        <w:t xml:space="preserve"> in adolescence with mental wellbeing in adulthood when participants were aged 42. T</w:t>
      </w:r>
      <w:r w:rsidR="005C689E" w:rsidRPr="003B517A">
        <w:rPr>
          <w:rFonts w:asciiTheme="majorBidi" w:hAnsiTheme="majorBidi" w:cstheme="majorBidi"/>
          <w:sz w:val="24"/>
          <w:szCs w:val="24"/>
        </w:rPr>
        <w:t>o our knowledge t</w:t>
      </w:r>
      <w:r w:rsidRPr="003B517A">
        <w:rPr>
          <w:rFonts w:asciiTheme="majorBidi" w:hAnsiTheme="majorBidi" w:cstheme="majorBidi"/>
          <w:sz w:val="24"/>
          <w:szCs w:val="24"/>
        </w:rPr>
        <w:t xml:space="preserve">his is the first </w:t>
      </w:r>
      <w:r w:rsidR="005C689E" w:rsidRPr="003B517A">
        <w:rPr>
          <w:rFonts w:asciiTheme="majorBidi" w:hAnsiTheme="majorBidi" w:cstheme="majorBidi"/>
          <w:sz w:val="24"/>
          <w:szCs w:val="24"/>
        </w:rPr>
        <w:t xml:space="preserve">paper </w:t>
      </w:r>
      <w:r w:rsidRPr="003B517A">
        <w:rPr>
          <w:rFonts w:asciiTheme="majorBidi" w:hAnsiTheme="majorBidi" w:cstheme="majorBidi"/>
          <w:sz w:val="24"/>
          <w:szCs w:val="24"/>
        </w:rPr>
        <w:t>to take a life course approach using a birth cohort study</w:t>
      </w:r>
      <w:r w:rsidR="003C262B" w:rsidRPr="003B517A">
        <w:rPr>
          <w:rFonts w:asciiTheme="majorBidi" w:hAnsiTheme="majorBidi" w:cstheme="majorBidi"/>
          <w:sz w:val="24"/>
          <w:szCs w:val="24"/>
        </w:rPr>
        <w:t xml:space="preserve"> to examine associations between </w:t>
      </w:r>
      <w:r w:rsidR="009A2C68" w:rsidRPr="003B517A">
        <w:rPr>
          <w:rFonts w:asciiTheme="majorBidi" w:hAnsiTheme="majorBidi" w:cstheme="majorBidi"/>
          <w:sz w:val="24"/>
          <w:szCs w:val="24"/>
        </w:rPr>
        <w:t>sedentary behaviour</w:t>
      </w:r>
      <w:r w:rsidR="003C262B" w:rsidRPr="003B517A">
        <w:rPr>
          <w:rFonts w:asciiTheme="majorBidi" w:hAnsiTheme="majorBidi" w:cstheme="majorBidi"/>
          <w:sz w:val="24"/>
          <w:szCs w:val="24"/>
        </w:rPr>
        <w:t xml:space="preserve"> and </w:t>
      </w:r>
      <w:r w:rsidR="00E35319" w:rsidRPr="003B517A">
        <w:rPr>
          <w:rFonts w:asciiTheme="majorBidi" w:hAnsiTheme="majorBidi" w:cstheme="majorBidi"/>
          <w:sz w:val="24"/>
          <w:szCs w:val="24"/>
        </w:rPr>
        <w:t xml:space="preserve">mental </w:t>
      </w:r>
      <w:r w:rsidR="003C262B" w:rsidRPr="003B517A">
        <w:rPr>
          <w:rFonts w:asciiTheme="majorBidi" w:hAnsiTheme="majorBidi" w:cstheme="majorBidi"/>
          <w:sz w:val="24"/>
          <w:szCs w:val="24"/>
        </w:rPr>
        <w:t>wellbeing</w:t>
      </w:r>
      <w:r w:rsidRPr="003B517A">
        <w:rPr>
          <w:rFonts w:asciiTheme="majorBidi" w:hAnsiTheme="majorBidi" w:cstheme="majorBidi"/>
          <w:sz w:val="24"/>
          <w:szCs w:val="24"/>
        </w:rPr>
        <w:t>. The key findings demonstrate that screen time in adolescence was associated with different aspects of mental wellbeing in adulthood.</w:t>
      </w:r>
      <w:r w:rsidR="00B71952" w:rsidRPr="003B517A">
        <w:rPr>
          <w:rFonts w:asciiTheme="majorBidi" w:hAnsiTheme="majorBidi" w:cstheme="majorBidi"/>
          <w:sz w:val="24"/>
          <w:szCs w:val="24"/>
        </w:rPr>
        <w:t xml:space="preserve"> </w:t>
      </w:r>
      <w:r w:rsidR="002A47EA" w:rsidRPr="003B517A">
        <w:rPr>
          <w:rFonts w:asciiTheme="majorBidi" w:hAnsiTheme="majorBidi" w:cstheme="majorBidi"/>
          <w:sz w:val="24"/>
          <w:szCs w:val="24"/>
        </w:rPr>
        <w:t xml:space="preserve">In particular, we demonstrated the novel finding </w:t>
      </w:r>
      <w:r w:rsidR="007A63E0" w:rsidRPr="003B517A">
        <w:rPr>
          <w:rFonts w:asciiTheme="majorBidi" w:hAnsiTheme="majorBidi" w:cstheme="majorBidi"/>
          <w:sz w:val="24"/>
          <w:szCs w:val="24"/>
        </w:rPr>
        <w:t>of</w:t>
      </w:r>
      <w:r w:rsidR="002A47EA" w:rsidRPr="003B517A">
        <w:rPr>
          <w:rFonts w:asciiTheme="majorBidi" w:hAnsiTheme="majorBidi" w:cstheme="majorBidi"/>
          <w:sz w:val="24"/>
          <w:szCs w:val="24"/>
        </w:rPr>
        <w:t xml:space="preserve"> a relationship between screen time </w:t>
      </w:r>
      <w:r w:rsidR="008F4B8A">
        <w:rPr>
          <w:rFonts w:asciiTheme="majorBidi" w:hAnsiTheme="majorBidi" w:cstheme="majorBidi"/>
          <w:sz w:val="24"/>
          <w:szCs w:val="24"/>
        </w:rPr>
        <w:t xml:space="preserve">at age 16 </w:t>
      </w:r>
      <w:r w:rsidR="002A47EA" w:rsidRPr="003B517A">
        <w:rPr>
          <w:rFonts w:asciiTheme="majorBidi" w:hAnsiTheme="majorBidi" w:cstheme="majorBidi"/>
          <w:sz w:val="24"/>
          <w:szCs w:val="24"/>
        </w:rPr>
        <w:t>and poorer positive mental wellbeing</w:t>
      </w:r>
      <w:r w:rsidR="008F4B8A">
        <w:rPr>
          <w:rFonts w:asciiTheme="majorBidi" w:hAnsiTheme="majorBidi" w:cstheme="majorBidi"/>
          <w:sz w:val="24"/>
          <w:szCs w:val="24"/>
        </w:rPr>
        <w:t xml:space="preserve"> at age 42</w:t>
      </w:r>
      <w:r w:rsidR="002A47EA" w:rsidRPr="003B517A">
        <w:rPr>
          <w:rFonts w:asciiTheme="majorBidi" w:hAnsiTheme="majorBidi" w:cstheme="majorBidi"/>
          <w:sz w:val="24"/>
          <w:szCs w:val="24"/>
        </w:rPr>
        <w:t>.</w:t>
      </w:r>
      <w:r w:rsidR="007A63E0" w:rsidRPr="003B517A">
        <w:rPr>
          <w:rFonts w:asciiTheme="majorBidi" w:hAnsiTheme="majorBidi" w:cstheme="majorBidi"/>
          <w:sz w:val="24"/>
          <w:szCs w:val="24"/>
        </w:rPr>
        <w:t xml:space="preserve"> Subjective well-being is being increasingly seen as an indicator of societal progress (</w:t>
      </w:r>
      <w:r w:rsidR="00F11A1E" w:rsidRPr="00F11A1E">
        <w:rPr>
          <w:rFonts w:asciiTheme="majorBidi" w:hAnsiTheme="majorBidi" w:cstheme="majorBidi"/>
          <w:sz w:val="24"/>
          <w:szCs w:val="24"/>
        </w:rPr>
        <w:t>Stiglitz, 2009</w:t>
      </w:r>
      <w:r w:rsidR="007A63E0" w:rsidRPr="003B517A">
        <w:rPr>
          <w:rFonts w:asciiTheme="majorBidi" w:hAnsiTheme="majorBidi" w:cstheme="majorBidi"/>
          <w:sz w:val="24"/>
          <w:szCs w:val="24"/>
        </w:rPr>
        <w:t>) and recent research has demonstrated the importance of positive wellbeing in predicting various health outcomes independently of negative states such as depression (</w:t>
      </w:r>
      <w:r w:rsidR="00F11A1E" w:rsidRPr="00F11A1E">
        <w:rPr>
          <w:rFonts w:asciiTheme="majorBidi" w:hAnsiTheme="majorBidi" w:cstheme="majorBidi"/>
          <w:sz w:val="24"/>
          <w:szCs w:val="24"/>
        </w:rPr>
        <w:t>Pressman &amp; Cohen, 2005</w:t>
      </w:r>
      <w:r w:rsidR="007A63E0" w:rsidRPr="003B517A">
        <w:rPr>
          <w:rFonts w:asciiTheme="majorBidi" w:hAnsiTheme="majorBidi" w:cstheme="majorBidi"/>
          <w:sz w:val="24"/>
          <w:szCs w:val="24"/>
        </w:rPr>
        <w:t>).</w:t>
      </w:r>
      <w:r w:rsidR="00CB7445">
        <w:rPr>
          <w:rFonts w:asciiTheme="majorBidi" w:hAnsiTheme="majorBidi" w:cstheme="majorBidi"/>
          <w:sz w:val="24"/>
          <w:szCs w:val="24"/>
        </w:rPr>
        <w:t xml:space="preserve"> </w:t>
      </w:r>
      <w:r w:rsidR="00CB7445" w:rsidRPr="00D33716">
        <w:rPr>
          <w:rFonts w:asciiTheme="majorBidi" w:hAnsiTheme="majorBidi" w:cstheme="majorBidi"/>
          <w:sz w:val="24"/>
          <w:szCs w:val="24"/>
        </w:rPr>
        <w:t>The link between sedentary behavior and subjective wellbeing may be explained by a variety of pathways including overall lifestyle, health, social and economic circumstances.</w:t>
      </w:r>
    </w:p>
    <w:p w14:paraId="165A6C30" w14:textId="04F089DA" w:rsidR="00602D6A" w:rsidRPr="003B517A" w:rsidRDefault="00B71952"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 xml:space="preserve">In previous research using </w:t>
      </w:r>
      <w:r w:rsidR="005C689E" w:rsidRPr="003B517A">
        <w:rPr>
          <w:rFonts w:asciiTheme="majorBidi" w:hAnsiTheme="majorBidi" w:cstheme="majorBidi"/>
          <w:sz w:val="24"/>
          <w:szCs w:val="24"/>
        </w:rPr>
        <w:t xml:space="preserve">longitudinal </w:t>
      </w:r>
      <w:r w:rsidRPr="003B517A">
        <w:rPr>
          <w:rFonts w:asciiTheme="majorBidi" w:hAnsiTheme="majorBidi" w:cstheme="majorBidi"/>
          <w:sz w:val="24"/>
          <w:szCs w:val="24"/>
        </w:rPr>
        <w:t>BCS70 data from age</w:t>
      </w:r>
      <w:r w:rsidR="005C689E" w:rsidRPr="003B517A">
        <w:rPr>
          <w:rFonts w:asciiTheme="majorBidi" w:hAnsiTheme="majorBidi" w:cstheme="majorBidi"/>
          <w:sz w:val="24"/>
          <w:szCs w:val="24"/>
        </w:rPr>
        <w:t>s</w:t>
      </w:r>
      <w:r w:rsidRPr="003B517A">
        <w:rPr>
          <w:rFonts w:asciiTheme="majorBidi" w:hAnsiTheme="majorBidi" w:cstheme="majorBidi"/>
          <w:sz w:val="24"/>
          <w:szCs w:val="24"/>
        </w:rPr>
        <w:t xml:space="preserve"> 16 to </w:t>
      </w:r>
      <w:r w:rsidR="008F4B8A" w:rsidRPr="003B517A">
        <w:rPr>
          <w:rFonts w:asciiTheme="majorBidi" w:hAnsiTheme="majorBidi" w:cstheme="majorBidi"/>
          <w:sz w:val="24"/>
          <w:szCs w:val="24"/>
        </w:rPr>
        <w:t>3</w:t>
      </w:r>
      <w:r w:rsidR="008F4B8A">
        <w:rPr>
          <w:rFonts w:asciiTheme="majorBidi" w:hAnsiTheme="majorBidi" w:cstheme="majorBidi"/>
          <w:sz w:val="24"/>
          <w:szCs w:val="24"/>
        </w:rPr>
        <w:t>4</w:t>
      </w:r>
      <w:r w:rsidR="008F4B8A" w:rsidRPr="003B517A">
        <w:rPr>
          <w:rFonts w:asciiTheme="majorBidi" w:hAnsiTheme="majorBidi" w:cstheme="majorBidi"/>
          <w:sz w:val="24"/>
          <w:szCs w:val="24"/>
        </w:rPr>
        <w:t xml:space="preserve"> </w:t>
      </w:r>
      <w:r w:rsidRPr="003B517A">
        <w:rPr>
          <w:rFonts w:asciiTheme="majorBidi" w:hAnsiTheme="majorBidi" w:cstheme="majorBidi"/>
          <w:sz w:val="24"/>
          <w:szCs w:val="24"/>
        </w:rPr>
        <w:t xml:space="preserve">years, </w:t>
      </w:r>
      <w:r w:rsidR="00103F46" w:rsidRPr="003B517A">
        <w:rPr>
          <w:rFonts w:asciiTheme="majorBidi" w:hAnsiTheme="majorBidi" w:cstheme="majorBidi"/>
          <w:sz w:val="24"/>
          <w:szCs w:val="24"/>
        </w:rPr>
        <w:t>sports participation</w:t>
      </w:r>
      <w:r w:rsidRPr="003B517A">
        <w:rPr>
          <w:rFonts w:asciiTheme="majorBidi" w:hAnsiTheme="majorBidi" w:cstheme="majorBidi"/>
          <w:sz w:val="24"/>
          <w:szCs w:val="24"/>
        </w:rPr>
        <w:t xml:space="preserve"> was inversely associated with psychological distress using the Malaise Inventory (</w:t>
      </w:r>
      <w:r w:rsidR="00A77FCB">
        <w:rPr>
          <w:rFonts w:asciiTheme="majorBidi" w:hAnsiTheme="majorBidi" w:cstheme="majorBidi"/>
          <w:sz w:val="24"/>
          <w:szCs w:val="24"/>
        </w:rPr>
        <w:t>Sacker &amp;</w:t>
      </w:r>
      <w:r w:rsidR="00A77FCB" w:rsidRPr="00A77FCB">
        <w:rPr>
          <w:rFonts w:asciiTheme="majorBidi" w:hAnsiTheme="majorBidi" w:cstheme="majorBidi"/>
          <w:sz w:val="24"/>
          <w:szCs w:val="24"/>
        </w:rPr>
        <w:t xml:space="preserve"> Cable</w:t>
      </w:r>
      <w:r w:rsidR="00A77FCB">
        <w:rPr>
          <w:rFonts w:asciiTheme="majorBidi" w:hAnsiTheme="majorBidi" w:cstheme="majorBidi"/>
          <w:sz w:val="24"/>
          <w:szCs w:val="24"/>
        </w:rPr>
        <w:t>, 2006</w:t>
      </w:r>
      <w:r w:rsidRPr="003B517A">
        <w:rPr>
          <w:rFonts w:asciiTheme="majorBidi" w:hAnsiTheme="majorBidi" w:cstheme="majorBidi"/>
          <w:sz w:val="24"/>
          <w:szCs w:val="24"/>
        </w:rPr>
        <w:t>).</w:t>
      </w:r>
      <w:r w:rsidR="00FB69A1" w:rsidRPr="003B517A">
        <w:rPr>
          <w:rFonts w:asciiTheme="majorBidi" w:hAnsiTheme="majorBidi" w:cstheme="majorBidi"/>
          <w:sz w:val="24"/>
          <w:szCs w:val="24"/>
        </w:rPr>
        <w:t xml:space="preserve"> In the present analysis, however, the associations between </w:t>
      </w:r>
      <w:r w:rsidR="008F4B8A">
        <w:rPr>
          <w:rFonts w:asciiTheme="majorBidi" w:hAnsiTheme="majorBidi" w:cstheme="majorBidi"/>
          <w:sz w:val="24"/>
          <w:szCs w:val="24"/>
        </w:rPr>
        <w:t xml:space="preserve">more </w:t>
      </w:r>
      <w:r w:rsidR="005C689E" w:rsidRPr="003B517A">
        <w:rPr>
          <w:rFonts w:asciiTheme="majorBidi" w:hAnsiTheme="majorBidi" w:cstheme="majorBidi"/>
          <w:sz w:val="24"/>
          <w:szCs w:val="24"/>
        </w:rPr>
        <w:t xml:space="preserve">adolescent </w:t>
      </w:r>
      <w:r w:rsidR="00FB69A1" w:rsidRPr="003B517A">
        <w:rPr>
          <w:rFonts w:asciiTheme="majorBidi" w:hAnsiTheme="majorBidi" w:cstheme="majorBidi"/>
          <w:sz w:val="24"/>
          <w:szCs w:val="24"/>
        </w:rPr>
        <w:t xml:space="preserve">screen time and </w:t>
      </w:r>
      <w:r w:rsidR="008F4B8A">
        <w:rPr>
          <w:rFonts w:asciiTheme="majorBidi" w:hAnsiTheme="majorBidi" w:cstheme="majorBidi"/>
          <w:sz w:val="24"/>
          <w:szCs w:val="24"/>
        </w:rPr>
        <w:t xml:space="preserve">greater </w:t>
      </w:r>
      <w:r w:rsidR="005C689E" w:rsidRPr="003B517A">
        <w:rPr>
          <w:rFonts w:asciiTheme="majorBidi" w:hAnsiTheme="majorBidi" w:cstheme="majorBidi"/>
          <w:sz w:val="24"/>
          <w:szCs w:val="24"/>
        </w:rPr>
        <w:t xml:space="preserve">adult </w:t>
      </w:r>
      <w:r w:rsidR="008F4B8A">
        <w:rPr>
          <w:rFonts w:asciiTheme="majorBidi" w:hAnsiTheme="majorBidi" w:cstheme="majorBidi"/>
          <w:sz w:val="24"/>
          <w:szCs w:val="24"/>
        </w:rPr>
        <w:t>psychological distress</w:t>
      </w:r>
      <w:r w:rsidR="00FB69A1" w:rsidRPr="003B517A">
        <w:rPr>
          <w:rFonts w:asciiTheme="majorBidi" w:hAnsiTheme="majorBidi" w:cstheme="majorBidi"/>
          <w:sz w:val="24"/>
          <w:szCs w:val="24"/>
        </w:rPr>
        <w:t xml:space="preserve"> were independent of </w:t>
      </w:r>
      <w:r w:rsidR="005C689E" w:rsidRPr="003B517A">
        <w:rPr>
          <w:rFonts w:asciiTheme="majorBidi" w:hAnsiTheme="majorBidi" w:cstheme="majorBidi"/>
          <w:sz w:val="24"/>
          <w:szCs w:val="24"/>
        </w:rPr>
        <w:t xml:space="preserve">adolescent </w:t>
      </w:r>
      <w:r w:rsidR="00103F46" w:rsidRPr="003B517A">
        <w:rPr>
          <w:rFonts w:asciiTheme="majorBidi" w:hAnsiTheme="majorBidi" w:cstheme="majorBidi"/>
          <w:sz w:val="24"/>
          <w:szCs w:val="24"/>
        </w:rPr>
        <w:t>sports participation</w:t>
      </w:r>
      <w:r w:rsidR="00FB69A1" w:rsidRPr="003B517A">
        <w:rPr>
          <w:rFonts w:asciiTheme="majorBidi" w:hAnsiTheme="majorBidi" w:cstheme="majorBidi"/>
          <w:sz w:val="24"/>
          <w:szCs w:val="24"/>
        </w:rPr>
        <w:t xml:space="preserve">. </w:t>
      </w:r>
      <w:r w:rsidR="00A23B09" w:rsidRPr="003B517A">
        <w:rPr>
          <w:rFonts w:asciiTheme="majorBidi" w:hAnsiTheme="majorBidi" w:cstheme="majorBidi"/>
          <w:sz w:val="24"/>
          <w:szCs w:val="24"/>
        </w:rPr>
        <w:t>This might suggest that the link between screen time and mental health is not simply explained by d</w:t>
      </w:r>
      <w:r w:rsidR="00103F46" w:rsidRPr="003B517A">
        <w:rPr>
          <w:rFonts w:asciiTheme="majorBidi" w:hAnsiTheme="majorBidi" w:cstheme="majorBidi"/>
          <w:sz w:val="24"/>
          <w:szCs w:val="24"/>
        </w:rPr>
        <w:t>isplacement of physical activities</w:t>
      </w:r>
      <w:r w:rsidR="00A23B09" w:rsidRPr="003B517A">
        <w:rPr>
          <w:rFonts w:asciiTheme="majorBidi" w:hAnsiTheme="majorBidi" w:cstheme="majorBidi"/>
          <w:sz w:val="24"/>
          <w:szCs w:val="24"/>
        </w:rPr>
        <w:t xml:space="preserve">. Nevertheless, </w:t>
      </w:r>
      <w:r w:rsidR="00A23B09" w:rsidRPr="003B517A">
        <w:rPr>
          <w:rFonts w:asciiTheme="majorBidi" w:hAnsiTheme="majorBidi" w:cstheme="majorBidi"/>
          <w:sz w:val="24"/>
          <w:szCs w:val="24"/>
        </w:rPr>
        <w:lastRenderedPageBreak/>
        <w:t xml:space="preserve">screen time might displace other activities beneficial for mental and cognitive development such as sleep, reading and socialising with </w:t>
      </w:r>
      <w:r w:rsidR="005C689E" w:rsidRPr="003B517A">
        <w:rPr>
          <w:rFonts w:asciiTheme="majorBidi" w:hAnsiTheme="majorBidi" w:cstheme="majorBidi"/>
          <w:sz w:val="24"/>
          <w:szCs w:val="24"/>
        </w:rPr>
        <w:t>family/</w:t>
      </w:r>
      <w:r w:rsidR="00A23B09" w:rsidRPr="003B517A">
        <w:rPr>
          <w:rFonts w:asciiTheme="majorBidi" w:hAnsiTheme="majorBidi" w:cstheme="majorBidi"/>
          <w:sz w:val="24"/>
          <w:szCs w:val="24"/>
        </w:rPr>
        <w:t>friends.</w:t>
      </w:r>
      <w:r w:rsidR="00697E8B" w:rsidRPr="003B517A">
        <w:rPr>
          <w:rFonts w:asciiTheme="majorBidi" w:hAnsiTheme="majorBidi" w:cstheme="majorBidi"/>
          <w:sz w:val="24"/>
          <w:szCs w:val="24"/>
        </w:rPr>
        <w:t xml:space="preserve"> Indeed, another common form of after school activity, homework, was </w:t>
      </w:r>
      <w:r w:rsidR="008F4B8A">
        <w:rPr>
          <w:rFonts w:asciiTheme="majorBidi" w:hAnsiTheme="majorBidi" w:cstheme="majorBidi"/>
          <w:sz w:val="24"/>
          <w:szCs w:val="24"/>
        </w:rPr>
        <w:t xml:space="preserve">inversely </w:t>
      </w:r>
      <w:r w:rsidR="00697E8B" w:rsidRPr="003B517A">
        <w:rPr>
          <w:rFonts w:asciiTheme="majorBidi" w:hAnsiTheme="majorBidi" w:cstheme="majorBidi"/>
          <w:sz w:val="24"/>
          <w:szCs w:val="24"/>
        </w:rPr>
        <w:t xml:space="preserve">associated with </w:t>
      </w:r>
      <w:r w:rsidR="007C7178" w:rsidRPr="003B517A">
        <w:rPr>
          <w:rFonts w:asciiTheme="majorBidi" w:hAnsiTheme="majorBidi" w:cstheme="majorBidi"/>
          <w:sz w:val="24"/>
          <w:szCs w:val="24"/>
        </w:rPr>
        <w:t xml:space="preserve">adult </w:t>
      </w:r>
      <w:r w:rsidR="008F4B8A">
        <w:rPr>
          <w:rFonts w:asciiTheme="majorBidi" w:hAnsiTheme="majorBidi" w:cstheme="majorBidi"/>
          <w:sz w:val="24"/>
          <w:szCs w:val="24"/>
        </w:rPr>
        <w:t>psychological distress</w:t>
      </w:r>
      <w:r w:rsidR="00602D6A" w:rsidRPr="003B517A">
        <w:rPr>
          <w:rFonts w:asciiTheme="majorBidi" w:hAnsiTheme="majorBidi" w:cstheme="majorBidi"/>
          <w:sz w:val="24"/>
          <w:szCs w:val="24"/>
        </w:rPr>
        <w:t>.</w:t>
      </w:r>
      <w:r w:rsidR="007A63E0" w:rsidRPr="003B517A">
        <w:rPr>
          <w:rFonts w:asciiTheme="majorBidi" w:hAnsiTheme="majorBidi" w:cstheme="majorBidi"/>
          <w:sz w:val="24"/>
          <w:szCs w:val="24"/>
        </w:rPr>
        <w:t xml:space="preserve"> Thus, context</w:t>
      </w:r>
      <w:r w:rsidR="00103F46" w:rsidRPr="003B517A">
        <w:rPr>
          <w:rFonts w:asciiTheme="majorBidi" w:hAnsiTheme="majorBidi" w:cstheme="majorBidi"/>
          <w:sz w:val="24"/>
          <w:szCs w:val="24"/>
        </w:rPr>
        <w:t xml:space="preserve"> (ie screen time or reading)</w:t>
      </w:r>
      <w:r w:rsidR="007A63E0" w:rsidRPr="003B517A">
        <w:rPr>
          <w:rFonts w:asciiTheme="majorBidi" w:hAnsiTheme="majorBidi" w:cstheme="majorBidi"/>
          <w:sz w:val="24"/>
          <w:szCs w:val="24"/>
        </w:rPr>
        <w:t xml:space="preserve"> appears to be relevant when examining associations between sedentary </w:t>
      </w:r>
      <w:r w:rsidR="007C7178" w:rsidRPr="003B517A">
        <w:rPr>
          <w:rFonts w:asciiTheme="majorBidi" w:hAnsiTheme="majorBidi" w:cstheme="majorBidi"/>
          <w:sz w:val="24"/>
          <w:szCs w:val="24"/>
        </w:rPr>
        <w:t xml:space="preserve">behaviour </w:t>
      </w:r>
      <w:r w:rsidR="007A63E0" w:rsidRPr="003B517A">
        <w:rPr>
          <w:rFonts w:asciiTheme="majorBidi" w:hAnsiTheme="majorBidi" w:cstheme="majorBidi"/>
          <w:sz w:val="24"/>
          <w:szCs w:val="24"/>
        </w:rPr>
        <w:t>and mental health.</w:t>
      </w:r>
    </w:p>
    <w:p w14:paraId="25F52C61" w14:textId="1AE516DC" w:rsidR="006F13DA" w:rsidRPr="003B517A" w:rsidRDefault="00B71952"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 xml:space="preserve">The main limitation of </w:t>
      </w:r>
      <w:r w:rsidR="00602D6A" w:rsidRPr="003B517A">
        <w:rPr>
          <w:rFonts w:asciiTheme="majorBidi" w:hAnsiTheme="majorBidi" w:cstheme="majorBidi"/>
          <w:sz w:val="24"/>
          <w:szCs w:val="24"/>
        </w:rPr>
        <w:t>many</w:t>
      </w:r>
      <w:r w:rsidR="00103F46" w:rsidRPr="003B517A">
        <w:rPr>
          <w:rFonts w:asciiTheme="majorBidi" w:hAnsiTheme="majorBidi" w:cstheme="majorBidi"/>
          <w:sz w:val="24"/>
          <w:szCs w:val="24"/>
        </w:rPr>
        <w:t xml:space="preserve"> previous</w:t>
      </w:r>
      <w:r w:rsidR="00602D6A" w:rsidRPr="003B517A">
        <w:rPr>
          <w:rFonts w:asciiTheme="majorBidi" w:hAnsiTheme="majorBidi" w:cstheme="majorBidi"/>
          <w:sz w:val="24"/>
          <w:szCs w:val="24"/>
        </w:rPr>
        <w:t xml:space="preserve"> studies in this field</w:t>
      </w:r>
      <w:r w:rsidRPr="003B517A">
        <w:rPr>
          <w:rFonts w:asciiTheme="majorBidi" w:hAnsiTheme="majorBidi" w:cstheme="majorBidi"/>
          <w:sz w:val="24"/>
          <w:szCs w:val="24"/>
        </w:rPr>
        <w:t xml:space="preserve"> </w:t>
      </w:r>
      <w:r w:rsidR="00602D6A" w:rsidRPr="003B517A">
        <w:rPr>
          <w:rFonts w:asciiTheme="majorBidi" w:hAnsiTheme="majorBidi" w:cstheme="majorBidi"/>
          <w:sz w:val="24"/>
          <w:szCs w:val="24"/>
        </w:rPr>
        <w:t>has been</w:t>
      </w:r>
      <w:r w:rsidRPr="003B517A">
        <w:rPr>
          <w:rFonts w:asciiTheme="majorBidi" w:hAnsiTheme="majorBidi" w:cstheme="majorBidi"/>
          <w:sz w:val="24"/>
          <w:szCs w:val="24"/>
        </w:rPr>
        <w:t xml:space="preserve"> the </w:t>
      </w:r>
      <w:r w:rsidR="007A63E0" w:rsidRPr="003B517A">
        <w:rPr>
          <w:rFonts w:asciiTheme="majorBidi" w:hAnsiTheme="majorBidi" w:cstheme="majorBidi"/>
          <w:sz w:val="24"/>
          <w:szCs w:val="24"/>
        </w:rPr>
        <w:t xml:space="preserve">use of a </w:t>
      </w:r>
      <w:r w:rsidRPr="003B517A">
        <w:rPr>
          <w:rFonts w:asciiTheme="majorBidi" w:hAnsiTheme="majorBidi" w:cstheme="majorBidi"/>
          <w:sz w:val="24"/>
          <w:szCs w:val="24"/>
        </w:rPr>
        <w:t xml:space="preserve">cross-sectional design, which precludes making any inferences about direction. </w:t>
      </w:r>
      <w:r w:rsidR="007A63E0" w:rsidRPr="003B517A">
        <w:rPr>
          <w:rFonts w:asciiTheme="majorBidi" w:hAnsiTheme="majorBidi" w:cstheme="majorBidi"/>
          <w:sz w:val="24"/>
          <w:szCs w:val="24"/>
        </w:rPr>
        <w:t xml:space="preserve">Indeed, negative mental states may not only be an outcome but may also act as an exposure in promoting sedentary </w:t>
      </w:r>
      <w:r w:rsidR="007C7178" w:rsidRPr="003B517A">
        <w:rPr>
          <w:rFonts w:asciiTheme="majorBidi" w:hAnsiTheme="majorBidi" w:cstheme="majorBidi"/>
          <w:sz w:val="24"/>
          <w:szCs w:val="24"/>
        </w:rPr>
        <w:t>behaviour</w:t>
      </w:r>
      <w:r w:rsidR="007A63E0" w:rsidRPr="003B517A">
        <w:rPr>
          <w:rFonts w:asciiTheme="majorBidi" w:hAnsiTheme="majorBidi" w:cstheme="majorBidi"/>
          <w:sz w:val="24"/>
          <w:szCs w:val="24"/>
        </w:rPr>
        <w:t xml:space="preserve">.  </w:t>
      </w:r>
      <w:r w:rsidRPr="003B517A">
        <w:rPr>
          <w:rFonts w:asciiTheme="majorBidi" w:hAnsiTheme="majorBidi" w:cstheme="majorBidi"/>
          <w:sz w:val="24"/>
          <w:szCs w:val="24"/>
        </w:rPr>
        <w:t>Sedentary behavior has been longitudinally associated with risk of future depression in some (</w:t>
      </w:r>
      <w:r w:rsidR="00A77FCB" w:rsidRPr="00A77FCB">
        <w:rPr>
          <w:rFonts w:asciiTheme="majorBidi" w:hAnsiTheme="majorBidi" w:cstheme="majorBidi"/>
          <w:sz w:val="24"/>
          <w:szCs w:val="24"/>
        </w:rPr>
        <w:t>Sanchez-Villegas</w:t>
      </w:r>
      <w:r w:rsidR="00A77FCB">
        <w:rPr>
          <w:rFonts w:asciiTheme="majorBidi" w:hAnsiTheme="majorBidi" w:cstheme="majorBidi"/>
          <w:sz w:val="24"/>
          <w:szCs w:val="24"/>
        </w:rPr>
        <w:t xml:space="preserve"> et al.</w:t>
      </w:r>
      <w:r w:rsidRPr="003B517A">
        <w:rPr>
          <w:rFonts w:asciiTheme="majorBidi" w:hAnsiTheme="majorBidi" w:cstheme="majorBidi"/>
          <w:sz w:val="24"/>
          <w:szCs w:val="24"/>
        </w:rPr>
        <w:t>,</w:t>
      </w:r>
      <w:r w:rsidR="00A77FCB">
        <w:rPr>
          <w:rFonts w:asciiTheme="majorBidi" w:hAnsiTheme="majorBidi" w:cstheme="majorBidi"/>
          <w:sz w:val="24"/>
          <w:szCs w:val="24"/>
        </w:rPr>
        <w:t xml:space="preserve"> 2010; Lucas et al., 2011</w:t>
      </w:r>
      <w:r w:rsidRPr="003B517A">
        <w:rPr>
          <w:rFonts w:asciiTheme="majorBidi" w:hAnsiTheme="majorBidi" w:cstheme="majorBidi"/>
          <w:sz w:val="24"/>
          <w:szCs w:val="24"/>
        </w:rPr>
        <w:t>), but not all (</w:t>
      </w:r>
      <w:r w:rsidR="00A77FCB">
        <w:rPr>
          <w:rFonts w:asciiTheme="majorBidi" w:hAnsiTheme="majorBidi" w:cstheme="majorBidi"/>
          <w:sz w:val="24"/>
          <w:szCs w:val="24"/>
        </w:rPr>
        <w:t xml:space="preserve">Hamer et al., 2014; </w:t>
      </w:r>
      <w:r w:rsidR="00A77FCB" w:rsidRPr="00A77FCB">
        <w:rPr>
          <w:rFonts w:asciiTheme="majorBidi" w:hAnsiTheme="majorBidi" w:cstheme="majorBidi"/>
          <w:sz w:val="24"/>
          <w:szCs w:val="24"/>
        </w:rPr>
        <w:t>van Uffelen</w:t>
      </w:r>
      <w:r w:rsidR="00A77FCB">
        <w:rPr>
          <w:rFonts w:asciiTheme="majorBidi" w:hAnsiTheme="majorBidi" w:cstheme="majorBidi"/>
          <w:sz w:val="24"/>
          <w:szCs w:val="24"/>
        </w:rPr>
        <w:t xml:space="preserve"> et al., 2013</w:t>
      </w:r>
      <w:r w:rsidRPr="003B517A">
        <w:rPr>
          <w:rFonts w:asciiTheme="majorBidi" w:hAnsiTheme="majorBidi" w:cstheme="majorBidi"/>
          <w:sz w:val="24"/>
          <w:szCs w:val="24"/>
        </w:rPr>
        <w:t>) studi</w:t>
      </w:r>
      <w:r w:rsidR="00602D6A" w:rsidRPr="003B517A">
        <w:rPr>
          <w:rFonts w:asciiTheme="majorBidi" w:hAnsiTheme="majorBidi" w:cstheme="majorBidi"/>
          <w:sz w:val="24"/>
          <w:szCs w:val="24"/>
        </w:rPr>
        <w:t xml:space="preserve">es. However, previous longitudinal studies have been limited by relatively short follow up periods and </w:t>
      </w:r>
      <w:r w:rsidR="007A63E0" w:rsidRPr="003B517A">
        <w:rPr>
          <w:rFonts w:asciiTheme="majorBidi" w:hAnsiTheme="majorBidi" w:cstheme="majorBidi"/>
          <w:sz w:val="24"/>
          <w:szCs w:val="24"/>
        </w:rPr>
        <w:t>have not</w:t>
      </w:r>
      <w:r w:rsidR="00602D6A" w:rsidRPr="003B517A">
        <w:rPr>
          <w:rFonts w:asciiTheme="majorBidi" w:hAnsiTheme="majorBidi" w:cstheme="majorBidi"/>
          <w:sz w:val="24"/>
          <w:szCs w:val="24"/>
        </w:rPr>
        <w:t xml:space="preserve"> </w:t>
      </w:r>
      <w:r w:rsidR="007A63E0" w:rsidRPr="003B517A">
        <w:rPr>
          <w:rFonts w:asciiTheme="majorBidi" w:hAnsiTheme="majorBidi" w:cstheme="majorBidi"/>
          <w:sz w:val="24"/>
          <w:szCs w:val="24"/>
        </w:rPr>
        <w:t xml:space="preserve">studied </w:t>
      </w:r>
      <w:r w:rsidR="00602D6A" w:rsidRPr="003B517A">
        <w:rPr>
          <w:rFonts w:asciiTheme="majorBidi" w:hAnsiTheme="majorBidi" w:cstheme="majorBidi"/>
          <w:sz w:val="24"/>
          <w:szCs w:val="24"/>
        </w:rPr>
        <w:t>associations across the life</w:t>
      </w:r>
      <w:r w:rsidR="003C262B" w:rsidRPr="003B517A">
        <w:rPr>
          <w:rFonts w:asciiTheme="majorBidi" w:hAnsiTheme="majorBidi" w:cstheme="majorBidi"/>
          <w:sz w:val="24"/>
          <w:szCs w:val="24"/>
        </w:rPr>
        <w:t xml:space="preserve"> </w:t>
      </w:r>
      <w:r w:rsidR="00602D6A" w:rsidRPr="003B517A">
        <w:rPr>
          <w:rFonts w:asciiTheme="majorBidi" w:hAnsiTheme="majorBidi" w:cstheme="majorBidi"/>
          <w:sz w:val="24"/>
          <w:szCs w:val="24"/>
        </w:rPr>
        <w:t xml:space="preserve">course.  </w:t>
      </w:r>
      <w:r w:rsidRPr="003B517A">
        <w:rPr>
          <w:rFonts w:asciiTheme="majorBidi" w:hAnsiTheme="majorBidi" w:cstheme="majorBidi"/>
          <w:sz w:val="24"/>
          <w:szCs w:val="24"/>
        </w:rPr>
        <w:t xml:space="preserve"> </w:t>
      </w:r>
    </w:p>
    <w:p w14:paraId="49B44EE4" w14:textId="77777777" w:rsidR="00602D6A" w:rsidRPr="003B517A" w:rsidRDefault="00602D6A"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Limitations of the present study include the self-reported nature of the variables</w:t>
      </w:r>
      <w:r w:rsidR="008F4B8A">
        <w:rPr>
          <w:rFonts w:asciiTheme="majorBidi" w:hAnsiTheme="majorBidi" w:cstheme="majorBidi"/>
          <w:sz w:val="24"/>
          <w:szCs w:val="24"/>
        </w:rPr>
        <w:t xml:space="preserve"> and observational study design</w:t>
      </w:r>
      <w:r w:rsidRPr="003B517A">
        <w:rPr>
          <w:rFonts w:asciiTheme="majorBidi" w:hAnsiTheme="majorBidi" w:cstheme="majorBidi"/>
          <w:sz w:val="24"/>
          <w:szCs w:val="24"/>
        </w:rPr>
        <w:t xml:space="preserve">. </w:t>
      </w:r>
      <w:r w:rsidR="00D32433">
        <w:rPr>
          <w:rFonts w:asciiTheme="majorBidi" w:hAnsiTheme="majorBidi" w:cstheme="majorBidi"/>
          <w:sz w:val="24"/>
          <w:szCs w:val="24"/>
        </w:rPr>
        <w:t xml:space="preserve">The sedentary exposure variables have not been validated. </w:t>
      </w:r>
      <w:r w:rsidR="00C41581" w:rsidRPr="003B517A">
        <w:rPr>
          <w:rFonts w:asciiTheme="majorBidi" w:hAnsiTheme="majorBidi" w:cstheme="majorBidi"/>
          <w:sz w:val="24"/>
          <w:szCs w:val="24"/>
        </w:rPr>
        <w:t xml:space="preserve">Participants were only asked to recall sedentary </w:t>
      </w:r>
      <w:r w:rsidR="00FF3A23" w:rsidRPr="003B517A">
        <w:rPr>
          <w:rFonts w:asciiTheme="majorBidi" w:hAnsiTheme="majorBidi" w:cstheme="majorBidi"/>
          <w:sz w:val="24"/>
          <w:szCs w:val="24"/>
        </w:rPr>
        <w:t xml:space="preserve">behaviour </w:t>
      </w:r>
      <w:r w:rsidR="00C41581" w:rsidRPr="003B517A">
        <w:rPr>
          <w:rFonts w:asciiTheme="majorBidi" w:hAnsiTheme="majorBidi" w:cstheme="majorBidi"/>
          <w:i/>
          <w:sz w:val="24"/>
          <w:szCs w:val="24"/>
        </w:rPr>
        <w:t>after school yesterday</w:t>
      </w:r>
      <w:r w:rsidR="007C7178" w:rsidRPr="003B517A">
        <w:rPr>
          <w:rFonts w:asciiTheme="majorBidi" w:hAnsiTheme="majorBidi" w:cstheme="majorBidi"/>
          <w:sz w:val="24"/>
          <w:szCs w:val="24"/>
        </w:rPr>
        <w:t>.</w:t>
      </w:r>
      <w:r w:rsidR="00C41581" w:rsidRPr="003B517A">
        <w:rPr>
          <w:rFonts w:asciiTheme="majorBidi" w:hAnsiTheme="majorBidi" w:cstheme="majorBidi"/>
          <w:sz w:val="24"/>
          <w:szCs w:val="24"/>
        </w:rPr>
        <w:t xml:space="preserve"> </w:t>
      </w:r>
      <w:r w:rsidR="007C7178" w:rsidRPr="003B517A">
        <w:rPr>
          <w:rFonts w:asciiTheme="majorBidi" w:hAnsiTheme="majorBidi" w:cstheme="majorBidi"/>
          <w:sz w:val="24"/>
          <w:szCs w:val="24"/>
        </w:rPr>
        <w:t>A</w:t>
      </w:r>
      <w:r w:rsidR="00C41581" w:rsidRPr="003B517A">
        <w:rPr>
          <w:rFonts w:asciiTheme="majorBidi" w:hAnsiTheme="majorBidi" w:cstheme="majorBidi"/>
          <w:sz w:val="24"/>
          <w:szCs w:val="24"/>
        </w:rPr>
        <w:t>lthough immediate recall has been shown to display acceptable validity (</w:t>
      </w:r>
      <w:r w:rsidR="00A77FCB">
        <w:rPr>
          <w:rFonts w:asciiTheme="majorBidi" w:hAnsiTheme="majorBidi" w:cstheme="majorBidi"/>
          <w:sz w:val="24"/>
          <w:szCs w:val="24"/>
        </w:rPr>
        <w:t>Ekelund et al., 2006</w:t>
      </w:r>
      <w:r w:rsidR="00C41581" w:rsidRPr="003B517A">
        <w:rPr>
          <w:rFonts w:asciiTheme="majorBidi" w:hAnsiTheme="majorBidi" w:cstheme="majorBidi"/>
          <w:sz w:val="24"/>
          <w:szCs w:val="24"/>
        </w:rPr>
        <w:t>)</w:t>
      </w:r>
      <w:r w:rsidR="007C7178" w:rsidRPr="003B517A">
        <w:rPr>
          <w:rFonts w:asciiTheme="majorBidi" w:hAnsiTheme="majorBidi" w:cstheme="majorBidi"/>
          <w:sz w:val="24"/>
          <w:szCs w:val="24"/>
        </w:rPr>
        <w:t>,</w:t>
      </w:r>
      <w:r w:rsidR="00C41581" w:rsidRPr="003B517A">
        <w:rPr>
          <w:rFonts w:asciiTheme="majorBidi" w:hAnsiTheme="majorBidi" w:cstheme="majorBidi"/>
          <w:sz w:val="24"/>
          <w:szCs w:val="24"/>
        </w:rPr>
        <w:t xml:space="preserve"> </w:t>
      </w:r>
      <w:r w:rsidR="007C7178" w:rsidRPr="003B517A">
        <w:rPr>
          <w:rFonts w:asciiTheme="majorBidi" w:hAnsiTheme="majorBidi" w:cstheme="majorBidi"/>
          <w:sz w:val="24"/>
          <w:szCs w:val="24"/>
        </w:rPr>
        <w:t>i</w:t>
      </w:r>
      <w:r w:rsidR="00C41581" w:rsidRPr="003B517A">
        <w:rPr>
          <w:rFonts w:asciiTheme="majorBidi" w:hAnsiTheme="majorBidi" w:cstheme="majorBidi"/>
          <w:sz w:val="24"/>
          <w:szCs w:val="24"/>
        </w:rPr>
        <w:t>t is possible that unmeasured confounding bias</w:t>
      </w:r>
      <w:r w:rsidR="003C262B" w:rsidRPr="003B517A">
        <w:rPr>
          <w:rFonts w:asciiTheme="majorBidi" w:hAnsiTheme="majorBidi" w:cstheme="majorBidi"/>
          <w:sz w:val="24"/>
          <w:szCs w:val="24"/>
        </w:rPr>
        <w:t>ed</w:t>
      </w:r>
      <w:r w:rsidR="00C41581" w:rsidRPr="003B517A">
        <w:rPr>
          <w:rFonts w:asciiTheme="majorBidi" w:hAnsiTheme="majorBidi" w:cstheme="majorBidi"/>
          <w:sz w:val="24"/>
          <w:szCs w:val="24"/>
        </w:rPr>
        <w:t xml:space="preserve"> the association between </w:t>
      </w:r>
      <w:r w:rsidR="007C7178" w:rsidRPr="003B517A">
        <w:rPr>
          <w:rFonts w:asciiTheme="majorBidi" w:hAnsiTheme="majorBidi" w:cstheme="majorBidi"/>
          <w:sz w:val="24"/>
          <w:szCs w:val="24"/>
        </w:rPr>
        <w:t>screen time</w:t>
      </w:r>
      <w:r w:rsidR="00C41581" w:rsidRPr="003B517A">
        <w:rPr>
          <w:rFonts w:asciiTheme="majorBidi" w:hAnsiTheme="majorBidi" w:cstheme="majorBidi"/>
          <w:sz w:val="24"/>
          <w:szCs w:val="24"/>
        </w:rPr>
        <w:t xml:space="preserve"> and mental well-being. For example, increased consumption of fast food and calorie-dense snacks has been associated </w:t>
      </w:r>
      <w:r w:rsidR="00FF3A23" w:rsidRPr="003B517A">
        <w:rPr>
          <w:rFonts w:asciiTheme="majorBidi" w:hAnsiTheme="majorBidi" w:cstheme="majorBidi"/>
          <w:sz w:val="24"/>
          <w:szCs w:val="24"/>
        </w:rPr>
        <w:t xml:space="preserve">with </w:t>
      </w:r>
      <w:r w:rsidR="00C41581" w:rsidRPr="003B517A">
        <w:rPr>
          <w:rFonts w:asciiTheme="majorBidi" w:hAnsiTheme="majorBidi" w:cstheme="majorBidi"/>
          <w:sz w:val="24"/>
          <w:szCs w:val="24"/>
        </w:rPr>
        <w:t>TV and screen based entertainment (</w:t>
      </w:r>
      <w:r w:rsidR="00A77FCB" w:rsidRPr="00A77FCB">
        <w:rPr>
          <w:rFonts w:asciiTheme="majorBidi" w:hAnsiTheme="majorBidi" w:cstheme="majorBidi"/>
          <w:sz w:val="24"/>
          <w:szCs w:val="24"/>
        </w:rPr>
        <w:t xml:space="preserve">Pearson </w:t>
      </w:r>
      <w:r w:rsidR="00A77FCB">
        <w:rPr>
          <w:rFonts w:asciiTheme="majorBidi" w:hAnsiTheme="majorBidi" w:cstheme="majorBidi"/>
          <w:sz w:val="24"/>
          <w:szCs w:val="24"/>
        </w:rPr>
        <w:t>&amp;</w:t>
      </w:r>
      <w:r w:rsidR="00A77FCB" w:rsidRPr="00A77FCB">
        <w:rPr>
          <w:rFonts w:asciiTheme="majorBidi" w:hAnsiTheme="majorBidi" w:cstheme="majorBidi"/>
          <w:sz w:val="24"/>
          <w:szCs w:val="24"/>
        </w:rPr>
        <w:t xml:space="preserve"> Biddle</w:t>
      </w:r>
      <w:r w:rsidR="00A77FCB">
        <w:rPr>
          <w:rFonts w:asciiTheme="majorBidi" w:hAnsiTheme="majorBidi" w:cstheme="majorBidi"/>
          <w:sz w:val="24"/>
          <w:szCs w:val="24"/>
        </w:rPr>
        <w:t>, 2011</w:t>
      </w:r>
      <w:r w:rsidR="00C41581" w:rsidRPr="003B517A">
        <w:rPr>
          <w:rFonts w:asciiTheme="majorBidi" w:hAnsiTheme="majorBidi" w:cstheme="majorBidi"/>
          <w:sz w:val="24"/>
          <w:szCs w:val="24"/>
        </w:rPr>
        <w:t>), although the analysis did somewhat address this issue by controlling for behaviours known to be associated with mental health such as alcohol and smoking</w:t>
      </w:r>
      <w:r w:rsidR="00EB4C61">
        <w:rPr>
          <w:rFonts w:asciiTheme="majorBidi" w:hAnsiTheme="majorBidi" w:cstheme="majorBidi"/>
          <w:sz w:val="24"/>
          <w:szCs w:val="24"/>
        </w:rPr>
        <w:t xml:space="preserve"> at age 16</w:t>
      </w:r>
      <w:r w:rsidR="00C41581" w:rsidRPr="003B517A">
        <w:rPr>
          <w:rFonts w:asciiTheme="majorBidi" w:hAnsiTheme="majorBidi" w:cstheme="majorBidi"/>
          <w:sz w:val="24"/>
          <w:szCs w:val="24"/>
        </w:rPr>
        <w:t>.</w:t>
      </w:r>
      <w:r w:rsidR="00D57AFD" w:rsidRPr="003B517A">
        <w:rPr>
          <w:rFonts w:asciiTheme="majorBidi" w:hAnsiTheme="majorBidi" w:cstheme="majorBidi"/>
          <w:sz w:val="24"/>
          <w:szCs w:val="24"/>
        </w:rPr>
        <w:t xml:space="preserve"> </w:t>
      </w:r>
      <w:r w:rsidR="00EB4C61" w:rsidRPr="00D33716">
        <w:rPr>
          <w:rFonts w:asciiTheme="majorBidi" w:hAnsiTheme="majorBidi" w:cstheme="majorBidi"/>
          <w:sz w:val="24"/>
          <w:szCs w:val="24"/>
        </w:rPr>
        <w:t>These same lifestyle behaviours at age 42 were not incorporated into our models for several reasons. Firstly, lifestyle behaviours at age 16 track into adulthood and are correlated, thus would have resulted in col</w:t>
      </w:r>
      <w:r w:rsidR="00D82D7B" w:rsidRPr="00D33716">
        <w:rPr>
          <w:rFonts w:asciiTheme="majorBidi" w:hAnsiTheme="majorBidi" w:cstheme="majorBidi"/>
          <w:sz w:val="24"/>
          <w:szCs w:val="24"/>
        </w:rPr>
        <w:t>l</w:t>
      </w:r>
      <w:r w:rsidR="00EB4C61" w:rsidRPr="00D33716">
        <w:rPr>
          <w:rFonts w:asciiTheme="majorBidi" w:hAnsiTheme="majorBidi" w:cstheme="majorBidi"/>
          <w:sz w:val="24"/>
          <w:szCs w:val="24"/>
        </w:rPr>
        <w:t xml:space="preserve">inearity if all variables were included. Secondly, </w:t>
      </w:r>
      <w:r w:rsidR="00A77FCB" w:rsidRPr="00D33716">
        <w:rPr>
          <w:rFonts w:asciiTheme="majorBidi" w:hAnsiTheme="majorBidi" w:cstheme="majorBidi"/>
          <w:sz w:val="24"/>
          <w:szCs w:val="24"/>
        </w:rPr>
        <w:t xml:space="preserve">in the context of the present </w:t>
      </w:r>
      <w:r w:rsidR="00A77FCB" w:rsidRPr="00D33716">
        <w:rPr>
          <w:rFonts w:asciiTheme="majorBidi" w:hAnsiTheme="majorBidi" w:cstheme="majorBidi"/>
          <w:sz w:val="24"/>
          <w:szCs w:val="24"/>
        </w:rPr>
        <w:lastRenderedPageBreak/>
        <w:t xml:space="preserve">analysis </w:t>
      </w:r>
      <w:r w:rsidR="00EB4C61" w:rsidRPr="00D33716">
        <w:rPr>
          <w:rFonts w:asciiTheme="majorBidi" w:hAnsiTheme="majorBidi" w:cstheme="majorBidi"/>
          <w:sz w:val="24"/>
          <w:szCs w:val="24"/>
        </w:rPr>
        <w:t xml:space="preserve">it is unclear if lifestyle behaviors at age 42 act as confounders, intermediate </w:t>
      </w:r>
      <w:r w:rsidR="008B2ADF" w:rsidRPr="00D33716">
        <w:rPr>
          <w:rFonts w:asciiTheme="majorBidi" w:hAnsiTheme="majorBidi" w:cstheme="majorBidi"/>
          <w:sz w:val="24"/>
          <w:szCs w:val="24"/>
        </w:rPr>
        <w:t>pathways</w:t>
      </w:r>
      <w:r w:rsidR="00EB4C61" w:rsidRPr="00D33716">
        <w:rPr>
          <w:rFonts w:asciiTheme="majorBidi" w:hAnsiTheme="majorBidi" w:cstheme="majorBidi"/>
          <w:sz w:val="24"/>
          <w:szCs w:val="24"/>
        </w:rPr>
        <w:t xml:space="preserve">, or indeed outcomes. For example, poor mental health at age 42 could partly drive lifestyle factors in adulthood. </w:t>
      </w:r>
      <w:r w:rsidR="00EB4C61" w:rsidRPr="00EB4C61">
        <w:rPr>
          <w:rFonts w:asciiTheme="majorBidi" w:hAnsiTheme="majorBidi" w:cstheme="majorBidi"/>
          <w:sz w:val="24"/>
          <w:szCs w:val="24"/>
        </w:rPr>
        <w:t xml:space="preserve"> </w:t>
      </w:r>
      <w:r w:rsidR="00D57AFD" w:rsidRPr="003B517A">
        <w:rPr>
          <w:rFonts w:asciiTheme="majorBidi" w:hAnsiTheme="majorBidi" w:cstheme="majorBidi"/>
          <w:sz w:val="24"/>
          <w:szCs w:val="24"/>
        </w:rPr>
        <w:t>The age 16 data were collected in 1986, thus screen time exposure may not be reflective of contemporary society</w:t>
      </w:r>
      <w:r w:rsidR="00103F46" w:rsidRPr="003B517A">
        <w:rPr>
          <w:rFonts w:asciiTheme="majorBidi" w:hAnsiTheme="majorBidi" w:cstheme="majorBidi"/>
          <w:sz w:val="24"/>
          <w:szCs w:val="24"/>
        </w:rPr>
        <w:t xml:space="preserve"> where </w:t>
      </w:r>
      <w:r w:rsidR="00592052" w:rsidRPr="003B517A">
        <w:rPr>
          <w:rFonts w:asciiTheme="majorBidi" w:hAnsiTheme="majorBidi" w:cstheme="majorBidi"/>
          <w:sz w:val="24"/>
          <w:szCs w:val="24"/>
        </w:rPr>
        <w:t>media</w:t>
      </w:r>
      <w:r w:rsidR="00103F46" w:rsidRPr="003B517A">
        <w:rPr>
          <w:rFonts w:asciiTheme="majorBidi" w:hAnsiTheme="majorBidi" w:cstheme="majorBidi"/>
          <w:sz w:val="24"/>
          <w:szCs w:val="24"/>
        </w:rPr>
        <w:t xml:space="preserve"> such as smart phones and tablets are common place</w:t>
      </w:r>
      <w:r w:rsidR="00D57AFD" w:rsidRPr="003B517A">
        <w:rPr>
          <w:rFonts w:asciiTheme="majorBidi" w:hAnsiTheme="majorBidi" w:cstheme="majorBidi"/>
          <w:sz w:val="24"/>
          <w:szCs w:val="24"/>
        </w:rPr>
        <w:t xml:space="preserve">. </w:t>
      </w:r>
      <w:r w:rsidR="00592052" w:rsidRPr="003B517A">
        <w:rPr>
          <w:rFonts w:asciiTheme="majorBidi" w:hAnsiTheme="majorBidi" w:cstheme="majorBidi"/>
          <w:sz w:val="24"/>
          <w:szCs w:val="24"/>
        </w:rPr>
        <w:t xml:space="preserve">Arguably the present generation of youth may be exposed to greater screen time across their lifecourse. </w:t>
      </w:r>
      <w:r w:rsidR="00D57AFD" w:rsidRPr="003B517A">
        <w:rPr>
          <w:rFonts w:asciiTheme="majorBidi" w:hAnsiTheme="majorBidi" w:cstheme="majorBidi"/>
          <w:sz w:val="24"/>
          <w:szCs w:val="24"/>
        </w:rPr>
        <w:t>Nevertheless, only 45% of the present sample met the screen time viewing (&lt;2 hr/d) recommendation, which is comparable to contemporary data (</w:t>
      </w:r>
      <w:r w:rsidR="00A77FCB" w:rsidRPr="00A77FCB">
        <w:rPr>
          <w:rFonts w:asciiTheme="majorBidi" w:hAnsiTheme="majorBidi" w:cstheme="majorBidi"/>
          <w:sz w:val="24"/>
          <w:szCs w:val="24"/>
        </w:rPr>
        <w:t>Fakhouri</w:t>
      </w:r>
      <w:r w:rsidR="00A77FCB">
        <w:rPr>
          <w:rFonts w:asciiTheme="majorBidi" w:hAnsiTheme="majorBidi" w:cstheme="majorBidi"/>
          <w:sz w:val="24"/>
          <w:szCs w:val="24"/>
        </w:rPr>
        <w:t xml:space="preserve"> et al., 2013; Atkin et al., 2014)</w:t>
      </w:r>
      <w:r w:rsidR="00D57AFD" w:rsidRPr="003B517A">
        <w:rPr>
          <w:rFonts w:asciiTheme="majorBidi" w:hAnsiTheme="majorBidi" w:cstheme="majorBidi"/>
          <w:sz w:val="24"/>
          <w:szCs w:val="24"/>
        </w:rPr>
        <w:t>.</w:t>
      </w:r>
      <w:r w:rsidR="00FF3A23" w:rsidRPr="003B517A">
        <w:rPr>
          <w:rFonts w:asciiTheme="majorBidi" w:hAnsiTheme="majorBidi" w:cstheme="majorBidi"/>
          <w:sz w:val="24"/>
          <w:szCs w:val="24"/>
        </w:rPr>
        <w:t xml:space="preserve"> Despite these limitations, strengths of the present study include the relatively larg</w:t>
      </w:r>
      <w:r w:rsidR="00592052" w:rsidRPr="003B517A">
        <w:rPr>
          <w:rFonts w:asciiTheme="majorBidi" w:hAnsiTheme="majorBidi" w:cstheme="majorBidi"/>
          <w:sz w:val="24"/>
          <w:szCs w:val="24"/>
        </w:rPr>
        <w:t>e sample and longitudinal design spanning 26 years.</w:t>
      </w:r>
    </w:p>
    <w:p w14:paraId="25436FE0" w14:textId="77777777" w:rsidR="005B50AF" w:rsidRPr="003B517A" w:rsidRDefault="00EB730B" w:rsidP="003B517A">
      <w:pPr>
        <w:spacing w:line="480" w:lineRule="auto"/>
        <w:rPr>
          <w:rFonts w:asciiTheme="majorBidi" w:hAnsiTheme="majorBidi" w:cstheme="majorBidi"/>
          <w:sz w:val="24"/>
          <w:szCs w:val="24"/>
        </w:rPr>
      </w:pPr>
      <w:r w:rsidRPr="003B517A">
        <w:rPr>
          <w:rFonts w:asciiTheme="majorBidi" w:hAnsiTheme="majorBidi" w:cstheme="majorBidi"/>
          <w:sz w:val="24"/>
          <w:szCs w:val="24"/>
        </w:rPr>
        <w:t xml:space="preserve">In conclusion, </w:t>
      </w:r>
      <w:r w:rsidR="008F4B8A">
        <w:rPr>
          <w:rFonts w:asciiTheme="majorBidi" w:hAnsiTheme="majorBidi" w:cstheme="majorBidi"/>
          <w:sz w:val="24"/>
          <w:szCs w:val="24"/>
        </w:rPr>
        <w:t xml:space="preserve">greater </w:t>
      </w:r>
      <w:r w:rsidRPr="003B517A">
        <w:rPr>
          <w:rFonts w:asciiTheme="majorBidi" w:hAnsiTheme="majorBidi" w:cstheme="majorBidi"/>
          <w:sz w:val="24"/>
          <w:szCs w:val="24"/>
        </w:rPr>
        <w:t xml:space="preserve">screen time in adolescence was associated with </w:t>
      </w:r>
      <w:r w:rsidR="008F4B8A">
        <w:rPr>
          <w:rFonts w:asciiTheme="majorBidi" w:hAnsiTheme="majorBidi" w:cstheme="majorBidi"/>
          <w:sz w:val="24"/>
          <w:szCs w:val="24"/>
        </w:rPr>
        <w:t xml:space="preserve">poorer </w:t>
      </w:r>
      <w:r w:rsidRPr="003B517A">
        <w:rPr>
          <w:rFonts w:asciiTheme="majorBidi" w:hAnsiTheme="majorBidi" w:cstheme="majorBidi"/>
          <w:sz w:val="24"/>
          <w:szCs w:val="24"/>
        </w:rPr>
        <w:t>mental wellbeing in adulthood. Future experimental studies are needed to further tease apart the association betwee</w:t>
      </w:r>
      <w:r w:rsidR="009D0C15" w:rsidRPr="003B517A">
        <w:rPr>
          <w:rFonts w:asciiTheme="majorBidi" w:hAnsiTheme="majorBidi" w:cstheme="majorBidi"/>
          <w:sz w:val="24"/>
          <w:szCs w:val="24"/>
        </w:rPr>
        <w:t>n screen time and mental health.</w:t>
      </w:r>
    </w:p>
    <w:p w14:paraId="2F85DF6D" w14:textId="77777777" w:rsidR="00C463BF" w:rsidRDefault="00C463BF" w:rsidP="006B37DA">
      <w:pPr>
        <w:spacing w:line="480" w:lineRule="auto"/>
        <w:rPr>
          <w:rFonts w:asciiTheme="majorBidi" w:hAnsiTheme="majorBidi" w:cstheme="majorBidi"/>
          <w:sz w:val="24"/>
          <w:szCs w:val="24"/>
        </w:rPr>
      </w:pPr>
    </w:p>
    <w:p w14:paraId="4BBF3A6B" w14:textId="77777777" w:rsidR="00C463BF" w:rsidRDefault="00C463BF" w:rsidP="006B37DA">
      <w:pPr>
        <w:spacing w:line="480" w:lineRule="auto"/>
        <w:rPr>
          <w:rFonts w:asciiTheme="majorBidi" w:hAnsiTheme="majorBidi" w:cstheme="majorBidi"/>
          <w:sz w:val="24"/>
          <w:szCs w:val="24"/>
        </w:rPr>
      </w:pPr>
    </w:p>
    <w:p w14:paraId="5B18DA7A" w14:textId="77777777" w:rsidR="00C463BF" w:rsidRDefault="00C463BF" w:rsidP="006B37DA">
      <w:pPr>
        <w:spacing w:line="480" w:lineRule="auto"/>
        <w:rPr>
          <w:rFonts w:asciiTheme="majorBidi" w:hAnsiTheme="majorBidi" w:cstheme="majorBidi"/>
          <w:sz w:val="24"/>
          <w:szCs w:val="24"/>
        </w:rPr>
      </w:pPr>
    </w:p>
    <w:p w14:paraId="63825056" w14:textId="77777777" w:rsidR="00C463BF" w:rsidRDefault="00C463BF" w:rsidP="006B37DA">
      <w:pPr>
        <w:spacing w:line="480" w:lineRule="auto"/>
        <w:rPr>
          <w:rFonts w:asciiTheme="majorBidi" w:hAnsiTheme="majorBidi" w:cstheme="majorBidi"/>
          <w:sz w:val="24"/>
          <w:szCs w:val="24"/>
        </w:rPr>
      </w:pPr>
    </w:p>
    <w:p w14:paraId="1950E12A" w14:textId="77777777" w:rsidR="00C463BF" w:rsidRDefault="00C463BF" w:rsidP="006B37DA">
      <w:pPr>
        <w:spacing w:line="480" w:lineRule="auto"/>
        <w:rPr>
          <w:rFonts w:asciiTheme="majorBidi" w:hAnsiTheme="majorBidi" w:cstheme="majorBidi"/>
          <w:sz w:val="24"/>
          <w:szCs w:val="24"/>
        </w:rPr>
      </w:pPr>
    </w:p>
    <w:p w14:paraId="4EDACDA4" w14:textId="77777777" w:rsidR="00C463BF" w:rsidRDefault="00C463BF" w:rsidP="006B37DA">
      <w:pPr>
        <w:spacing w:line="480" w:lineRule="auto"/>
        <w:rPr>
          <w:rFonts w:asciiTheme="majorBidi" w:hAnsiTheme="majorBidi" w:cstheme="majorBidi"/>
          <w:sz w:val="24"/>
          <w:szCs w:val="24"/>
        </w:rPr>
      </w:pPr>
    </w:p>
    <w:p w14:paraId="3B0FEE0F" w14:textId="77777777" w:rsidR="00C463BF" w:rsidRDefault="00C463BF" w:rsidP="006B37DA">
      <w:pPr>
        <w:spacing w:line="480" w:lineRule="auto"/>
        <w:rPr>
          <w:rFonts w:asciiTheme="majorBidi" w:hAnsiTheme="majorBidi" w:cstheme="majorBidi"/>
          <w:sz w:val="24"/>
          <w:szCs w:val="24"/>
        </w:rPr>
      </w:pPr>
    </w:p>
    <w:p w14:paraId="61AAC545" w14:textId="77777777" w:rsidR="00C463BF" w:rsidRDefault="00C463BF" w:rsidP="006B37DA">
      <w:pPr>
        <w:spacing w:line="480" w:lineRule="auto"/>
        <w:rPr>
          <w:rFonts w:asciiTheme="majorBidi" w:hAnsiTheme="majorBidi" w:cstheme="majorBidi"/>
          <w:sz w:val="24"/>
          <w:szCs w:val="24"/>
        </w:rPr>
      </w:pPr>
    </w:p>
    <w:p w14:paraId="6F5ECF9D" w14:textId="77777777" w:rsidR="00C463BF" w:rsidRDefault="00C463BF" w:rsidP="006B37DA">
      <w:pPr>
        <w:spacing w:line="480" w:lineRule="auto"/>
        <w:rPr>
          <w:rFonts w:asciiTheme="majorBidi" w:hAnsiTheme="majorBidi" w:cstheme="majorBidi"/>
          <w:sz w:val="24"/>
          <w:szCs w:val="24"/>
        </w:rPr>
      </w:pPr>
    </w:p>
    <w:p w14:paraId="2A87C308" w14:textId="6D2C9B59" w:rsidR="00C463BF" w:rsidRPr="00C463BF" w:rsidRDefault="00C463BF" w:rsidP="006B37DA">
      <w:pPr>
        <w:spacing w:line="480" w:lineRule="auto"/>
        <w:rPr>
          <w:rFonts w:asciiTheme="majorBidi" w:hAnsiTheme="majorBidi" w:cstheme="majorBidi"/>
          <w:b/>
          <w:sz w:val="24"/>
          <w:szCs w:val="24"/>
        </w:rPr>
      </w:pPr>
      <w:r w:rsidRPr="00C463BF">
        <w:rPr>
          <w:rFonts w:asciiTheme="majorBidi" w:hAnsiTheme="majorBidi" w:cstheme="majorBidi"/>
          <w:b/>
          <w:sz w:val="24"/>
          <w:szCs w:val="24"/>
        </w:rPr>
        <w:lastRenderedPageBreak/>
        <w:t>Acknowledgements</w:t>
      </w:r>
    </w:p>
    <w:p w14:paraId="21A0BECE" w14:textId="07CCE925" w:rsidR="00C463BF" w:rsidRPr="003B517A" w:rsidRDefault="00C463BF" w:rsidP="006B37DA">
      <w:pPr>
        <w:spacing w:line="480" w:lineRule="auto"/>
        <w:rPr>
          <w:rFonts w:asciiTheme="majorBidi" w:hAnsiTheme="majorBidi" w:cstheme="majorBidi"/>
          <w:sz w:val="24"/>
          <w:szCs w:val="24"/>
        </w:rPr>
        <w:sectPr w:rsidR="00C463BF" w:rsidRPr="003B517A" w:rsidSect="00436A95">
          <w:pgSz w:w="11906" w:h="16838"/>
          <w:pgMar w:top="1440" w:right="1440" w:bottom="1440" w:left="1440" w:header="709" w:footer="709" w:gutter="0"/>
          <w:cols w:space="708"/>
          <w:docGrid w:linePitch="360"/>
        </w:sectPr>
      </w:pPr>
      <w:r w:rsidRPr="00C463BF">
        <w:rPr>
          <w:rFonts w:asciiTheme="majorBidi" w:hAnsiTheme="majorBidi" w:cstheme="majorBidi"/>
          <w:sz w:val="24"/>
          <w:szCs w:val="24"/>
        </w:rPr>
        <w:t>The research was supported by the National Institute for Health Research (NIHR) Diet, Lifestyle &amp; Physical Activity Biomedical Research Unit based at University Hospitals of Leicester and Loughborough University and the National Institute for Health Research Collaboration for Leadership in Applied Health Research and Care – East Midlands (NIHR CLAHRC – EM)</w:t>
      </w:r>
    </w:p>
    <w:p w14:paraId="36130B32" w14:textId="77777777" w:rsidR="006F13DA" w:rsidRDefault="00B3625D">
      <w:pPr>
        <w:rPr>
          <w:rFonts w:asciiTheme="majorBidi" w:hAnsiTheme="majorBidi" w:cstheme="majorBidi"/>
          <w:b/>
          <w:sz w:val="24"/>
          <w:szCs w:val="24"/>
        </w:rPr>
      </w:pPr>
      <w:r w:rsidRPr="003B517A">
        <w:rPr>
          <w:rFonts w:asciiTheme="majorBidi" w:hAnsiTheme="majorBidi" w:cstheme="majorBidi"/>
          <w:b/>
          <w:sz w:val="24"/>
          <w:szCs w:val="24"/>
        </w:rPr>
        <w:lastRenderedPageBreak/>
        <w:t>References</w:t>
      </w:r>
    </w:p>
    <w:p w14:paraId="13A14253" w14:textId="77777777" w:rsidR="003D79B4" w:rsidRDefault="003D79B4" w:rsidP="003D79B4">
      <w:pPr>
        <w:ind w:left="360" w:hanging="360"/>
        <w:rPr>
          <w:rFonts w:asciiTheme="majorBidi" w:hAnsiTheme="majorBidi" w:cstheme="majorBidi"/>
          <w:sz w:val="24"/>
          <w:szCs w:val="24"/>
        </w:rPr>
      </w:pPr>
      <w:r w:rsidRPr="003D79B4">
        <w:rPr>
          <w:rFonts w:asciiTheme="majorBidi" w:hAnsiTheme="majorBidi" w:cstheme="majorBidi"/>
          <w:sz w:val="24"/>
          <w:szCs w:val="24"/>
        </w:rPr>
        <w:t>Atkin AJ, Sharp SJ, Corder K, van Sluijs EM; International Children’s Accelerometry Database (ICAD) Collaborators</w:t>
      </w:r>
      <w:r>
        <w:rPr>
          <w:rFonts w:asciiTheme="majorBidi" w:hAnsiTheme="majorBidi" w:cstheme="majorBidi"/>
          <w:sz w:val="24"/>
          <w:szCs w:val="24"/>
        </w:rPr>
        <w:t>, 2014</w:t>
      </w:r>
      <w:r w:rsidRPr="003D79B4">
        <w:rPr>
          <w:rFonts w:asciiTheme="majorBidi" w:hAnsiTheme="majorBidi" w:cstheme="majorBidi"/>
          <w:sz w:val="24"/>
          <w:szCs w:val="24"/>
        </w:rPr>
        <w:t xml:space="preserve">. Prevalence and correlates of screen time in youth: an international perspective. </w:t>
      </w:r>
      <w:proofErr w:type="gramStart"/>
      <w:r w:rsidRPr="003D79B4">
        <w:rPr>
          <w:rFonts w:asciiTheme="majorBidi" w:hAnsiTheme="majorBidi" w:cstheme="majorBidi"/>
          <w:sz w:val="24"/>
          <w:szCs w:val="24"/>
        </w:rPr>
        <w:t>Am</w:t>
      </w:r>
      <w:proofErr w:type="gramEnd"/>
      <w:r w:rsidRPr="003D79B4">
        <w:rPr>
          <w:rFonts w:asciiTheme="majorBidi" w:hAnsiTheme="majorBidi" w:cstheme="majorBidi"/>
          <w:sz w:val="24"/>
          <w:szCs w:val="24"/>
        </w:rPr>
        <w:t xml:space="preserve"> J Prev Med. </w:t>
      </w:r>
      <w:r>
        <w:rPr>
          <w:rFonts w:asciiTheme="majorBidi" w:hAnsiTheme="majorBidi" w:cstheme="majorBidi"/>
          <w:sz w:val="24"/>
          <w:szCs w:val="24"/>
        </w:rPr>
        <w:t xml:space="preserve">47(6), </w:t>
      </w:r>
      <w:r w:rsidRPr="003D79B4">
        <w:rPr>
          <w:rFonts w:asciiTheme="majorBidi" w:hAnsiTheme="majorBidi" w:cstheme="majorBidi"/>
          <w:sz w:val="24"/>
          <w:szCs w:val="24"/>
        </w:rPr>
        <w:t>803-7.</w:t>
      </w:r>
    </w:p>
    <w:p w14:paraId="2C7A36BB" w14:textId="77777777" w:rsidR="003D79B4" w:rsidRDefault="003D79B4" w:rsidP="003D79B4">
      <w:pPr>
        <w:ind w:left="360" w:hanging="360"/>
        <w:rPr>
          <w:rFonts w:asciiTheme="majorBidi" w:hAnsiTheme="majorBidi" w:cstheme="majorBidi"/>
          <w:sz w:val="24"/>
          <w:szCs w:val="24"/>
        </w:rPr>
      </w:pPr>
      <w:r w:rsidRPr="003D79B4">
        <w:rPr>
          <w:rFonts w:asciiTheme="majorBidi" w:hAnsiTheme="majorBidi" w:cstheme="majorBidi"/>
          <w:sz w:val="24"/>
          <w:szCs w:val="24"/>
        </w:rPr>
        <w:t>Booker CL, Skew AJ, Kelly YJ, Sacker A</w:t>
      </w:r>
      <w:r>
        <w:rPr>
          <w:rFonts w:asciiTheme="majorBidi" w:hAnsiTheme="majorBidi" w:cstheme="majorBidi"/>
          <w:sz w:val="24"/>
          <w:szCs w:val="24"/>
        </w:rPr>
        <w:t>, 2015</w:t>
      </w:r>
      <w:r w:rsidRPr="003D79B4">
        <w:rPr>
          <w:rFonts w:asciiTheme="majorBidi" w:hAnsiTheme="majorBidi" w:cstheme="majorBidi"/>
          <w:sz w:val="24"/>
          <w:szCs w:val="24"/>
        </w:rPr>
        <w:t xml:space="preserve">. Media Use, Sports Participation, and Well-Being in Adolescence: Cross-Sectional Findings </w:t>
      </w:r>
      <w:proofErr w:type="gramStart"/>
      <w:r w:rsidRPr="003D79B4">
        <w:rPr>
          <w:rFonts w:asciiTheme="majorBidi" w:hAnsiTheme="majorBidi" w:cstheme="majorBidi"/>
          <w:sz w:val="24"/>
          <w:szCs w:val="24"/>
        </w:rPr>
        <w:t>From</w:t>
      </w:r>
      <w:proofErr w:type="gramEnd"/>
      <w:r w:rsidRPr="003D79B4">
        <w:rPr>
          <w:rFonts w:asciiTheme="majorBidi" w:hAnsiTheme="majorBidi" w:cstheme="majorBidi"/>
          <w:sz w:val="24"/>
          <w:szCs w:val="24"/>
        </w:rPr>
        <w:t xml:space="preserve"> the UK Household Longitudinal Study. Am J Public Health. </w:t>
      </w:r>
      <w:r>
        <w:rPr>
          <w:rFonts w:asciiTheme="majorBidi" w:hAnsiTheme="majorBidi" w:cstheme="majorBidi"/>
          <w:sz w:val="24"/>
          <w:szCs w:val="24"/>
        </w:rPr>
        <w:t xml:space="preserve">105(1), </w:t>
      </w:r>
      <w:r w:rsidRPr="003D79B4">
        <w:rPr>
          <w:rFonts w:asciiTheme="majorBidi" w:hAnsiTheme="majorBidi" w:cstheme="majorBidi"/>
          <w:sz w:val="24"/>
          <w:szCs w:val="24"/>
        </w:rPr>
        <w:t>173-179.</w:t>
      </w:r>
    </w:p>
    <w:p w14:paraId="67926FD5" w14:textId="77777777" w:rsidR="003D79B4" w:rsidRDefault="003D79B4" w:rsidP="003D79B4">
      <w:pPr>
        <w:ind w:left="360" w:hanging="360"/>
        <w:rPr>
          <w:rFonts w:asciiTheme="majorBidi" w:hAnsiTheme="majorBidi" w:cstheme="majorBidi"/>
          <w:sz w:val="24"/>
          <w:szCs w:val="24"/>
        </w:rPr>
      </w:pPr>
      <w:r w:rsidRPr="00C463BF">
        <w:rPr>
          <w:rFonts w:asciiTheme="majorBidi" w:hAnsiTheme="majorBidi" w:cstheme="majorBidi"/>
          <w:sz w:val="24"/>
          <w:szCs w:val="24"/>
        </w:rPr>
        <w:t xml:space="preserve">Ekelund U, Sepp H, Brage S, et al., 2006. </w:t>
      </w:r>
      <w:r w:rsidRPr="003D79B4">
        <w:rPr>
          <w:rFonts w:asciiTheme="majorBidi" w:hAnsiTheme="majorBidi" w:cstheme="majorBidi"/>
          <w:sz w:val="24"/>
          <w:szCs w:val="24"/>
        </w:rPr>
        <w:t xml:space="preserve">Criterion-related validity of the last 7-day, short form of the International Physical Activity Questionnaire in Swedish adults. Public Health Nutr. </w:t>
      </w:r>
      <w:r>
        <w:rPr>
          <w:rFonts w:asciiTheme="majorBidi" w:hAnsiTheme="majorBidi" w:cstheme="majorBidi"/>
          <w:sz w:val="24"/>
          <w:szCs w:val="24"/>
        </w:rPr>
        <w:t xml:space="preserve">9(2), </w:t>
      </w:r>
      <w:r w:rsidRPr="003D79B4">
        <w:rPr>
          <w:rFonts w:asciiTheme="majorBidi" w:hAnsiTheme="majorBidi" w:cstheme="majorBidi"/>
          <w:sz w:val="24"/>
          <w:szCs w:val="24"/>
        </w:rPr>
        <w:t>258-65.</w:t>
      </w:r>
    </w:p>
    <w:p w14:paraId="77D93EA7" w14:textId="77777777" w:rsidR="003D79B4" w:rsidRDefault="003D79B4" w:rsidP="003D79B4">
      <w:pPr>
        <w:ind w:left="360" w:hanging="360"/>
        <w:rPr>
          <w:rFonts w:asciiTheme="majorBidi" w:hAnsiTheme="majorBidi" w:cstheme="majorBidi"/>
          <w:sz w:val="24"/>
          <w:szCs w:val="24"/>
        </w:rPr>
      </w:pPr>
      <w:r w:rsidRPr="003D79B4">
        <w:rPr>
          <w:rFonts w:asciiTheme="majorBidi" w:hAnsiTheme="majorBidi" w:cstheme="majorBidi"/>
          <w:sz w:val="24"/>
          <w:szCs w:val="24"/>
        </w:rPr>
        <w:t>Elliott J, Shepherd P</w:t>
      </w:r>
      <w:r>
        <w:rPr>
          <w:rFonts w:asciiTheme="majorBidi" w:hAnsiTheme="majorBidi" w:cstheme="majorBidi"/>
          <w:sz w:val="24"/>
          <w:szCs w:val="24"/>
        </w:rPr>
        <w:t>, 2006</w:t>
      </w:r>
      <w:r w:rsidRPr="003D79B4">
        <w:rPr>
          <w:rFonts w:asciiTheme="majorBidi" w:hAnsiTheme="majorBidi" w:cstheme="majorBidi"/>
          <w:sz w:val="24"/>
          <w:szCs w:val="24"/>
        </w:rPr>
        <w:t xml:space="preserve">. Cohort profile: 1970 British Birth Cohort (BCS70). Int J Epidemiol </w:t>
      </w:r>
      <w:r>
        <w:rPr>
          <w:rFonts w:asciiTheme="majorBidi" w:hAnsiTheme="majorBidi" w:cstheme="majorBidi"/>
          <w:sz w:val="24"/>
          <w:szCs w:val="24"/>
        </w:rPr>
        <w:t xml:space="preserve">35, </w:t>
      </w:r>
      <w:r w:rsidRPr="003D79B4">
        <w:rPr>
          <w:rFonts w:asciiTheme="majorBidi" w:hAnsiTheme="majorBidi" w:cstheme="majorBidi"/>
          <w:sz w:val="24"/>
          <w:szCs w:val="24"/>
        </w:rPr>
        <w:t>836-43.</w:t>
      </w:r>
    </w:p>
    <w:p w14:paraId="64458BAB" w14:textId="77777777" w:rsidR="003D79B4" w:rsidRDefault="003D79B4" w:rsidP="003D79B4">
      <w:pPr>
        <w:ind w:left="360" w:hanging="360"/>
        <w:rPr>
          <w:rFonts w:asciiTheme="majorBidi" w:hAnsiTheme="majorBidi" w:cstheme="majorBidi"/>
          <w:sz w:val="24"/>
          <w:szCs w:val="24"/>
        </w:rPr>
      </w:pPr>
      <w:r w:rsidRPr="003D79B4">
        <w:rPr>
          <w:rFonts w:asciiTheme="majorBidi" w:hAnsiTheme="majorBidi" w:cstheme="majorBidi"/>
          <w:sz w:val="24"/>
          <w:szCs w:val="24"/>
        </w:rPr>
        <w:t>Fakhouri TH, Hughes JP, Brody DJ, Kit BK, Ogden CL</w:t>
      </w:r>
      <w:r>
        <w:rPr>
          <w:rFonts w:asciiTheme="majorBidi" w:hAnsiTheme="majorBidi" w:cstheme="majorBidi"/>
          <w:sz w:val="24"/>
          <w:szCs w:val="24"/>
        </w:rPr>
        <w:t>, 2013</w:t>
      </w:r>
      <w:r w:rsidRPr="003D79B4">
        <w:rPr>
          <w:rFonts w:asciiTheme="majorBidi" w:hAnsiTheme="majorBidi" w:cstheme="majorBidi"/>
          <w:sz w:val="24"/>
          <w:szCs w:val="24"/>
        </w:rPr>
        <w:t xml:space="preserve">. Physical activity and screen-time viewing among elementary school-aged children in the United States from 2009 to 2010. JAMA Pediatr. </w:t>
      </w:r>
      <w:r>
        <w:rPr>
          <w:rFonts w:asciiTheme="majorBidi" w:hAnsiTheme="majorBidi" w:cstheme="majorBidi"/>
          <w:sz w:val="24"/>
          <w:szCs w:val="24"/>
        </w:rPr>
        <w:t xml:space="preserve">167(3), </w:t>
      </w:r>
      <w:r w:rsidRPr="003D79B4">
        <w:rPr>
          <w:rFonts w:asciiTheme="majorBidi" w:hAnsiTheme="majorBidi" w:cstheme="majorBidi"/>
          <w:sz w:val="24"/>
          <w:szCs w:val="24"/>
        </w:rPr>
        <w:t>223-9</w:t>
      </w:r>
      <w:r>
        <w:rPr>
          <w:rFonts w:asciiTheme="majorBidi" w:hAnsiTheme="majorBidi" w:cstheme="majorBidi"/>
          <w:sz w:val="24"/>
          <w:szCs w:val="24"/>
        </w:rPr>
        <w:t>.</w:t>
      </w:r>
    </w:p>
    <w:p w14:paraId="5B0C1AD4" w14:textId="77777777" w:rsidR="003D79B4" w:rsidRDefault="003D79B4" w:rsidP="003D79B4">
      <w:pPr>
        <w:ind w:left="360" w:hanging="360"/>
        <w:rPr>
          <w:rFonts w:asciiTheme="majorBidi" w:hAnsiTheme="majorBidi" w:cstheme="majorBidi"/>
          <w:sz w:val="24"/>
          <w:szCs w:val="24"/>
        </w:rPr>
      </w:pPr>
      <w:r w:rsidRPr="003D79B4">
        <w:rPr>
          <w:rFonts w:asciiTheme="majorBidi" w:hAnsiTheme="majorBidi" w:cstheme="majorBidi"/>
          <w:sz w:val="24"/>
          <w:szCs w:val="24"/>
        </w:rPr>
        <w:t>Grontved A, Ried-Larsen M, Moller NC, et al.</w:t>
      </w:r>
      <w:r>
        <w:rPr>
          <w:rFonts w:asciiTheme="majorBidi" w:hAnsiTheme="majorBidi" w:cstheme="majorBidi"/>
          <w:sz w:val="24"/>
          <w:szCs w:val="24"/>
        </w:rPr>
        <w:t>, 2014.</w:t>
      </w:r>
      <w:r w:rsidRPr="003D79B4">
        <w:rPr>
          <w:rFonts w:asciiTheme="majorBidi" w:hAnsiTheme="majorBidi" w:cstheme="majorBidi"/>
          <w:sz w:val="24"/>
          <w:szCs w:val="24"/>
        </w:rPr>
        <w:t xml:space="preserve"> Youth screen-time behaviour is associated with cardiovascular risk in young adulthood: the European Youth Heart Study. Eur J Prev Cardiol. </w:t>
      </w:r>
      <w:r>
        <w:rPr>
          <w:rFonts w:asciiTheme="majorBidi" w:hAnsiTheme="majorBidi" w:cstheme="majorBidi"/>
          <w:sz w:val="24"/>
          <w:szCs w:val="24"/>
        </w:rPr>
        <w:t xml:space="preserve">21(1), </w:t>
      </w:r>
      <w:r w:rsidRPr="003D79B4">
        <w:rPr>
          <w:rFonts w:asciiTheme="majorBidi" w:hAnsiTheme="majorBidi" w:cstheme="majorBidi"/>
          <w:sz w:val="24"/>
          <w:szCs w:val="24"/>
        </w:rPr>
        <w:t>49-56.</w:t>
      </w:r>
    </w:p>
    <w:p w14:paraId="7A6E0C95" w14:textId="77777777" w:rsidR="0038503F" w:rsidRDefault="0038503F" w:rsidP="003D79B4">
      <w:pPr>
        <w:ind w:left="360" w:hanging="360"/>
        <w:rPr>
          <w:rFonts w:asciiTheme="majorBidi" w:hAnsiTheme="majorBidi" w:cstheme="majorBidi"/>
          <w:sz w:val="24"/>
          <w:szCs w:val="24"/>
        </w:rPr>
      </w:pPr>
      <w:r w:rsidRPr="0038503F">
        <w:rPr>
          <w:rFonts w:asciiTheme="majorBidi" w:hAnsiTheme="majorBidi" w:cstheme="majorBidi"/>
          <w:sz w:val="24"/>
          <w:szCs w:val="24"/>
        </w:rPr>
        <w:t>Hamer M, Stamatakis E</w:t>
      </w:r>
      <w:r>
        <w:rPr>
          <w:rFonts w:asciiTheme="majorBidi" w:hAnsiTheme="majorBidi" w:cstheme="majorBidi"/>
          <w:sz w:val="24"/>
          <w:szCs w:val="24"/>
        </w:rPr>
        <w:t>, 2014</w:t>
      </w:r>
      <w:r w:rsidRPr="0038503F">
        <w:rPr>
          <w:rFonts w:asciiTheme="majorBidi" w:hAnsiTheme="majorBidi" w:cstheme="majorBidi"/>
          <w:sz w:val="24"/>
          <w:szCs w:val="24"/>
        </w:rPr>
        <w:t xml:space="preserve">. Prospective study of sedentary behavior, risk of depression and cognitive impairement. Med Sci Sp Exerc </w:t>
      </w:r>
      <w:r>
        <w:rPr>
          <w:rFonts w:asciiTheme="majorBidi" w:hAnsiTheme="majorBidi" w:cstheme="majorBidi"/>
          <w:sz w:val="24"/>
          <w:szCs w:val="24"/>
        </w:rPr>
        <w:t xml:space="preserve">46(4), </w:t>
      </w:r>
      <w:r w:rsidRPr="0038503F">
        <w:rPr>
          <w:rFonts w:asciiTheme="majorBidi" w:hAnsiTheme="majorBidi" w:cstheme="majorBidi"/>
          <w:sz w:val="24"/>
          <w:szCs w:val="24"/>
        </w:rPr>
        <w:t>718-23.</w:t>
      </w:r>
    </w:p>
    <w:p w14:paraId="6AE59A9A" w14:textId="77777777" w:rsidR="003D79B4" w:rsidRPr="003D79B4" w:rsidRDefault="003D79B4" w:rsidP="003D79B4">
      <w:pPr>
        <w:ind w:left="360" w:hanging="360"/>
        <w:rPr>
          <w:rFonts w:asciiTheme="majorBidi" w:hAnsiTheme="majorBidi" w:cstheme="majorBidi"/>
          <w:sz w:val="24"/>
          <w:szCs w:val="24"/>
        </w:rPr>
      </w:pPr>
      <w:r w:rsidRPr="003D79B4">
        <w:rPr>
          <w:rFonts w:asciiTheme="majorBidi" w:hAnsiTheme="majorBidi" w:cstheme="majorBidi"/>
          <w:sz w:val="24"/>
          <w:szCs w:val="24"/>
        </w:rPr>
        <w:t>Hamer M, Stamatakis E, Mishra G</w:t>
      </w:r>
      <w:r>
        <w:rPr>
          <w:rFonts w:asciiTheme="majorBidi" w:hAnsiTheme="majorBidi" w:cstheme="majorBidi"/>
          <w:sz w:val="24"/>
          <w:szCs w:val="24"/>
        </w:rPr>
        <w:t>, 2009</w:t>
      </w:r>
      <w:r w:rsidRPr="003D79B4">
        <w:rPr>
          <w:rFonts w:asciiTheme="majorBidi" w:hAnsiTheme="majorBidi" w:cstheme="majorBidi"/>
          <w:sz w:val="24"/>
          <w:szCs w:val="24"/>
        </w:rPr>
        <w:t xml:space="preserve">. Psychological distress, television viewing, and physical activity in children aged 4 to 12 years. Pediatrics. </w:t>
      </w:r>
      <w:r>
        <w:rPr>
          <w:rFonts w:asciiTheme="majorBidi" w:hAnsiTheme="majorBidi" w:cstheme="majorBidi"/>
          <w:sz w:val="24"/>
          <w:szCs w:val="24"/>
        </w:rPr>
        <w:t xml:space="preserve">123(5), </w:t>
      </w:r>
      <w:r w:rsidRPr="003D79B4">
        <w:rPr>
          <w:rFonts w:asciiTheme="majorBidi" w:hAnsiTheme="majorBidi" w:cstheme="majorBidi"/>
          <w:sz w:val="24"/>
          <w:szCs w:val="24"/>
        </w:rPr>
        <w:t>1263-8.</w:t>
      </w:r>
    </w:p>
    <w:p w14:paraId="0568E422" w14:textId="77777777" w:rsidR="003D79B4" w:rsidRDefault="003D79B4" w:rsidP="003D79B4">
      <w:pPr>
        <w:ind w:left="360" w:hanging="360"/>
        <w:rPr>
          <w:rFonts w:asciiTheme="majorBidi" w:hAnsiTheme="majorBidi" w:cstheme="majorBidi"/>
          <w:sz w:val="24"/>
          <w:szCs w:val="24"/>
        </w:rPr>
      </w:pPr>
      <w:r w:rsidRPr="003D79B4">
        <w:rPr>
          <w:rFonts w:asciiTheme="majorBidi" w:hAnsiTheme="majorBidi" w:cstheme="majorBidi"/>
          <w:sz w:val="24"/>
          <w:szCs w:val="24"/>
        </w:rPr>
        <w:t>Hancox RJ, Milne BJ, Poulton R</w:t>
      </w:r>
      <w:r>
        <w:rPr>
          <w:rFonts w:asciiTheme="majorBidi" w:hAnsiTheme="majorBidi" w:cstheme="majorBidi"/>
          <w:sz w:val="24"/>
          <w:szCs w:val="24"/>
        </w:rPr>
        <w:t>, 2004</w:t>
      </w:r>
      <w:r w:rsidRPr="003D79B4">
        <w:rPr>
          <w:rFonts w:asciiTheme="majorBidi" w:hAnsiTheme="majorBidi" w:cstheme="majorBidi"/>
          <w:sz w:val="24"/>
          <w:szCs w:val="24"/>
        </w:rPr>
        <w:t xml:space="preserve">. Association between child and adolescent television viewing and adult health: a longitudinal birth cohort study. The Lancet. </w:t>
      </w:r>
      <w:r>
        <w:rPr>
          <w:rFonts w:asciiTheme="majorBidi" w:hAnsiTheme="majorBidi" w:cstheme="majorBidi"/>
          <w:sz w:val="24"/>
          <w:szCs w:val="24"/>
        </w:rPr>
        <w:t xml:space="preserve">364(9430), </w:t>
      </w:r>
      <w:r w:rsidRPr="003D79B4">
        <w:rPr>
          <w:rFonts w:asciiTheme="majorBidi" w:hAnsiTheme="majorBidi" w:cstheme="majorBidi"/>
          <w:sz w:val="24"/>
          <w:szCs w:val="24"/>
        </w:rPr>
        <w:t>257-262.</w:t>
      </w:r>
    </w:p>
    <w:p w14:paraId="2404AC44" w14:textId="77777777" w:rsidR="003D79B4" w:rsidRDefault="003D79B4" w:rsidP="003D79B4">
      <w:pPr>
        <w:ind w:left="360" w:hanging="360"/>
        <w:rPr>
          <w:rFonts w:asciiTheme="majorBidi" w:hAnsiTheme="majorBidi" w:cstheme="majorBidi"/>
          <w:sz w:val="24"/>
          <w:szCs w:val="24"/>
        </w:rPr>
      </w:pPr>
      <w:r w:rsidRPr="003D79B4">
        <w:rPr>
          <w:rFonts w:asciiTheme="majorBidi" w:hAnsiTheme="majorBidi" w:cstheme="majorBidi"/>
          <w:sz w:val="24"/>
          <w:szCs w:val="24"/>
        </w:rPr>
        <w:t>Healy GN, Matthews CE, Dunstan DW, Winkler EA, Owen N</w:t>
      </w:r>
      <w:r>
        <w:rPr>
          <w:rFonts w:asciiTheme="majorBidi" w:hAnsiTheme="majorBidi" w:cstheme="majorBidi"/>
          <w:sz w:val="24"/>
          <w:szCs w:val="24"/>
        </w:rPr>
        <w:t>, 2011</w:t>
      </w:r>
      <w:r w:rsidRPr="003D79B4">
        <w:rPr>
          <w:rFonts w:asciiTheme="majorBidi" w:hAnsiTheme="majorBidi" w:cstheme="majorBidi"/>
          <w:sz w:val="24"/>
          <w:szCs w:val="24"/>
        </w:rPr>
        <w:t xml:space="preserve">. Sedentary time and cardio-metabolic biomarkers in US adults: NHANES 2003-06. Eur Heart J. </w:t>
      </w:r>
      <w:r>
        <w:rPr>
          <w:rFonts w:asciiTheme="majorBidi" w:hAnsiTheme="majorBidi" w:cstheme="majorBidi"/>
          <w:sz w:val="24"/>
          <w:szCs w:val="24"/>
        </w:rPr>
        <w:t xml:space="preserve">32(5), </w:t>
      </w:r>
      <w:r w:rsidRPr="003D79B4">
        <w:rPr>
          <w:rFonts w:asciiTheme="majorBidi" w:hAnsiTheme="majorBidi" w:cstheme="majorBidi"/>
          <w:sz w:val="24"/>
          <w:szCs w:val="24"/>
        </w:rPr>
        <w:t>590-7.</w:t>
      </w:r>
    </w:p>
    <w:p w14:paraId="62518438" w14:textId="77777777" w:rsidR="0038503F" w:rsidRDefault="0038503F" w:rsidP="003D79B4">
      <w:pPr>
        <w:ind w:left="360" w:hanging="360"/>
        <w:rPr>
          <w:rFonts w:asciiTheme="majorBidi" w:hAnsiTheme="majorBidi" w:cstheme="majorBidi"/>
          <w:sz w:val="24"/>
          <w:szCs w:val="24"/>
        </w:rPr>
      </w:pPr>
      <w:r w:rsidRPr="0038503F">
        <w:rPr>
          <w:rFonts w:asciiTheme="majorBidi" w:hAnsiTheme="majorBidi" w:cstheme="majorBidi"/>
          <w:sz w:val="24"/>
          <w:szCs w:val="24"/>
        </w:rPr>
        <w:t xml:space="preserve">Lefevre J, Philippaerts R, Delvaux K, </w:t>
      </w:r>
      <w:r>
        <w:rPr>
          <w:rFonts w:asciiTheme="majorBidi" w:hAnsiTheme="majorBidi" w:cstheme="majorBidi"/>
          <w:sz w:val="24"/>
          <w:szCs w:val="24"/>
        </w:rPr>
        <w:t>et al., 2002</w:t>
      </w:r>
      <w:r w:rsidRPr="0038503F">
        <w:rPr>
          <w:rFonts w:asciiTheme="majorBidi" w:hAnsiTheme="majorBidi" w:cstheme="majorBidi"/>
          <w:sz w:val="24"/>
          <w:szCs w:val="24"/>
        </w:rPr>
        <w:t xml:space="preserve">. Relation between cardiovascular risk factors at adult age, and physical activity during youth and adulthood: The Leuven Longitudinal Study on Lifestyle, Fitness and Health.  Int J Sports Med </w:t>
      </w:r>
      <w:r>
        <w:rPr>
          <w:rFonts w:asciiTheme="majorBidi" w:hAnsiTheme="majorBidi" w:cstheme="majorBidi"/>
          <w:sz w:val="24"/>
          <w:szCs w:val="24"/>
        </w:rPr>
        <w:t xml:space="preserve">23 (Suppl 1), </w:t>
      </w:r>
      <w:r w:rsidRPr="0038503F">
        <w:rPr>
          <w:rFonts w:asciiTheme="majorBidi" w:hAnsiTheme="majorBidi" w:cstheme="majorBidi"/>
          <w:sz w:val="24"/>
          <w:szCs w:val="24"/>
        </w:rPr>
        <w:t>S32–8.</w:t>
      </w:r>
    </w:p>
    <w:p w14:paraId="6C4A382D" w14:textId="77777777" w:rsidR="0038503F" w:rsidRDefault="0038503F" w:rsidP="003D79B4">
      <w:pPr>
        <w:ind w:left="360" w:hanging="360"/>
        <w:rPr>
          <w:rFonts w:asciiTheme="majorBidi" w:hAnsiTheme="majorBidi" w:cstheme="majorBidi"/>
          <w:sz w:val="24"/>
          <w:szCs w:val="24"/>
        </w:rPr>
      </w:pPr>
      <w:r w:rsidRPr="0038503F">
        <w:rPr>
          <w:rFonts w:asciiTheme="majorBidi" w:hAnsiTheme="majorBidi" w:cstheme="majorBidi"/>
          <w:sz w:val="24"/>
          <w:szCs w:val="24"/>
        </w:rPr>
        <w:t xml:space="preserve">Lucas M, Mekary R, Pan A, </w:t>
      </w:r>
      <w:r>
        <w:rPr>
          <w:rFonts w:asciiTheme="majorBidi" w:hAnsiTheme="majorBidi" w:cstheme="majorBidi"/>
          <w:sz w:val="24"/>
          <w:szCs w:val="24"/>
        </w:rPr>
        <w:t>et al</w:t>
      </w:r>
      <w:r w:rsidR="00D00F0C">
        <w:rPr>
          <w:rFonts w:asciiTheme="majorBidi" w:hAnsiTheme="majorBidi" w:cstheme="majorBidi"/>
          <w:sz w:val="24"/>
          <w:szCs w:val="24"/>
        </w:rPr>
        <w:t>.</w:t>
      </w:r>
      <w:r>
        <w:rPr>
          <w:rFonts w:asciiTheme="majorBidi" w:hAnsiTheme="majorBidi" w:cstheme="majorBidi"/>
          <w:sz w:val="24"/>
          <w:szCs w:val="24"/>
        </w:rPr>
        <w:t>, 2011</w:t>
      </w:r>
      <w:r w:rsidRPr="0038503F">
        <w:rPr>
          <w:rFonts w:asciiTheme="majorBidi" w:hAnsiTheme="majorBidi" w:cstheme="majorBidi"/>
          <w:sz w:val="24"/>
          <w:szCs w:val="24"/>
        </w:rPr>
        <w:t xml:space="preserve">. Relation between clinical depression risk and physical activity and time spent watching television in older women: a 10-year prospective follow-up study. Am J Epidemiol </w:t>
      </w:r>
      <w:r>
        <w:rPr>
          <w:rFonts w:asciiTheme="majorBidi" w:hAnsiTheme="majorBidi" w:cstheme="majorBidi"/>
          <w:sz w:val="24"/>
          <w:szCs w:val="24"/>
        </w:rPr>
        <w:t xml:space="preserve">174, </w:t>
      </w:r>
      <w:r w:rsidRPr="0038503F">
        <w:rPr>
          <w:rFonts w:asciiTheme="majorBidi" w:hAnsiTheme="majorBidi" w:cstheme="majorBidi"/>
          <w:sz w:val="24"/>
          <w:szCs w:val="24"/>
        </w:rPr>
        <w:t>1017-</w:t>
      </w:r>
      <w:proofErr w:type="gramStart"/>
      <w:r w:rsidRPr="0038503F">
        <w:rPr>
          <w:rFonts w:asciiTheme="majorBidi" w:hAnsiTheme="majorBidi" w:cstheme="majorBidi"/>
          <w:sz w:val="24"/>
          <w:szCs w:val="24"/>
        </w:rPr>
        <w:t>27.</w:t>
      </w:r>
      <w:proofErr w:type="gramEnd"/>
    </w:p>
    <w:p w14:paraId="7659FC66" w14:textId="77777777" w:rsidR="0038503F" w:rsidRDefault="0038503F" w:rsidP="003D79B4">
      <w:pPr>
        <w:ind w:left="360" w:hanging="360"/>
        <w:rPr>
          <w:rFonts w:asciiTheme="majorBidi" w:hAnsiTheme="majorBidi" w:cstheme="majorBidi"/>
          <w:sz w:val="24"/>
          <w:szCs w:val="24"/>
        </w:rPr>
      </w:pPr>
      <w:r w:rsidRPr="0038503F">
        <w:rPr>
          <w:rFonts w:asciiTheme="majorBidi" w:hAnsiTheme="majorBidi" w:cstheme="majorBidi"/>
          <w:sz w:val="24"/>
          <w:szCs w:val="24"/>
        </w:rPr>
        <w:lastRenderedPageBreak/>
        <w:t>McGee R, Williams S, Silva PA</w:t>
      </w:r>
      <w:r>
        <w:rPr>
          <w:rFonts w:asciiTheme="majorBidi" w:hAnsiTheme="majorBidi" w:cstheme="majorBidi"/>
          <w:sz w:val="24"/>
          <w:szCs w:val="24"/>
        </w:rPr>
        <w:t>, 1986</w:t>
      </w:r>
      <w:r w:rsidRPr="0038503F">
        <w:rPr>
          <w:rFonts w:asciiTheme="majorBidi" w:hAnsiTheme="majorBidi" w:cstheme="majorBidi"/>
          <w:sz w:val="24"/>
          <w:szCs w:val="24"/>
        </w:rPr>
        <w:t xml:space="preserve">. An evaluation of the Malaise Inventory. J Psychosom Res. </w:t>
      </w:r>
      <w:r>
        <w:rPr>
          <w:rFonts w:asciiTheme="majorBidi" w:hAnsiTheme="majorBidi" w:cstheme="majorBidi"/>
          <w:sz w:val="24"/>
          <w:szCs w:val="24"/>
        </w:rPr>
        <w:t xml:space="preserve">30(2), </w:t>
      </w:r>
      <w:r w:rsidRPr="0038503F">
        <w:rPr>
          <w:rFonts w:asciiTheme="majorBidi" w:hAnsiTheme="majorBidi" w:cstheme="majorBidi"/>
          <w:sz w:val="24"/>
          <w:szCs w:val="24"/>
        </w:rPr>
        <w:t>147-52.</w:t>
      </w:r>
    </w:p>
    <w:p w14:paraId="7534BE2D" w14:textId="77777777" w:rsidR="0038503F" w:rsidRDefault="00D00F0C" w:rsidP="0038503F">
      <w:pPr>
        <w:ind w:left="360" w:hanging="360"/>
        <w:rPr>
          <w:rFonts w:asciiTheme="majorBidi" w:hAnsiTheme="majorBidi" w:cstheme="majorBidi"/>
          <w:sz w:val="24"/>
          <w:szCs w:val="24"/>
        </w:rPr>
      </w:pPr>
      <w:r>
        <w:rPr>
          <w:rFonts w:asciiTheme="majorBidi" w:hAnsiTheme="majorBidi" w:cstheme="majorBidi"/>
          <w:sz w:val="24"/>
          <w:szCs w:val="24"/>
        </w:rPr>
        <w:t>Parkes A, W</w:t>
      </w:r>
      <w:r w:rsidR="0038503F" w:rsidRPr="0038503F">
        <w:rPr>
          <w:rFonts w:asciiTheme="majorBidi" w:hAnsiTheme="majorBidi" w:cstheme="majorBidi"/>
          <w:sz w:val="24"/>
          <w:szCs w:val="24"/>
        </w:rPr>
        <w:t>eeting H, Wight D, Henderson M</w:t>
      </w:r>
      <w:r w:rsidR="0038503F">
        <w:rPr>
          <w:rFonts w:asciiTheme="majorBidi" w:hAnsiTheme="majorBidi" w:cstheme="majorBidi"/>
          <w:sz w:val="24"/>
          <w:szCs w:val="24"/>
        </w:rPr>
        <w:t>, 2013</w:t>
      </w:r>
      <w:r w:rsidR="0038503F" w:rsidRPr="0038503F">
        <w:rPr>
          <w:rFonts w:asciiTheme="majorBidi" w:hAnsiTheme="majorBidi" w:cstheme="majorBidi"/>
          <w:sz w:val="24"/>
          <w:szCs w:val="24"/>
        </w:rPr>
        <w:t xml:space="preserve">. Do television and electronic games predict children's psychological adjustment? Longitudinal research using the Millenium Cohort Study. Arch Dis Child. </w:t>
      </w:r>
      <w:r w:rsidR="0038503F">
        <w:rPr>
          <w:rFonts w:asciiTheme="majorBidi" w:hAnsiTheme="majorBidi" w:cstheme="majorBidi"/>
          <w:sz w:val="24"/>
          <w:szCs w:val="24"/>
        </w:rPr>
        <w:t xml:space="preserve">98(5), </w:t>
      </w:r>
      <w:r w:rsidR="0038503F" w:rsidRPr="0038503F">
        <w:rPr>
          <w:rFonts w:asciiTheme="majorBidi" w:hAnsiTheme="majorBidi" w:cstheme="majorBidi"/>
          <w:sz w:val="24"/>
          <w:szCs w:val="24"/>
        </w:rPr>
        <w:t xml:space="preserve">341-8. </w:t>
      </w:r>
    </w:p>
    <w:p w14:paraId="0370BE8F" w14:textId="77777777" w:rsidR="0038503F" w:rsidRDefault="0038503F" w:rsidP="0038503F">
      <w:pPr>
        <w:ind w:left="360" w:hanging="360"/>
        <w:rPr>
          <w:rFonts w:asciiTheme="majorBidi" w:hAnsiTheme="majorBidi" w:cstheme="majorBidi"/>
          <w:sz w:val="24"/>
          <w:szCs w:val="24"/>
        </w:rPr>
      </w:pPr>
      <w:r w:rsidRPr="0038503F">
        <w:rPr>
          <w:rFonts w:asciiTheme="majorBidi" w:hAnsiTheme="majorBidi" w:cstheme="majorBidi"/>
          <w:sz w:val="24"/>
          <w:szCs w:val="24"/>
        </w:rPr>
        <w:t>Pearson N, Biddle SJ</w:t>
      </w:r>
      <w:r>
        <w:rPr>
          <w:rFonts w:asciiTheme="majorBidi" w:hAnsiTheme="majorBidi" w:cstheme="majorBidi"/>
          <w:sz w:val="24"/>
          <w:szCs w:val="24"/>
        </w:rPr>
        <w:t>, 2011</w:t>
      </w:r>
      <w:r w:rsidRPr="0038503F">
        <w:rPr>
          <w:rFonts w:asciiTheme="majorBidi" w:hAnsiTheme="majorBidi" w:cstheme="majorBidi"/>
          <w:sz w:val="24"/>
          <w:szCs w:val="24"/>
        </w:rPr>
        <w:t xml:space="preserve">. Sedentary behavior and dietary intake in children, adolescents, and adults. A systematic review. Am J Prev Med </w:t>
      </w:r>
      <w:r>
        <w:rPr>
          <w:rFonts w:asciiTheme="majorBidi" w:hAnsiTheme="majorBidi" w:cstheme="majorBidi"/>
          <w:sz w:val="24"/>
          <w:szCs w:val="24"/>
        </w:rPr>
        <w:t>41(2)</w:t>
      </w:r>
      <w:proofErr w:type="gramStart"/>
      <w:r>
        <w:rPr>
          <w:rFonts w:asciiTheme="majorBidi" w:hAnsiTheme="majorBidi" w:cstheme="majorBidi"/>
          <w:sz w:val="24"/>
          <w:szCs w:val="24"/>
        </w:rPr>
        <w:t>,</w:t>
      </w:r>
      <w:r w:rsidRPr="0038503F">
        <w:rPr>
          <w:rFonts w:asciiTheme="majorBidi" w:hAnsiTheme="majorBidi" w:cstheme="majorBidi"/>
          <w:sz w:val="24"/>
          <w:szCs w:val="24"/>
        </w:rPr>
        <w:t>178</w:t>
      </w:r>
      <w:proofErr w:type="gramEnd"/>
      <w:r w:rsidRPr="0038503F">
        <w:rPr>
          <w:rFonts w:asciiTheme="majorBidi" w:hAnsiTheme="majorBidi" w:cstheme="majorBidi"/>
          <w:sz w:val="24"/>
          <w:szCs w:val="24"/>
        </w:rPr>
        <w:t>-188.</w:t>
      </w:r>
    </w:p>
    <w:p w14:paraId="174B3151" w14:textId="77777777" w:rsidR="0038503F" w:rsidRPr="0038503F" w:rsidRDefault="0038503F" w:rsidP="0038503F">
      <w:pPr>
        <w:ind w:left="360" w:hanging="360"/>
        <w:rPr>
          <w:rFonts w:asciiTheme="majorBidi" w:hAnsiTheme="majorBidi" w:cstheme="majorBidi"/>
          <w:sz w:val="24"/>
          <w:szCs w:val="24"/>
        </w:rPr>
      </w:pPr>
      <w:r w:rsidRPr="0038503F">
        <w:rPr>
          <w:rFonts w:asciiTheme="majorBidi" w:hAnsiTheme="majorBidi" w:cstheme="majorBidi"/>
          <w:sz w:val="24"/>
          <w:szCs w:val="24"/>
        </w:rPr>
        <w:t>Pressman SD, Cohen S</w:t>
      </w:r>
      <w:r>
        <w:rPr>
          <w:rFonts w:asciiTheme="majorBidi" w:hAnsiTheme="majorBidi" w:cstheme="majorBidi"/>
          <w:sz w:val="24"/>
          <w:szCs w:val="24"/>
        </w:rPr>
        <w:t>, 2005</w:t>
      </w:r>
      <w:r w:rsidRPr="0038503F">
        <w:rPr>
          <w:rFonts w:asciiTheme="majorBidi" w:hAnsiTheme="majorBidi" w:cstheme="majorBidi"/>
          <w:sz w:val="24"/>
          <w:szCs w:val="24"/>
        </w:rPr>
        <w:t>. Does positive affect influence health? Psych</w:t>
      </w:r>
      <w:r>
        <w:rPr>
          <w:rFonts w:asciiTheme="majorBidi" w:hAnsiTheme="majorBidi" w:cstheme="majorBidi"/>
          <w:sz w:val="24"/>
          <w:szCs w:val="24"/>
        </w:rPr>
        <w:t>. Bull.</w:t>
      </w:r>
      <w:r w:rsidRPr="0038503F">
        <w:rPr>
          <w:rFonts w:asciiTheme="majorBidi" w:hAnsiTheme="majorBidi" w:cstheme="majorBidi"/>
          <w:sz w:val="24"/>
          <w:szCs w:val="24"/>
        </w:rPr>
        <w:t xml:space="preserve"> </w:t>
      </w:r>
      <w:r>
        <w:rPr>
          <w:rFonts w:asciiTheme="majorBidi" w:hAnsiTheme="majorBidi" w:cstheme="majorBidi"/>
          <w:sz w:val="24"/>
          <w:szCs w:val="24"/>
        </w:rPr>
        <w:t>131,</w:t>
      </w:r>
      <w:r w:rsidRPr="0038503F">
        <w:rPr>
          <w:rFonts w:asciiTheme="majorBidi" w:hAnsiTheme="majorBidi" w:cstheme="majorBidi"/>
          <w:sz w:val="24"/>
          <w:szCs w:val="24"/>
        </w:rPr>
        <w:t xml:space="preserve"> 925-971.</w:t>
      </w:r>
    </w:p>
    <w:p w14:paraId="3AAFC133" w14:textId="77777777" w:rsidR="0038503F" w:rsidRDefault="0038503F" w:rsidP="0038503F">
      <w:pPr>
        <w:ind w:left="360" w:hanging="360"/>
        <w:rPr>
          <w:rFonts w:asciiTheme="majorBidi" w:hAnsiTheme="majorBidi" w:cstheme="majorBidi"/>
          <w:sz w:val="24"/>
          <w:szCs w:val="24"/>
        </w:rPr>
      </w:pPr>
      <w:r w:rsidRPr="0038503F">
        <w:rPr>
          <w:rFonts w:asciiTheme="majorBidi" w:hAnsiTheme="majorBidi" w:cstheme="majorBidi"/>
          <w:sz w:val="24"/>
          <w:szCs w:val="24"/>
        </w:rPr>
        <w:t>Primack BA, Swanier B, Georgiopoulos AM, Land SR, Fine MJ</w:t>
      </w:r>
      <w:r>
        <w:rPr>
          <w:rFonts w:asciiTheme="majorBidi" w:hAnsiTheme="majorBidi" w:cstheme="majorBidi"/>
          <w:sz w:val="24"/>
          <w:szCs w:val="24"/>
        </w:rPr>
        <w:t>, 2009</w:t>
      </w:r>
      <w:r w:rsidRPr="0038503F">
        <w:rPr>
          <w:rFonts w:asciiTheme="majorBidi" w:hAnsiTheme="majorBidi" w:cstheme="majorBidi"/>
          <w:sz w:val="24"/>
          <w:szCs w:val="24"/>
        </w:rPr>
        <w:t xml:space="preserve">. Association between media use in adolescence and depression in young adulthood: a longitudinal study. Arch Gen Psychiatry. </w:t>
      </w:r>
      <w:r>
        <w:rPr>
          <w:rFonts w:asciiTheme="majorBidi" w:hAnsiTheme="majorBidi" w:cstheme="majorBidi"/>
          <w:sz w:val="24"/>
          <w:szCs w:val="24"/>
        </w:rPr>
        <w:t xml:space="preserve">66(2), </w:t>
      </w:r>
      <w:r w:rsidRPr="0038503F">
        <w:rPr>
          <w:rFonts w:asciiTheme="majorBidi" w:hAnsiTheme="majorBidi" w:cstheme="majorBidi"/>
          <w:sz w:val="24"/>
          <w:szCs w:val="24"/>
        </w:rPr>
        <w:t>181-8.</w:t>
      </w:r>
    </w:p>
    <w:p w14:paraId="03939407" w14:textId="77777777" w:rsidR="0038503F" w:rsidRPr="00D33716" w:rsidRDefault="0038503F" w:rsidP="0038503F">
      <w:pPr>
        <w:ind w:left="360" w:hanging="360"/>
        <w:rPr>
          <w:rFonts w:asciiTheme="majorBidi" w:hAnsiTheme="majorBidi" w:cstheme="majorBidi"/>
          <w:sz w:val="24"/>
          <w:szCs w:val="24"/>
        </w:rPr>
      </w:pPr>
      <w:r w:rsidRPr="00D33716">
        <w:rPr>
          <w:rFonts w:asciiTheme="majorBidi" w:hAnsiTheme="majorBidi" w:cstheme="majorBidi"/>
          <w:sz w:val="24"/>
          <w:szCs w:val="24"/>
        </w:rPr>
        <w:t>Puig-Ribera A, Martínez-Lemos I, Giné-Garriga M, et al., 2015. Self-reported sitting time and physical activity: interactive associations with mental well-being and productivity in office employees. BMC Public Health. 15, 72.</w:t>
      </w:r>
    </w:p>
    <w:p w14:paraId="4FA2837E" w14:textId="77777777" w:rsidR="0038503F" w:rsidRDefault="0038503F" w:rsidP="0038503F">
      <w:pPr>
        <w:ind w:left="360" w:hanging="360"/>
        <w:rPr>
          <w:rFonts w:asciiTheme="majorBidi" w:hAnsiTheme="majorBidi" w:cstheme="majorBidi"/>
          <w:sz w:val="24"/>
          <w:szCs w:val="24"/>
        </w:rPr>
      </w:pPr>
      <w:r w:rsidRPr="0038503F">
        <w:rPr>
          <w:rFonts w:asciiTheme="majorBidi" w:hAnsiTheme="majorBidi" w:cstheme="majorBidi"/>
          <w:sz w:val="24"/>
          <w:szCs w:val="24"/>
        </w:rPr>
        <w:t>Rutter M, Tizard J, Whitmore K</w:t>
      </w:r>
      <w:r>
        <w:rPr>
          <w:rFonts w:asciiTheme="majorBidi" w:hAnsiTheme="majorBidi" w:cstheme="majorBidi"/>
          <w:sz w:val="24"/>
          <w:szCs w:val="24"/>
        </w:rPr>
        <w:t>, 1970</w:t>
      </w:r>
      <w:r w:rsidRPr="0038503F">
        <w:rPr>
          <w:rFonts w:asciiTheme="majorBidi" w:hAnsiTheme="majorBidi" w:cstheme="majorBidi"/>
          <w:sz w:val="24"/>
          <w:szCs w:val="24"/>
        </w:rPr>
        <w:t xml:space="preserve">. Education, health </w:t>
      </w:r>
      <w:r>
        <w:rPr>
          <w:rFonts w:asciiTheme="majorBidi" w:hAnsiTheme="majorBidi" w:cstheme="majorBidi"/>
          <w:sz w:val="24"/>
          <w:szCs w:val="24"/>
        </w:rPr>
        <w:t>and behaviour. London: Longmans</w:t>
      </w:r>
      <w:r w:rsidRPr="0038503F">
        <w:rPr>
          <w:rFonts w:asciiTheme="majorBidi" w:hAnsiTheme="majorBidi" w:cstheme="majorBidi"/>
          <w:sz w:val="24"/>
          <w:szCs w:val="24"/>
        </w:rPr>
        <w:t>.</w:t>
      </w:r>
    </w:p>
    <w:p w14:paraId="289B6665" w14:textId="77777777" w:rsidR="0038503F" w:rsidRPr="0038503F" w:rsidRDefault="0038503F" w:rsidP="0038503F">
      <w:pPr>
        <w:ind w:left="360" w:hanging="360"/>
        <w:rPr>
          <w:rFonts w:asciiTheme="majorBidi" w:hAnsiTheme="majorBidi" w:cstheme="majorBidi"/>
          <w:sz w:val="24"/>
          <w:szCs w:val="24"/>
        </w:rPr>
      </w:pPr>
      <w:r w:rsidRPr="0038503F">
        <w:rPr>
          <w:rFonts w:asciiTheme="majorBidi" w:hAnsiTheme="majorBidi" w:cstheme="majorBidi"/>
          <w:sz w:val="24"/>
          <w:szCs w:val="24"/>
        </w:rPr>
        <w:t>Sacker A, Cable N</w:t>
      </w:r>
      <w:r>
        <w:rPr>
          <w:rFonts w:asciiTheme="majorBidi" w:hAnsiTheme="majorBidi" w:cstheme="majorBidi"/>
          <w:sz w:val="24"/>
          <w:szCs w:val="24"/>
        </w:rPr>
        <w:t>, 2006</w:t>
      </w:r>
      <w:r w:rsidRPr="0038503F">
        <w:rPr>
          <w:rFonts w:asciiTheme="majorBidi" w:hAnsiTheme="majorBidi" w:cstheme="majorBidi"/>
          <w:sz w:val="24"/>
          <w:szCs w:val="24"/>
        </w:rPr>
        <w:t xml:space="preserve">. Do adolescent leisure-time physical activities foster health and well-being in adulthood? Evidence from two British birth cohorts. Eur J Public Health. </w:t>
      </w:r>
      <w:r>
        <w:rPr>
          <w:rFonts w:asciiTheme="majorBidi" w:hAnsiTheme="majorBidi" w:cstheme="majorBidi"/>
          <w:sz w:val="24"/>
          <w:szCs w:val="24"/>
        </w:rPr>
        <w:t xml:space="preserve">16(3), </w:t>
      </w:r>
      <w:r w:rsidRPr="0038503F">
        <w:rPr>
          <w:rFonts w:asciiTheme="majorBidi" w:hAnsiTheme="majorBidi" w:cstheme="majorBidi"/>
          <w:sz w:val="24"/>
          <w:szCs w:val="24"/>
        </w:rPr>
        <w:t>332-6.</w:t>
      </w:r>
    </w:p>
    <w:p w14:paraId="6CB40090" w14:textId="77777777" w:rsidR="0038503F" w:rsidRDefault="0038503F" w:rsidP="0038503F">
      <w:pPr>
        <w:ind w:left="360" w:hanging="360"/>
        <w:rPr>
          <w:rFonts w:asciiTheme="majorBidi" w:hAnsiTheme="majorBidi" w:cstheme="majorBidi"/>
          <w:sz w:val="24"/>
          <w:szCs w:val="24"/>
        </w:rPr>
      </w:pPr>
      <w:r w:rsidRPr="0038503F">
        <w:rPr>
          <w:rFonts w:asciiTheme="majorBidi" w:hAnsiTheme="majorBidi" w:cstheme="majorBidi"/>
          <w:sz w:val="24"/>
          <w:szCs w:val="24"/>
        </w:rPr>
        <w:t xml:space="preserve">Sanchez-Villegas A, Ara I, Guillén-Grima F, </w:t>
      </w:r>
      <w:r>
        <w:rPr>
          <w:rFonts w:asciiTheme="majorBidi" w:hAnsiTheme="majorBidi" w:cstheme="majorBidi"/>
          <w:sz w:val="24"/>
          <w:szCs w:val="24"/>
        </w:rPr>
        <w:t>et al., 2010</w:t>
      </w:r>
      <w:r w:rsidRPr="0038503F">
        <w:rPr>
          <w:rFonts w:asciiTheme="majorBidi" w:hAnsiTheme="majorBidi" w:cstheme="majorBidi"/>
          <w:sz w:val="24"/>
          <w:szCs w:val="24"/>
        </w:rPr>
        <w:t xml:space="preserve">. Physical activity, sedentary index, and mental disorders in the SUN cohort study. Med Sci Sports Exerc </w:t>
      </w:r>
      <w:r>
        <w:rPr>
          <w:rFonts w:asciiTheme="majorBidi" w:hAnsiTheme="majorBidi" w:cstheme="majorBidi"/>
          <w:sz w:val="24"/>
          <w:szCs w:val="24"/>
        </w:rPr>
        <w:t xml:space="preserve">40, </w:t>
      </w:r>
      <w:r w:rsidRPr="0038503F">
        <w:rPr>
          <w:rFonts w:asciiTheme="majorBidi" w:hAnsiTheme="majorBidi" w:cstheme="majorBidi"/>
          <w:sz w:val="24"/>
          <w:szCs w:val="24"/>
        </w:rPr>
        <w:t>827-34.</w:t>
      </w:r>
    </w:p>
    <w:p w14:paraId="50868647" w14:textId="77777777" w:rsidR="0038503F" w:rsidRPr="00D33716" w:rsidRDefault="0038503F" w:rsidP="0038503F">
      <w:pPr>
        <w:ind w:left="360" w:hanging="360"/>
        <w:rPr>
          <w:rFonts w:asciiTheme="majorBidi" w:hAnsiTheme="majorBidi" w:cstheme="majorBidi"/>
          <w:sz w:val="24"/>
          <w:szCs w:val="24"/>
          <w:lang w:val="de-DE"/>
        </w:rPr>
      </w:pPr>
      <w:r w:rsidRPr="00D33716">
        <w:rPr>
          <w:rFonts w:asciiTheme="majorBidi" w:hAnsiTheme="majorBidi" w:cstheme="majorBidi"/>
          <w:sz w:val="24"/>
          <w:szCs w:val="24"/>
        </w:rPr>
        <w:t xml:space="preserve">Sedentary Behaviour RN, 2012. Letter to the editor: standardized use of the terms "sedentary" and "sedentary behaviours". </w:t>
      </w:r>
      <w:r w:rsidRPr="00D33716">
        <w:rPr>
          <w:rFonts w:asciiTheme="majorBidi" w:hAnsiTheme="majorBidi" w:cstheme="majorBidi"/>
          <w:sz w:val="24"/>
          <w:szCs w:val="24"/>
          <w:lang w:val="de-DE"/>
        </w:rPr>
        <w:t>Appl Physiol Nutr Metab  37(3), 540-542.</w:t>
      </w:r>
    </w:p>
    <w:p w14:paraId="53DA3645" w14:textId="77777777" w:rsidR="00B3625D" w:rsidRDefault="00B3625D" w:rsidP="0038503F">
      <w:pPr>
        <w:ind w:left="360" w:hanging="360"/>
        <w:rPr>
          <w:rFonts w:asciiTheme="majorBidi" w:hAnsiTheme="majorBidi" w:cstheme="majorBidi"/>
          <w:sz w:val="24"/>
          <w:szCs w:val="24"/>
        </w:rPr>
      </w:pPr>
      <w:r w:rsidRPr="003B517A">
        <w:rPr>
          <w:rFonts w:asciiTheme="majorBidi" w:hAnsiTheme="majorBidi" w:cstheme="majorBidi"/>
          <w:sz w:val="24"/>
          <w:szCs w:val="24"/>
          <w:lang w:val="de-DE"/>
        </w:rPr>
        <w:t>Stamatakis E, Hamer M, Tilling K, Lawlor DA</w:t>
      </w:r>
      <w:r w:rsidR="0038503F">
        <w:rPr>
          <w:rFonts w:asciiTheme="majorBidi" w:hAnsiTheme="majorBidi" w:cstheme="majorBidi"/>
          <w:sz w:val="24"/>
          <w:szCs w:val="24"/>
          <w:lang w:val="de-DE"/>
        </w:rPr>
        <w:t>, 2012</w:t>
      </w:r>
      <w:r w:rsidRPr="003B517A">
        <w:rPr>
          <w:rFonts w:asciiTheme="majorBidi" w:hAnsiTheme="majorBidi" w:cstheme="majorBidi"/>
          <w:sz w:val="24"/>
          <w:szCs w:val="24"/>
          <w:lang w:val="de-DE"/>
        </w:rPr>
        <w:t xml:space="preserve">. </w:t>
      </w:r>
      <w:r w:rsidRPr="003B517A">
        <w:rPr>
          <w:rFonts w:asciiTheme="majorBidi" w:hAnsiTheme="majorBidi" w:cstheme="majorBidi"/>
          <w:sz w:val="24"/>
          <w:szCs w:val="24"/>
        </w:rPr>
        <w:t xml:space="preserve">Sedentary time in relation to cardio-metabolic risk factors: differential associations for self-report vs accelerometry in working age adults. Int J Epidemiol. </w:t>
      </w:r>
      <w:r w:rsidR="0038503F">
        <w:rPr>
          <w:rFonts w:asciiTheme="majorBidi" w:hAnsiTheme="majorBidi" w:cstheme="majorBidi"/>
          <w:sz w:val="24"/>
          <w:szCs w:val="24"/>
        </w:rPr>
        <w:t xml:space="preserve">41, </w:t>
      </w:r>
      <w:r w:rsidRPr="003B517A">
        <w:rPr>
          <w:rFonts w:asciiTheme="majorBidi" w:hAnsiTheme="majorBidi" w:cstheme="majorBidi"/>
          <w:sz w:val="24"/>
          <w:szCs w:val="24"/>
        </w:rPr>
        <w:t>1328-37.</w:t>
      </w:r>
    </w:p>
    <w:p w14:paraId="7560E528" w14:textId="77777777" w:rsidR="0038503F" w:rsidRDefault="0038503F" w:rsidP="0038503F">
      <w:pPr>
        <w:ind w:left="360" w:hanging="360"/>
        <w:rPr>
          <w:rFonts w:asciiTheme="majorBidi" w:hAnsiTheme="majorBidi" w:cstheme="majorBidi"/>
          <w:sz w:val="24"/>
          <w:szCs w:val="24"/>
        </w:rPr>
      </w:pPr>
      <w:r w:rsidRPr="0038503F">
        <w:rPr>
          <w:rFonts w:asciiTheme="majorBidi" w:hAnsiTheme="majorBidi" w:cstheme="majorBidi"/>
          <w:sz w:val="24"/>
          <w:szCs w:val="24"/>
        </w:rPr>
        <w:t>Smith L, Gardner B, Hamer M</w:t>
      </w:r>
      <w:r>
        <w:rPr>
          <w:rFonts w:asciiTheme="majorBidi" w:hAnsiTheme="majorBidi" w:cstheme="majorBidi"/>
          <w:sz w:val="24"/>
          <w:szCs w:val="24"/>
        </w:rPr>
        <w:t>, 2015</w:t>
      </w:r>
      <w:r w:rsidRPr="0038503F">
        <w:rPr>
          <w:rFonts w:asciiTheme="majorBidi" w:hAnsiTheme="majorBidi" w:cstheme="majorBidi"/>
          <w:sz w:val="24"/>
          <w:szCs w:val="24"/>
        </w:rPr>
        <w:t>. Childhood correlates of adult TV viewing time: a 32-year follow-up of the 1970 British Coh</w:t>
      </w:r>
      <w:r>
        <w:rPr>
          <w:rFonts w:asciiTheme="majorBidi" w:hAnsiTheme="majorBidi" w:cstheme="majorBidi"/>
          <w:sz w:val="24"/>
          <w:szCs w:val="24"/>
        </w:rPr>
        <w:t>ort Study. J Epidemiol Comm</w:t>
      </w:r>
      <w:r w:rsidR="00D00F0C">
        <w:rPr>
          <w:rFonts w:asciiTheme="majorBidi" w:hAnsiTheme="majorBidi" w:cstheme="majorBidi"/>
          <w:sz w:val="24"/>
          <w:szCs w:val="24"/>
        </w:rPr>
        <w:t>unity</w:t>
      </w:r>
      <w:r w:rsidRPr="0038503F">
        <w:rPr>
          <w:rFonts w:asciiTheme="majorBidi" w:hAnsiTheme="majorBidi" w:cstheme="majorBidi"/>
          <w:sz w:val="24"/>
          <w:szCs w:val="24"/>
        </w:rPr>
        <w:t xml:space="preserve"> Health.</w:t>
      </w:r>
      <w:r>
        <w:rPr>
          <w:rFonts w:asciiTheme="majorBidi" w:hAnsiTheme="majorBidi" w:cstheme="majorBidi"/>
          <w:sz w:val="24"/>
          <w:szCs w:val="24"/>
        </w:rPr>
        <w:t xml:space="preserve"> </w:t>
      </w:r>
      <w:r w:rsidR="00D00F0C">
        <w:rPr>
          <w:rFonts w:asciiTheme="majorBidi" w:hAnsiTheme="majorBidi" w:cstheme="majorBidi"/>
          <w:sz w:val="24"/>
          <w:szCs w:val="24"/>
        </w:rPr>
        <w:t>69(4), 309-13.</w:t>
      </w:r>
    </w:p>
    <w:p w14:paraId="2144258C" w14:textId="77777777" w:rsidR="00D00F0C" w:rsidRPr="00D00F0C" w:rsidRDefault="00D00F0C" w:rsidP="00D00F0C">
      <w:pPr>
        <w:ind w:left="360" w:hanging="360"/>
        <w:rPr>
          <w:rFonts w:asciiTheme="majorBidi" w:hAnsiTheme="majorBidi" w:cstheme="majorBidi"/>
          <w:sz w:val="24"/>
          <w:szCs w:val="24"/>
        </w:rPr>
      </w:pPr>
      <w:r w:rsidRPr="00D00F0C">
        <w:rPr>
          <w:rFonts w:asciiTheme="majorBidi" w:hAnsiTheme="majorBidi" w:cstheme="majorBidi"/>
          <w:sz w:val="24"/>
          <w:szCs w:val="24"/>
        </w:rPr>
        <w:t>Stiglitz J</w:t>
      </w:r>
      <w:r>
        <w:rPr>
          <w:rFonts w:asciiTheme="majorBidi" w:hAnsiTheme="majorBidi" w:cstheme="majorBidi"/>
          <w:sz w:val="24"/>
          <w:szCs w:val="24"/>
        </w:rPr>
        <w:t>, 2009</w:t>
      </w:r>
      <w:r w:rsidRPr="00D00F0C">
        <w:rPr>
          <w:rFonts w:asciiTheme="majorBidi" w:hAnsiTheme="majorBidi" w:cstheme="majorBidi"/>
          <w:sz w:val="24"/>
          <w:szCs w:val="24"/>
        </w:rPr>
        <w:t>. Report by the Commission on the Measurement of Economic Performance and Social Progress. Available at</w:t>
      </w:r>
      <w:r>
        <w:rPr>
          <w:rFonts w:asciiTheme="majorBidi" w:hAnsiTheme="majorBidi" w:cstheme="majorBidi"/>
          <w:sz w:val="24"/>
          <w:szCs w:val="24"/>
        </w:rPr>
        <w:t>:</w:t>
      </w:r>
      <w:r w:rsidRPr="00D00F0C">
        <w:rPr>
          <w:rFonts w:asciiTheme="majorBidi" w:hAnsiTheme="majorBidi" w:cstheme="majorBidi"/>
          <w:sz w:val="24"/>
          <w:szCs w:val="24"/>
        </w:rPr>
        <w:t xml:space="preserve"> http://www.stiglitz-sen-fitoussi.fr/documents/rapport_anglais.pdf. Accessed July 5, 2011.</w:t>
      </w:r>
    </w:p>
    <w:p w14:paraId="4E6122A2" w14:textId="77777777" w:rsidR="00D00F0C" w:rsidRDefault="00D00F0C" w:rsidP="00D00F0C">
      <w:pPr>
        <w:ind w:left="360" w:hanging="360"/>
        <w:rPr>
          <w:rFonts w:asciiTheme="majorBidi" w:hAnsiTheme="majorBidi" w:cstheme="majorBidi"/>
          <w:sz w:val="24"/>
          <w:szCs w:val="24"/>
        </w:rPr>
      </w:pPr>
      <w:r w:rsidRPr="00D00F0C">
        <w:rPr>
          <w:rFonts w:asciiTheme="majorBidi" w:hAnsiTheme="majorBidi" w:cstheme="majorBidi"/>
          <w:sz w:val="24"/>
          <w:szCs w:val="24"/>
        </w:rPr>
        <w:t xml:space="preserve">Tennant R, Hiller L, Fishwick R, </w:t>
      </w:r>
      <w:r>
        <w:rPr>
          <w:rFonts w:asciiTheme="majorBidi" w:hAnsiTheme="majorBidi" w:cstheme="majorBidi"/>
          <w:sz w:val="24"/>
          <w:szCs w:val="24"/>
        </w:rPr>
        <w:t>et al., 2007</w:t>
      </w:r>
      <w:r w:rsidRPr="00D00F0C">
        <w:rPr>
          <w:rFonts w:asciiTheme="majorBidi" w:hAnsiTheme="majorBidi" w:cstheme="majorBidi"/>
          <w:sz w:val="24"/>
          <w:szCs w:val="24"/>
        </w:rPr>
        <w:t xml:space="preserve">. The Warwick-Edinburgh Mental Well-being Scale (WEMWBS): development and UK validation. Health Qual Life </w:t>
      </w:r>
      <w:proofErr w:type="gramStart"/>
      <w:r w:rsidRPr="00D00F0C">
        <w:rPr>
          <w:rFonts w:asciiTheme="majorBidi" w:hAnsiTheme="majorBidi" w:cstheme="majorBidi"/>
          <w:sz w:val="24"/>
          <w:szCs w:val="24"/>
        </w:rPr>
        <w:t xml:space="preserve">Outcomes </w:t>
      </w:r>
      <w:r>
        <w:rPr>
          <w:rFonts w:asciiTheme="majorBidi" w:hAnsiTheme="majorBidi" w:cstheme="majorBidi"/>
          <w:sz w:val="24"/>
          <w:szCs w:val="24"/>
        </w:rPr>
        <w:t xml:space="preserve"> 5</w:t>
      </w:r>
      <w:proofErr w:type="gramEnd"/>
      <w:r>
        <w:rPr>
          <w:rFonts w:asciiTheme="majorBidi" w:hAnsiTheme="majorBidi" w:cstheme="majorBidi"/>
          <w:sz w:val="24"/>
          <w:szCs w:val="24"/>
        </w:rPr>
        <w:t>, 63.</w:t>
      </w:r>
      <w:r w:rsidRPr="00D00F0C">
        <w:rPr>
          <w:rFonts w:asciiTheme="majorBidi" w:hAnsiTheme="majorBidi" w:cstheme="majorBidi"/>
          <w:sz w:val="24"/>
          <w:szCs w:val="24"/>
        </w:rPr>
        <w:t xml:space="preserve"> </w:t>
      </w:r>
    </w:p>
    <w:p w14:paraId="7F7A7238" w14:textId="77777777" w:rsidR="00D00F0C" w:rsidRPr="00D00F0C" w:rsidRDefault="00D00F0C" w:rsidP="00D00F0C">
      <w:pPr>
        <w:ind w:left="360" w:hanging="360"/>
        <w:rPr>
          <w:rFonts w:asciiTheme="majorBidi" w:hAnsiTheme="majorBidi" w:cstheme="majorBidi"/>
          <w:sz w:val="24"/>
          <w:szCs w:val="24"/>
        </w:rPr>
      </w:pPr>
      <w:r w:rsidRPr="00D00F0C">
        <w:rPr>
          <w:rFonts w:asciiTheme="majorBidi" w:hAnsiTheme="majorBidi" w:cstheme="majorBidi"/>
          <w:sz w:val="24"/>
          <w:szCs w:val="24"/>
        </w:rPr>
        <w:lastRenderedPageBreak/>
        <w:t>van de Laar RJ, Stehouwer CD, Prins MH, van Mechelen W, Twisk JW, Ferreira I</w:t>
      </w:r>
      <w:r>
        <w:rPr>
          <w:rFonts w:asciiTheme="majorBidi" w:hAnsiTheme="majorBidi" w:cstheme="majorBidi"/>
          <w:sz w:val="24"/>
          <w:szCs w:val="24"/>
        </w:rPr>
        <w:t>, 2014</w:t>
      </w:r>
      <w:r w:rsidRPr="00D00F0C">
        <w:rPr>
          <w:rFonts w:asciiTheme="majorBidi" w:hAnsiTheme="majorBidi" w:cstheme="majorBidi"/>
          <w:sz w:val="24"/>
          <w:szCs w:val="24"/>
        </w:rPr>
        <w:t xml:space="preserve">. Self reported time spent watching television is associated with arterial stiffness in young adults: the Amsterdam Growth and Health Longitudinal Study. Br J Sports Med </w:t>
      </w:r>
      <w:r>
        <w:rPr>
          <w:rFonts w:asciiTheme="majorBidi" w:hAnsiTheme="majorBidi" w:cstheme="majorBidi"/>
          <w:sz w:val="24"/>
          <w:szCs w:val="24"/>
        </w:rPr>
        <w:t xml:space="preserve">48(3), </w:t>
      </w:r>
      <w:r w:rsidRPr="00D00F0C">
        <w:rPr>
          <w:rFonts w:asciiTheme="majorBidi" w:hAnsiTheme="majorBidi" w:cstheme="majorBidi"/>
          <w:sz w:val="24"/>
          <w:szCs w:val="24"/>
        </w:rPr>
        <w:t>256-264.</w:t>
      </w:r>
    </w:p>
    <w:p w14:paraId="177CD897" w14:textId="77777777" w:rsidR="0038503F" w:rsidRPr="005A1322" w:rsidRDefault="00D00F0C" w:rsidP="00D00F0C">
      <w:pPr>
        <w:ind w:left="360" w:hanging="360"/>
        <w:rPr>
          <w:rFonts w:asciiTheme="majorBidi" w:hAnsiTheme="majorBidi" w:cstheme="majorBidi"/>
          <w:sz w:val="24"/>
          <w:szCs w:val="24"/>
          <w:lang w:val="de-DE"/>
        </w:rPr>
      </w:pPr>
      <w:proofErr w:type="gramStart"/>
      <w:r w:rsidRPr="00D00F0C">
        <w:rPr>
          <w:rFonts w:asciiTheme="majorBidi" w:hAnsiTheme="majorBidi" w:cstheme="majorBidi"/>
          <w:sz w:val="24"/>
          <w:szCs w:val="24"/>
        </w:rPr>
        <w:t>van</w:t>
      </w:r>
      <w:proofErr w:type="gramEnd"/>
      <w:r w:rsidRPr="00D00F0C">
        <w:rPr>
          <w:rFonts w:asciiTheme="majorBidi" w:hAnsiTheme="majorBidi" w:cstheme="majorBidi"/>
          <w:sz w:val="24"/>
          <w:szCs w:val="24"/>
        </w:rPr>
        <w:t xml:space="preserve"> Uffelen JG, van Gellecum YR, Burton NW, Peeters G, Heesch KC, Brown WJ</w:t>
      </w:r>
      <w:r>
        <w:rPr>
          <w:rFonts w:asciiTheme="majorBidi" w:hAnsiTheme="majorBidi" w:cstheme="majorBidi"/>
          <w:sz w:val="24"/>
          <w:szCs w:val="24"/>
        </w:rPr>
        <w:t>, 2013</w:t>
      </w:r>
      <w:r w:rsidRPr="00D00F0C">
        <w:rPr>
          <w:rFonts w:asciiTheme="majorBidi" w:hAnsiTheme="majorBidi" w:cstheme="majorBidi"/>
          <w:sz w:val="24"/>
          <w:szCs w:val="24"/>
        </w:rPr>
        <w:t xml:space="preserve">. Sitting-time, physical activity, and depressive symptoms in mid-aged women. </w:t>
      </w:r>
      <w:r w:rsidRPr="005A1322">
        <w:rPr>
          <w:rFonts w:asciiTheme="majorBidi" w:hAnsiTheme="majorBidi" w:cstheme="majorBidi"/>
          <w:sz w:val="24"/>
          <w:szCs w:val="24"/>
          <w:lang w:val="de-DE"/>
        </w:rPr>
        <w:t>Am J Prev Med. 45(3), 276-81.</w:t>
      </w:r>
    </w:p>
    <w:p w14:paraId="2B8DD147" w14:textId="77777777" w:rsidR="00B3625D" w:rsidRPr="003B517A" w:rsidRDefault="00B3625D" w:rsidP="0038503F">
      <w:pPr>
        <w:ind w:left="360" w:hanging="360"/>
        <w:rPr>
          <w:rFonts w:asciiTheme="majorBidi" w:hAnsiTheme="majorBidi" w:cstheme="majorBidi"/>
          <w:sz w:val="24"/>
          <w:szCs w:val="24"/>
        </w:rPr>
      </w:pPr>
      <w:r w:rsidRPr="005A1322">
        <w:rPr>
          <w:rFonts w:asciiTheme="majorBidi" w:hAnsiTheme="majorBidi" w:cstheme="majorBidi"/>
          <w:sz w:val="24"/>
          <w:szCs w:val="24"/>
          <w:lang w:val="de-DE"/>
        </w:rPr>
        <w:t>Zhai L, Zhang Y, Zhang D</w:t>
      </w:r>
      <w:r w:rsidR="00D00F0C" w:rsidRPr="005A1322">
        <w:rPr>
          <w:rFonts w:asciiTheme="majorBidi" w:hAnsiTheme="majorBidi" w:cstheme="majorBidi"/>
          <w:sz w:val="24"/>
          <w:szCs w:val="24"/>
          <w:lang w:val="de-DE"/>
        </w:rPr>
        <w:t>, 2015</w:t>
      </w:r>
      <w:r w:rsidRPr="005A1322">
        <w:rPr>
          <w:rFonts w:asciiTheme="majorBidi" w:hAnsiTheme="majorBidi" w:cstheme="majorBidi"/>
          <w:sz w:val="24"/>
          <w:szCs w:val="24"/>
          <w:lang w:val="de-DE"/>
        </w:rPr>
        <w:t xml:space="preserve">. </w:t>
      </w:r>
      <w:r w:rsidRPr="003B517A">
        <w:rPr>
          <w:rFonts w:asciiTheme="majorBidi" w:hAnsiTheme="majorBidi" w:cstheme="majorBidi"/>
          <w:sz w:val="24"/>
          <w:szCs w:val="24"/>
        </w:rPr>
        <w:t xml:space="preserve">Sedentary behaviour and the risk of depression: a meta-analysis. Br J Sports Med. </w:t>
      </w:r>
      <w:r w:rsidR="00D00F0C">
        <w:rPr>
          <w:rFonts w:asciiTheme="majorBidi" w:hAnsiTheme="majorBidi" w:cstheme="majorBidi"/>
          <w:sz w:val="24"/>
          <w:szCs w:val="24"/>
        </w:rPr>
        <w:t>49(11), 705-09.</w:t>
      </w:r>
    </w:p>
    <w:p w14:paraId="7AA26203" w14:textId="77777777" w:rsidR="00D815BD" w:rsidRDefault="00D815BD" w:rsidP="00D815BD">
      <w:pPr>
        <w:spacing w:line="240" w:lineRule="auto"/>
        <w:rPr>
          <w:rFonts w:asciiTheme="majorBidi" w:hAnsiTheme="majorBidi" w:cstheme="majorBidi"/>
          <w:sz w:val="24"/>
          <w:szCs w:val="24"/>
        </w:rPr>
      </w:pPr>
    </w:p>
    <w:p w14:paraId="42970965" w14:textId="77777777" w:rsidR="00D815BD" w:rsidRDefault="00D815BD" w:rsidP="00D815BD">
      <w:pPr>
        <w:spacing w:line="240" w:lineRule="auto"/>
        <w:rPr>
          <w:rFonts w:asciiTheme="majorBidi" w:hAnsiTheme="majorBidi" w:cstheme="majorBidi"/>
          <w:sz w:val="24"/>
          <w:szCs w:val="24"/>
        </w:rPr>
      </w:pPr>
    </w:p>
    <w:p w14:paraId="37504EB8" w14:textId="77777777" w:rsidR="00D815BD" w:rsidRDefault="00D815BD" w:rsidP="00D815BD">
      <w:pPr>
        <w:spacing w:line="240" w:lineRule="auto"/>
        <w:rPr>
          <w:rFonts w:asciiTheme="majorBidi" w:hAnsiTheme="majorBidi" w:cstheme="majorBidi"/>
          <w:sz w:val="24"/>
          <w:szCs w:val="24"/>
        </w:rPr>
      </w:pPr>
    </w:p>
    <w:p w14:paraId="1EE8B952" w14:textId="77777777" w:rsidR="00D815BD" w:rsidRDefault="00D815BD" w:rsidP="00D815BD">
      <w:pPr>
        <w:spacing w:line="240" w:lineRule="auto"/>
        <w:rPr>
          <w:rFonts w:asciiTheme="majorBidi" w:hAnsiTheme="majorBidi" w:cstheme="majorBidi"/>
          <w:sz w:val="24"/>
          <w:szCs w:val="24"/>
        </w:rPr>
      </w:pPr>
    </w:p>
    <w:p w14:paraId="611A3569" w14:textId="77777777" w:rsidR="00D815BD" w:rsidRDefault="00D815BD" w:rsidP="00D815BD">
      <w:pPr>
        <w:spacing w:line="240" w:lineRule="auto"/>
        <w:rPr>
          <w:rFonts w:asciiTheme="majorBidi" w:hAnsiTheme="majorBidi" w:cstheme="majorBidi"/>
          <w:sz w:val="24"/>
          <w:szCs w:val="24"/>
        </w:rPr>
      </w:pPr>
    </w:p>
    <w:p w14:paraId="457FE6F1" w14:textId="77777777" w:rsidR="00D815BD" w:rsidRDefault="00D815BD" w:rsidP="00D815BD">
      <w:pPr>
        <w:spacing w:line="240" w:lineRule="auto"/>
        <w:rPr>
          <w:rFonts w:asciiTheme="majorBidi" w:hAnsiTheme="majorBidi" w:cstheme="majorBidi"/>
          <w:sz w:val="24"/>
          <w:szCs w:val="24"/>
        </w:rPr>
      </w:pPr>
    </w:p>
    <w:p w14:paraId="56CB97AC" w14:textId="77777777" w:rsidR="00D815BD" w:rsidRDefault="00D815BD" w:rsidP="00D815BD">
      <w:pPr>
        <w:spacing w:line="240" w:lineRule="auto"/>
        <w:rPr>
          <w:rFonts w:asciiTheme="majorBidi" w:hAnsiTheme="majorBidi" w:cstheme="majorBidi"/>
          <w:sz w:val="24"/>
          <w:szCs w:val="24"/>
        </w:rPr>
      </w:pPr>
    </w:p>
    <w:p w14:paraId="5B867F71" w14:textId="77777777" w:rsidR="00D815BD" w:rsidRDefault="00D815BD" w:rsidP="00D815BD">
      <w:pPr>
        <w:spacing w:line="240" w:lineRule="auto"/>
        <w:rPr>
          <w:rFonts w:asciiTheme="majorBidi" w:hAnsiTheme="majorBidi" w:cstheme="majorBidi"/>
          <w:sz w:val="24"/>
          <w:szCs w:val="24"/>
        </w:rPr>
      </w:pPr>
    </w:p>
    <w:p w14:paraId="51D409B6" w14:textId="77777777" w:rsidR="00D815BD" w:rsidRDefault="00D815BD" w:rsidP="00D815BD">
      <w:pPr>
        <w:spacing w:line="240" w:lineRule="auto"/>
        <w:rPr>
          <w:rFonts w:asciiTheme="majorBidi" w:hAnsiTheme="majorBidi" w:cstheme="majorBidi"/>
          <w:sz w:val="24"/>
          <w:szCs w:val="24"/>
        </w:rPr>
      </w:pPr>
    </w:p>
    <w:p w14:paraId="4E856807" w14:textId="77777777" w:rsidR="00D815BD" w:rsidRDefault="00D815BD" w:rsidP="00D815BD">
      <w:pPr>
        <w:spacing w:line="240" w:lineRule="auto"/>
        <w:rPr>
          <w:rFonts w:asciiTheme="majorBidi" w:hAnsiTheme="majorBidi" w:cstheme="majorBidi"/>
          <w:sz w:val="24"/>
          <w:szCs w:val="24"/>
        </w:rPr>
      </w:pPr>
    </w:p>
    <w:p w14:paraId="6EF4B75F" w14:textId="77777777" w:rsidR="00D815BD" w:rsidRDefault="00D815BD" w:rsidP="00D815BD">
      <w:pPr>
        <w:spacing w:line="240" w:lineRule="auto"/>
        <w:rPr>
          <w:rFonts w:asciiTheme="majorBidi" w:hAnsiTheme="majorBidi" w:cstheme="majorBidi"/>
          <w:sz w:val="24"/>
          <w:szCs w:val="24"/>
        </w:rPr>
      </w:pPr>
    </w:p>
    <w:p w14:paraId="3D2BA7C1" w14:textId="77777777" w:rsidR="00D815BD" w:rsidRDefault="00D815BD" w:rsidP="00D815BD">
      <w:pPr>
        <w:spacing w:line="240" w:lineRule="auto"/>
        <w:rPr>
          <w:rFonts w:asciiTheme="majorBidi" w:hAnsiTheme="majorBidi" w:cstheme="majorBidi"/>
          <w:sz w:val="24"/>
          <w:szCs w:val="24"/>
        </w:rPr>
      </w:pPr>
    </w:p>
    <w:p w14:paraId="4ECF74D9" w14:textId="77777777" w:rsidR="00D815BD" w:rsidRDefault="00D815BD" w:rsidP="00D815BD">
      <w:pPr>
        <w:spacing w:line="240" w:lineRule="auto"/>
        <w:rPr>
          <w:rFonts w:asciiTheme="majorBidi" w:hAnsiTheme="majorBidi" w:cstheme="majorBidi"/>
          <w:sz w:val="24"/>
          <w:szCs w:val="24"/>
        </w:rPr>
      </w:pPr>
    </w:p>
    <w:p w14:paraId="07C28B97" w14:textId="77777777" w:rsidR="00D815BD" w:rsidRDefault="00D815BD" w:rsidP="00D815BD">
      <w:pPr>
        <w:spacing w:line="240" w:lineRule="auto"/>
        <w:rPr>
          <w:rFonts w:asciiTheme="majorBidi" w:hAnsiTheme="majorBidi" w:cstheme="majorBidi"/>
          <w:sz w:val="24"/>
          <w:szCs w:val="24"/>
        </w:rPr>
      </w:pPr>
    </w:p>
    <w:p w14:paraId="4D71E2C4" w14:textId="77777777" w:rsidR="00D815BD" w:rsidRDefault="00D815BD" w:rsidP="00D815BD">
      <w:pPr>
        <w:spacing w:line="240" w:lineRule="auto"/>
        <w:rPr>
          <w:rFonts w:asciiTheme="majorBidi" w:hAnsiTheme="majorBidi" w:cstheme="majorBidi"/>
          <w:sz w:val="24"/>
          <w:szCs w:val="24"/>
        </w:rPr>
      </w:pPr>
    </w:p>
    <w:p w14:paraId="25155AE9" w14:textId="77777777" w:rsidR="00D815BD" w:rsidRDefault="00D815BD" w:rsidP="00D815BD">
      <w:pPr>
        <w:spacing w:line="240" w:lineRule="auto"/>
        <w:rPr>
          <w:rFonts w:asciiTheme="majorBidi" w:hAnsiTheme="majorBidi" w:cstheme="majorBidi"/>
          <w:sz w:val="24"/>
          <w:szCs w:val="24"/>
        </w:rPr>
      </w:pPr>
    </w:p>
    <w:p w14:paraId="3F4D7117" w14:textId="77777777" w:rsidR="00D815BD" w:rsidRDefault="00D815BD" w:rsidP="00D815BD">
      <w:pPr>
        <w:spacing w:line="240" w:lineRule="auto"/>
        <w:rPr>
          <w:rFonts w:asciiTheme="majorBidi" w:hAnsiTheme="majorBidi" w:cstheme="majorBidi"/>
          <w:sz w:val="24"/>
          <w:szCs w:val="24"/>
        </w:rPr>
      </w:pPr>
    </w:p>
    <w:p w14:paraId="18F84E08" w14:textId="77777777" w:rsidR="00D815BD" w:rsidRDefault="00D815BD" w:rsidP="00D815BD">
      <w:pPr>
        <w:spacing w:line="240" w:lineRule="auto"/>
        <w:rPr>
          <w:rFonts w:asciiTheme="majorBidi" w:hAnsiTheme="majorBidi" w:cstheme="majorBidi"/>
          <w:sz w:val="24"/>
          <w:szCs w:val="24"/>
        </w:rPr>
      </w:pPr>
    </w:p>
    <w:p w14:paraId="08D6581C" w14:textId="77777777" w:rsidR="00D815BD" w:rsidRDefault="00D815BD" w:rsidP="00D815BD">
      <w:pPr>
        <w:spacing w:line="240" w:lineRule="auto"/>
        <w:rPr>
          <w:rFonts w:asciiTheme="majorBidi" w:hAnsiTheme="majorBidi" w:cstheme="majorBidi"/>
          <w:sz w:val="24"/>
          <w:szCs w:val="24"/>
        </w:rPr>
      </w:pPr>
    </w:p>
    <w:p w14:paraId="21FEDD6D" w14:textId="77777777" w:rsidR="00D815BD" w:rsidRDefault="00D815BD" w:rsidP="00D815BD">
      <w:pPr>
        <w:spacing w:line="240" w:lineRule="auto"/>
        <w:rPr>
          <w:rFonts w:asciiTheme="majorBidi" w:hAnsiTheme="majorBidi" w:cstheme="majorBidi"/>
          <w:sz w:val="24"/>
          <w:szCs w:val="24"/>
        </w:rPr>
      </w:pPr>
    </w:p>
    <w:p w14:paraId="49815B5D" w14:textId="77777777" w:rsidR="00D815BD" w:rsidRDefault="00D815BD" w:rsidP="00D815BD">
      <w:pPr>
        <w:spacing w:line="240" w:lineRule="auto"/>
        <w:rPr>
          <w:rFonts w:asciiTheme="majorBidi" w:hAnsiTheme="majorBidi" w:cstheme="majorBidi"/>
          <w:sz w:val="24"/>
          <w:szCs w:val="24"/>
        </w:rPr>
      </w:pPr>
    </w:p>
    <w:p w14:paraId="029AE48B" w14:textId="77777777" w:rsidR="006008C9" w:rsidRDefault="006008C9" w:rsidP="000F0F93">
      <w:pPr>
        <w:rPr>
          <w:b/>
        </w:rPr>
      </w:pPr>
    </w:p>
    <w:p w14:paraId="0B3E4F3D" w14:textId="77777777" w:rsidR="000F0F93" w:rsidRDefault="000F0F93" w:rsidP="000F0F93">
      <w:r>
        <w:rPr>
          <w:b/>
        </w:rPr>
        <w:lastRenderedPageBreak/>
        <w:t xml:space="preserve">Table 1. </w:t>
      </w:r>
      <w:r>
        <w:t>Descriptive characteristics of the sample at baseline (age 16) relative to after school screen time.</w:t>
      </w:r>
    </w:p>
    <w:tbl>
      <w:tblPr>
        <w:tblStyle w:val="TableGrid"/>
        <w:tblW w:w="5273" w:type="pct"/>
        <w:tblLook w:val="04A0" w:firstRow="1" w:lastRow="0" w:firstColumn="1" w:lastColumn="0" w:noHBand="0" w:noVBand="1"/>
      </w:tblPr>
      <w:tblGrid>
        <w:gridCol w:w="4802"/>
        <w:gridCol w:w="1181"/>
        <w:gridCol w:w="1298"/>
        <w:gridCol w:w="1298"/>
        <w:gridCol w:w="1168"/>
      </w:tblGrid>
      <w:tr w:rsidR="000F0F93" w14:paraId="133F696E" w14:textId="77777777" w:rsidTr="00645A95">
        <w:tc>
          <w:tcPr>
            <w:tcW w:w="2463" w:type="pct"/>
            <w:vMerge w:val="restart"/>
          </w:tcPr>
          <w:p w14:paraId="7072871D" w14:textId="77777777" w:rsidR="000F0F93" w:rsidRPr="00D07349" w:rsidRDefault="000F0F93" w:rsidP="00645A95">
            <w:pPr>
              <w:rPr>
                <w:b/>
              </w:rPr>
            </w:pPr>
            <w:r>
              <w:rPr>
                <w:b/>
              </w:rPr>
              <w:t xml:space="preserve">Variable </w:t>
            </w:r>
          </w:p>
        </w:tc>
        <w:tc>
          <w:tcPr>
            <w:tcW w:w="2537" w:type="pct"/>
            <w:gridSpan w:val="4"/>
          </w:tcPr>
          <w:p w14:paraId="74B65DF5" w14:textId="77777777" w:rsidR="000F0F93" w:rsidRPr="00467825" w:rsidRDefault="000F0F93" w:rsidP="000F0F93">
            <w:pPr>
              <w:jc w:val="center"/>
              <w:rPr>
                <w:i/>
              </w:rPr>
            </w:pPr>
            <w:r>
              <w:rPr>
                <w:b/>
              </w:rPr>
              <w:t>After school screen time</w:t>
            </w:r>
            <w:r w:rsidRPr="00467825">
              <w:rPr>
                <w:b/>
              </w:rPr>
              <w:t xml:space="preserve"> </w:t>
            </w:r>
            <w:r>
              <w:rPr>
                <w:b/>
              </w:rPr>
              <w:t>at age 16</w:t>
            </w:r>
          </w:p>
        </w:tc>
      </w:tr>
      <w:tr w:rsidR="000F0F93" w14:paraId="0A9C9CFE" w14:textId="77777777" w:rsidTr="00B125D9">
        <w:tc>
          <w:tcPr>
            <w:tcW w:w="2463" w:type="pct"/>
            <w:vMerge/>
          </w:tcPr>
          <w:p w14:paraId="02BC6A52" w14:textId="77777777" w:rsidR="000F0F93" w:rsidRPr="00D07349" w:rsidRDefault="000F0F93" w:rsidP="001A684C">
            <w:pPr>
              <w:rPr>
                <w:b/>
              </w:rPr>
            </w:pPr>
          </w:p>
        </w:tc>
        <w:tc>
          <w:tcPr>
            <w:tcW w:w="606" w:type="pct"/>
          </w:tcPr>
          <w:p w14:paraId="11477899" w14:textId="77777777" w:rsidR="000F0F93" w:rsidRDefault="00592052" w:rsidP="001A684C">
            <w:r>
              <w:t xml:space="preserve">0 </w:t>
            </w:r>
            <w:r w:rsidR="000F0F93">
              <w:t>&lt; 1 hr</w:t>
            </w:r>
          </w:p>
          <w:p w14:paraId="7DEA50E2" w14:textId="77777777" w:rsidR="000F0F93" w:rsidRDefault="000F0F93" w:rsidP="00645A95">
            <w:r>
              <w:t>(n=</w:t>
            </w:r>
            <w:r w:rsidR="00645A95">
              <w:t>500</w:t>
            </w:r>
            <w:r>
              <w:t>)</w:t>
            </w:r>
          </w:p>
        </w:tc>
        <w:tc>
          <w:tcPr>
            <w:tcW w:w="666" w:type="pct"/>
          </w:tcPr>
          <w:p w14:paraId="212DF400" w14:textId="77777777" w:rsidR="000F0F93" w:rsidRDefault="00AC4510" w:rsidP="001A684C">
            <w:r>
              <w:t xml:space="preserve">≥1 </w:t>
            </w:r>
            <w:r w:rsidR="000F0F93">
              <w:t>&lt; 2 hr</w:t>
            </w:r>
          </w:p>
          <w:p w14:paraId="7AF66E40" w14:textId="77777777" w:rsidR="000F0F93" w:rsidRDefault="000F0F93" w:rsidP="00645A95">
            <w:r>
              <w:t>(n=</w:t>
            </w:r>
            <w:r w:rsidR="00645A95">
              <w:t>413</w:t>
            </w:r>
            <w:r>
              <w:t>)</w:t>
            </w:r>
          </w:p>
        </w:tc>
        <w:tc>
          <w:tcPr>
            <w:tcW w:w="666" w:type="pct"/>
          </w:tcPr>
          <w:p w14:paraId="5AF08DAD" w14:textId="77777777" w:rsidR="000F0F93" w:rsidRDefault="00AC4510" w:rsidP="001A684C">
            <w:r>
              <w:t xml:space="preserve">≥2 </w:t>
            </w:r>
            <w:r w:rsidR="000F0F93">
              <w:t>&lt; 3 hr</w:t>
            </w:r>
          </w:p>
          <w:p w14:paraId="59780C93" w14:textId="77777777" w:rsidR="000F0F93" w:rsidRDefault="000F0F93" w:rsidP="00645A95">
            <w:r>
              <w:t>(n=</w:t>
            </w:r>
            <w:r w:rsidR="00645A95">
              <w:t>404</w:t>
            </w:r>
            <w:r>
              <w:t>)</w:t>
            </w:r>
          </w:p>
        </w:tc>
        <w:tc>
          <w:tcPr>
            <w:tcW w:w="599" w:type="pct"/>
          </w:tcPr>
          <w:p w14:paraId="6D873E5D" w14:textId="77777777" w:rsidR="000F0F93" w:rsidRDefault="000F0F93" w:rsidP="001A684C">
            <w:r>
              <w:t>≥3hr</w:t>
            </w:r>
          </w:p>
          <w:p w14:paraId="78706341" w14:textId="77777777" w:rsidR="00645A95" w:rsidRDefault="00645A95" w:rsidP="001A684C">
            <w:r>
              <w:t>(</w:t>
            </w:r>
            <w:r w:rsidR="00B518B1">
              <w:t>n=</w:t>
            </w:r>
            <w:r>
              <w:t>721)</w:t>
            </w:r>
          </w:p>
        </w:tc>
      </w:tr>
      <w:tr w:rsidR="000F0F93" w14:paraId="15E7D117" w14:textId="77777777" w:rsidTr="00645A95">
        <w:tc>
          <w:tcPr>
            <w:tcW w:w="2463" w:type="pct"/>
          </w:tcPr>
          <w:p w14:paraId="353F70CD" w14:textId="77777777" w:rsidR="000F0F93" w:rsidRDefault="000F0F93" w:rsidP="001A684C">
            <w:r>
              <w:t xml:space="preserve">Gender </w:t>
            </w:r>
          </w:p>
          <w:p w14:paraId="5DD7289C" w14:textId="77777777" w:rsidR="000F0F93" w:rsidRDefault="000F0F93" w:rsidP="001A684C">
            <w:pPr>
              <w:rPr>
                <w:i/>
              </w:rPr>
            </w:pPr>
            <w:r w:rsidRPr="00495956">
              <w:rPr>
                <w:i/>
              </w:rPr>
              <w:t>Boys</w:t>
            </w:r>
          </w:p>
          <w:p w14:paraId="223DD518" w14:textId="77777777" w:rsidR="00C11DD8" w:rsidRPr="00645A95" w:rsidRDefault="00592052" w:rsidP="001A684C">
            <w:pPr>
              <w:rPr>
                <w:i/>
              </w:rPr>
            </w:pPr>
            <w:r>
              <w:rPr>
                <w:i/>
              </w:rPr>
              <w:t xml:space="preserve">Girls </w:t>
            </w:r>
          </w:p>
        </w:tc>
        <w:tc>
          <w:tcPr>
            <w:tcW w:w="606" w:type="pct"/>
          </w:tcPr>
          <w:p w14:paraId="3924CD31" w14:textId="77777777" w:rsidR="000F0F93" w:rsidRDefault="000F0F93" w:rsidP="001A684C"/>
          <w:p w14:paraId="53E0919D" w14:textId="77777777" w:rsidR="000F0F93" w:rsidRDefault="00645A95" w:rsidP="00645A95">
            <w:r>
              <w:t>179</w:t>
            </w:r>
            <w:r w:rsidR="000F0F93">
              <w:t xml:space="preserve"> (</w:t>
            </w:r>
            <w:r>
              <w:t>35.8</w:t>
            </w:r>
            <w:r w:rsidR="000F0F93">
              <w:t>)</w:t>
            </w:r>
          </w:p>
          <w:p w14:paraId="693F1271" w14:textId="77777777" w:rsidR="00592052" w:rsidRDefault="00592052" w:rsidP="00645A95">
            <w:r>
              <w:t>321 (64.2)</w:t>
            </w:r>
          </w:p>
        </w:tc>
        <w:tc>
          <w:tcPr>
            <w:tcW w:w="666" w:type="pct"/>
          </w:tcPr>
          <w:p w14:paraId="33B37429" w14:textId="77777777" w:rsidR="000F0F93" w:rsidRDefault="000F0F93" w:rsidP="001A684C"/>
          <w:p w14:paraId="067C0D15" w14:textId="77777777" w:rsidR="000F0F93" w:rsidRDefault="000F0F93" w:rsidP="00645A95">
            <w:r>
              <w:t>1</w:t>
            </w:r>
            <w:r w:rsidR="00645A95">
              <w:t>52</w:t>
            </w:r>
            <w:r>
              <w:t xml:space="preserve"> (</w:t>
            </w:r>
            <w:r w:rsidR="00645A95">
              <w:t>36</w:t>
            </w:r>
            <w:r>
              <w:t>.8)</w:t>
            </w:r>
          </w:p>
          <w:p w14:paraId="600E9D58" w14:textId="77777777" w:rsidR="00592052" w:rsidRDefault="00592052" w:rsidP="00645A95">
            <w:r>
              <w:t>261 (63.2)</w:t>
            </w:r>
          </w:p>
        </w:tc>
        <w:tc>
          <w:tcPr>
            <w:tcW w:w="666" w:type="pct"/>
          </w:tcPr>
          <w:p w14:paraId="2BB71415" w14:textId="77777777" w:rsidR="000F0F93" w:rsidRDefault="000F0F93" w:rsidP="001A684C"/>
          <w:p w14:paraId="298A3EAD" w14:textId="77777777" w:rsidR="000F0F93" w:rsidRDefault="00645A95" w:rsidP="00645A95">
            <w:r>
              <w:t>164</w:t>
            </w:r>
            <w:r w:rsidR="000F0F93">
              <w:t xml:space="preserve"> (</w:t>
            </w:r>
            <w:r>
              <w:t>4</w:t>
            </w:r>
            <w:r w:rsidR="000F0F93">
              <w:t>0.</w:t>
            </w:r>
            <w:r>
              <w:t>6</w:t>
            </w:r>
            <w:r w:rsidR="000F0F93">
              <w:t>)</w:t>
            </w:r>
          </w:p>
          <w:p w14:paraId="37932C8B" w14:textId="77777777" w:rsidR="00592052" w:rsidRDefault="00592052" w:rsidP="00645A95">
            <w:r>
              <w:t>240 (59.4)</w:t>
            </w:r>
          </w:p>
        </w:tc>
        <w:tc>
          <w:tcPr>
            <w:tcW w:w="598" w:type="pct"/>
          </w:tcPr>
          <w:p w14:paraId="2420A518" w14:textId="77777777" w:rsidR="000F0F93" w:rsidRDefault="000F0F93" w:rsidP="001A684C"/>
          <w:p w14:paraId="136A3FF8" w14:textId="77777777" w:rsidR="00645A95" w:rsidRDefault="00645A95" w:rsidP="001A684C">
            <w:r>
              <w:t>337 (46.7)</w:t>
            </w:r>
          </w:p>
          <w:p w14:paraId="6E24D40C" w14:textId="77777777" w:rsidR="00592052" w:rsidRDefault="00592052" w:rsidP="001A684C">
            <w:r>
              <w:t>384 (53.3)</w:t>
            </w:r>
          </w:p>
        </w:tc>
      </w:tr>
      <w:tr w:rsidR="000F0F93" w14:paraId="657D8F40" w14:textId="77777777" w:rsidTr="00645A95">
        <w:tc>
          <w:tcPr>
            <w:tcW w:w="2463" w:type="pct"/>
          </w:tcPr>
          <w:p w14:paraId="794D153A" w14:textId="77777777" w:rsidR="000F0F93" w:rsidRDefault="00A208B4" w:rsidP="001A684C">
            <w:r>
              <w:t>Smoking</w:t>
            </w:r>
          </w:p>
          <w:p w14:paraId="1D3442EA" w14:textId="77777777" w:rsidR="000F0F93" w:rsidRPr="00D07349" w:rsidRDefault="000F0F93" w:rsidP="001A684C">
            <w:pPr>
              <w:rPr>
                <w:i/>
              </w:rPr>
            </w:pPr>
            <w:r w:rsidRPr="00D07349">
              <w:rPr>
                <w:i/>
              </w:rPr>
              <w:t>Never</w:t>
            </w:r>
          </w:p>
          <w:p w14:paraId="78F7D3C3" w14:textId="77777777" w:rsidR="00A208B4" w:rsidRDefault="00645A95" w:rsidP="001A684C">
            <w:pPr>
              <w:rPr>
                <w:i/>
              </w:rPr>
            </w:pPr>
            <w:r>
              <w:rPr>
                <w:i/>
              </w:rPr>
              <w:t>Rarely</w:t>
            </w:r>
          </w:p>
          <w:p w14:paraId="5683C7FD" w14:textId="77777777" w:rsidR="00A208B4" w:rsidRDefault="00A208B4" w:rsidP="001A684C">
            <w:pPr>
              <w:rPr>
                <w:i/>
              </w:rPr>
            </w:pPr>
            <w:r>
              <w:rPr>
                <w:i/>
              </w:rPr>
              <w:t>Smoke ≥ 1 cig/wk</w:t>
            </w:r>
          </w:p>
          <w:p w14:paraId="189C2156" w14:textId="77777777" w:rsidR="00C11DD8" w:rsidRDefault="00C11DD8" w:rsidP="001A684C"/>
        </w:tc>
        <w:tc>
          <w:tcPr>
            <w:tcW w:w="606" w:type="pct"/>
          </w:tcPr>
          <w:p w14:paraId="38B78D5A" w14:textId="77777777" w:rsidR="000F0F93" w:rsidRDefault="000F0F93" w:rsidP="001A684C"/>
          <w:p w14:paraId="74B67681" w14:textId="77777777" w:rsidR="000F0F93" w:rsidRDefault="000F0F93" w:rsidP="001A684C">
            <w:r>
              <w:t>2</w:t>
            </w:r>
            <w:r w:rsidR="00645A95">
              <w:t>76</w:t>
            </w:r>
            <w:r>
              <w:t xml:space="preserve"> (</w:t>
            </w:r>
            <w:r w:rsidR="00645A95">
              <w:t>55.2</w:t>
            </w:r>
            <w:r>
              <w:t>)</w:t>
            </w:r>
          </w:p>
          <w:p w14:paraId="16ED37A4" w14:textId="77777777" w:rsidR="000F0F93" w:rsidRDefault="00645A95" w:rsidP="001A684C">
            <w:r>
              <w:t>119 (23.8)</w:t>
            </w:r>
          </w:p>
          <w:p w14:paraId="257C3CF6" w14:textId="77777777" w:rsidR="00645A95" w:rsidRDefault="00645A95" w:rsidP="001A684C">
            <w:r>
              <w:t>105</w:t>
            </w:r>
            <w:r w:rsidR="004073E3">
              <w:t xml:space="preserve"> (21.0)</w:t>
            </w:r>
          </w:p>
        </w:tc>
        <w:tc>
          <w:tcPr>
            <w:tcW w:w="666" w:type="pct"/>
          </w:tcPr>
          <w:p w14:paraId="2A3B6D8E" w14:textId="77777777" w:rsidR="000F0F93" w:rsidRDefault="000F0F93" w:rsidP="001A684C"/>
          <w:p w14:paraId="44E69F4D" w14:textId="77777777" w:rsidR="000F0F93" w:rsidRDefault="00645A95" w:rsidP="001A684C">
            <w:r>
              <w:t>230</w:t>
            </w:r>
            <w:r w:rsidR="000F0F93">
              <w:t xml:space="preserve"> (</w:t>
            </w:r>
            <w:r>
              <w:t>55.6</w:t>
            </w:r>
            <w:r w:rsidR="000F0F93">
              <w:t>)</w:t>
            </w:r>
          </w:p>
          <w:p w14:paraId="5E7A2815" w14:textId="77777777" w:rsidR="000F0F93" w:rsidRDefault="00645A95" w:rsidP="001A684C">
            <w:r>
              <w:t>123 (29.8)</w:t>
            </w:r>
          </w:p>
          <w:p w14:paraId="0F60A90A" w14:textId="77777777" w:rsidR="00645A95" w:rsidRDefault="00645A95" w:rsidP="00323A09">
            <w:r>
              <w:t>60</w:t>
            </w:r>
            <w:r w:rsidR="004073E3">
              <w:t xml:space="preserve"> (14.</w:t>
            </w:r>
            <w:r w:rsidR="00323A09">
              <w:t>6</w:t>
            </w:r>
            <w:r w:rsidR="004073E3">
              <w:t>)</w:t>
            </w:r>
          </w:p>
        </w:tc>
        <w:tc>
          <w:tcPr>
            <w:tcW w:w="666" w:type="pct"/>
          </w:tcPr>
          <w:p w14:paraId="0A419E55" w14:textId="77777777" w:rsidR="000F0F93" w:rsidRDefault="000F0F93" w:rsidP="001A684C"/>
          <w:p w14:paraId="1263D11D" w14:textId="77777777" w:rsidR="000F0F93" w:rsidRDefault="000F0F93" w:rsidP="001A684C">
            <w:r>
              <w:t>2</w:t>
            </w:r>
            <w:r w:rsidR="00645A95">
              <w:t>49</w:t>
            </w:r>
            <w:r>
              <w:t xml:space="preserve"> (</w:t>
            </w:r>
            <w:r w:rsidR="00645A95">
              <w:t>61.6</w:t>
            </w:r>
            <w:r>
              <w:t>)</w:t>
            </w:r>
          </w:p>
          <w:p w14:paraId="1A59FBC9" w14:textId="77777777" w:rsidR="000F0F93" w:rsidRDefault="00645A95" w:rsidP="001A684C">
            <w:r>
              <w:t>100 (24.8)</w:t>
            </w:r>
          </w:p>
          <w:p w14:paraId="091D14FB" w14:textId="77777777" w:rsidR="00645A95" w:rsidRDefault="00645A95" w:rsidP="001A684C">
            <w:r>
              <w:t>55</w:t>
            </w:r>
            <w:r w:rsidR="004073E3">
              <w:t xml:space="preserve"> (13.6)</w:t>
            </w:r>
          </w:p>
        </w:tc>
        <w:tc>
          <w:tcPr>
            <w:tcW w:w="598" w:type="pct"/>
          </w:tcPr>
          <w:p w14:paraId="3BBA952F" w14:textId="77777777" w:rsidR="000F0F93" w:rsidRDefault="000F0F93" w:rsidP="001A684C"/>
          <w:p w14:paraId="7FFA0828" w14:textId="77777777" w:rsidR="00645A95" w:rsidRDefault="00645A95" w:rsidP="001A684C">
            <w:r>
              <w:t>428 (59.4)</w:t>
            </w:r>
          </w:p>
          <w:p w14:paraId="3617EFCD" w14:textId="77777777" w:rsidR="00645A95" w:rsidRDefault="00645A95" w:rsidP="001A684C">
            <w:r>
              <w:t>191 (26.5)</w:t>
            </w:r>
          </w:p>
          <w:p w14:paraId="4F575C52" w14:textId="77777777" w:rsidR="00645A95" w:rsidRDefault="00645A95" w:rsidP="001A684C">
            <w:r>
              <w:t>102</w:t>
            </w:r>
            <w:r w:rsidR="004073E3">
              <w:t xml:space="preserve"> (14.1)</w:t>
            </w:r>
          </w:p>
        </w:tc>
      </w:tr>
      <w:tr w:rsidR="00A208B4" w14:paraId="20D87C9B" w14:textId="77777777" w:rsidTr="00645A95">
        <w:tc>
          <w:tcPr>
            <w:tcW w:w="2463" w:type="pct"/>
          </w:tcPr>
          <w:p w14:paraId="1CED85CF" w14:textId="77777777" w:rsidR="00A208B4" w:rsidRDefault="00A208B4" w:rsidP="001A684C">
            <w:r>
              <w:t>Alcohol intake</w:t>
            </w:r>
          </w:p>
          <w:p w14:paraId="5F331DD4" w14:textId="77777777" w:rsidR="00A208B4" w:rsidRPr="00A208B4" w:rsidRDefault="00A208B4" w:rsidP="001A684C">
            <w:pPr>
              <w:rPr>
                <w:i/>
              </w:rPr>
            </w:pPr>
            <w:r w:rsidRPr="00A208B4">
              <w:rPr>
                <w:i/>
              </w:rPr>
              <w:t>≥ 2 /wk</w:t>
            </w:r>
          </w:p>
          <w:p w14:paraId="470C40BB" w14:textId="77777777" w:rsidR="00A208B4" w:rsidRPr="00A208B4" w:rsidRDefault="00A208B4" w:rsidP="001A684C">
            <w:pPr>
              <w:rPr>
                <w:i/>
              </w:rPr>
            </w:pPr>
            <w:r w:rsidRPr="00A208B4">
              <w:rPr>
                <w:i/>
              </w:rPr>
              <w:t>Once a week</w:t>
            </w:r>
          </w:p>
          <w:p w14:paraId="3C1C234B" w14:textId="77777777" w:rsidR="00A208B4" w:rsidRPr="00A208B4" w:rsidRDefault="00A208B4" w:rsidP="001A684C">
            <w:pPr>
              <w:rPr>
                <w:i/>
              </w:rPr>
            </w:pPr>
            <w:r w:rsidRPr="00A208B4">
              <w:rPr>
                <w:i/>
              </w:rPr>
              <w:t>Once a month</w:t>
            </w:r>
          </w:p>
          <w:p w14:paraId="1E82DA87" w14:textId="77777777" w:rsidR="00A208B4" w:rsidRDefault="00A208B4" w:rsidP="001A684C">
            <w:pPr>
              <w:rPr>
                <w:i/>
              </w:rPr>
            </w:pPr>
            <w:r w:rsidRPr="00A208B4">
              <w:rPr>
                <w:i/>
              </w:rPr>
              <w:t>Rarely/never</w:t>
            </w:r>
          </w:p>
          <w:p w14:paraId="1D061E33" w14:textId="77777777" w:rsidR="00C11DD8" w:rsidRDefault="00C11DD8" w:rsidP="001A684C"/>
        </w:tc>
        <w:tc>
          <w:tcPr>
            <w:tcW w:w="606" w:type="pct"/>
          </w:tcPr>
          <w:p w14:paraId="0EC14400" w14:textId="77777777" w:rsidR="00A208B4" w:rsidRDefault="00A208B4" w:rsidP="001A684C"/>
          <w:p w14:paraId="275A73B1" w14:textId="77777777" w:rsidR="004073E3" w:rsidRDefault="004073E3" w:rsidP="001A684C">
            <w:r>
              <w:t>102 (20.4)</w:t>
            </w:r>
          </w:p>
          <w:p w14:paraId="54150FE9" w14:textId="77777777" w:rsidR="004073E3" w:rsidRDefault="004073E3" w:rsidP="001A684C">
            <w:r>
              <w:t>153 (30.6)</w:t>
            </w:r>
          </w:p>
          <w:p w14:paraId="471049D7" w14:textId="77777777" w:rsidR="004073E3" w:rsidRDefault="004073E3" w:rsidP="001A684C">
            <w:r>
              <w:t>83 (16.6)</w:t>
            </w:r>
          </w:p>
          <w:p w14:paraId="56EDA208" w14:textId="77777777" w:rsidR="004073E3" w:rsidRDefault="004073E3" w:rsidP="001A684C">
            <w:r>
              <w:t>162 (32.4)</w:t>
            </w:r>
          </w:p>
        </w:tc>
        <w:tc>
          <w:tcPr>
            <w:tcW w:w="666" w:type="pct"/>
          </w:tcPr>
          <w:p w14:paraId="756E0071" w14:textId="77777777" w:rsidR="00A208B4" w:rsidRDefault="00A208B4" w:rsidP="001A684C"/>
          <w:p w14:paraId="1813F2B4" w14:textId="77777777" w:rsidR="004073E3" w:rsidRDefault="004073E3" w:rsidP="001A684C">
            <w:r>
              <w:t>73</w:t>
            </w:r>
            <w:r w:rsidR="00C11DD8">
              <w:t xml:space="preserve"> (17.7)</w:t>
            </w:r>
          </w:p>
          <w:p w14:paraId="50529C69" w14:textId="77777777" w:rsidR="004073E3" w:rsidRDefault="004073E3" w:rsidP="001A684C">
            <w:r>
              <w:t>123</w:t>
            </w:r>
            <w:r w:rsidR="00C11DD8">
              <w:t xml:space="preserve"> (29.8)</w:t>
            </w:r>
          </w:p>
          <w:p w14:paraId="0C474AC1" w14:textId="77777777" w:rsidR="004073E3" w:rsidRDefault="004073E3" w:rsidP="001A684C">
            <w:r>
              <w:t>60</w:t>
            </w:r>
            <w:r w:rsidR="00C11DD8">
              <w:t xml:space="preserve"> (14.5)</w:t>
            </w:r>
          </w:p>
          <w:p w14:paraId="260B8317" w14:textId="77777777" w:rsidR="004073E3" w:rsidRDefault="004073E3" w:rsidP="001A684C">
            <w:r>
              <w:t>157</w:t>
            </w:r>
            <w:r w:rsidR="00C11DD8">
              <w:t xml:space="preserve"> (38.0)</w:t>
            </w:r>
          </w:p>
        </w:tc>
        <w:tc>
          <w:tcPr>
            <w:tcW w:w="666" w:type="pct"/>
          </w:tcPr>
          <w:p w14:paraId="22B0CCF1" w14:textId="77777777" w:rsidR="00A208B4" w:rsidRDefault="00A208B4" w:rsidP="001A684C"/>
          <w:p w14:paraId="73B30D3E" w14:textId="77777777" w:rsidR="004073E3" w:rsidRDefault="004073E3" w:rsidP="001A684C">
            <w:r>
              <w:t>65</w:t>
            </w:r>
            <w:r w:rsidR="00C11DD8">
              <w:t xml:space="preserve"> (16.1)</w:t>
            </w:r>
          </w:p>
          <w:p w14:paraId="370FFF9B" w14:textId="77777777" w:rsidR="004073E3" w:rsidRDefault="004073E3" w:rsidP="001A684C">
            <w:r>
              <w:t>117</w:t>
            </w:r>
            <w:r w:rsidR="00C11DD8">
              <w:t xml:space="preserve"> (28.9)</w:t>
            </w:r>
          </w:p>
          <w:p w14:paraId="7BCDAF5A" w14:textId="77777777" w:rsidR="004073E3" w:rsidRDefault="004073E3" w:rsidP="001A684C">
            <w:r>
              <w:t>63</w:t>
            </w:r>
            <w:r w:rsidR="00C11DD8">
              <w:t xml:space="preserve"> (15.6)</w:t>
            </w:r>
          </w:p>
          <w:p w14:paraId="1CCD0BEE" w14:textId="77777777" w:rsidR="004073E3" w:rsidRDefault="004073E3" w:rsidP="001A684C">
            <w:r>
              <w:t>159</w:t>
            </w:r>
            <w:r w:rsidR="00C11DD8">
              <w:t xml:space="preserve"> (39.4)</w:t>
            </w:r>
          </w:p>
        </w:tc>
        <w:tc>
          <w:tcPr>
            <w:tcW w:w="598" w:type="pct"/>
          </w:tcPr>
          <w:p w14:paraId="014F633C" w14:textId="77777777" w:rsidR="00A208B4" w:rsidRDefault="00A208B4" w:rsidP="001A684C"/>
          <w:p w14:paraId="5D9EA9FF" w14:textId="77777777" w:rsidR="004073E3" w:rsidRDefault="004073E3" w:rsidP="001A684C">
            <w:r>
              <w:t>127</w:t>
            </w:r>
            <w:r w:rsidR="00C11DD8">
              <w:t xml:space="preserve"> (17.6)</w:t>
            </w:r>
          </w:p>
          <w:p w14:paraId="2AEC7421" w14:textId="77777777" w:rsidR="004073E3" w:rsidRDefault="004073E3" w:rsidP="001A684C">
            <w:r>
              <w:t>185</w:t>
            </w:r>
            <w:r w:rsidR="00C11DD8">
              <w:t xml:space="preserve"> (25.7)</w:t>
            </w:r>
          </w:p>
          <w:p w14:paraId="4C2FE8C9" w14:textId="77777777" w:rsidR="004073E3" w:rsidRDefault="004073E3" w:rsidP="001A684C">
            <w:r>
              <w:t>126</w:t>
            </w:r>
            <w:r w:rsidR="00C11DD8">
              <w:t xml:space="preserve"> (17.5)</w:t>
            </w:r>
          </w:p>
          <w:p w14:paraId="650235D8" w14:textId="77777777" w:rsidR="004073E3" w:rsidRDefault="004073E3" w:rsidP="001A684C">
            <w:r>
              <w:t>283</w:t>
            </w:r>
            <w:r w:rsidR="00323A09">
              <w:t xml:space="preserve"> (39.2</w:t>
            </w:r>
            <w:r w:rsidR="00C11DD8">
              <w:t>)</w:t>
            </w:r>
          </w:p>
        </w:tc>
      </w:tr>
      <w:tr w:rsidR="000F0F93" w14:paraId="7693C5FD" w14:textId="77777777" w:rsidTr="00645A95">
        <w:tc>
          <w:tcPr>
            <w:tcW w:w="2463" w:type="pct"/>
          </w:tcPr>
          <w:p w14:paraId="2C3117AF" w14:textId="77777777" w:rsidR="000F0F93" w:rsidRDefault="00A208B4" w:rsidP="001A684C">
            <w:r>
              <w:t>Leisure time</w:t>
            </w:r>
            <w:r w:rsidR="000F0F93">
              <w:t xml:space="preserve"> sports </w:t>
            </w:r>
            <w:r>
              <w:t>participation</w:t>
            </w:r>
          </w:p>
          <w:p w14:paraId="72665216" w14:textId="77777777" w:rsidR="000F0F93" w:rsidRDefault="00A208B4" w:rsidP="001A684C">
            <w:pPr>
              <w:rPr>
                <w:i/>
              </w:rPr>
            </w:pPr>
            <w:r>
              <w:rPr>
                <w:i/>
              </w:rPr>
              <w:t>At least 1/wk</w:t>
            </w:r>
          </w:p>
          <w:p w14:paraId="5A681B10" w14:textId="77777777" w:rsidR="00C11DD8" w:rsidRDefault="00C11DD8" w:rsidP="001A684C"/>
        </w:tc>
        <w:tc>
          <w:tcPr>
            <w:tcW w:w="606" w:type="pct"/>
          </w:tcPr>
          <w:p w14:paraId="66E3256D" w14:textId="77777777" w:rsidR="000F0F93" w:rsidRDefault="000F0F93" w:rsidP="001A684C"/>
          <w:p w14:paraId="331FC707" w14:textId="77777777" w:rsidR="000F0F93" w:rsidRDefault="00C11DD8" w:rsidP="00C11DD8">
            <w:r>
              <w:t>400</w:t>
            </w:r>
            <w:r w:rsidR="000F0F93">
              <w:t xml:space="preserve"> (</w:t>
            </w:r>
            <w:r>
              <w:t>80.0</w:t>
            </w:r>
            <w:r w:rsidR="000F0F93">
              <w:t>)</w:t>
            </w:r>
          </w:p>
        </w:tc>
        <w:tc>
          <w:tcPr>
            <w:tcW w:w="666" w:type="pct"/>
          </w:tcPr>
          <w:p w14:paraId="652317C1" w14:textId="77777777" w:rsidR="000F0F93" w:rsidRDefault="000F0F93" w:rsidP="001A684C"/>
          <w:p w14:paraId="0E533A82" w14:textId="77777777" w:rsidR="000F0F93" w:rsidRDefault="00C11DD8" w:rsidP="00C11DD8">
            <w:r>
              <w:t>324</w:t>
            </w:r>
            <w:r w:rsidR="000F0F93">
              <w:t xml:space="preserve"> (</w:t>
            </w:r>
            <w:r>
              <w:t>78.5</w:t>
            </w:r>
            <w:r w:rsidR="000F0F93">
              <w:t>)</w:t>
            </w:r>
          </w:p>
        </w:tc>
        <w:tc>
          <w:tcPr>
            <w:tcW w:w="666" w:type="pct"/>
          </w:tcPr>
          <w:p w14:paraId="29F83637" w14:textId="77777777" w:rsidR="000F0F93" w:rsidRDefault="000F0F93" w:rsidP="001A684C"/>
          <w:p w14:paraId="32449D2B" w14:textId="77777777" w:rsidR="000F0F93" w:rsidRDefault="00C11DD8" w:rsidP="00C11DD8">
            <w:r>
              <w:t>304</w:t>
            </w:r>
            <w:r w:rsidR="000F0F93">
              <w:t xml:space="preserve"> (</w:t>
            </w:r>
            <w:r>
              <w:t>7</w:t>
            </w:r>
            <w:r w:rsidR="000F0F93">
              <w:t>5.</w:t>
            </w:r>
            <w:r>
              <w:t>2</w:t>
            </w:r>
            <w:r w:rsidR="000F0F93">
              <w:t>)</w:t>
            </w:r>
          </w:p>
        </w:tc>
        <w:tc>
          <w:tcPr>
            <w:tcW w:w="598" w:type="pct"/>
          </w:tcPr>
          <w:p w14:paraId="0D4E5583" w14:textId="77777777" w:rsidR="000F0F93" w:rsidRDefault="000F0F93" w:rsidP="001A684C"/>
          <w:p w14:paraId="113342BB" w14:textId="77777777" w:rsidR="00C11DD8" w:rsidRDefault="00C11DD8" w:rsidP="001A684C">
            <w:r>
              <w:t>550 (76.3)</w:t>
            </w:r>
          </w:p>
        </w:tc>
      </w:tr>
      <w:tr w:rsidR="000F0F93" w14:paraId="39FF5277" w14:textId="77777777" w:rsidTr="00645A95">
        <w:tc>
          <w:tcPr>
            <w:tcW w:w="2463" w:type="pct"/>
          </w:tcPr>
          <w:p w14:paraId="1E1F74BF" w14:textId="77777777" w:rsidR="000F0F93" w:rsidRDefault="00A208B4" w:rsidP="001A684C">
            <w:pPr>
              <w:rPr>
                <w:i/>
              </w:rPr>
            </w:pPr>
            <w:r>
              <w:t>Highest educational attainment</w:t>
            </w:r>
            <w:r w:rsidR="000F0F93">
              <w:t xml:space="preserve"> (</w:t>
            </w:r>
            <w:r>
              <w:t>at</w:t>
            </w:r>
            <w:r w:rsidR="000F0F93">
              <w:t xml:space="preserve"> age </w:t>
            </w:r>
            <w:r>
              <w:t>42</w:t>
            </w:r>
            <w:r w:rsidR="000F0F93">
              <w:t>)</w:t>
            </w:r>
          </w:p>
          <w:p w14:paraId="37CE845A" w14:textId="77777777" w:rsidR="000F0F93" w:rsidRPr="00067569" w:rsidRDefault="00A208B4" w:rsidP="001A684C">
            <w:r>
              <w:rPr>
                <w:i/>
              </w:rPr>
              <w:t>None</w:t>
            </w:r>
          </w:p>
          <w:p w14:paraId="08B836AF" w14:textId="77777777" w:rsidR="000F0F93" w:rsidRPr="00D07349" w:rsidRDefault="00A208B4" w:rsidP="001A684C">
            <w:pPr>
              <w:rPr>
                <w:i/>
              </w:rPr>
            </w:pPr>
            <w:r>
              <w:rPr>
                <w:i/>
              </w:rPr>
              <w:t>GCSE/O-level</w:t>
            </w:r>
          </w:p>
          <w:p w14:paraId="1E167DB7" w14:textId="77777777" w:rsidR="000F0F93" w:rsidRPr="00D07349" w:rsidRDefault="00A208B4" w:rsidP="001A684C">
            <w:pPr>
              <w:rPr>
                <w:i/>
              </w:rPr>
            </w:pPr>
            <w:r>
              <w:rPr>
                <w:i/>
              </w:rPr>
              <w:t>A-level</w:t>
            </w:r>
          </w:p>
          <w:p w14:paraId="5FE19A6A" w14:textId="77777777" w:rsidR="000F0F93" w:rsidRDefault="00A208B4" w:rsidP="001A684C">
            <w:r>
              <w:rPr>
                <w:i/>
              </w:rPr>
              <w:t>Higher education</w:t>
            </w:r>
            <w:r w:rsidR="000F0F93" w:rsidRPr="00D07349">
              <w:rPr>
                <w:i/>
              </w:rPr>
              <w:t xml:space="preserve"> </w:t>
            </w:r>
          </w:p>
        </w:tc>
        <w:tc>
          <w:tcPr>
            <w:tcW w:w="606" w:type="pct"/>
          </w:tcPr>
          <w:p w14:paraId="6CEDB28A" w14:textId="77777777" w:rsidR="000F0F93" w:rsidRDefault="000F0F93" w:rsidP="001A684C"/>
          <w:p w14:paraId="75E756C2" w14:textId="77777777" w:rsidR="000F0F93" w:rsidRDefault="00882E22" w:rsidP="001A684C">
            <w:r>
              <w:t>80</w:t>
            </w:r>
            <w:r w:rsidR="00185AAC">
              <w:t xml:space="preserve"> (16.0)</w:t>
            </w:r>
          </w:p>
          <w:p w14:paraId="46F84FC8" w14:textId="77777777" w:rsidR="00882E22" w:rsidRDefault="00882E22" w:rsidP="001A684C">
            <w:r>
              <w:t>104</w:t>
            </w:r>
            <w:r w:rsidR="00185AAC">
              <w:t xml:space="preserve"> (20.8)</w:t>
            </w:r>
          </w:p>
          <w:p w14:paraId="3F197683" w14:textId="77777777" w:rsidR="00882E22" w:rsidRDefault="00882E22" w:rsidP="001A684C">
            <w:r>
              <w:t>92</w:t>
            </w:r>
            <w:r w:rsidR="00185AAC">
              <w:t xml:space="preserve"> (18.4)</w:t>
            </w:r>
          </w:p>
          <w:p w14:paraId="4EE444AC" w14:textId="77777777" w:rsidR="00882E22" w:rsidRDefault="00882E22" w:rsidP="001A684C">
            <w:r>
              <w:t>224</w:t>
            </w:r>
            <w:r w:rsidR="00185AAC">
              <w:t xml:space="preserve"> (44.8)</w:t>
            </w:r>
          </w:p>
        </w:tc>
        <w:tc>
          <w:tcPr>
            <w:tcW w:w="666" w:type="pct"/>
          </w:tcPr>
          <w:p w14:paraId="262B6675" w14:textId="77777777" w:rsidR="000F0F93" w:rsidRDefault="000F0F93" w:rsidP="001A684C"/>
          <w:p w14:paraId="6A066686" w14:textId="77777777" w:rsidR="000F0F93" w:rsidRDefault="00882E22" w:rsidP="001A684C">
            <w:r>
              <w:t>65</w:t>
            </w:r>
            <w:r w:rsidR="00185AAC">
              <w:t xml:space="preserve"> (15.7)</w:t>
            </w:r>
          </w:p>
          <w:p w14:paraId="12982296" w14:textId="77777777" w:rsidR="00882E22" w:rsidRDefault="00882E22" w:rsidP="001A684C">
            <w:r>
              <w:t>103</w:t>
            </w:r>
            <w:r w:rsidR="00185AAC">
              <w:t xml:space="preserve"> (24.9)</w:t>
            </w:r>
          </w:p>
          <w:p w14:paraId="71738A4A" w14:textId="77777777" w:rsidR="00882E22" w:rsidRDefault="00882E22" w:rsidP="001A684C">
            <w:r>
              <w:t>63</w:t>
            </w:r>
            <w:r w:rsidR="00185AAC">
              <w:t xml:space="preserve"> (15.3)</w:t>
            </w:r>
          </w:p>
          <w:p w14:paraId="788D22C1" w14:textId="77777777" w:rsidR="00882E22" w:rsidRDefault="00882E22" w:rsidP="001A684C">
            <w:r>
              <w:t>182</w:t>
            </w:r>
            <w:r w:rsidR="00185AAC">
              <w:t xml:space="preserve"> (44.1)</w:t>
            </w:r>
          </w:p>
        </w:tc>
        <w:tc>
          <w:tcPr>
            <w:tcW w:w="666" w:type="pct"/>
          </w:tcPr>
          <w:p w14:paraId="597B3947" w14:textId="77777777" w:rsidR="000F0F93" w:rsidRDefault="000F0F93" w:rsidP="001A684C"/>
          <w:p w14:paraId="675139AC" w14:textId="77777777" w:rsidR="000F0F93" w:rsidRDefault="00882E22" w:rsidP="001A684C">
            <w:r>
              <w:t>64</w:t>
            </w:r>
            <w:r w:rsidR="00185AAC">
              <w:t xml:space="preserve"> (15.8)</w:t>
            </w:r>
          </w:p>
          <w:p w14:paraId="321E765E" w14:textId="77777777" w:rsidR="00882E22" w:rsidRDefault="00882E22" w:rsidP="001A684C">
            <w:r>
              <w:t>108</w:t>
            </w:r>
            <w:r w:rsidR="00185AAC">
              <w:t xml:space="preserve"> (26.7)</w:t>
            </w:r>
          </w:p>
          <w:p w14:paraId="55AFC9CA" w14:textId="77777777" w:rsidR="00882E22" w:rsidRDefault="00882E22" w:rsidP="001A684C">
            <w:r>
              <w:t>56</w:t>
            </w:r>
            <w:r w:rsidR="00185AAC">
              <w:t xml:space="preserve"> (13.9)</w:t>
            </w:r>
          </w:p>
          <w:p w14:paraId="53DD3BD3" w14:textId="77777777" w:rsidR="00882E22" w:rsidRDefault="00882E22" w:rsidP="00185AAC">
            <w:r>
              <w:t>1</w:t>
            </w:r>
            <w:r w:rsidR="00185AAC">
              <w:t>76 (43.6)</w:t>
            </w:r>
          </w:p>
        </w:tc>
        <w:tc>
          <w:tcPr>
            <w:tcW w:w="598" w:type="pct"/>
          </w:tcPr>
          <w:p w14:paraId="694CE7A4" w14:textId="77777777" w:rsidR="000F0F93" w:rsidRDefault="000F0F93" w:rsidP="001A684C"/>
          <w:p w14:paraId="465F5E30" w14:textId="77777777" w:rsidR="00882E22" w:rsidRDefault="00323A09" w:rsidP="001A684C">
            <w:r>
              <w:t>148 (20.6</w:t>
            </w:r>
            <w:r w:rsidR="00185AAC">
              <w:t>)</w:t>
            </w:r>
          </w:p>
          <w:p w14:paraId="53AD2895" w14:textId="77777777" w:rsidR="00882E22" w:rsidRDefault="00185AAC" w:rsidP="001A684C">
            <w:r>
              <w:t>247 (34.2)</w:t>
            </w:r>
          </w:p>
          <w:p w14:paraId="34FAD178" w14:textId="77777777" w:rsidR="00882E22" w:rsidRDefault="00882E22" w:rsidP="001A684C">
            <w:r>
              <w:t>1</w:t>
            </w:r>
            <w:r w:rsidR="00185AAC">
              <w:t>32 (18.3)</w:t>
            </w:r>
          </w:p>
          <w:p w14:paraId="1542AD4E" w14:textId="77777777" w:rsidR="00882E22" w:rsidRDefault="00882E22" w:rsidP="001A684C">
            <w:r>
              <w:t>194</w:t>
            </w:r>
            <w:r w:rsidR="00185AAC">
              <w:t xml:space="preserve"> (26.9)</w:t>
            </w:r>
          </w:p>
        </w:tc>
      </w:tr>
    </w:tbl>
    <w:p w14:paraId="130B83DD" w14:textId="77777777" w:rsidR="000F0F93" w:rsidRDefault="00884C0C" w:rsidP="00884C0C">
      <w:r>
        <w:t>Frequency (</w:t>
      </w:r>
      <w:r w:rsidR="000F0F93">
        <w:t>Percentages</w:t>
      </w:r>
      <w:r>
        <w:t>)</w:t>
      </w:r>
      <w:r w:rsidR="000F0F93">
        <w:t xml:space="preserve"> </w:t>
      </w:r>
    </w:p>
    <w:p w14:paraId="3BCE6697" w14:textId="77777777" w:rsidR="000F0F93" w:rsidRDefault="000F0F93">
      <w:pPr>
        <w:rPr>
          <w:b/>
        </w:rPr>
      </w:pPr>
    </w:p>
    <w:p w14:paraId="78427642" w14:textId="77777777" w:rsidR="000F0F93" w:rsidRDefault="000F0F93">
      <w:pPr>
        <w:rPr>
          <w:b/>
        </w:rPr>
      </w:pPr>
    </w:p>
    <w:p w14:paraId="28BFC627" w14:textId="77777777" w:rsidR="00185AAC" w:rsidRDefault="00185AAC">
      <w:pPr>
        <w:rPr>
          <w:b/>
        </w:rPr>
      </w:pPr>
    </w:p>
    <w:p w14:paraId="60218987" w14:textId="77777777" w:rsidR="00185AAC" w:rsidRDefault="00185AAC">
      <w:pPr>
        <w:rPr>
          <w:b/>
        </w:rPr>
      </w:pPr>
    </w:p>
    <w:p w14:paraId="01A5E533" w14:textId="77777777" w:rsidR="00F42F85" w:rsidRDefault="00F42F85">
      <w:pPr>
        <w:rPr>
          <w:b/>
        </w:rPr>
      </w:pPr>
    </w:p>
    <w:p w14:paraId="5456913F" w14:textId="77777777" w:rsidR="00F42F85" w:rsidRDefault="00F42F85">
      <w:pPr>
        <w:rPr>
          <w:b/>
        </w:rPr>
      </w:pPr>
    </w:p>
    <w:p w14:paraId="180EEED0" w14:textId="77777777" w:rsidR="00F42F85" w:rsidRDefault="00F42F85">
      <w:pPr>
        <w:rPr>
          <w:b/>
        </w:rPr>
      </w:pPr>
    </w:p>
    <w:p w14:paraId="0FEC6719" w14:textId="77777777" w:rsidR="009762DB" w:rsidRDefault="009762DB">
      <w:pPr>
        <w:rPr>
          <w:b/>
        </w:rPr>
      </w:pPr>
    </w:p>
    <w:p w14:paraId="7B3BF322" w14:textId="77777777" w:rsidR="009762DB" w:rsidRDefault="009762DB">
      <w:pPr>
        <w:rPr>
          <w:b/>
        </w:rPr>
      </w:pPr>
    </w:p>
    <w:p w14:paraId="45EB6360" w14:textId="77777777" w:rsidR="00185AAC" w:rsidRDefault="00185AAC">
      <w:pPr>
        <w:rPr>
          <w:b/>
        </w:rPr>
      </w:pPr>
    </w:p>
    <w:p w14:paraId="725035CF" w14:textId="77777777" w:rsidR="00D57AFD" w:rsidRDefault="00D57AFD">
      <w:pPr>
        <w:rPr>
          <w:b/>
        </w:rPr>
      </w:pPr>
    </w:p>
    <w:p w14:paraId="0A2D4189" w14:textId="77777777" w:rsidR="008F3EAE" w:rsidRDefault="008F3EAE" w:rsidP="00884C0C">
      <w:r>
        <w:rPr>
          <w:b/>
        </w:rPr>
        <w:lastRenderedPageBreak/>
        <w:t xml:space="preserve">Table </w:t>
      </w:r>
      <w:r w:rsidR="000F0F93">
        <w:rPr>
          <w:b/>
        </w:rPr>
        <w:t>2</w:t>
      </w:r>
      <w:r>
        <w:rPr>
          <w:b/>
        </w:rPr>
        <w:t xml:space="preserve">. </w:t>
      </w:r>
      <w:r>
        <w:t xml:space="preserve">Association between </w:t>
      </w:r>
      <w:r w:rsidR="00884C0C">
        <w:t xml:space="preserve">after-school </w:t>
      </w:r>
      <w:r w:rsidR="00923B6A">
        <w:t>sedentary behaviours</w:t>
      </w:r>
      <w:r>
        <w:t xml:space="preserve"> </w:t>
      </w:r>
      <w:r w:rsidR="00065670">
        <w:t xml:space="preserve">at </w:t>
      </w:r>
      <w:r>
        <w:t xml:space="preserve">age 16 and </w:t>
      </w:r>
      <w:r w:rsidR="00884C0C">
        <w:t>positive mental wellbeing (asse</w:t>
      </w:r>
      <w:r w:rsidR="00065670">
        <w:t>ss</w:t>
      </w:r>
      <w:r w:rsidR="00884C0C">
        <w:t xml:space="preserve">ed using the WEMWBS) at </w:t>
      </w:r>
      <w:r>
        <w:t>age 42 (n=2,038).</w:t>
      </w:r>
    </w:p>
    <w:tbl>
      <w:tblPr>
        <w:tblStyle w:val="TableGrid"/>
        <w:tblW w:w="9322" w:type="dxa"/>
        <w:tblLook w:val="04A0" w:firstRow="1" w:lastRow="0" w:firstColumn="1" w:lastColumn="0" w:noHBand="0" w:noVBand="1"/>
      </w:tblPr>
      <w:tblGrid>
        <w:gridCol w:w="1848"/>
        <w:gridCol w:w="1848"/>
        <w:gridCol w:w="1657"/>
        <w:gridCol w:w="2040"/>
        <w:gridCol w:w="1929"/>
      </w:tblGrid>
      <w:tr w:rsidR="008F3EAE" w14:paraId="6142F443" w14:textId="77777777" w:rsidTr="000F0F93">
        <w:tc>
          <w:tcPr>
            <w:tcW w:w="1848" w:type="dxa"/>
          </w:tcPr>
          <w:p w14:paraId="0537D7A6" w14:textId="77777777" w:rsidR="008F3EAE" w:rsidRPr="00780D4F" w:rsidRDefault="00780D4F">
            <w:pPr>
              <w:rPr>
                <w:i/>
              </w:rPr>
            </w:pPr>
            <w:r>
              <w:rPr>
                <w:i/>
              </w:rPr>
              <w:t xml:space="preserve">Screen time </w:t>
            </w:r>
          </w:p>
        </w:tc>
        <w:tc>
          <w:tcPr>
            <w:tcW w:w="1848" w:type="dxa"/>
          </w:tcPr>
          <w:p w14:paraId="4A58BB98" w14:textId="77777777" w:rsidR="008F3EAE" w:rsidRDefault="008F3EAE">
            <w:r>
              <w:t>N</w:t>
            </w:r>
          </w:p>
        </w:tc>
        <w:tc>
          <w:tcPr>
            <w:tcW w:w="1657" w:type="dxa"/>
          </w:tcPr>
          <w:p w14:paraId="49218A37" w14:textId="77777777" w:rsidR="008F3EAE" w:rsidRDefault="008F3EAE" w:rsidP="00B125D9">
            <w:r>
              <w:t>Mean WEMWB</w:t>
            </w:r>
            <w:r w:rsidR="00B125D9">
              <w:t>S</w:t>
            </w:r>
            <w:r>
              <w:t xml:space="preserve"> </w:t>
            </w:r>
          </w:p>
        </w:tc>
        <w:tc>
          <w:tcPr>
            <w:tcW w:w="2040" w:type="dxa"/>
          </w:tcPr>
          <w:p w14:paraId="26C02B36" w14:textId="77777777" w:rsidR="008F3EAE" w:rsidRDefault="008F3EAE">
            <w:r>
              <w:t>Model 1</w:t>
            </w:r>
          </w:p>
          <w:p w14:paraId="3546782E" w14:textId="77777777" w:rsidR="008F3EAE" w:rsidRDefault="008F3EAE">
            <w:r>
              <w:t>B (95% CI)</w:t>
            </w:r>
          </w:p>
        </w:tc>
        <w:tc>
          <w:tcPr>
            <w:tcW w:w="1929" w:type="dxa"/>
          </w:tcPr>
          <w:p w14:paraId="6B7D5413" w14:textId="77777777" w:rsidR="008F3EAE" w:rsidRDefault="008F3EAE">
            <w:r>
              <w:t>Model 2</w:t>
            </w:r>
          </w:p>
          <w:p w14:paraId="420F552A" w14:textId="77777777" w:rsidR="008F3EAE" w:rsidRDefault="008F3EAE">
            <w:r>
              <w:t>B (95% CI)</w:t>
            </w:r>
          </w:p>
        </w:tc>
      </w:tr>
      <w:tr w:rsidR="008F3EAE" w14:paraId="4A054BED" w14:textId="77777777" w:rsidTr="000F0F93">
        <w:tc>
          <w:tcPr>
            <w:tcW w:w="1848" w:type="dxa"/>
          </w:tcPr>
          <w:p w14:paraId="60A19D88" w14:textId="77777777" w:rsidR="008F3EAE" w:rsidRDefault="008F3EAE">
            <w:r>
              <w:t>&lt;1 hr</w:t>
            </w:r>
          </w:p>
        </w:tc>
        <w:tc>
          <w:tcPr>
            <w:tcW w:w="1848" w:type="dxa"/>
          </w:tcPr>
          <w:p w14:paraId="33255987" w14:textId="77777777" w:rsidR="008F3EAE" w:rsidRDefault="008F3EAE">
            <w:r>
              <w:t>500</w:t>
            </w:r>
          </w:p>
        </w:tc>
        <w:tc>
          <w:tcPr>
            <w:tcW w:w="1657" w:type="dxa"/>
          </w:tcPr>
          <w:p w14:paraId="3AE851D5" w14:textId="77777777" w:rsidR="008F3EAE" w:rsidRDefault="008F3EAE">
            <w:r>
              <w:t>51.0</w:t>
            </w:r>
          </w:p>
        </w:tc>
        <w:tc>
          <w:tcPr>
            <w:tcW w:w="2040" w:type="dxa"/>
          </w:tcPr>
          <w:p w14:paraId="7D981E49" w14:textId="77777777" w:rsidR="008F3EAE" w:rsidRDefault="008F3EAE">
            <w:r>
              <w:t>Ref</w:t>
            </w:r>
          </w:p>
        </w:tc>
        <w:tc>
          <w:tcPr>
            <w:tcW w:w="1929" w:type="dxa"/>
          </w:tcPr>
          <w:p w14:paraId="4FCEC26A" w14:textId="77777777" w:rsidR="008F3EAE" w:rsidRDefault="000F0F93">
            <w:r>
              <w:t>Ref</w:t>
            </w:r>
          </w:p>
        </w:tc>
      </w:tr>
      <w:tr w:rsidR="008F3EAE" w14:paraId="4212D392" w14:textId="77777777" w:rsidTr="000F0F93">
        <w:tc>
          <w:tcPr>
            <w:tcW w:w="1848" w:type="dxa"/>
          </w:tcPr>
          <w:p w14:paraId="483EA0C2" w14:textId="77777777" w:rsidR="008F3EAE" w:rsidRDefault="008F3EAE">
            <w:r>
              <w:t>&lt;2 hr</w:t>
            </w:r>
          </w:p>
        </w:tc>
        <w:tc>
          <w:tcPr>
            <w:tcW w:w="1848" w:type="dxa"/>
          </w:tcPr>
          <w:p w14:paraId="25AA0E44" w14:textId="77777777" w:rsidR="008F3EAE" w:rsidRDefault="008F3EAE">
            <w:r>
              <w:t>413</w:t>
            </w:r>
          </w:p>
        </w:tc>
        <w:tc>
          <w:tcPr>
            <w:tcW w:w="1657" w:type="dxa"/>
          </w:tcPr>
          <w:p w14:paraId="07F20DBD" w14:textId="77777777" w:rsidR="008F3EAE" w:rsidRDefault="008F3EAE">
            <w:r>
              <w:t>50.5</w:t>
            </w:r>
          </w:p>
        </w:tc>
        <w:tc>
          <w:tcPr>
            <w:tcW w:w="2040" w:type="dxa"/>
          </w:tcPr>
          <w:p w14:paraId="6C05C6A0" w14:textId="77777777" w:rsidR="008F3EAE" w:rsidRDefault="008F3EAE">
            <w:r>
              <w:t>-0.45 (-1.50, 0.61)</w:t>
            </w:r>
          </w:p>
        </w:tc>
        <w:tc>
          <w:tcPr>
            <w:tcW w:w="1929" w:type="dxa"/>
          </w:tcPr>
          <w:p w14:paraId="34A1E675" w14:textId="77777777" w:rsidR="008F3EAE" w:rsidRDefault="000F0F93" w:rsidP="009762DB">
            <w:r>
              <w:t>-0.</w:t>
            </w:r>
            <w:r w:rsidR="009762DB">
              <w:t>4</w:t>
            </w:r>
            <w:r>
              <w:t>2 (-1.</w:t>
            </w:r>
            <w:r w:rsidR="009762DB">
              <w:t>45</w:t>
            </w:r>
            <w:r>
              <w:t>, 0.</w:t>
            </w:r>
            <w:r w:rsidR="009762DB">
              <w:t>60</w:t>
            </w:r>
            <w:r>
              <w:t>)</w:t>
            </w:r>
          </w:p>
        </w:tc>
      </w:tr>
      <w:tr w:rsidR="008F3EAE" w14:paraId="618BC587" w14:textId="77777777" w:rsidTr="000F0F93">
        <w:tc>
          <w:tcPr>
            <w:tcW w:w="1848" w:type="dxa"/>
          </w:tcPr>
          <w:p w14:paraId="674B634D" w14:textId="77777777" w:rsidR="008F3EAE" w:rsidRDefault="008F3EAE">
            <w:r>
              <w:t>&lt;3 hr</w:t>
            </w:r>
          </w:p>
        </w:tc>
        <w:tc>
          <w:tcPr>
            <w:tcW w:w="1848" w:type="dxa"/>
          </w:tcPr>
          <w:p w14:paraId="522D63F4" w14:textId="77777777" w:rsidR="008F3EAE" w:rsidRDefault="008F3EAE">
            <w:r>
              <w:t>404</w:t>
            </w:r>
          </w:p>
        </w:tc>
        <w:tc>
          <w:tcPr>
            <w:tcW w:w="1657" w:type="dxa"/>
          </w:tcPr>
          <w:p w14:paraId="32605F75" w14:textId="77777777" w:rsidR="008F3EAE" w:rsidRDefault="008F3EAE">
            <w:r>
              <w:t>50.1</w:t>
            </w:r>
          </w:p>
        </w:tc>
        <w:tc>
          <w:tcPr>
            <w:tcW w:w="2040" w:type="dxa"/>
          </w:tcPr>
          <w:p w14:paraId="363AE0D9" w14:textId="77777777" w:rsidR="008F3EAE" w:rsidRDefault="008F3EAE">
            <w:r>
              <w:t>-0.89 (-1.95, 0.17)</w:t>
            </w:r>
          </w:p>
        </w:tc>
        <w:tc>
          <w:tcPr>
            <w:tcW w:w="1929" w:type="dxa"/>
          </w:tcPr>
          <w:p w14:paraId="0BD0BA67" w14:textId="77777777" w:rsidR="008F3EAE" w:rsidRDefault="000F0F93" w:rsidP="009762DB">
            <w:r>
              <w:t>-0.</w:t>
            </w:r>
            <w:r w:rsidR="009762DB">
              <w:t>85</w:t>
            </w:r>
            <w:r>
              <w:t xml:space="preserve"> (-1.</w:t>
            </w:r>
            <w:r w:rsidR="009762DB">
              <w:t>88</w:t>
            </w:r>
            <w:r>
              <w:t>, 0.</w:t>
            </w:r>
            <w:r w:rsidR="009762DB">
              <w:t>19</w:t>
            </w:r>
            <w:r>
              <w:t>)</w:t>
            </w:r>
          </w:p>
        </w:tc>
      </w:tr>
      <w:tr w:rsidR="008F3EAE" w14:paraId="686964E5" w14:textId="77777777" w:rsidTr="000F0F93">
        <w:tc>
          <w:tcPr>
            <w:tcW w:w="1848" w:type="dxa"/>
          </w:tcPr>
          <w:p w14:paraId="4A25AA27" w14:textId="77777777" w:rsidR="008F3EAE" w:rsidRDefault="008F3EAE">
            <w:r>
              <w:t>≥ 3 hr</w:t>
            </w:r>
          </w:p>
        </w:tc>
        <w:tc>
          <w:tcPr>
            <w:tcW w:w="1848" w:type="dxa"/>
          </w:tcPr>
          <w:p w14:paraId="21FD7967" w14:textId="77777777" w:rsidR="008F3EAE" w:rsidRDefault="008F3EAE">
            <w:r>
              <w:t>721</w:t>
            </w:r>
          </w:p>
        </w:tc>
        <w:tc>
          <w:tcPr>
            <w:tcW w:w="1657" w:type="dxa"/>
          </w:tcPr>
          <w:p w14:paraId="14273917" w14:textId="77777777" w:rsidR="008F3EAE" w:rsidRDefault="008F3EAE">
            <w:r>
              <w:t>48.9</w:t>
            </w:r>
          </w:p>
        </w:tc>
        <w:tc>
          <w:tcPr>
            <w:tcW w:w="2040" w:type="dxa"/>
          </w:tcPr>
          <w:p w14:paraId="3FC5E492" w14:textId="77777777" w:rsidR="008F3EAE" w:rsidRDefault="008F3EAE">
            <w:r>
              <w:t>-2.14 (-3.06, -1.21)</w:t>
            </w:r>
          </w:p>
        </w:tc>
        <w:tc>
          <w:tcPr>
            <w:tcW w:w="1929" w:type="dxa"/>
          </w:tcPr>
          <w:p w14:paraId="25DE9E3E" w14:textId="77777777" w:rsidR="008F3EAE" w:rsidRDefault="000F0F93" w:rsidP="009762DB">
            <w:r>
              <w:t>-1.</w:t>
            </w:r>
            <w:r w:rsidR="009762DB">
              <w:t>74</w:t>
            </w:r>
            <w:r>
              <w:t xml:space="preserve"> (-2.</w:t>
            </w:r>
            <w:r w:rsidR="009762DB">
              <w:t>65</w:t>
            </w:r>
            <w:r>
              <w:t>, -0.</w:t>
            </w:r>
            <w:r w:rsidR="009762DB">
              <w:t>8</w:t>
            </w:r>
            <w:r>
              <w:t>3)</w:t>
            </w:r>
          </w:p>
        </w:tc>
      </w:tr>
      <w:tr w:rsidR="008F3EAE" w14:paraId="3856CE1A" w14:textId="77777777" w:rsidTr="000F0F93">
        <w:tc>
          <w:tcPr>
            <w:tcW w:w="1848" w:type="dxa"/>
          </w:tcPr>
          <w:p w14:paraId="2E50A41F" w14:textId="77777777" w:rsidR="008F3EAE" w:rsidRDefault="000F0F93">
            <w:r>
              <w:t>p-trend</w:t>
            </w:r>
          </w:p>
        </w:tc>
        <w:tc>
          <w:tcPr>
            <w:tcW w:w="1848" w:type="dxa"/>
          </w:tcPr>
          <w:p w14:paraId="66B5078F" w14:textId="77777777" w:rsidR="008F3EAE" w:rsidRDefault="008F3EAE"/>
        </w:tc>
        <w:tc>
          <w:tcPr>
            <w:tcW w:w="1657" w:type="dxa"/>
          </w:tcPr>
          <w:p w14:paraId="49EFF208" w14:textId="77777777" w:rsidR="008F3EAE" w:rsidRDefault="008F3EAE"/>
        </w:tc>
        <w:tc>
          <w:tcPr>
            <w:tcW w:w="2040" w:type="dxa"/>
          </w:tcPr>
          <w:p w14:paraId="15250B21" w14:textId="77777777" w:rsidR="008F3EAE" w:rsidRDefault="000F0F93">
            <w:r>
              <w:t>&lt;0.001</w:t>
            </w:r>
          </w:p>
        </w:tc>
        <w:tc>
          <w:tcPr>
            <w:tcW w:w="1929" w:type="dxa"/>
          </w:tcPr>
          <w:p w14:paraId="4928ABE2" w14:textId="77777777" w:rsidR="008F3EAE" w:rsidRDefault="000F0F93">
            <w:r>
              <w:t>0.005</w:t>
            </w:r>
          </w:p>
        </w:tc>
      </w:tr>
      <w:tr w:rsidR="00592052" w14:paraId="2828FDCD" w14:textId="77777777" w:rsidTr="000F0F93">
        <w:tc>
          <w:tcPr>
            <w:tcW w:w="1848" w:type="dxa"/>
          </w:tcPr>
          <w:p w14:paraId="752D7C7B" w14:textId="77777777" w:rsidR="00592052" w:rsidRDefault="00592052"/>
        </w:tc>
        <w:tc>
          <w:tcPr>
            <w:tcW w:w="1848" w:type="dxa"/>
          </w:tcPr>
          <w:p w14:paraId="6D0D6DFF" w14:textId="77777777" w:rsidR="00592052" w:rsidRDefault="00592052"/>
        </w:tc>
        <w:tc>
          <w:tcPr>
            <w:tcW w:w="1657" w:type="dxa"/>
          </w:tcPr>
          <w:p w14:paraId="3741BE75" w14:textId="77777777" w:rsidR="00592052" w:rsidRDefault="00592052"/>
        </w:tc>
        <w:tc>
          <w:tcPr>
            <w:tcW w:w="2040" w:type="dxa"/>
          </w:tcPr>
          <w:p w14:paraId="70345ADA" w14:textId="77777777" w:rsidR="00592052" w:rsidRDefault="00592052"/>
        </w:tc>
        <w:tc>
          <w:tcPr>
            <w:tcW w:w="1929" w:type="dxa"/>
          </w:tcPr>
          <w:p w14:paraId="238E60EC" w14:textId="77777777" w:rsidR="00592052" w:rsidRDefault="00592052"/>
        </w:tc>
      </w:tr>
      <w:tr w:rsidR="00592052" w14:paraId="7A7A9077" w14:textId="77777777" w:rsidTr="000F0F93">
        <w:tc>
          <w:tcPr>
            <w:tcW w:w="1848" w:type="dxa"/>
          </w:tcPr>
          <w:p w14:paraId="479D6090" w14:textId="77777777" w:rsidR="00592052" w:rsidRPr="00780D4F" w:rsidRDefault="00592052">
            <w:pPr>
              <w:rPr>
                <w:i/>
              </w:rPr>
            </w:pPr>
            <w:r w:rsidRPr="00780D4F">
              <w:rPr>
                <w:i/>
              </w:rPr>
              <w:t>Homework</w:t>
            </w:r>
            <w:r w:rsidR="009A2C68">
              <w:rPr>
                <w:i/>
              </w:rPr>
              <w:t>†</w:t>
            </w:r>
            <w:r w:rsidR="00780D4F">
              <w:rPr>
                <w:i/>
              </w:rPr>
              <w:t xml:space="preserve"> </w:t>
            </w:r>
          </w:p>
        </w:tc>
        <w:tc>
          <w:tcPr>
            <w:tcW w:w="1848" w:type="dxa"/>
          </w:tcPr>
          <w:p w14:paraId="7B8E4BE6" w14:textId="77777777" w:rsidR="00592052" w:rsidRDefault="00592052"/>
        </w:tc>
        <w:tc>
          <w:tcPr>
            <w:tcW w:w="1657" w:type="dxa"/>
          </w:tcPr>
          <w:p w14:paraId="1D02C3B9" w14:textId="77777777" w:rsidR="00592052" w:rsidRDefault="00592052"/>
        </w:tc>
        <w:tc>
          <w:tcPr>
            <w:tcW w:w="2040" w:type="dxa"/>
          </w:tcPr>
          <w:p w14:paraId="0E1B4BC7" w14:textId="77777777" w:rsidR="00592052" w:rsidRDefault="00592052"/>
        </w:tc>
        <w:tc>
          <w:tcPr>
            <w:tcW w:w="1929" w:type="dxa"/>
          </w:tcPr>
          <w:p w14:paraId="4836D447" w14:textId="77777777" w:rsidR="00592052" w:rsidRDefault="00592052"/>
        </w:tc>
      </w:tr>
      <w:tr w:rsidR="00592052" w14:paraId="4E56CF85" w14:textId="77777777" w:rsidTr="000F0F93">
        <w:tc>
          <w:tcPr>
            <w:tcW w:w="1848" w:type="dxa"/>
          </w:tcPr>
          <w:p w14:paraId="4B051BEB" w14:textId="77777777" w:rsidR="00592052" w:rsidRDefault="00592052">
            <w:r>
              <w:t xml:space="preserve">None </w:t>
            </w:r>
          </w:p>
        </w:tc>
        <w:tc>
          <w:tcPr>
            <w:tcW w:w="1848" w:type="dxa"/>
          </w:tcPr>
          <w:p w14:paraId="1E0CD56C" w14:textId="77777777" w:rsidR="00592052" w:rsidRDefault="00592052">
            <w:r>
              <w:t>1253</w:t>
            </w:r>
          </w:p>
        </w:tc>
        <w:tc>
          <w:tcPr>
            <w:tcW w:w="1657" w:type="dxa"/>
          </w:tcPr>
          <w:p w14:paraId="6D645BE9" w14:textId="77777777" w:rsidR="00592052" w:rsidRDefault="00780D4F">
            <w:r>
              <w:t>49.5</w:t>
            </w:r>
          </w:p>
        </w:tc>
        <w:tc>
          <w:tcPr>
            <w:tcW w:w="2040" w:type="dxa"/>
          </w:tcPr>
          <w:p w14:paraId="3E26E504" w14:textId="77777777" w:rsidR="00592052" w:rsidRDefault="00780D4F">
            <w:r>
              <w:t>Ref</w:t>
            </w:r>
          </w:p>
        </w:tc>
        <w:tc>
          <w:tcPr>
            <w:tcW w:w="1929" w:type="dxa"/>
          </w:tcPr>
          <w:p w14:paraId="752CAF87" w14:textId="77777777" w:rsidR="00592052" w:rsidRDefault="00780D4F">
            <w:r>
              <w:t>Ref</w:t>
            </w:r>
          </w:p>
        </w:tc>
      </w:tr>
      <w:tr w:rsidR="00592052" w14:paraId="6794BF6D" w14:textId="77777777" w:rsidTr="000F0F93">
        <w:tc>
          <w:tcPr>
            <w:tcW w:w="1848" w:type="dxa"/>
          </w:tcPr>
          <w:p w14:paraId="7363F65B" w14:textId="77777777" w:rsidR="00592052" w:rsidRDefault="00780D4F">
            <w:r>
              <w:t>Up to 2 hrs</w:t>
            </w:r>
          </w:p>
        </w:tc>
        <w:tc>
          <w:tcPr>
            <w:tcW w:w="1848" w:type="dxa"/>
          </w:tcPr>
          <w:p w14:paraId="5CEF077B" w14:textId="77777777" w:rsidR="00592052" w:rsidRDefault="00780D4F">
            <w:r>
              <w:t>434</w:t>
            </w:r>
          </w:p>
        </w:tc>
        <w:tc>
          <w:tcPr>
            <w:tcW w:w="1657" w:type="dxa"/>
          </w:tcPr>
          <w:p w14:paraId="58FECE6D" w14:textId="77777777" w:rsidR="00592052" w:rsidRDefault="00780D4F">
            <w:r>
              <w:t>50.7</w:t>
            </w:r>
          </w:p>
        </w:tc>
        <w:tc>
          <w:tcPr>
            <w:tcW w:w="2040" w:type="dxa"/>
          </w:tcPr>
          <w:p w14:paraId="42421625" w14:textId="77777777" w:rsidR="00592052" w:rsidRDefault="00780D4F">
            <w:r>
              <w:t>1.25 (0.37, 2.14)</w:t>
            </w:r>
          </w:p>
        </w:tc>
        <w:tc>
          <w:tcPr>
            <w:tcW w:w="1929" w:type="dxa"/>
          </w:tcPr>
          <w:p w14:paraId="7C586E84" w14:textId="77777777" w:rsidR="00592052" w:rsidRDefault="00780D4F">
            <w:r>
              <w:t>0.45 (-0.43, 1.33)</w:t>
            </w:r>
          </w:p>
        </w:tc>
      </w:tr>
      <w:tr w:rsidR="00592052" w14:paraId="694946AB" w14:textId="77777777" w:rsidTr="000F0F93">
        <w:tc>
          <w:tcPr>
            <w:tcW w:w="1848" w:type="dxa"/>
          </w:tcPr>
          <w:p w14:paraId="5080B401" w14:textId="77777777" w:rsidR="00592052" w:rsidRDefault="009A2C68">
            <w:r>
              <w:t>≥2 h</w:t>
            </w:r>
            <w:r w:rsidR="00780D4F">
              <w:t>rs</w:t>
            </w:r>
          </w:p>
        </w:tc>
        <w:tc>
          <w:tcPr>
            <w:tcW w:w="1848" w:type="dxa"/>
          </w:tcPr>
          <w:p w14:paraId="74866A6B" w14:textId="77777777" w:rsidR="00592052" w:rsidRDefault="00780D4F">
            <w:r>
              <w:t>351</w:t>
            </w:r>
          </w:p>
        </w:tc>
        <w:tc>
          <w:tcPr>
            <w:tcW w:w="1657" w:type="dxa"/>
          </w:tcPr>
          <w:p w14:paraId="63AD85D4" w14:textId="77777777" w:rsidR="00592052" w:rsidRDefault="00780D4F">
            <w:r>
              <w:t>51.1</w:t>
            </w:r>
          </w:p>
        </w:tc>
        <w:tc>
          <w:tcPr>
            <w:tcW w:w="2040" w:type="dxa"/>
          </w:tcPr>
          <w:p w14:paraId="12F3F2B4" w14:textId="77777777" w:rsidR="00592052" w:rsidRDefault="00780D4F">
            <w:r>
              <w:t>1.62 (0.65, 2.59)</w:t>
            </w:r>
          </w:p>
        </w:tc>
        <w:tc>
          <w:tcPr>
            <w:tcW w:w="1929" w:type="dxa"/>
          </w:tcPr>
          <w:p w14:paraId="33B2B151" w14:textId="77777777" w:rsidR="00592052" w:rsidRDefault="00780D4F">
            <w:r>
              <w:t>0.53 (-0.47, 1.52)</w:t>
            </w:r>
          </w:p>
        </w:tc>
      </w:tr>
      <w:tr w:rsidR="00592052" w14:paraId="31C56158" w14:textId="77777777" w:rsidTr="000F0F93">
        <w:tc>
          <w:tcPr>
            <w:tcW w:w="1848" w:type="dxa"/>
          </w:tcPr>
          <w:p w14:paraId="3B28EA95" w14:textId="77777777" w:rsidR="00592052" w:rsidRDefault="00780D4F">
            <w:r>
              <w:t>p-trend</w:t>
            </w:r>
          </w:p>
        </w:tc>
        <w:tc>
          <w:tcPr>
            <w:tcW w:w="1848" w:type="dxa"/>
          </w:tcPr>
          <w:p w14:paraId="2BBC3584" w14:textId="77777777" w:rsidR="00592052" w:rsidRDefault="00592052"/>
        </w:tc>
        <w:tc>
          <w:tcPr>
            <w:tcW w:w="1657" w:type="dxa"/>
          </w:tcPr>
          <w:p w14:paraId="6E5DC531" w14:textId="77777777" w:rsidR="00592052" w:rsidRDefault="00592052"/>
        </w:tc>
        <w:tc>
          <w:tcPr>
            <w:tcW w:w="2040" w:type="dxa"/>
          </w:tcPr>
          <w:p w14:paraId="1E62EA81" w14:textId="77777777" w:rsidR="00592052" w:rsidRDefault="00780D4F">
            <w:r>
              <w:t>&lt;0.001</w:t>
            </w:r>
          </w:p>
        </w:tc>
        <w:tc>
          <w:tcPr>
            <w:tcW w:w="1929" w:type="dxa"/>
          </w:tcPr>
          <w:p w14:paraId="53CB1A86" w14:textId="77777777" w:rsidR="00592052" w:rsidRDefault="00780D4F">
            <w:r>
              <w:t>0.23</w:t>
            </w:r>
          </w:p>
        </w:tc>
      </w:tr>
      <w:tr w:rsidR="00592052" w14:paraId="3FCC10B2" w14:textId="77777777" w:rsidTr="000F0F93">
        <w:tc>
          <w:tcPr>
            <w:tcW w:w="1848" w:type="dxa"/>
          </w:tcPr>
          <w:p w14:paraId="7C343E90" w14:textId="77777777" w:rsidR="00592052" w:rsidRDefault="00592052"/>
        </w:tc>
        <w:tc>
          <w:tcPr>
            <w:tcW w:w="1848" w:type="dxa"/>
          </w:tcPr>
          <w:p w14:paraId="7B511318" w14:textId="77777777" w:rsidR="00592052" w:rsidRDefault="00592052"/>
        </w:tc>
        <w:tc>
          <w:tcPr>
            <w:tcW w:w="1657" w:type="dxa"/>
          </w:tcPr>
          <w:p w14:paraId="7056786D" w14:textId="77777777" w:rsidR="00592052" w:rsidRDefault="00592052"/>
        </w:tc>
        <w:tc>
          <w:tcPr>
            <w:tcW w:w="2040" w:type="dxa"/>
          </w:tcPr>
          <w:p w14:paraId="4056DF6A" w14:textId="77777777" w:rsidR="00592052" w:rsidRDefault="00592052"/>
        </w:tc>
        <w:tc>
          <w:tcPr>
            <w:tcW w:w="1929" w:type="dxa"/>
          </w:tcPr>
          <w:p w14:paraId="5FC5BC0C" w14:textId="77777777" w:rsidR="00592052" w:rsidRDefault="00592052"/>
        </w:tc>
      </w:tr>
    </w:tbl>
    <w:p w14:paraId="12A94B91" w14:textId="77777777" w:rsidR="008F3EAE" w:rsidRDefault="00884C0C">
      <w:r w:rsidRPr="00884C0C">
        <w:t>WEMWBS</w:t>
      </w:r>
      <w:r>
        <w:softHyphen/>
      </w:r>
      <w:r>
        <w:softHyphen/>
      </w:r>
      <w:r>
        <w:softHyphen/>
      </w:r>
      <w:r>
        <w:softHyphen/>
      </w:r>
      <w:r>
        <w:softHyphen/>
      </w:r>
      <w:r>
        <w:softHyphen/>
      </w:r>
      <w:r>
        <w:softHyphen/>
      </w:r>
      <w:r>
        <w:softHyphen/>
        <w:t xml:space="preserve"> = </w:t>
      </w:r>
      <w:r w:rsidRPr="00884C0C">
        <w:t>Warwick-Edinburgh Mental Well-being Scale</w:t>
      </w:r>
    </w:p>
    <w:p w14:paraId="03C4B76C" w14:textId="77777777" w:rsidR="008F3EAE" w:rsidRDefault="008F3EAE">
      <w:r>
        <w:t>Model 1: adjusted for sex</w:t>
      </w:r>
    </w:p>
    <w:p w14:paraId="2CBD5120" w14:textId="184C7A1C" w:rsidR="008F3EAE" w:rsidRDefault="008F3EAE">
      <w:r>
        <w:t xml:space="preserve">Model 2: adjusted for sex, </w:t>
      </w:r>
      <w:r w:rsidR="000F0F93">
        <w:t xml:space="preserve">smoking at 16, alcohol intake at 16, leisure sports participation age 16, </w:t>
      </w:r>
      <w:r w:rsidR="006008C9">
        <w:t>psychological distress</w:t>
      </w:r>
      <w:r w:rsidR="000F0F93">
        <w:t xml:space="preserve"> age 16,</w:t>
      </w:r>
      <w:r w:rsidR="009762DB">
        <w:t xml:space="preserve"> </w:t>
      </w:r>
      <w:r w:rsidR="007C2BAE" w:rsidRPr="007C2BAE">
        <w:t>parental socio-occupational group</w:t>
      </w:r>
      <w:r w:rsidR="007C2BAE">
        <w:t xml:space="preserve">, </w:t>
      </w:r>
      <w:r w:rsidR="009762DB">
        <w:t>highest educational attainment</w:t>
      </w:r>
      <w:r w:rsidR="009A2C68">
        <w:t xml:space="preserve">, </w:t>
      </w:r>
      <w:r w:rsidR="009A2C68" w:rsidRPr="009A2C68">
        <w:t>†additionally adjusted for total screen time</w:t>
      </w:r>
    </w:p>
    <w:p w14:paraId="75DDF683" w14:textId="77777777" w:rsidR="00E36F2F" w:rsidRDefault="00E36F2F"/>
    <w:p w14:paraId="5F470124" w14:textId="77777777" w:rsidR="00F42F85" w:rsidRDefault="00F42F85" w:rsidP="00E36F2F">
      <w:pPr>
        <w:rPr>
          <w:b/>
        </w:rPr>
      </w:pPr>
    </w:p>
    <w:p w14:paraId="42039E2A" w14:textId="77777777" w:rsidR="00F42F85" w:rsidRDefault="00F42F85" w:rsidP="00E36F2F">
      <w:pPr>
        <w:rPr>
          <w:b/>
        </w:rPr>
      </w:pPr>
    </w:p>
    <w:p w14:paraId="1FD7942A" w14:textId="77777777" w:rsidR="00114AD9" w:rsidRDefault="00114AD9" w:rsidP="00E36F2F">
      <w:pPr>
        <w:rPr>
          <w:b/>
        </w:rPr>
      </w:pPr>
    </w:p>
    <w:p w14:paraId="2C5BE01B" w14:textId="77777777" w:rsidR="00114AD9" w:rsidRDefault="00114AD9" w:rsidP="00E36F2F">
      <w:pPr>
        <w:rPr>
          <w:b/>
        </w:rPr>
      </w:pPr>
    </w:p>
    <w:p w14:paraId="5BB14546" w14:textId="77777777" w:rsidR="00114AD9" w:rsidRDefault="00114AD9" w:rsidP="00E36F2F">
      <w:pPr>
        <w:rPr>
          <w:b/>
        </w:rPr>
      </w:pPr>
    </w:p>
    <w:p w14:paraId="3ABB63A0" w14:textId="77777777" w:rsidR="00114AD9" w:rsidRDefault="00114AD9" w:rsidP="00E36F2F">
      <w:pPr>
        <w:rPr>
          <w:b/>
        </w:rPr>
      </w:pPr>
    </w:p>
    <w:p w14:paraId="41E9B8C2" w14:textId="77777777" w:rsidR="00114AD9" w:rsidRDefault="00114AD9" w:rsidP="00E36F2F">
      <w:pPr>
        <w:rPr>
          <w:b/>
        </w:rPr>
      </w:pPr>
    </w:p>
    <w:p w14:paraId="3E61B6D4" w14:textId="77777777" w:rsidR="00114AD9" w:rsidRDefault="00114AD9" w:rsidP="00E36F2F">
      <w:pPr>
        <w:rPr>
          <w:b/>
        </w:rPr>
      </w:pPr>
    </w:p>
    <w:p w14:paraId="45AFC060" w14:textId="77777777" w:rsidR="00114AD9" w:rsidRDefault="00114AD9" w:rsidP="00E36F2F">
      <w:pPr>
        <w:rPr>
          <w:b/>
        </w:rPr>
      </w:pPr>
    </w:p>
    <w:p w14:paraId="02740928" w14:textId="77777777" w:rsidR="00114AD9" w:rsidRDefault="00114AD9" w:rsidP="00E36F2F">
      <w:pPr>
        <w:rPr>
          <w:b/>
        </w:rPr>
      </w:pPr>
    </w:p>
    <w:p w14:paraId="388FF4AF" w14:textId="77777777" w:rsidR="00114AD9" w:rsidRDefault="00114AD9" w:rsidP="00E36F2F">
      <w:pPr>
        <w:rPr>
          <w:b/>
        </w:rPr>
      </w:pPr>
    </w:p>
    <w:p w14:paraId="05AABD6A" w14:textId="77777777" w:rsidR="00114AD9" w:rsidRDefault="00114AD9" w:rsidP="00E36F2F">
      <w:pPr>
        <w:rPr>
          <w:b/>
        </w:rPr>
      </w:pPr>
    </w:p>
    <w:p w14:paraId="02313BD7" w14:textId="77777777" w:rsidR="00114AD9" w:rsidRDefault="00114AD9" w:rsidP="00E36F2F">
      <w:pPr>
        <w:rPr>
          <w:b/>
        </w:rPr>
      </w:pPr>
    </w:p>
    <w:p w14:paraId="35D160A7" w14:textId="77777777" w:rsidR="00E36F2F" w:rsidRDefault="00E36F2F" w:rsidP="00E36F2F">
      <w:r>
        <w:rPr>
          <w:b/>
        </w:rPr>
        <w:lastRenderedPageBreak/>
        <w:t xml:space="preserve">Table 3. </w:t>
      </w:r>
      <w:r>
        <w:t xml:space="preserve">Association between </w:t>
      </w:r>
      <w:r w:rsidR="00884C0C">
        <w:t xml:space="preserve">after-school </w:t>
      </w:r>
      <w:r w:rsidR="00BE6C21">
        <w:t>sedentary behaviours</w:t>
      </w:r>
      <w:r>
        <w:t xml:space="preserve"> </w:t>
      </w:r>
      <w:r w:rsidR="00065670">
        <w:t xml:space="preserve">at </w:t>
      </w:r>
      <w:r>
        <w:t xml:space="preserve">age 16 and </w:t>
      </w:r>
      <w:r w:rsidR="00780D4F">
        <w:t>psychological distress</w:t>
      </w:r>
      <w:r w:rsidR="00884C0C" w:rsidRPr="00884C0C">
        <w:t xml:space="preserve"> </w:t>
      </w:r>
      <w:r w:rsidR="00884C0C">
        <w:t>(</w:t>
      </w:r>
      <w:r w:rsidR="001B2839">
        <w:t>M</w:t>
      </w:r>
      <w:r>
        <w:t xml:space="preserve">alaise </w:t>
      </w:r>
      <w:r w:rsidR="00884C0C">
        <w:t xml:space="preserve">Inventory </w:t>
      </w:r>
      <w:r>
        <w:t>score</w:t>
      </w:r>
      <w:r w:rsidR="00884C0C">
        <w:t>)</w:t>
      </w:r>
      <w:r w:rsidR="00B74961">
        <w:t xml:space="preserve"> at age 42</w:t>
      </w:r>
      <w:r w:rsidR="00BE6C21">
        <w:t xml:space="preserve"> (n=2,</w:t>
      </w:r>
      <w:r w:rsidR="008A3BD9">
        <w:t>038</w:t>
      </w:r>
      <w:r>
        <w:t>).</w:t>
      </w:r>
    </w:p>
    <w:tbl>
      <w:tblPr>
        <w:tblStyle w:val="TableGrid"/>
        <w:tblW w:w="9322" w:type="dxa"/>
        <w:tblLook w:val="04A0" w:firstRow="1" w:lastRow="0" w:firstColumn="1" w:lastColumn="0" w:noHBand="0" w:noVBand="1"/>
      </w:tblPr>
      <w:tblGrid>
        <w:gridCol w:w="1848"/>
        <w:gridCol w:w="1848"/>
        <w:gridCol w:w="1657"/>
        <w:gridCol w:w="2040"/>
        <w:gridCol w:w="1929"/>
      </w:tblGrid>
      <w:tr w:rsidR="00E36F2F" w14:paraId="4336992D" w14:textId="77777777" w:rsidTr="001A684C">
        <w:tc>
          <w:tcPr>
            <w:tcW w:w="1848" w:type="dxa"/>
          </w:tcPr>
          <w:p w14:paraId="3C75AD54" w14:textId="77777777" w:rsidR="00E36F2F" w:rsidRDefault="009A2C68" w:rsidP="001A684C">
            <w:r>
              <w:t xml:space="preserve">Screen time </w:t>
            </w:r>
          </w:p>
        </w:tc>
        <w:tc>
          <w:tcPr>
            <w:tcW w:w="1848" w:type="dxa"/>
          </w:tcPr>
          <w:p w14:paraId="09874503" w14:textId="77777777" w:rsidR="00E36F2F" w:rsidRDefault="00E36F2F" w:rsidP="001A684C">
            <w:r>
              <w:t>N</w:t>
            </w:r>
          </w:p>
        </w:tc>
        <w:tc>
          <w:tcPr>
            <w:tcW w:w="1657" w:type="dxa"/>
          </w:tcPr>
          <w:p w14:paraId="256F413C" w14:textId="77777777" w:rsidR="00E36F2F" w:rsidRDefault="00E36F2F" w:rsidP="00E36F2F">
            <w:r>
              <w:t>Mean malaise score</w:t>
            </w:r>
            <w:r w:rsidR="00114AD9">
              <w:t>‡</w:t>
            </w:r>
          </w:p>
        </w:tc>
        <w:tc>
          <w:tcPr>
            <w:tcW w:w="2040" w:type="dxa"/>
          </w:tcPr>
          <w:p w14:paraId="382656AA" w14:textId="77777777" w:rsidR="00E36F2F" w:rsidRDefault="00E36F2F" w:rsidP="001A684C">
            <w:r>
              <w:t>Model 1</w:t>
            </w:r>
          </w:p>
          <w:p w14:paraId="31D7969E" w14:textId="77777777" w:rsidR="00E36F2F" w:rsidRDefault="00E36F2F" w:rsidP="001A684C">
            <w:r>
              <w:t>B (95% CI)</w:t>
            </w:r>
          </w:p>
        </w:tc>
        <w:tc>
          <w:tcPr>
            <w:tcW w:w="1929" w:type="dxa"/>
          </w:tcPr>
          <w:p w14:paraId="36BA0397" w14:textId="77777777" w:rsidR="00E36F2F" w:rsidRDefault="00E36F2F" w:rsidP="001A684C">
            <w:r>
              <w:t>Model 2</w:t>
            </w:r>
          </w:p>
          <w:p w14:paraId="192889AE" w14:textId="77777777" w:rsidR="00E36F2F" w:rsidRDefault="00E36F2F" w:rsidP="001A684C">
            <w:r>
              <w:t>B (95% CI)</w:t>
            </w:r>
          </w:p>
        </w:tc>
      </w:tr>
      <w:tr w:rsidR="008A3BD9" w14:paraId="6AAFA81B" w14:textId="77777777" w:rsidTr="001A684C">
        <w:tc>
          <w:tcPr>
            <w:tcW w:w="1848" w:type="dxa"/>
          </w:tcPr>
          <w:p w14:paraId="209F1955" w14:textId="77777777" w:rsidR="008A3BD9" w:rsidRDefault="008A3BD9" w:rsidP="001A684C">
            <w:pPr>
              <w:tabs>
                <w:tab w:val="left" w:pos="913"/>
              </w:tabs>
            </w:pPr>
            <w:r>
              <w:t>&lt;1 hr</w:t>
            </w:r>
            <w:r>
              <w:tab/>
            </w:r>
          </w:p>
        </w:tc>
        <w:tc>
          <w:tcPr>
            <w:tcW w:w="1848" w:type="dxa"/>
          </w:tcPr>
          <w:p w14:paraId="129B9E62" w14:textId="77777777" w:rsidR="008A3BD9" w:rsidRDefault="008A3BD9" w:rsidP="00261324">
            <w:r>
              <w:t>500</w:t>
            </w:r>
          </w:p>
        </w:tc>
        <w:tc>
          <w:tcPr>
            <w:tcW w:w="1657" w:type="dxa"/>
          </w:tcPr>
          <w:p w14:paraId="7717DA88" w14:textId="77777777" w:rsidR="008A3BD9" w:rsidRDefault="008A3BD9" w:rsidP="001A684C">
            <w:r>
              <w:t>1.62</w:t>
            </w:r>
          </w:p>
        </w:tc>
        <w:tc>
          <w:tcPr>
            <w:tcW w:w="2040" w:type="dxa"/>
          </w:tcPr>
          <w:p w14:paraId="692797CD" w14:textId="77777777" w:rsidR="008A3BD9" w:rsidRDefault="008A3BD9" w:rsidP="001A684C">
            <w:r>
              <w:t>Ref</w:t>
            </w:r>
          </w:p>
        </w:tc>
        <w:tc>
          <w:tcPr>
            <w:tcW w:w="1929" w:type="dxa"/>
          </w:tcPr>
          <w:p w14:paraId="2EF7922E" w14:textId="77777777" w:rsidR="008A3BD9" w:rsidRDefault="008A3BD9" w:rsidP="001A684C">
            <w:r>
              <w:t>Ref</w:t>
            </w:r>
          </w:p>
        </w:tc>
      </w:tr>
      <w:tr w:rsidR="008A3BD9" w14:paraId="49182B23" w14:textId="77777777" w:rsidTr="001A684C">
        <w:tc>
          <w:tcPr>
            <w:tcW w:w="1848" w:type="dxa"/>
          </w:tcPr>
          <w:p w14:paraId="6FD0F2E4" w14:textId="77777777" w:rsidR="008A3BD9" w:rsidRDefault="008A3BD9" w:rsidP="001A684C">
            <w:r>
              <w:t>&lt;2 hr</w:t>
            </w:r>
          </w:p>
        </w:tc>
        <w:tc>
          <w:tcPr>
            <w:tcW w:w="1848" w:type="dxa"/>
          </w:tcPr>
          <w:p w14:paraId="3E0301ED" w14:textId="77777777" w:rsidR="008A3BD9" w:rsidRDefault="008A3BD9" w:rsidP="00261324">
            <w:r>
              <w:t>413</w:t>
            </w:r>
          </w:p>
        </w:tc>
        <w:tc>
          <w:tcPr>
            <w:tcW w:w="1657" w:type="dxa"/>
          </w:tcPr>
          <w:p w14:paraId="146DA68F" w14:textId="77777777" w:rsidR="008A3BD9" w:rsidRDefault="008A3BD9" w:rsidP="001A684C">
            <w:r>
              <w:t>1.55</w:t>
            </w:r>
          </w:p>
        </w:tc>
        <w:tc>
          <w:tcPr>
            <w:tcW w:w="2040" w:type="dxa"/>
          </w:tcPr>
          <w:p w14:paraId="4D9B7E09" w14:textId="77777777" w:rsidR="008A3BD9" w:rsidRDefault="008A3BD9" w:rsidP="001A684C">
            <w:r>
              <w:t>-0.07 (-0.31, 0.17)</w:t>
            </w:r>
          </w:p>
        </w:tc>
        <w:tc>
          <w:tcPr>
            <w:tcW w:w="1929" w:type="dxa"/>
          </w:tcPr>
          <w:p w14:paraId="613F010D" w14:textId="77777777" w:rsidR="008A3BD9" w:rsidRDefault="008A3BD9" w:rsidP="009762DB">
            <w:r>
              <w:t>-0.08 (-0.31, 0.15)</w:t>
            </w:r>
          </w:p>
        </w:tc>
      </w:tr>
      <w:tr w:rsidR="008A3BD9" w14:paraId="4FC12450" w14:textId="77777777" w:rsidTr="001A684C">
        <w:tc>
          <w:tcPr>
            <w:tcW w:w="1848" w:type="dxa"/>
          </w:tcPr>
          <w:p w14:paraId="3F3BA845" w14:textId="77777777" w:rsidR="008A3BD9" w:rsidRDefault="008A3BD9" w:rsidP="001A684C">
            <w:r>
              <w:t>&lt;3 hr</w:t>
            </w:r>
          </w:p>
        </w:tc>
        <w:tc>
          <w:tcPr>
            <w:tcW w:w="1848" w:type="dxa"/>
          </w:tcPr>
          <w:p w14:paraId="6EB32EA3" w14:textId="77777777" w:rsidR="008A3BD9" w:rsidRDefault="008A3BD9" w:rsidP="00261324">
            <w:r>
              <w:t>404</w:t>
            </w:r>
          </w:p>
        </w:tc>
        <w:tc>
          <w:tcPr>
            <w:tcW w:w="1657" w:type="dxa"/>
          </w:tcPr>
          <w:p w14:paraId="6B111FAB" w14:textId="77777777" w:rsidR="008A3BD9" w:rsidRDefault="008A3BD9" w:rsidP="001A684C">
            <w:r>
              <w:t>1.73</w:t>
            </w:r>
          </w:p>
        </w:tc>
        <w:tc>
          <w:tcPr>
            <w:tcW w:w="2040" w:type="dxa"/>
          </w:tcPr>
          <w:p w14:paraId="0AF8D816" w14:textId="77777777" w:rsidR="008A3BD9" w:rsidRDefault="008A3BD9" w:rsidP="001A684C">
            <w:r>
              <w:t>0.11 (-0.13, 0.35)</w:t>
            </w:r>
          </w:p>
        </w:tc>
        <w:tc>
          <w:tcPr>
            <w:tcW w:w="1929" w:type="dxa"/>
          </w:tcPr>
          <w:p w14:paraId="07868C4D" w14:textId="77777777" w:rsidR="008A3BD9" w:rsidRDefault="008A3BD9" w:rsidP="009762DB">
            <w:r>
              <w:t>0.08 (-0.15, 0.31)</w:t>
            </w:r>
          </w:p>
        </w:tc>
      </w:tr>
      <w:tr w:rsidR="008A3BD9" w14:paraId="6DDBCADF" w14:textId="77777777" w:rsidTr="001A684C">
        <w:tc>
          <w:tcPr>
            <w:tcW w:w="1848" w:type="dxa"/>
          </w:tcPr>
          <w:p w14:paraId="3F9AEFB3" w14:textId="77777777" w:rsidR="008A3BD9" w:rsidRDefault="008A3BD9" w:rsidP="001A684C">
            <w:r>
              <w:t>≥ 3 hr</w:t>
            </w:r>
          </w:p>
        </w:tc>
        <w:tc>
          <w:tcPr>
            <w:tcW w:w="1848" w:type="dxa"/>
          </w:tcPr>
          <w:p w14:paraId="35EA6950" w14:textId="77777777" w:rsidR="008A3BD9" w:rsidRDefault="008A3BD9" w:rsidP="00261324">
            <w:r>
              <w:t>721</w:t>
            </w:r>
          </w:p>
        </w:tc>
        <w:tc>
          <w:tcPr>
            <w:tcW w:w="1657" w:type="dxa"/>
          </w:tcPr>
          <w:p w14:paraId="7CD7003E" w14:textId="77777777" w:rsidR="008A3BD9" w:rsidRDefault="008A3BD9" w:rsidP="001A684C">
            <w:r>
              <w:t>1.89</w:t>
            </w:r>
          </w:p>
        </w:tc>
        <w:tc>
          <w:tcPr>
            <w:tcW w:w="2040" w:type="dxa"/>
          </w:tcPr>
          <w:p w14:paraId="5F315716" w14:textId="77777777" w:rsidR="008A3BD9" w:rsidRDefault="008A3BD9" w:rsidP="001A684C">
            <w:r>
              <w:t>0.26 (0.05, 0.47)</w:t>
            </w:r>
          </w:p>
        </w:tc>
        <w:tc>
          <w:tcPr>
            <w:tcW w:w="1929" w:type="dxa"/>
          </w:tcPr>
          <w:p w14:paraId="02E6DDE8" w14:textId="77777777" w:rsidR="008A3BD9" w:rsidRDefault="008A3BD9" w:rsidP="009762DB">
            <w:r>
              <w:t>0.18 (-0.02, 0.39)</w:t>
            </w:r>
          </w:p>
        </w:tc>
      </w:tr>
      <w:tr w:rsidR="008A3BD9" w14:paraId="0A841654" w14:textId="77777777" w:rsidTr="001A684C">
        <w:tc>
          <w:tcPr>
            <w:tcW w:w="1848" w:type="dxa"/>
          </w:tcPr>
          <w:p w14:paraId="2402B2B2" w14:textId="77777777" w:rsidR="008A3BD9" w:rsidRDefault="008A3BD9" w:rsidP="001A684C">
            <w:r>
              <w:t>p-trend</w:t>
            </w:r>
          </w:p>
        </w:tc>
        <w:tc>
          <w:tcPr>
            <w:tcW w:w="1848" w:type="dxa"/>
          </w:tcPr>
          <w:p w14:paraId="168E0D71" w14:textId="77777777" w:rsidR="008A3BD9" w:rsidRDefault="008A3BD9" w:rsidP="00261324"/>
        </w:tc>
        <w:tc>
          <w:tcPr>
            <w:tcW w:w="1657" w:type="dxa"/>
          </w:tcPr>
          <w:p w14:paraId="62A6530F" w14:textId="77777777" w:rsidR="008A3BD9" w:rsidRDefault="008A3BD9" w:rsidP="001A684C"/>
        </w:tc>
        <w:tc>
          <w:tcPr>
            <w:tcW w:w="2040" w:type="dxa"/>
          </w:tcPr>
          <w:p w14:paraId="21CD4A55" w14:textId="77777777" w:rsidR="008A3BD9" w:rsidRDefault="008A3BD9" w:rsidP="001A684C">
            <w:r>
              <w:t>0.004</w:t>
            </w:r>
          </w:p>
        </w:tc>
        <w:tc>
          <w:tcPr>
            <w:tcW w:w="1929" w:type="dxa"/>
          </w:tcPr>
          <w:p w14:paraId="5BA95739" w14:textId="77777777" w:rsidR="008A3BD9" w:rsidRDefault="008A3BD9" w:rsidP="009762DB">
            <w:r>
              <w:t>0.032</w:t>
            </w:r>
          </w:p>
        </w:tc>
      </w:tr>
      <w:tr w:rsidR="008A3BD9" w14:paraId="6EB8EBDF" w14:textId="77777777" w:rsidTr="001A684C">
        <w:tc>
          <w:tcPr>
            <w:tcW w:w="1848" w:type="dxa"/>
          </w:tcPr>
          <w:p w14:paraId="08594838" w14:textId="77777777" w:rsidR="008A3BD9" w:rsidRDefault="008A3BD9" w:rsidP="001A684C"/>
        </w:tc>
        <w:tc>
          <w:tcPr>
            <w:tcW w:w="1848" w:type="dxa"/>
          </w:tcPr>
          <w:p w14:paraId="64344C8E" w14:textId="77777777" w:rsidR="008A3BD9" w:rsidRDefault="008A3BD9" w:rsidP="00261324"/>
        </w:tc>
        <w:tc>
          <w:tcPr>
            <w:tcW w:w="1657" w:type="dxa"/>
          </w:tcPr>
          <w:p w14:paraId="4569D6FA" w14:textId="77777777" w:rsidR="008A3BD9" w:rsidRDefault="008A3BD9" w:rsidP="001A684C"/>
        </w:tc>
        <w:tc>
          <w:tcPr>
            <w:tcW w:w="2040" w:type="dxa"/>
          </w:tcPr>
          <w:p w14:paraId="0869042C" w14:textId="77777777" w:rsidR="008A3BD9" w:rsidRDefault="008A3BD9" w:rsidP="001A684C"/>
        </w:tc>
        <w:tc>
          <w:tcPr>
            <w:tcW w:w="1929" w:type="dxa"/>
          </w:tcPr>
          <w:p w14:paraId="3FD1CD2C" w14:textId="77777777" w:rsidR="008A3BD9" w:rsidRDefault="008A3BD9" w:rsidP="009762DB"/>
        </w:tc>
      </w:tr>
      <w:tr w:rsidR="008A3BD9" w14:paraId="196EE904" w14:textId="77777777" w:rsidTr="00755135">
        <w:tc>
          <w:tcPr>
            <w:tcW w:w="1848" w:type="dxa"/>
          </w:tcPr>
          <w:p w14:paraId="473DB083" w14:textId="77777777" w:rsidR="008A3BD9" w:rsidRPr="00780D4F" w:rsidRDefault="008A3BD9" w:rsidP="00755135">
            <w:pPr>
              <w:rPr>
                <w:i/>
              </w:rPr>
            </w:pPr>
            <w:r w:rsidRPr="00780D4F">
              <w:rPr>
                <w:i/>
              </w:rPr>
              <w:t>Homework</w:t>
            </w:r>
            <w:r>
              <w:rPr>
                <w:i/>
              </w:rPr>
              <w:t xml:space="preserve">† </w:t>
            </w:r>
          </w:p>
        </w:tc>
        <w:tc>
          <w:tcPr>
            <w:tcW w:w="1848" w:type="dxa"/>
          </w:tcPr>
          <w:p w14:paraId="24A97E03" w14:textId="77777777" w:rsidR="008A3BD9" w:rsidRDefault="008A3BD9" w:rsidP="00261324"/>
        </w:tc>
        <w:tc>
          <w:tcPr>
            <w:tcW w:w="1657" w:type="dxa"/>
          </w:tcPr>
          <w:p w14:paraId="15540C90" w14:textId="77777777" w:rsidR="008A3BD9" w:rsidRDefault="008A3BD9" w:rsidP="00755135"/>
        </w:tc>
        <w:tc>
          <w:tcPr>
            <w:tcW w:w="2040" w:type="dxa"/>
          </w:tcPr>
          <w:p w14:paraId="5472B120" w14:textId="77777777" w:rsidR="008A3BD9" w:rsidRDefault="008A3BD9" w:rsidP="00755135"/>
        </w:tc>
        <w:tc>
          <w:tcPr>
            <w:tcW w:w="1929" w:type="dxa"/>
          </w:tcPr>
          <w:p w14:paraId="4F01F709" w14:textId="77777777" w:rsidR="008A3BD9" w:rsidRDefault="008A3BD9" w:rsidP="00755135"/>
        </w:tc>
      </w:tr>
      <w:tr w:rsidR="008A3BD9" w14:paraId="1C27FE7B" w14:textId="77777777" w:rsidTr="00755135">
        <w:tc>
          <w:tcPr>
            <w:tcW w:w="1848" w:type="dxa"/>
          </w:tcPr>
          <w:p w14:paraId="4EEE02A3" w14:textId="77777777" w:rsidR="008A3BD9" w:rsidRDefault="008A3BD9" w:rsidP="00755135">
            <w:r>
              <w:t xml:space="preserve">None </w:t>
            </w:r>
          </w:p>
        </w:tc>
        <w:tc>
          <w:tcPr>
            <w:tcW w:w="1848" w:type="dxa"/>
          </w:tcPr>
          <w:p w14:paraId="1BE80C4C" w14:textId="77777777" w:rsidR="008A3BD9" w:rsidRDefault="008A3BD9" w:rsidP="00261324">
            <w:r>
              <w:t>1253</w:t>
            </w:r>
          </w:p>
        </w:tc>
        <w:tc>
          <w:tcPr>
            <w:tcW w:w="1657" w:type="dxa"/>
          </w:tcPr>
          <w:p w14:paraId="302C745C" w14:textId="77777777" w:rsidR="008A3BD9" w:rsidRDefault="008A3BD9" w:rsidP="00755135">
            <w:r>
              <w:t>1.84</w:t>
            </w:r>
          </w:p>
        </w:tc>
        <w:tc>
          <w:tcPr>
            <w:tcW w:w="2040" w:type="dxa"/>
          </w:tcPr>
          <w:p w14:paraId="3478C277" w14:textId="77777777" w:rsidR="008A3BD9" w:rsidRDefault="008A3BD9" w:rsidP="00755135">
            <w:r>
              <w:t>Ref</w:t>
            </w:r>
          </w:p>
        </w:tc>
        <w:tc>
          <w:tcPr>
            <w:tcW w:w="1929" w:type="dxa"/>
          </w:tcPr>
          <w:p w14:paraId="17C92F4B" w14:textId="77777777" w:rsidR="008A3BD9" w:rsidRDefault="008A3BD9" w:rsidP="00755135">
            <w:r>
              <w:t>Ref</w:t>
            </w:r>
          </w:p>
        </w:tc>
      </w:tr>
      <w:tr w:rsidR="008A3BD9" w14:paraId="22350A5F" w14:textId="77777777" w:rsidTr="00755135">
        <w:tc>
          <w:tcPr>
            <w:tcW w:w="1848" w:type="dxa"/>
          </w:tcPr>
          <w:p w14:paraId="455A6AEF" w14:textId="77777777" w:rsidR="008A3BD9" w:rsidRDefault="008A3BD9" w:rsidP="00755135">
            <w:r>
              <w:t>Up to 2 hrs</w:t>
            </w:r>
          </w:p>
        </w:tc>
        <w:tc>
          <w:tcPr>
            <w:tcW w:w="1848" w:type="dxa"/>
          </w:tcPr>
          <w:p w14:paraId="38C519C8" w14:textId="77777777" w:rsidR="008A3BD9" w:rsidRDefault="008A3BD9" w:rsidP="00261324">
            <w:r>
              <w:t>434</w:t>
            </w:r>
          </w:p>
        </w:tc>
        <w:tc>
          <w:tcPr>
            <w:tcW w:w="1657" w:type="dxa"/>
          </w:tcPr>
          <w:p w14:paraId="7C7AE804" w14:textId="77777777" w:rsidR="008A3BD9" w:rsidRDefault="008A3BD9" w:rsidP="00755135">
            <w:r>
              <w:t>1.45</w:t>
            </w:r>
          </w:p>
        </w:tc>
        <w:tc>
          <w:tcPr>
            <w:tcW w:w="2040" w:type="dxa"/>
          </w:tcPr>
          <w:p w14:paraId="1223E3E8" w14:textId="77777777" w:rsidR="008A3BD9" w:rsidRDefault="008A3BD9" w:rsidP="00BE6C21">
            <w:r>
              <w:t>-0.39 (-0.59, -0.19)</w:t>
            </w:r>
          </w:p>
        </w:tc>
        <w:tc>
          <w:tcPr>
            <w:tcW w:w="1929" w:type="dxa"/>
          </w:tcPr>
          <w:p w14:paraId="05EAF7E7" w14:textId="77777777" w:rsidR="008A3BD9" w:rsidRDefault="008A3BD9" w:rsidP="00BE6C21">
            <w:r>
              <w:t>-0.26 (-0.46, -0.07)</w:t>
            </w:r>
          </w:p>
        </w:tc>
      </w:tr>
      <w:tr w:rsidR="008A3BD9" w14:paraId="7CA273D3" w14:textId="77777777" w:rsidTr="00755135">
        <w:tc>
          <w:tcPr>
            <w:tcW w:w="1848" w:type="dxa"/>
          </w:tcPr>
          <w:p w14:paraId="67DBB3DA" w14:textId="77777777" w:rsidR="008A3BD9" w:rsidRDefault="008A3BD9" w:rsidP="00BE6C21">
            <w:r>
              <w:t>≥2 hrs</w:t>
            </w:r>
          </w:p>
        </w:tc>
        <w:tc>
          <w:tcPr>
            <w:tcW w:w="1848" w:type="dxa"/>
          </w:tcPr>
          <w:p w14:paraId="728FAE20" w14:textId="77777777" w:rsidR="008A3BD9" w:rsidRDefault="008A3BD9" w:rsidP="00261324">
            <w:r>
              <w:t>351</w:t>
            </w:r>
          </w:p>
        </w:tc>
        <w:tc>
          <w:tcPr>
            <w:tcW w:w="1657" w:type="dxa"/>
          </w:tcPr>
          <w:p w14:paraId="0D17EC1A" w14:textId="77777777" w:rsidR="008A3BD9" w:rsidRDefault="008A3BD9" w:rsidP="00755135">
            <w:r>
              <w:t>1.58</w:t>
            </w:r>
          </w:p>
        </w:tc>
        <w:tc>
          <w:tcPr>
            <w:tcW w:w="2040" w:type="dxa"/>
          </w:tcPr>
          <w:p w14:paraId="69C95944" w14:textId="77777777" w:rsidR="008A3BD9" w:rsidRDefault="008A3BD9" w:rsidP="00BE6C21">
            <w:r>
              <w:t>-0.26 (-0.48, -0.04)</w:t>
            </w:r>
          </w:p>
        </w:tc>
        <w:tc>
          <w:tcPr>
            <w:tcW w:w="1929" w:type="dxa"/>
          </w:tcPr>
          <w:p w14:paraId="6C726BE7" w14:textId="77777777" w:rsidR="008A3BD9" w:rsidRDefault="008A3BD9" w:rsidP="00BE6C21">
            <w:r>
              <w:t>-0.14 (-0.37, 0.08)</w:t>
            </w:r>
          </w:p>
        </w:tc>
      </w:tr>
      <w:tr w:rsidR="00BE6C21" w14:paraId="46BBC799" w14:textId="77777777" w:rsidTr="00755135">
        <w:tc>
          <w:tcPr>
            <w:tcW w:w="1848" w:type="dxa"/>
          </w:tcPr>
          <w:p w14:paraId="7F42700B" w14:textId="77777777" w:rsidR="00BE6C21" w:rsidRDefault="00BE6C21" w:rsidP="00755135">
            <w:r>
              <w:t>p-trend</w:t>
            </w:r>
          </w:p>
        </w:tc>
        <w:tc>
          <w:tcPr>
            <w:tcW w:w="1848" w:type="dxa"/>
          </w:tcPr>
          <w:p w14:paraId="32D142B8" w14:textId="77777777" w:rsidR="00BE6C21" w:rsidRDefault="00BE6C21" w:rsidP="00755135"/>
        </w:tc>
        <w:tc>
          <w:tcPr>
            <w:tcW w:w="1657" w:type="dxa"/>
          </w:tcPr>
          <w:p w14:paraId="20F955E7" w14:textId="77777777" w:rsidR="00BE6C21" w:rsidRDefault="00BE6C21" w:rsidP="00755135"/>
        </w:tc>
        <w:tc>
          <w:tcPr>
            <w:tcW w:w="2040" w:type="dxa"/>
          </w:tcPr>
          <w:p w14:paraId="18613638" w14:textId="77777777" w:rsidR="00BE6C21" w:rsidRDefault="00BE6C21" w:rsidP="00755135">
            <w:r>
              <w:t>&lt;0.001</w:t>
            </w:r>
          </w:p>
        </w:tc>
        <w:tc>
          <w:tcPr>
            <w:tcW w:w="1929" w:type="dxa"/>
          </w:tcPr>
          <w:p w14:paraId="6469B7C4" w14:textId="77777777" w:rsidR="00BE6C21" w:rsidRDefault="00BE6C21" w:rsidP="00755135">
            <w:r>
              <w:t>0.027</w:t>
            </w:r>
          </w:p>
        </w:tc>
      </w:tr>
      <w:tr w:rsidR="00BE6C21" w14:paraId="4E95DF86" w14:textId="77777777" w:rsidTr="00755135">
        <w:tc>
          <w:tcPr>
            <w:tcW w:w="1848" w:type="dxa"/>
          </w:tcPr>
          <w:p w14:paraId="2CE519EA" w14:textId="77777777" w:rsidR="00BE6C21" w:rsidRDefault="00BE6C21" w:rsidP="00755135"/>
        </w:tc>
        <w:tc>
          <w:tcPr>
            <w:tcW w:w="1848" w:type="dxa"/>
          </w:tcPr>
          <w:p w14:paraId="6C1FFDF9" w14:textId="77777777" w:rsidR="00BE6C21" w:rsidRDefault="00BE6C21" w:rsidP="00755135"/>
        </w:tc>
        <w:tc>
          <w:tcPr>
            <w:tcW w:w="1657" w:type="dxa"/>
          </w:tcPr>
          <w:p w14:paraId="225F1CBD" w14:textId="77777777" w:rsidR="00BE6C21" w:rsidRDefault="00BE6C21" w:rsidP="00755135"/>
        </w:tc>
        <w:tc>
          <w:tcPr>
            <w:tcW w:w="2040" w:type="dxa"/>
          </w:tcPr>
          <w:p w14:paraId="35DE4C10" w14:textId="77777777" w:rsidR="00BE6C21" w:rsidRDefault="00BE6C21" w:rsidP="00755135"/>
        </w:tc>
        <w:tc>
          <w:tcPr>
            <w:tcW w:w="1929" w:type="dxa"/>
          </w:tcPr>
          <w:p w14:paraId="2C18CDA4" w14:textId="77777777" w:rsidR="00BE6C21" w:rsidRDefault="00BE6C21" w:rsidP="00755135"/>
        </w:tc>
      </w:tr>
    </w:tbl>
    <w:p w14:paraId="66ACF470" w14:textId="77777777" w:rsidR="00E36F2F" w:rsidRDefault="00E36F2F" w:rsidP="00E36F2F"/>
    <w:p w14:paraId="142A67F3" w14:textId="77777777" w:rsidR="00E36F2F" w:rsidRDefault="00E36F2F" w:rsidP="00E36F2F">
      <w:r>
        <w:t>Model 1: adjusted for sex</w:t>
      </w:r>
    </w:p>
    <w:p w14:paraId="39E28109" w14:textId="48F55385" w:rsidR="00BE6C21" w:rsidRPr="008F3EAE" w:rsidRDefault="00E36F2F" w:rsidP="00E36F2F">
      <w:r>
        <w:t>Model 2: adjusted for sex, smoking at 16, alcohol intake at 16, leis</w:t>
      </w:r>
      <w:r w:rsidR="00114AD9">
        <w:t>ure sports participation age 16</w:t>
      </w:r>
      <w:r w:rsidR="007C2BAE">
        <w:t xml:space="preserve">, </w:t>
      </w:r>
      <w:r w:rsidR="007C2BAE" w:rsidRPr="007C2BAE">
        <w:t>parental socio-occupational group</w:t>
      </w:r>
      <w:r w:rsidR="00BE6C21">
        <w:t xml:space="preserve">, </w:t>
      </w:r>
      <w:r w:rsidR="006008C9" w:rsidRPr="006008C9">
        <w:t xml:space="preserve">psychological distress </w:t>
      </w:r>
      <w:r w:rsidR="009762DB">
        <w:t>age 16</w:t>
      </w:r>
      <w:r w:rsidR="007C2BAE">
        <w:t>,</w:t>
      </w:r>
      <w:r w:rsidR="009762DB">
        <w:t xml:space="preserve"> and highest educational attainment</w:t>
      </w:r>
      <w:r w:rsidR="009A2C68">
        <w:t>,</w:t>
      </w:r>
      <w:r w:rsidR="00BE6C21">
        <w:t xml:space="preserve"> †additionally adjusted for total screen time</w:t>
      </w:r>
    </w:p>
    <w:p w14:paraId="417D131B" w14:textId="77777777" w:rsidR="00E36F2F" w:rsidRDefault="00114AD9">
      <w:r>
        <w:t>‡Total Malaise score calculated from 24-item and 9-item inventory at age 16 and 42, respectively.</w:t>
      </w:r>
    </w:p>
    <w:p w14:paraId="7652CEAB" w14:textId="77777777" w:rsidR="00CA1511" w:rsidRDefault="00CA1511"/>
    <w:p w14:paraId="61CF6A7C" w14:textId="77777777" w:rsidR="00CA1511" w:rsidRDefault="00CA1511"/>
    <w:p w14:paraId="6D34F455" w14:textId="77777777" w:rsidR="00CA1511" w:rsidRDefault="00CA1511"/>
    <w:p w14:paraId="238E4031" w14:textId="77777777" w:rsidR="00CA1511" w:rsidRDefault="00CA1511"/>
    <w:p w14:paraId="23414D14" w14:textId="77777777" w:rsidR="00CA1511" w:rsidRDefault="00CA1511"/>
    <w:p w14:paraId="1B36B15D" w14:textId="77777777" w:rsidR="00CA1511" w:rsidRDefault="00CA1511"/>
    <w:p w14:paraId="1C3F0000" w14:textId="77777777" w:rsidR="00CA1511" w:rsidRDefault="00CA1511"/>
    <w:p w14:paraId="37EFB0DB" w14:textId="77777777" w:rsidR="00CA1511" w:rsidRDefault="00CA1511"/>
    <w:p w14:paraId="01608586" w14:textId="77777777" w:rsidR="00CA1511" w:rsidRDefault="00CA1511"/>
    <w:p w14:paraId="6EEF0F7D" w14:textId="77777777" w:rsidR="00CA1511" w:rsidRDefault="00CA1511"/>
    <w:p w14:paraId="643215E3" w14:textId="77777777" w:rsidR="00CA1511" w:rsidRDefault="00CA1511"/>
    <w:p w14:paraId="707E84FF" w14:textId="77777777" w:rsidR="00CA1511" w:rsidRDefault="00CA1511"/>
    <w:p w14:paraId="40C11B2E" w14:textId="77777777" w:rsidR="00CA1511" w:rsidRDefault="00CA1511"/>
    <w:p w14:paraId="4B3C86F5" w14:textId="77777777" w:rsidR="005A1322" w:rsidRPr="00D33716" w:rsidRDefault="005A1322" w:rsidP="005A1322">
      <w:r w:rsidRPr="00D33716">
        <w:rPr>
          <w:b/>
        </w:rPr>
        <w:lastRenderedPageBreak/>
        <w:t xml:space="preserve">Table 4. </w:t>
      </w:r>
      <w:r w:rsidRPr="00D33716">
        <w:t>Combined</w:t>
      </w:r>
      <w:r w:rsidRPr="00D33716">
        <w:rPr>
          <w:b/>
        </w:rPr>
        <w:t xml:space="preserve"> </w:t>
      </w:r>
      <w:r w:rsidRPr="00D33716">
        <w:t>association of screen time at age 16 and age 42 on mental wellbeing and psychological distress (Malaise Inventory score) at age 42 (n=2038).</w:t>
      </w:r>
    </w:p>
    <w:tbl>
      <w:tblPr>
        <w:tblStyle w:val="TableGrid"/>
        <w:tblW w:w="9322" w:type="dxa"/>
        <w:tblLook w:val="04A0" w:firstRow="1" w:lastRow="0" w:firstColumn="1" w:lastColumn="0" w:noHBand="0" w:noVBand="1"/>
      </w:tblPr>
      <w:tblGrid>
        <w:gridCol w:w="1848"/>
        <w:gridCol w:w="1848"/>
        <w:gridCol w:w="1657"/>
        <w:gridCol w:w="2040"/>
        <w:gridCol w:w="1929"/>
      </w:tblGrid>
      <w:tr w:rsidR="00D33716" w:rsidRPr="00D33716" w14:paraId="080B06CD" w14:textId="77777777" w:rsidTr="00BD5ECD">
        <w:tc>
          <w:tcPr>
            <w:tcW w:w="1848" w:type="dxa"/>
          </w:tcPr>
          <w:p w14:paraId="6C123746" w14:textId="77777777" w:rsidR="005A1322" w:rsidRPr="00D33716" w:rsidRDefault="005A1322" w:rsidP="00BD5ECD">
            <w:r w:rsidRPr="00D33716">
              <w:t xml:space="preserve">Screen time age 16† </w:t>
            </w:r>
          </w:p>
        </w:tc>
        <w:tc>
          <w:tcPr>
            <w:tcW w:w="1848" w:type="dxa"/>
          </w:tcPr>
          <w:p w14:paraId="11DF6335" w14:textId="77777777" w:rsidR="005A1322" w:rsidRPr="00D33716" w:rsidRDefault="005A1322" w:rsidP="00BD5ECD">
            <w:r w:rsidRPr="00D33716">
              <w:t>TV viewing age 42†</w:t>
            </w:r>
          </w:p>
        </w:tc>
        <w:tc>
          <w:tcPr>
            <w:tcW w:w="1657" w:type="dxa"/>
          </w:tcPr>
          <w:p w14:paraId="41ED9596" w14:textId="77777777" w:rsidR="005A1322" w:rsidRPr="00D33716" w:rsidRDefault="005A1322" w:rsidP="00BD5ECD">
            <w:r w:rsidRPr="00D33716">
              <w:t>N</w:t>
            </w:r>
          </w:p>
        </w:tc>
        <w:tc>
          <w:tcPr>
            <w:tcW w:w="2040" w:type="dxa"/>
          </w:tcPr>
          <w:p w14:paraId="52907136" w14:textId="77777777" w:rsidR="005A1322" w:rsidRPr="00D33716" w:rsidRDefault="005A1322" w:rsidP="00BD5ECD">
            <w:r w:rsidRPr="00D33716">
              <w:t>WEMWBS</w:t>
            </w:r>
          </w:p>
          <w:p w14:paraId="0A53F6AB" w14:textId="77777777" w:rsidR="005A1322" w:rsidRPr="00D33716" w:rsidRDefault="005A1322" w:rsidP="00BD5ECD">
            <w:r w:rsidRPr="00D33716">
              <w:t>B (95% CI)ǂ</w:t>
            </w:r>
          </w:p>
        </w:tc>
        <w:tc>
          <w:tcPr>
            <w:tcW w:w="1929" w:type="dxa"/>
          </w:tcPr>
          <w:p w14:paraId="522AADA0" w14:textId="77777777" w:rsidR="005A1322" w:rsidRPr="00D33716" w:rsidRDefault="005A1322" w:rsidP="00BD5ECD">
            <w:r w:rsidRPr="00D33716">
              <w:t>Malaise score</w:t>
            </w:r>
          </w:p>
          <w:p w14:paraId="4A53B31C" w14:textId="77777777" w:rsidR="005A1322" w:rsidRPr="00D33716" w:rsidRDefault="005A1322" w:rsidP="00BD5ECD">
            <w:r w:rsidRPr="00D33716">
              <w:t>B (95% CI)ǂ</w:t>
            </w:r>
          </w:p>
        </w:tc>
      </w:tr>
      <w:tr w:rsidR="00D33716" w:rsidRPr="00D33716" w14:paraId="5AB2FA5C" w14:textId="77777777" w:rsidTr="00BD5ECD">
        <w:tc>
          <w:tcPr>
            <w:tcW w:w="1848" w:type="dxa"/>
          </w:tcPr>
          <w:p w14:paraId="2A10A0D8" w14:textId="77777777" w:rsidR="005A1322" w:rsidRPr="00D33716" w:rsidRDefault="005A1322" w:rsidP="00BD5ECD">
            <w:pPr>
              <w:tabs>
                <w:tab w:val="left" w:pos="913"/>
              </w:tabs>
            </w:pPr>
            <w:r w:rsidRPr="00D33716">
              <w:t xml:space="preserve">Low </w:t>
            </w:r>
          </w:p>
        </w:tc>
        <w:tc>
          <w:tcPr>
            <w:tcW w:w="1848" w:type="dxa"/>
          </w:tcPr>
          <w:p w14:paraId="5AF7450D" w14:textId="77777777" w:rsidR="005A1322" w:rsidRPr="00D33716" w:rsidRDefault="005A1322" w:rsidP="00BD5ECD">
            <w:r w:rsidRPr="00D33716">
              <w:t xml:space="preserve">Low </w:t>
            </w:r>
          </w:p>
        </w:tc>
        <w:tc>
          <w:tcPr>
            <w:tcW w:w="1657" w:type="dxa"/>
          </w:tcPr>
          <w:p w14:paraId="5B20E19B" w14:textId="77777777" w:rsidR="005A1322" w:rsidRPr="00D33716" w:rsidRDefault="005A1322" w:rsidP="00BD5ECD">
            <w:r w:rsidRPr="00D33716">
              <w:t>1103</w:t>
            </w:r>
          </w:p>
        </w:tc>
        <w:tc>
          <w:tcPr>
            <w:tcW w:w="2040" w:type="dxa"/>
          </w:tcPr>
          <w:p w14:paraId="177BE801" w14:textId="77777777" w:rsidR="005A1322" w:rsidRPr="00D33716" w:rsidRDefault="005A1322" w:rsidP="00BD5ECD">
            <w:r w:rsidRPr="00D33716">
              <w:t>Ref</w:t>
            </w:r>
          </w:p>
        </w:tc>
        <w:tc>
          <w:tcPr>
            <w:tcW w:w="1929" w:type="dxa"/>
          </w:tcPr>
          <w:p w14:paraId="07802909" w14:textId="77777777" w:rsidR="005A1322" w:rsidRPr="00D33716" w:rsidRDefault="005A1322" w:rsidP="00BD5ECD">
            <w:r w:rsidRPr="00D33716">
              <w:t>Ref</w:t>
            </w:r>
          </w:p>
        </w:tc>
      </w:tr>
      <w:tr w:rsidR="00D33716" w:rsidRPr="00D33716" w14:paraId="024525AA" w14:textId="77777777" w:rsidTr="00BD5ECD">
        <w:tc>
          <w:tcPr>
            <w:tcW w:w="1848" w:type="dxa"/>
          </w:tcPr>
          <w:p w14:paraId="1F3B8F30" w14:textId="77777777" w:rsidR="005A1322" w:rsidRPr="00D33716" w:rsidRDefault="005A1322" w:rsidP="00BD5ECD">
            <w:r w:rsidRPr="00D33716">
              <w:t>Low</w:t>
            </w:r>
          </w:p>
        </w:tc>
        <w:tc>
          <w:tcPr>
            <w:tcW w:w="1848" w:type="dxa"/>
          </w:tcPr>
          <w:p w14:paraId="4AF0F044" w14:textId="77777777" w:rsidR="005A1322" w:rsidRPr="00D33716" w:rsidRDefault="005A1322" w:rsidP="00BD5ECD">
            <w:r w:rsidRPr="00D33716">
              <w:t>High</w:t>
            </w:r>
          </w:p>
        </w:tc>
        <w:tc>
          <w:tcPr>
            <w:tcW w:w="1657" w:type="dxa"/>
          </w:tcPr>
          <w:p w14:paraId="183E33A7" w14:textId="77777777" w:rsidR="005A1322" w:rsidRPr="00D33716" w:rsidRDefault="005A1322" w:rsidP="00323A09">
            <w:r w:rsidRPr="00D33716">
              <w:t>21</w:t>
            </w:r>
            <w:r w:rsidR="00323A09" w:rsidRPr="00D33716">
              <w:t>4</w:t>
            </w:r>
          </w:p>
        </w:tc>
        <w:tc>
          <w:tcPr>
            <w:tcW w:w="2040" w:type="dxa"/>
          </w:tcPr>
          <w:p w14:paraId="25504411" w14:textId="77777777" w:rsidR="005A1322" w:rsidRPr="00D33716" w:rsidRDefault="005A1322" w:rsidP="00BD5ECD">
            <w:r w:rsidRPr="00D33716">
              <w:t>-1.13 (-2.31, 0.05)</w:t>
            </w:r>
          </w:p>
        </w:tc>
        <w:tc>
          <w:tcPr>
            <w:tcW w:w="1929" w:type="dxa"/>
          </w:tcPr>
          <w:p w14:paraId="13501513" w14:textId="77777777" w:rsidR="005A1322" w:rsidRPr="00D33716" w:rsidRDefault="005A1322" w:rsidP="00BD5ECD">
            <w:r w:rsidRPr="00D33716">
              <w:t>0.30 (0.03, 0.56)</w:t>
            </w:r>
          </w:p>
        </w:tc>
      </w:tr>
      <w:tr w:rsidR="00D33716" w:rsidRPr="00D33716" w14:paraId="6803250E" w14:textId="77777777" w:rsidTr="00BD5ECD">
        <w:tc>
          <w:tcPr>
            <w:tcW w:w="1848" w:type="dxa"/>
          </w:tcPr>
          <w:p w14:paraId="31C2A13B" w14:textId="77777777" w:rsidR="005A1322" w:rsidRPr="00D33716" w:rsidRDefault="005A1322" w:rsidP="00BD5ECD">
            <w:r w:rsidRPr="00D33716">
              <w:t>High</w:t>
            </w:r>
          </w:p>
        </w:tc>
        <w:tc>
          <w:tcPr>
            <w:tcW w:w="1848" w:type="dxa"/>
          </w:tcPr>
          <w:p w14:paraId="12B0304D" w14:textId="77777777" w:rsidR="005A1322" w:rsidRPr="00D33716" w:rsidRDefault="005A1322" w:rsidP="00BD5ECD">
            <w:r w:rsidRPr="00D33716">
              <w:t>Low</w:t>
            </w:r>
          </w:p>
        </w:tc>
        <w:tc>
          <w:tcPr>
            <w:tcW w:w="1657" w:type="dxa"/>
          </w:tcPr>
          <w:p w14:paraId="0C39B89E" w14:textId="77777777" w:rsidR="005A1322" w:rsidRPr="00D33716" w:rsidRDefault="005A1322" w:rsidP="00BD5ECD">
            <w:r w:rsidRPr="00D33716">
              <w:t>512</w:t>
            </w:r>
          </w:p>
        </w:tc>
        <w:tc>
          <w:tcPr>
            <w:tcW w:w="2040" w:type="dxa"/>
          </w:tcPr>
          <w:p w14:paraId="1D6C332F" w14:textId="77777777" w:rsidR="005A1322" w:rsidRPr="00D33716" w:rsidRDefault="005A1322" w:rsidP="00BD5ECD">
            <w:r w:rsidRPr="00D33716">
              <w:t>-0.98 (-1.82, -0.15)</w:t>
            </w:r>
          </w:p>
        </w:tc>
        <w:tc>
          <w:tcPr>
            <w:tcW w:w="1929" w:type="dxa"/>
          </w:tcPr>
          <w:p w14:paraId="5AF444E0" w14:textId="77777777" w:rsidR="005A1322" w:rsidRPr="00D33716" w:rsidRDefault="005A1322" w:rsidP="00BD5ECD">
            <w:r w:rsidRPr="00D33716">
              <w:t>0.23 (0.05, 0.42)</w:t>
            </w:r>
          </w:p>
        </w:tc>
      </w:tr>
      <w:tr w:rsidR="00D33716" w:rsidRPr="00D33716" w14:paraId="696350A9" w14:textId="77777777" w:rsidTr="00BD5ECD">
        <w:tc>
          <w:tcPr>
            <w:tcW w:w="1848" w:type="dxa"/>
          </w:tcPr>
          <w:p w14:paraId="5BB18890" w14:textId="77777777" w:rsidR="005A1322" w:rsidRPr="00D33716" w:rsidRDefault="005A1322" w:rsidP="00BD5ECD">
            <w:r w:rsidRPr="00D33716">
              <w:t>High</w:t>
            </w:r>
          </w:p>
        </w:tc>
        <w:tc>
          <w:tcPr>
            <w:tcW w:w="1848" w:type="dxa"/>
          </w:tcPr>
          <w:p w14:paraId="44D0ED87" w14:textId="77777777" w:rsidR="005A1322" w:rsidRPr="00D33716" w:rsidRDefault="005A1322" w:rsidP="00BD5ECD">
            <w:r w:rsidRPr="00D33716">
              <w:t>High</w:t>
            </w:r>
          </w:p>
        </w:tc>
        <w:tc>
          <w:tcPr>
            <w:tcW w:w="1657" w:type="dxa"/>
          </w:tcPr>
          <w:p w14:paraId="1E353F7E" w14:textId="77777777" w:rsidR="005A1322" w:rsidRPr="00D33716" w:rsidRDefault="005A1322" w:rsidP="00BD5ECD">
            <w:r w:rsidRPr="00D33716">
              <w:t>209</w:t>
            </w:r>
          </w:p>
        </w:tc>
        <w:tc>
          <w:tcPr>
            <w:tcW w:w="2040" w:type="dxa"/>
          </w:tcPr>
          <w:p w14:paraId="7BD18A61" w14:textId="77777777" w:rsidR="005A1322" w:rsidRPr="00D33716" w:rsidRDefault="005A1322" w:rsidP="00BD5ECD">
            <w:r w:rsidRPr="00D33716">
              <w:t>-2.91 (-4.12, -1.69)</w:t>
            </w:r>
          </w:p>
        </w:tc>
        <w:tc>
          <w:tcPr>
            <w:tcW w:w="1929" w:type="dxa"/>
          </w:tcPr>
          <w:p w14:paraId="30B6A1A0" w14:textId="77777777" w:rsidR="005A1322" w:rsidRPr="00D33716" w:rsidRDefault="005A1322" w:rsidP="00BD5ECD">
            <w:r w:rsidRPr="00D33716">
              <w:t>0.21 (-0.06, 0.48)</w:t>
            </w:r>
          </w:p>
        </w:tc>
      </w:tr>
    </w:tbl>
    <w:p w14:paraId="221A65EC" w14:textId="77777777" w:rsidR="005A1322" w:rsidRPr="00D33716" w:rsidRDefault="005A1322" w:rsidP="005A1322">
      <w:r w:rsidRPr="00D33716">
        <w:t>† High screen time at age 16 (≥3hrs/d); High TV viewing age 42 (≥3hrs/d)</w:t>
      </w:r>
    </w:p>
    <w:p w14:paraId="69C4D23E" w14:textId="77777777" w:rsidR="005A1322" w:rsidRPr="00D33716" w:rsidRDefault="005A1322" w:rsidP="005A1322">
      <w:r w:rsidRPr="00D33716">
        <w:t xml:space="preserve">ǂ adjusted for sex, smoking at 16, alcohol intake at 16, leisure sports participation age 16, parental socio-occupational group, </w:t>
      </w:r>
      <w:proofErr w:type="gramStart"/>
      <w:r w:rsidRPr="00D33716">
        <w:t>psychological</w:t>
      </w:r>
      <w:proofErr w:type="gramEnd"/>
      <w:r w:rsidRPr="00D33716">
        <w:t xml:space="preserve"> distress age 16, and highest educational attainment.</w:t>
      </w:r>
    </w:p>
    <w:p w14:paraId="3EC2879D" w14:textId="77777777" w:rsidR="005A1322" w:rsidRDefault="005A1322" w:rsidP="00CA1511">
      <w:pPr>
        <w:rPr>
          <w:b/>
        </w:rPr>
      </w:pPr>
      <w:bookmarkStart w:id="0" w:name="_GoBack"/>
      <w:bookmarkEnd w:id="0"/>
    </w:p>
    <w:p w14:paraId="47D96BE0" w14:textId="77777777" w:rsidR="008B2ADF" w:rsidRPr="008F3EAE" w:rsidRDefault="008B2ADF"/>
    <w:sectPr w:rsidR="008B2ADF" w:rsidRPr="008F3EA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60F853" w15:done="0"/>
  <w15:commentEx w15:paraId="31237673" w15:done="0"/>
  <w15:commentEx w15:paraId="3883DB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14B73" w14:textId="77777777" w:rsidR="00A03984" w:rsidRDefault="00A03984" w:rsidP="005B50AF">
      <w:pPr>
        <w:spacing w:after="0" w:line="240" w:lineRule="auto"/>
      </w:pPr>
      <w:r>
        <w:separator/>
      </w:r>
    </w:p>
  </w:endnote>
  <w:endnote w:type="continuationSeparator" w:id="0">
    <w:p w14:paraId="1A0F267E" w14:textId="77777777" w:rsidR="00A03984" w:rsidRDefault="00A03984" w:rsidP="005B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467391"/>
      <w:docPartObj>
        <w:docPartGallery w:val="Page Numbers (Bottom of Page)"/>
        <w:docPartUnique/>
      </w:docPartObj>
    </w:sdtPr>
    <w:sdtEndPr>
      <w:rPr>
        <w:noProof/>
      </w:rPr>
    </w:sdtEndPr>
    <w:sdtContent>
      <w:p w14:paraId="62A4CE8B" w14:textId="77777777" w:rsidR="0038503F" w:rsidRDefault="0038503F">
        <w:pPr>
          <w:pStyle w:val="Footer"/>
          <w:jc w:val="right"/>
        </w:pPr>
        <w:r>
          <w:fldChar w:fldCharType="begin"/>
        </w:r>
        <w:r>
          <w:instrText xml:space="preserve"> PAGE   \* MERGEFORMAT </w:instrText>
        </w:r>
        <w:r>
          <w:fldChar w:fldCharType="separate"/>
        </w:r>
        <w:r w:rsidR="00D33716">
          <w:rPr>
            <w:noProof/>
          </w:rPr>
          <w:t>1</w:t>
        </w:r>
        <w:r>
          <w:rPr>
            <w:noProof/>
          </w:rPr>
          <w:fldChar w:fldCharType="end"/>
        </w:r>
      </w:p>
    </w:sdtContent>
  </w:sdt>
  <w:p w14:paraId="6794A78D" w14:textId="77777777" w:rsidR="0038503F" w:rsidRDefault="00385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2345D" w14:textId="77777777" w:rsidR="00A03984" w:rsidRDefault="00A03984" w:rsidP="005B50AF">
      <w:pPr>
        <w:spacing w:after="0" w:line="240" w:lineRule="auto"/>
      </w:pPr>
      <w:r>
        <w:separator/>
      </w:r>
    </w:p>
  </w:footnote>
  <w:footnote w:type="continuationSeparator" w:id="0">
    <w:p w14:paraId="1D4531BB" w14:textId="77777777" w:rsidR="00A03984" w:rsidRDefault="00A03984" w:rsidP="005B5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74F91"/>
    <w:multiLevelType w:val="hybridMultilevel"/>
    <w:tmpl w:val="E99C9D40"/>
    <w:lvl w:ilvl="0" w:tplc="0409000F">
      <w:start w:val="1"/>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arna Shankar">
    <w15:presenceInfo w15:providerId="AD" w15:userId="S-1-5-21-2835755355-634858697-2241794094-113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AE"/>
    <w:rsid w:val="0001216B"/>
    <w:rsid w:val="000466FB"/>
    <w:rsid w:val="00054127"/>
    <w:rsid w:val="00065670"/>
    <w:rsid w:val="0007459F"/>
    <w:rsid w:val="00087D4A"/>
    <w:rsid w:val="000F0F93"/>
    <w:rsid w:val="000F345A"/>
    <w:rsid w:val="00103F46"/>
    <w:rsid w:val="00114AD9"/>
    <w:rsid w:val="00126F63"/>
    <w:rsid w:val="00135C9C"/>
    <w:rsid w:val="001516F5"/>
    <w:rsid w:val="001676D7"/>
    <w:rsid w:val="00185AAC"/>
    <w:rsid w:val="001A684C"/>
    <w:rsid w:val="001B2839"/>
    <w:rsid w:val="001C2788"/>
    <w:rsid w:val="002048D3"/>
    <w:rsid w:val="00206F5F"/>
    <w:rsid w:val="0021666D"/>
    <w:rsid w:val="00223A96"/>
    <w:rsid w:val="0024429A"/>
    <w:rsid w:val="0028059A"/>
    <w:rsid w:val="002A47EA"/>
    <w:rsid w:val="002A502C"/>
    <w:rsid w:val="002C1613"/>
    <w:rsid w:val="002D5FC9"/>
    <w:rsid w:val="00323A09"/>
    <w:rsid w:val="00342832"/>
    <w:rsid w:val="00344E0C"/>
    <w:rsid w:val="0035076B"/>
    <w:rsid w:val="00350CC0"/>
    <w:rsid w:val="0038503F"/>
    <w:rsid w:val="003928CA"/>
    <w:rsid w:val="00393FF6"/>
    <w:rsid w:val="0039696D"/>
    <w:rsid w:val="003A714C"/>
    <w:rsid w:val="003B517A"/>
    <w:rsid w:val="003C262B"/>
    <w:rsid w:val="003D79B4"/>
    <w:rsid w:val="003F2121"/>
    <w:rsid w:val="003F5465"/>
    <w:rsid w:val="00402979"/>
    <w:rsid w:val="004073E3"/>
    <w:rsid w:val="00436A95"/>
    <w:rsid w:val="00467E3B"/>
    <w:rsid w:val="00467E6C"/>
    <w:rsid w:val="00494ECC"/>
    <w:rsid w:val="004A2F73"/>
    <w:rsid w:val="004A5115"/>
    <w:rsid w:val="004E1F51"/>
    <w:rsid w:val="004E2BD7"/>
    <w:rsid w:val="004F1BF1"/>
    <w:rsid w:val="00503BE6"/>
    <w:rsid w:val="00522A76"/>
    <w:rsid w:val="00542396"/>
    <w:rsid w:val="00592052"/>
    <w:rsid w:val="005A1322"/>
    <w:rsid w:val="005B50AF"/>
    <w:rsid w:val="005B584A"/>
    <w:rsid w:val="005C689E"/>
    <w:rsid w:val="005C6E6F"/>
    <w:rsid w:val="005F351B"/>
    <w:rsid w:val="006008C9"/>
    <w:rsid w:val="00602D6A"/>
    <w:rsid w:val="006174E6"/>
    <w:rsid w:val="00617D87"/>
    <w:rsid w:val="0063141F"/>
    <w:rsid w:val="0063526B"/>
    <w:rsid w:val="00644840"/>
    <w:rsid w:val="00645A95"/>
    <w:rsid w:val="00651580"/>
    <w:rsid w:val="00667CC2"/>
    <w:rsid w:val="00673DE5"/>
    <w:rsid w:val="00697E8B"/>
    <w:rsid w:val="006B37DA"/>
    <w:rsid w:val="006F13DA"/>
    <w:rsid w:val="007522F6"/>
    <w:rsid w:val="00755135"/>
    <w:rsid w:val="00765568"/>
    <w:rsid w:val="00780D4F"/>
    <w:rsid w:val="0078710B"/>
    <w:rsid w:val="007960CF"/>
    <w:rsid w:val="007A63E0"/>
    <w:rsid w:val="007C2BAE"/>
    <w:rsid w:val="007C7178"/>
    <w:rsid w:val="007C724F"/>
    <w:rsid w:val="00826321"/>
    <w:rsid w:val="0083704A"/>
    <w:rsid w:val="00882E22"/>
    <w:rsid w:val="00884C0C"/>
    <w:rsid w:val="00897752"/>
    <w:rsid w:val="008A3912"/>
    <w:rsid w:val="008A3BD9"/>
    <w:rsid w:val="008A7322"/>
    <w:rsid w:val="008B2ADF"/>
    <w:rsid w:val="008F3EAE"/>
    <w:rsid w:val="008F4B8A"/>
    <w:rsid w:val="00917722"/>
    <w:rsid w:val="00923B6A"/>
    <w:rsid w:val="00937835"/>
    <w:rsid w:val="00946DD3"/>
    <w:rsid w:val="009762DB"/>
    <w:rsid w:val="0098413F"/>
    <w:rsid w:val="00987801"/>
    <w:rsid w:val="00997697"/>
    <w:rsid w:val="009A08C8"/>
    <w:rsid w:val="009A2C68"/>
    <w:rsid w:val="009D0C15"/>
    <w:rsid w:val="00A0065B"/>
    <w:rsid w:val="00A02DBB"/>
    <w:rsid w:val="00A03984"/>
    <w:rsid w:val="00A208B4"/>
    <w:rsid w:val="00A23B09"/>
    <w:rsid w:val="00A4162F"/>
    <w:rsid w:val="00A530AC"/>
    <w:rsid w:val="00A55849"/>
    <w:rsid w:val="00A6200D"/>
    <w:rsid w:val="00A77FCB"/>
    <w:rsid w:val="00A901FF"/>
    <w:rsid w:val="00AA2E63"/>
    <w:rsid w:val="00AA5682"/>
    <w:rsid w:val="00AC4510"/>
    <w:rsid w:val="00AC7808"/>
    <w:rsid w:val="00AD5F88"/>
    <w:rsid w:val="00AF31FD"/>
    <w:rsid w:val="00B125D9"/>
    <w:rsid w:val="00B3625D"/>
    <w:rsid w:val="00B518B1"/>
    <w:rsid w:val="00B6148A"/>
    <w:rsid w:val="00B71952"/>
    <w:rsid w:val="00B74961"/>
    <w:rsid w:val="00BA5A49"/>
    <w:rsid w:val="00BD0062"/>
    <w:rsid w:val="00BD4512"/>
    <w:rsid w:val="00BE6C21"/>
    <w:rsid w:val="00BF3A41"/>
    <w:rsid w:val="00C11DD8"/>
    <w:rsid w:val="00C2321D"/>
    <w:rsid w:val="00C36F31"/>
    <w:rsid w:val="00C41581"/>
    <w:rsid w:val="00C41B06"/>
    <w:rsid w:val="00C455B5"/>
    <w:rsid w:val="00C463BF"/>
    <w:rsid w:val="00C5437A"/>
    <w:rsid w:val="00C73215"/>
    <w:rsid w:val="00C843DD"/>
    <w:rsid w:val="00CA1511"/>
    <w:rsid w:val="00CB7445"/>
    <w:rsid w:val="00CC3A09"/>
    <w:rsid w:val="00CC70A3"/>
    <w:rsid w:val="00D00F0C"/>
    <w:rsid w:val="00D21D38"/>
    <w:rsid w:val="00D32433"/>
    <w:rsid w:val="00D33716"/>
    <w:rsid w:val="00D43C1F"/>
    <w:rsid w:val="00D53EF6"/>
    <w:rsid w:val="00D57177"/>
    <w:rsid w:val="00D57AFD"/>
    <w:rsid w:val="00D65A66"/>
    <w:rsid w:val="00D65C2D"/>
    <w:rsid w:val="00D815BD"/>
    <w:rsid w:val="00D82D7B"/>
    <w:rsid w:val="00DB374F"/>
    <w:rsid w:val="00DD56C1"/>
    <w:rsid w:val="00E14BBC"/>
    <w:rsid w:val="00E16389"/>
    <w:rsid w:val="00E35319"/>
    <w:rsid w:val="00E36F2F"/>
    <w:rsid w:val="00E57E6D"/>
    <w:rsid w:val="00E7167B"/>
    <w:rsid w:val="00E7392C"/>
    <w:rsid w:val="00E970E5"/>
    <w:rsid w:val="00EB4C61"/>
    <w:rsid w:val="00EB730B"/>
    <w:rsid w:val="00EC57B7"/>
    <w:rsid w:val="00ED61DC"/>
    <w:rsid w:val="00F05782"/>
    <w:rsid w:val="00F10A6F"/>
    <w:rsid w:val="00F11A1E"/>
    <w:rsid w:val="00F42F85"/>
    <w:rsid w:val="00F832CA"/>
    <w:rsid w:val="00F83E73"/>
    <w:rsid w:val="00F86D48"/>
    <w:rsid w:val="00FA2B0D"/>
    <w:rsid w:val="00FB69A1"/>
    <w:rsid w:val="00FC13BD"/>
    <w:rsid w:val="00FD4E18"/>
    <w:rsid w:val="00FF20E5"/>
    <w:rsid w:val="00FF3A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E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93"/>
    <w:rPr>
      <w:rFonts w:ascii="Tahoma" w:hAnsi="Tahoma" w:cs="Tahoma"/>
      <w:sz w:val="16"/>
      <w:szCs w:val="16"/>
    </w:rPr>
  </w:style>
  <w:style w:type="paragraph" w:styleId="ListParagraph">
    <w:name w:val="List Paragraph"/>
    <w:basedOn w:val="Normal"/>
    <w:uiPriority w:val="34"/>
    <w:qFormat/>
    <w:rsid w:val="00602D6A"/>
    <w:pPr>
      <w:ind w:left="720"/>
      <w:contextualSpacing/>
    </w:pPr>
  </w:style>
  <w:style w:type="character" w:styleId="CommentReference">
    <w:name w:val="annotation reference"/>
    <w:basedOn w:val="DefaultParagraphFont"/>
    <w:uiPriority w:val="99"/>
    <w:semiHidden/>
    <w:unhideWhenUsed/>
    <w:rsid w:val="00C41B06"/>
    <w:rPr>
      <w:sz w:val="16"/>
      <w:szCs w:val="16"/>
    </w:rPr>
  </w:style>
  <w:style w:type="paragraph" w:styleId="CommentText">
    <w:name w:val="annotation text"/>
    <w:basedOn w:val="Normal"/>
    <w:link w:val="CommentTextChar"/>
    <w:uiPriority w:val="99"/>
    <w:unhideWhenUsed/>
    <w:rsid w:val="00C41B06"/>
    <w:pPr>
      <w:spacing w:line="240" w:lineRule="auto"/>
    </w:pPr>
    <w:rPr>
      <w:sz w:val="20"/>
      <w:szCs w:val="20"/>
    </w:rPr>
  </w:style>
  <w:style w:type="character" w:customStyle="1" w:styleId="CommentTextChar">
    <w:name w:val="Comment Text Char"/>
    <w:basedOn w:val="DefaultParagraphFont"/>
    <w:link w:val="CommentText"/>
    <w:uiPriority w:val="99"/>
    <w:rsid w:val="00C41B06"/>
    <w:rPr>
      <w:sz w:val="20"/>
      <w:szCs w:val="20"/>
    </w:rPr>
  </w:style>
  <w:style w:type="paragraph" w:styleId="CommentSubject">
    <w:name w:val="annotation subject"/>
    <w:basedOn w:val="CommentText"/>
    <w:next w:val="CommentText"/>
    <w:link w:val="CommentSubjectChar"/>
    <w:uiPriority w:val="99"/>
    <w:semiHidden/>
    <w:unhideWhenUsed/>
    <w:rsid w:val="00C41B06"/>
    <w:rPr>
      <w:b/>
      <w:bCs/>
    </w:rPr>
  </w:style>
  <w:style w:type="character" w:customStyle="1" w:styleId="CommentSubjectChar">
    <w:name w:val="Comment Subject Char"/>
    <w:basedOn w:val="CommentTextChar"/>
    <w:link w:val="CommentSubject"/>
    <w:uiPriority w:val="99"/>
    <w:semiHidden/>
    <w:rsid w:val="00C41B06"/>
    <w:rPr>
      <w:b/>
      <w:bCs/>
      <w:sz w:val="20"/>
      <w:szCs w:val="20"/>
    </w:rPr>
  </w:style>
  <w:style w:type="character" w:styleId="LineNumber">
    <w:name w:val="line number"/>
    <w:basedOn w:val="DefaultParagraphFont"/>
    <w:uiPriority w:val="99"/>
    <w:semiHidden/>
    <w:unhideWhenUsed/>
    <w:rsid w:val="005B50AF"/>
  </w:style>
  <w:style w:type="paragraph" w:styleId="Header">
    <w:name w:val="header"/>
    <w:basedOn w:val="Normal"/>
    <w:link w:val="HeaderChar"/>
    <w:uiPriority w:val="99"/>
    <w:unhideWhenUsed/>
    <w:rsid w:val="005B5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0AF"/>
  </w:style>
  <w:style w:type="paragraph" w:styleId="Footer">
    <w:name w:val="footer"/>
    <w:basedOn w:val="Normal"/>
    <w:link w:val="FooterChar"/>
    <w:uiPriority w:val="99"/>
    <w:unhideWhenUsed/>
    <w:rsid w:val="005B5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0AF"/>
  </w:style>
  <w:style w:type="character" w:styleId="Hyperlink">
    <w:name w:val="Hyperlink"/>
    <w:basedOn w:val="DefaultParagraphFont"/>
    <w:uiPriority w:val="99"/>
    <w:unhideWhenUsed/>
    <w:rsid w:val="00AC45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93"/>
    <w:rPr>
      <w:rFonts w:ascii="Tahoma" w:hAnsi="Tahoma" w:cs="Tahoma"/>
      <w:sz w:val="16"/>
      <w:szCs w:val="16"/>
    </w:rPr>
  </w:style>
  <w:style w:type="paragraph" w:styleId="ListParagraph">
    <w:name w:val="List Paragraph"/>
    <w:basedOn w:val="Normal"/>
    <w:uiPriority w:val="34"/>
    <w:qFormat/>
    <w:rsid w:val="00602D6A"/>
    <w:pPr>
      <w:ind w:left="720"/>
      <w:contextualSpacing/>
    </w:pPr>
  </w:style>
  <w:style w:type="character" w:styleId="CommentReference">
    <w:name w:val="annotation reference"/>
    <w:basedOn w:val="DefaultParagraphFont"/>
    <w:uiPriority w:val="99"/>
    <w:semiHidden/>
    <w:unhideWhenUsed/>
    <w:rsid w:val="00C41B06"/>
    <w:rPr>
      <w:sz w:val="16"/>
      <w:szCs w:val="16"/>
    </w:rPr>
  </w:style>
  <w:style w:type="paragraph" w:styleId="CommentText">
    <w:name w:val="annotation text"/>
    <w:basedOn w:val="Normal"/>
    <w:link w:val="CommentTextChar"/>
    <w:uiPriority w:val="99"/>
    <w:unhideWhenUsed/>
    <w:rsid w:val="00C41B06"/>
    <w:pPr>
      <w:spacing w:line="240" w:lineRule="auto"/>
    </w:pPr>
    <w:rPr>
      <w:sz w:val="20"/>
      <w:szCs w:val="20"/>
    </w:rPr>
  </w:style>
  <w:style w:type="character" w:customStyle="1" w:styleId="CommentTextChar">
    <w:name w:val="Comment Text Char"/>
    <w:basedOn w:val="DefaultParagraphFont"/>
    <w:link w:val="CommentText"/>
    <w:uiPriority w:val="99"/>
    <w:rsid w:val="00C41B06"/>
    <w:rPr>
      <w:sz w:val="20"/>
      <w:szCs w:val="20"/>
    </w:rPr>
  </w:style>
  <w:style w:type="paragraph" w:styleId="CommentSubject">
    <w:name w:val="annotation subject"/>
    <w:basedOn w:val="CommentText"/>
    <w:next w:val="CommentText"/>
    <w:link w:val="CommentSubjectChar"/>
    <w:uiPriority w:val="99"/>
    <w:semiHidden/>
    <w:unhideWhenUsed/>
    <w:rsid w:val="00C41B06"/>
    <w:rPr>
      <w:b/>
      <w:bCs/>
    </w:rPr>
  </w:style>
  <w:style w:type="character" w:customStyle="1" w:styleId="CommentSubjectChar">
    <w:name w:val="Comment Subject Char"/>
    <w:basedOn w:val="CommentTextChar"/>
    <w:link w:val="CommentSubject"/>
    <w:uiPriority w:val="99"/>
    <w:semiHidden/>
    <w:rsid w:val="00C41B06"/>
    <w:rPr>
      <w:b/>
      <w:bCs/>
      <w:sz w:val="20"/>
      <w:szCs w:val="20"/>
    </w:rPr>
  </w:style>
  <w:style w:type="character" w:styleId="LineNumber">
    <w:name w:val="line number"/>
    <w:basedOn w:val="DefaultParagraphFont"/>
    <w:uiPriority w:val="99"/>
    <w:semiHidden/>
    <w:unhideWhenUsed/>
    <w:rsid w:val="005B50AF"/>
  </w:style>
  <w:style w:type="paragraph" w:styleId="Header">
    <w:name w:val="header"/>
    <w:basedOn w:val="Normal"/>
    <w:link w:val="HeaderChar"/>
    <w:uiPriority w:val="99"/>
    <w:unhideWhenUsed/>
    <w:rsid w:val="005B5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0AF"/>
  </w:style>
  <w:style w:type="paragraph" w:styleId="Footer">
    <w:name w:val="footer"/>
    <w:basedOn w:val="Normal"/>
    <w:link w:val="FooterChar"/>
    <w:uiPriority w:val="99"/>
    <w:unhideWhenUsed/>
    <w:rsid w:val="005B5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0AF"/>
  </w:style>
  <w:style w:type="character" w:styleId="Hyperlink">
    <w:name w:val="Hyperlink"/>
    <w:basedOn w:val="DefaultParagraphFont"/>
    <w:uiPriority w:val="99"/>
    <w:unhideWhenUsed/>
    <w:rsid w:val="00AC4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1EB6-4D18-46A9-9008-2F1E2661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4403</Words>
  <Characters>25099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dc:creator>
  <cp:lastModifiedBy>Markh</cp:lastModifiedBy>
  <cp:revision>2</cp:revision>
  <dcterms:created xsi:type="dcterms:W3CDTF">2016-01-18T15:02:00Z</dcterms:created>
  <dcterms:modified xsi:type="dcterms:W3CDTF">2016-01-18T15:02:00Z</dcterms:modified>
</cp:coreProperties>
</file>